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Fonts w:eastAsia="方正小标宋简体"/>
          <w:color w:val="000000" w:themeColor="text1"/>
          <w:kern w:val="0"/>
          <w:sz w:val="44"/>
          <w:szCs w:val="44"/>
        </w:rPr>
      </w:pPr>
      <w:bookmarkStart w:id="51" w:name="_GoBack"/>
      <w:bookmarkEnd w:id="51"/>
      <w:bookmarkStart w:id="0" w:name="_Toc1410"/>
      <w:bookmarkStart w:id="1" w:name="_Toc25632"/>
      <w:bookmarkStart w:id="2" w:name="_Toc17844"/>
      <w:bookmarkStart w:id="3" w:name="_Toc23055"/>
      <w:bookmarkStart w:id="4" w:name="_Toc14853"/>
      <w:bookmarkStart w:id="5" w:name="_Toc29044_WPSOffice_Level1"/>
      <w:r>
        <w:rPr>
          <w:rFonts w:hAnsi="方正小标宋简体" w:eastAsia="方正小标宋简体"/>
          <w:color w:val="000000" w:themeColor="text1"/>
          <w:kern w:val="0"/>
          <w:sz w:val="44"/>
          <w:szCs w:val="44"/>
        </w:rPr>
        <w:t>衡阳市司法局</w:t>
      </w:r>
      <w:bookmarkEnd w:id="0"/>
      <w:bookmarkEnd w:id="1"/>
      <w:bookmarkEnd w:id="2"/>
      <w:bookmarkEnd w:id="3"/>
      <w:bookmarkEnd w:id="4"/>
    </w:p>
    <w:p>
      <w:pPr>
        <w:spacing w:line="530" w:lineRule="exact"/>
        <w:jc w:val="center"/>
        <w:rPr>
          <w:rFonts w:eastAsia="方正小标宋简体"/>
          <w:color w:val="000000" w:themeColor="text1"/>
          <w:kern w:val="0"/>
          <w:sz w:val="44"/>
          <w:szCs w:val="44"/>
        </w:rPr>
      </w:pPr>
      <w:bookmarkStart w:id="6" w:name="_Toc3851"/>
      <w:bookmarkStart w:id="7" w:name="_Toc31213"/>
      <w:bookmarkStart w:id="8" w:name="_Toc14590"/>
      <w:bookmarkStart w:id="9" w:name="_Toc5972"/>
      <w:bookmarkStart w:id="10" w:name="_Toc18810"/>
      <w:r>
        <w:rPr>
          <w:rFonts w:eastAsia="方正小标宋简体"/>
          <w:color w:val="000000" w:themeColor="text1"/>
          <w:kern w:val="0"/>
          <w:sz w:val="44"/>
          <w:szCs w:val="44"/>
        </w:rPr>
        <w:t>2019</w:t>
      </w:r>
      <w:r>
        <w:rPr>
          <w:rFonts w:hAnsi="方正小标宋简体" w:eastAsia="方正小标宋简体"/>
          <w:color w:val="000000" w:themeColor="text1"/>
          <w:kern w:val="0"/>
          <w:sz w:val="44"/>
          <w:szCs w:val="44"/>
        </w:rPr>
        <w:t>年度部门整体支出绩效评价报告</w:t>
      </w:r>
      <w:bookmarkEnd w:id="5"/>
      <w:bookmarkEnd w:id="6"/>
      <w:bookmarkEnd w:id="7"/>
      <w:bookmarkEnd w:id="8"/>
      <w:bookmarkEnd w:id="9"/>
      <w:bookmarkEnd w:id="10"/>
    </w:p>
    <w:p>
      <w:pPr>
        <w:spacing w:line="530" w:lineRule="exact"/>
        <w:jc w:val="center"/>
        <w:rPr>
          <w:rFonts w:eastAsia="方正小标宋简体"/>
          <w:color w:val="000000"/>
          <w:kern w:val="0"/>
          <w:sz w:val="44"/>
          <w:szCs w:val="44"/>
        </w:rPr>
      </w:pPr>
    </w:p>
    <w:p>
      <w:pPr>
        <w:spacing w:line="530" w:lineRule="exact"/>
        <w:ind w:firstLine="640" w:firstLineChars="200"/>
        <w:rPr>
          <w:rFonts w:eastAsia="仿宋_GB2312"/>
          <w:sz w:val="32"/>
          <w:szCs w:val="32"/>
        </w:rPr>
      </w:pPr>
      <w:r>
        <w:rPr>
          <w:rFonts w:hAnsi="仿宋_GB2312" w:eastAsia="仿宋_GB2312"/>
          <w:sz w:val="32"/>
          <w:szCs w:val="32"/>
        </w:rPr>
        <w:t>为提升财政资金的预算绩效管理工作水平，增强单位财政资金支出责任，规范资金管理行为，提高财政资金使用效益，节约公共支出成本，提高公共服务质量，优化公共资源配置，保障部门更好的履行职责，</w:t>
      </w:r>
      <w:r>
        <w:rPr>
          <w:rFonts w:hAnsi="仿宋_GB2312" w:eastAsia="仿宋_GB2312"/>
          <w:sz w:val="32"/>
          <w:szCs w:val="32"/>
          <w:shd w:val="clear" w:color="auto" w:fill="FFFFFF"/>
        </w:rPr>
        <w:t>根据衡阳市财政局《关于开展</w:t>
      </w:r>
      <w:r>
        <w:rPr>
          <w:rFonts w:eastAsia="仿宋_GB2312"/>
          <w:sz w:val="32"/>
          <w:szCs w:val="32"/>
        </w:rPr>
        <w:t>2019</w:t>
      </w:r>
      <w:r>
        <w:rPr>
          <w:rFonts w:hAnsi="仿宋_GB2312" w:eastAsia="仿宋_GB2312"/>
          <w:sz w:val="32"/>
          <w:szCs w:val="32"/>
        </w:rPr>
        <w:t>年度部门整体支出绩效自评工作的通知</w:t>
      </w:r>
      <w:r>
        <w:rPr>
          <w:rFonts w:hAnsi="仿宋_GB2312" w:eastAsia="仿宋_GB2312"/>
          <w:sz w:val="32"/>
          <w:szCs w:val="32"/>
          <w:shd w:val="clear" w:color="auto" w:fill="FFFFFF"/>
        </w:rPr>
        <w:t>》（衡财绩〔</w:t>
      </w:r>
      <w:r>
        <w:rPr>
          <w:rFonts w:eastAsia="仿宋_GB2312"/>
          <w:sz w:val="32"/>
          <w:szCs w:val="32"/>
          <w:shd w:val="clear" w:color="auto" w:fill="FFFFFF"/>
        </w:rPr>
        <w:t>2020</w:t>
      </w:r>
      <w:r>
        <w:rPr>
          <w:rFonts w:hAnsi="仿宋_GB2312" w:eastAsia="仿宋_GB2312"/>
          <w:sz w:val="32"/>
          <w:szCs w:val="32"/>
          <w:shd w:val="clear" w:color="auto" w:fill="FFFFFF"/>
        </w:rPr>
        <w:t>〕</w:t>
      </w:r>
      <w:r>
        <w:rPr>
          <w:rFonts w:eastAsia="仿宋_GB2312"/>
          <w:sz w:val="32"/>
          <w:szCs w:val="32"/>
          <w:shd w:val="clear" w:color="auto" w:fill="FFFFFF"/>
        </w:rPr>
        <w:t>139</w:t>
      </w:r>
      <w:r>
        <w:rPr>
          <w:rFonts w:hAnsi="仿宋_GB2312" w:eastAsia="仿宋_GB2312"/>
          <w:sz w:val="32"/>
          <w:szCs w:val="32"/>
          <w:shd w:val="clear" w:color="auto" w:fill="FFFFFF"/>
        </w:rPr>
        <w:t>号）文件精神，我局开展了</w:t>
      </w:r>
      <w:r>
        <w:rPr>
          <w:rFonts w:eastAsia="仿宋_GB2312"/>
          <w:sz w:val="32"/>
          <w:szCs w:val="32"/>
          <w:shd w:val="clear" w:color="auto" w:fill="FFFFFF"/>
        </w:rPr>
        <w:t>2019</w:t>
      </w:r>
      <w:r>
        <w:rPr>
          <w:rFonts w:hAnsi="仿宋_GB2312" w:eastAsia="仿宋_GB2312"/>
          <w:sz w:val="32"/>
          <w:szCs w:val="32"/>
          <w:shd w:val="clear" w:color="auto" w:fill="FFFFFF"/>
        </w:rPr>
        <w:t>年度部门整体支出绩效管理自评工作，现将有关情况报告如下：</w:t>
      </w:r>
    </w:p>
    <w:p>
      <w:pPr>
        <w:numPr>
          <w:ilvl w:val="0"/>
          <w:numId w:val="1"/>
        </w:numPr>
        <w:tabs>
          <w:tab w:val="left" w:pos="6629"/>
        </w:tabs>
        <w:spacing w:line="530" w:lineRule="exact"/>
        <w:ind w:firstLine="640" w:firstLineChars="200"/>
        <w:outlineLvl w:val="0"/>
        <w:rPr>
          <w:rFonts w:eastAsia="黑体"/>
          <w:b/>
          <w:sz w:val="32"/>
          <w:szCs w:val="32"/>
        </w:rPr>
      </w:pPr>
      <w:bookmarkStart w:id="11" w:name="_Toc26034"/>
      <w:bookmarkStart w:id="12" w:name="_Toc11523"/>
      <w:bookmarkStart w:id="13" w:name="_Toc25246"/>
      <w:bookmarkStart w:id="14" w:name="_Toc12107"/>
      <w:r>
        <w:rPr>
          <w:rFonts w:hAnsi="黑体" w:eastAsia="黑体"/>
          <w:bCs/>
          <w:sz w:val="32"/>
          <w:szCs w:val="32"/>
        </w:rPr>
        <w:t>基本情况</w:t>
      </w:r>
      <w:bookmarkEnd w:id="11"/>
      <w:bookmarkEnd w:id="12"/>
      <w:bookmarkEnd w:id="13"/>
      <w:bookmarkEnd w:id="14"/>
      <w:r>
        <w:rPr>
          <w:rFonts w:eastAsia="黑体"/>
          <w:bCs/>
          <w:sz w:val="32"/>
          <w:szCs w:val="32"/>
        </w:rPr>
        <w:tab/>
      </w:r>
    </w:p>
    <w:p>
      <w:pPr>
        <w:spacing w:line="530" w:lineRule="exact"/>
        <w:ind w:firstLine="640" w:firstLineChars="200"/>
        <w:rPr>
          <w:rFonts w:eastAsia="仿宋_GB2312"/>
          <w:sz w:val="32"/>
          <w:szCs w:val="32"/>
        </w:rPr>
      </w:pPr>
      <w:r>
        <w:rPr>
          <w:rFonts w:hAnsi="仿宋_GB2312" w:eastAsia="仿宋_GB2312"/>
          <w:sz w:val="32"/>
          <w:szCs w:val="32"/>
        </w:rPr>
        <w:t>我局是</w:t>
      </w:r>
      <w:r>
        <w:rPr>
          <w:rFonts w:eastAsia="仿宋_GB2312"/>
          <w:sz w:val="32"/>
          <w:szCs w:val="32"/>
          <w:shd w:val="clear" w:color="auto" w:fill="FFFFFF"/>
        </w:rPr>
        <w:t>主管全市司法行政和法治工作的政府组成部门，是政法机关的重要组成部分，</w:t>
      </w:r>
      <w:r>
        <w:rPr>
          <w:rFonts w:hAnsi="仿宋_GB2312" w:eastAsia="仿宋_GB2312"/>
          <w:sz w:val="32"/>
          <w:szCs w:val="32"/>
        </w:rPr>
        <w:t>系正处级行政机关，属于财政一级预算单位。</w:t>
      </w:r>
    </w:p>
    <w:p>
      <w:pPr>
        <w:spacing w:line="530" w:lineRule="exact"/>
        <w:ind w:firstLine="642" w:firstLineChars="200"/>
        <w:outlineLvl w:val="1"/>
        <w:rPr>
          <w:rFonts w:eastAsia="楷体_GB2312"/>
          <w:sz w:val="32"/>
          <w:szCs w:val="32"/>
        </w:rPr>
      </w:pPr>
      <w:bookmarkStart w:id="15" w:name="_Toc4431"/>
      <w:bookmarkStart w:id="16" w:name="_Toc21393"/>
      <w:bookmarkStart w:id="17" w:name="_Toc6249"/>
      <w:bookmarkStart w:id="18" w:name="_Toc8466"/>
      <w:bookmarkStart w:id="19" w:name="_Toc16205"/>
      <w:r>
        <w:rPr>
          <w:rFonts w:hAnsi="楷体_GB2312" w:eastAsia="楷体_GB2312"/>
          <w:b/>
          <w:bCs/>
          <w:sz w:val="32"/>
          <w:szCs w:val="32"/>
        </w:rPr>
        <w:t>（一）部门职责</w:t>
      </w:r>
      <w:bookmarkEnd w:id="15"/>
      <w:bookmarkEnd w:id="16"/>
      <w:bookmarkEnd w:id="17"/>
      <w:bookmarkEnd w:id="18"/>
      <w:bookmarkEnd w:id="19"/>
    </w:p>
    <w:p>
      <w:pPr>
        <w:spacing w:line="530" w:lineRule="exact"/>
        <w:rPr>
          <w:rFonts w:eastAsia="仿宋_GB2312"/>
          <w:w w:val="95"/>
          <w:sz w:val="32"/>
          <w:szCs w:val="32"/>
        </w:rPr>
      </w:pPr>
      <w:bookmarkStart w:id="20" w:name="_Toc18991"/>
      <w:bookmarkStart w:id="21" w:name="_Toc902"/>
      <w:bookmarkStart w:id="22" w:name="_Toc23968"/>
      <w:bookmarkStart w:id="23" w:name="_Toc29502"/>
      <w:r>
        <w:rPr>
          <w:rFonts w:eastAsia="仿宋_GB2312"/>
          <w:w w:val="95"/>
          <w:sz w:val="32"/>
          <w:szCs w:val="32"/>
        </w:rPr>
        <w:t>　　1．</w:t>
      </w:r>
      <w:r>
        <w:rPr>
          <w:rFonts w:eastAsia="仿宋_GB2312"/>
          <w:sz w:val="32"/>
          <w:szCs w:val="32"/>
        </w:rPr>
        <w:t>承担全面依法治市重大问题的政策研究，协调有关方面提出全面依法治市中长期规划建议，负责有关重大决策部署督察工作，负责依法治市和法治政府建设考核工作。</w:t>
      </w:r>
    </w:p>
    <w:p>
      <w:pPr>
        <w:spacing w:line="530" w:lineRule="exact"/>
        <w:rPr>
          <w:rFonts w:eastAsia="仿宋_GB2312"/>
          <w:w w:val="95"/>
          <w:sz w:val="32"/>
          <w:szCs w:val="32"/>
          <w:u w:val="single"/>
        </w:rPr>
      </w:pPr>
      <w:r>
        <w:rPr>
          <w:rFonts w:eastAsia="仿宋_GB2312"/>
          <w:w w:val="95"/>
          <w:sz w:val="32"/>
          <w:szCs w:val="32"/>
        </w:rPr>
        <w:t>　　2．贯彻执行国家、省有关司法行政工作方针政策和法律法规，编制全市司法行政发展中长期规划和年度计划并监督实施。</w:t>
      </w:r>
    </w:p>
    <w:p>
      <w:pPr>
        <w:spacing w:line="530" w:lineRule="exact"/>
        <w:rPr>
          <w:rFonts w:eastAsia="仿宋_GB2312"/>
          <w:sz w:val="32"/>
          <w:szCs w:val="32"/>
        </w:rPr>
      </w:pPr>
      <w:r>
        <w:rPr>
          <w:rFonts w:eastAsia="仿宋_GB2312"/>
          <w:sz w:val="32"/>
          <w:szCs w:val="32"/>
        </w:rPr>
        <w:t>　　3．承担统筹规划立法工作的责任。协调有关方面提出立法规划和年度立法工作计划的建议，负责跟踪了解有关部门对立法工作计划的落实情况，加强组织协调和督促指导，研究提出立法与改革决策相衔接的意见、措施。负责面向社会征集法规规章制定项目建议。</w:t>
      </w:r>
    </w:p>
    <w:p>
      <w:pPr>
        <w:spacing w:line="530" w:lineRule="exact"/>
        <w:rPr>
          <w:rFonts w:eastAsia="仿宋_GB2312"/>
          <w:sz w:val="32"/>
          <w:szCs w:val="32"/>
        </w:rPr>
      </w:pPr>
      <w:r>
        <w:rPr>
          <w:rFonts w:eastAsia="仿宋_GB2312"/>
          <w:sz w:val="32"/>
          <w:szCs w:val="32"/>
        </w:rPr>
        <w:t>　　4．负责起草或者组织起草有关地方性法规、规章草案。承办有关地方性法规和规章草案的审查工作。负责立法协调。</w:t>
      </w:r>
    </w:p>
    <w:p>
      <w:pPr>
        <w:spacing w:line="530" w:lineRule="exact"/>
        <w:rPr>
          <w:rFonts w:eastAsia="仿宋_GB2312"/>
          <w:sz w:val="32"/>
          <w:szCs w:val="32"/>
        </w:rPr>
      </w:pPr>
      <w:r>
        <w:rPr>
          <w:rFonts w:eastAsia="仿宋_GB2312"/>
          <w:sz w:val="32"/>
          <w:szCs w:val="32"/>
        </w:rPr>
        <w:t>　　5．承办市政府规章的解释、立法后评估工作。负责协调县市区和市直各部门实施法律法规和规章中的有关争议和问题。承办市政府规章清理、编纂工作，组织翻译、审定市政府规章外文正式译本。负责规章的备案审查工作。组织开展规章清理工作。</w:t>
      </w:r>
    </w:p>
    <w:p>
      <w:pPr>
        <w:spacing w:line="530" w:lineRule="exact"/>
        <w:rPr>
          <w:rFonts w:eastAsia="仿宋_GB2312"/>
          <w:sz w:val="32"/>
          <w:szCs w:val="32"/>
        </w:rPr>
      </w:pPr>
      <w:r>
        <w:rPr>
          <w:rFonts w:eastAsia="仿宋_GB2312"/>
          <w:sz w:val="32"/>
          <w:szCs w:val="32"/>
        </w:rPr>
        <w:t>　　6．指导全市规范性文件管理有关工作，承担市政府规范性文件送审稿的合法性审查工作，承办市政府及其部门规范性文件的登记工作。负责报送备案市政府规范性文件。负责县市区政府和市直各部门规范性文件备案审查工作。受理有关规范性文件违法审查申请。组织开展规范性文件清理工作。承担市政府法律顾问工作，负责对市政府重大行政决策（含政府会议重大决策）进行合法性审查或论证说明。</w:t>
      </w:r>
    </w:p>
    <w:p>
      <w:pPr>
        <w:spacing w:line="530" w:lineRule="exact"/>
        <w:rPr>
          <w:rFonts w:eastAsia="仿宋_GB2312"/>
          <w:sz w:val="32"/>
          <w:szCs w:val="32"/>
        </w:rPr>
      </w:pPr>
      <w:r>
        <w:rPr>
          <w:rFonts w:eastAsia="仿宋_GB2312"/>
          <w:sz w:val="32"/>
          <w:szCs w:val="32"/>
        </w:rPr>
        <w:t>　　7．承担统筹推进法治政府建设的责任。指导监督县市区和市直各部门依法行政工作。负责综合协调行政执法，承担推进行政执法体制改革有关工作，推进严格规范公正文明执法。承办市政府作为被申请人的最终裁决的有关行政复议事项。指导监督全市行政复议、行政应诉和行政赔偿工作，负责市政府及本局行政复议、行政应诉和行政赔偿案件办理工作。承办市政府有关民事及民事诉讼法律事务。承担市政府行政复议办公室的日常工作。</w:t>
      </w:r>
    </w:p>
    <w:p>
      <w:pPr>
        <w:spacing w:line="530" w:lineRule="exact"/>
        <w:rPr>
          <w:rFonts w:eastAsia="仿宋_GB2312"/>
          <w:sz w:val="32"/>
          <w:szCs w:val="32"/>
        </w:rPr>
      </w:pPr>
      <w:r>
        <w:rPr>
          <w:rFonts w:eastAsia="仿宋_GB2312"/>
          <w:sz w:val="32"/>
          <w:szCs w:val="32"/>
        </w:rPr>
        <w:t>　　8．承担统筹规划全市法治社会建设的责任。负责拟订法治宣传教育规划，组织实施普法宣传工作，组织对外法治宣传。推动人民参与和促进法治建设。指导依法治理和法治创建工作。负责人民监督员选任管理工作，指导调解工作和人民陪审员选任管理工作，推进司法所建设。</w:t>
      </w:r>
    </w:p>
    <w:p>
      <w:pPr>
        <w:spacing w:line="530" w:lineRule="exact"/>
        <w:rPr>
          <w:rFonts w:eastAsia="仿宋_GB2312"/>
          <w:sz w:val="32"/>
          <w:szCs w:val="32"/>
        </w:rPr>
      </w:pPr>
      <w:r>
        <w:rPr>
          <w:rFonts w:eastAsia="仿宋_GB2312"/>
          <w:sz w:val="32"/>
          <w:szCs w:val="32"/>
        </w:rPr>
        <w:t>　　9．负责市属监狱管理工作，监督管理刑罚执行、罪犯改造的工作。指导、管理社区矫正工作。指导刑满释放人员帮教安置工作。管理衡州监狱。</w:t>
      </w:r>
    </w:p>
    <w:p>
      <w:pPr>
        <w:spacing w:line="530" w:lineRule="exact"/>
        <w:rPr>
          <w:rFonts w:eastAsia="仿宋_GB2312"/>
          <w:sz w:val="32"/>
          <w:szCs w:val="32"/>
        </w:rPr>
      </w:pPr>
      <w:r>
        <w:rPr>
          <w:rFonts w:eastAsia="仿宋_GB2312"/>
          <w:sz w:val="32"/>
          <w:szCs w:val="32"/>
        </w:rPr>
        <w:t>　　10．负责司法行政戒毒场所管理工作。指导监督本系统强制隔离戒毒执行和戒毒康复工作。对社区戒毒和社区康复工作提供指导、支持和协助。管理市强制隔离戒毒所。</w:t>
      </w:r>
    </w:p>
    <w:p>
      <w:pPr>
        <w:spacing w:line="530" w:lineRule="exact"/>
        <w:rPr>
          <w:rFonts w:eastAsia="仿宋_GB2312"/>
          <w:sz w:val="32"/>
          <w:szCs w:val="32"/>
        </w:rPr>
      </w:pPr>
      <w:r>
        <w:rPr>
          <w:rFonts w:eastAsia="仿宋_GB2312"/>
          <w:sz w:val="32"/>
          <w:szCs w:val="32"/>
        </w:rPr>
        <w:t>　　11．负责拟订公共法律服务体系建设规划并指导实施，统筹和布局城乡、区域法律服务资源。指导、监督律师、法律援助、司法鉴定、公证、仲裁和基层法律服务管理工作。</w:t>
      </w:r>
    </w:p>
    <w:p>
      <w:pPr>
        <w:spacing w:line="530" w:lineRule="exact"/>
        <w:rPr>
          <w:rFonts w:eastAsia="仿宋_GB2312"/>
          <w:sz w:val="32"/>
          <w:szCs w:val="32"/>
        </w:rPr>
      </w:pPr>
      <w:r>
        <w:rPr>
          <w:rFonts w:eastAsia="仿宋_GB2312"/>
          <w:sz w:val="32"/>
          <w:szCs w:val="32"/>
        </w:rPr>
        <w:t>　　12．负责全市国家统一法律职业资格考试的组织实施工作。负责全市国家统一法律职业资格审查、申报和证书发放等有关工作。负责规划和指导法律职业人员入职前培训工作。</w:t>
      </w:r>
    </w:p>
    <w:p>
      <w:pPr>
        <w:spacing w:line="530" w:lineRule="exact"/>
        <w:rPr>
          <w:rFonts w:eastAsia="仿宋_GB2312"/>
          <w:sz w:val="32"/>
          <w:szCs w:val="32"/>
        </w:rPr>
      </w:pPr>
      <w:r>
        <w:rPr>
          <w:rFonts w:eastAsia="仿宋_GB2312"/>
          <w:sz w:val="32"/>
          <w:szCs w:val="32"/>
        </w:rPr>
        <w:t>　　13．负责全市法治对外合作工作。承担市政府涉外协议等文件的法律审查工作。组织开展法治对外合作交流。承办涉港澳台的法律事务。</w:t>
      </w:r>
    </w:p>
    <w:p>
      <w:pPr>
        <w:spacing w:line="530" w:lineRule="exact"/>
        <w:rPr>
          <w:rFonts w:eastAsia="仿宋_GB2312"/>
          <w:sz w:val="32"/>
          <w:szCs w:val="32"/>
        </w:rPr>
      </w:pPr>
      <w:r>
        <w:rPr>
          <w:rFonts w:eastAsia="仿宋_GB2312"/>
          <w:sz w:val="32"/>
          <w:szCs w:val="32"/>
        </w:rPr>
        <w:t>　　14．负责本系统枪支、弹药、服装和警车管理工作，指导监督本系统财务、装备、设施、场所等保障工作。</w:t>
      </w:r>
    </w:p>
    <w:p>
      <w:pPr>
        <w:spacing w:line="530" w:lineRule="exact"/>
        <w:rPr>
          <w:rFonts w:eastAsia="仿宋_GB2312"/>
          <w:sz w:val="32"/>
          <w:szCs w:val="32"/>
        </w:rPr>
      </w:pPr>
      <w:r>
        <w:rPr>
          <w:rFonts w:eastAsia="仿宋_GB2312"/>
          <w:sz w:val="32"/>
          <w:szCs w:val="32"/>
        </w:rPr>
        <w:t>　　15．规划、协调、指导法治人才队伍建设相关工作。指导监督本系统队伍建设。负责本系统警务管理和警务督察工作。协助各县市区管理司法局领导干部。</w:t>
      </w:r>
    </w:p>
    <w:p>
      <w:pPr>
        <w:spacing w:line="530" w:lineRule="exact"/>
        <w:rPr>
          <w:rFonts w:eastAsia="仿宋_GB2312"/>
          <w:sz w:val="32"/>
          <w:szCs w:val="32"/>
        </w:rPr>
      </w:pPr>
      <w:r>
        <w:rPr>
          <w:rFonts w:eastAsia="仿宋_GB2312"/>
          <w:sz w:val="32"/>
          <w:szCs w:val="32"/>
        </w:rPr>
        <w:t>　　16．负责本行业、领域的应急管理工作，对本行业、领域的安全生产工作实施监督管理。</w:t>
      </w:r>
    </w:p>
    <w:p>
      <w:pPr>
        <w:pStyle w:val="9"/>
        <w:spacing w:beforeAutospacing="0" w:afterAutospacing="0" w:line="530" w:lineRule="exact"/>
        <w:rPr>
          <w:rFonts w:eastAsia="仿宋_GB2312"/>
          <w:sz w:val="32"/>
          <w:szCs w:val="32"/>
        </w:rPr>
      </w:pPr>
      <w:r>
        <w:rPr>
          <w:rFonts w:eastAsia="仿宋_GB2312"/>
          <w:sz w:val="32"/>
          <w:szCs w:val="32"/>
        </w:rPr>
        <w:t>　　17．完成市委、市政府交办的其他任务。</w:t>
      </w:r>
    </w:p>
    <w:p>
      <w:pPr>
        <w:pStyle w:val="9"/>
        <w:spacing w:beforeAutospacing="0" w:afterAutospacing="0" w:line="530" w:lineRule="exact"/>
        <w:ind w:firstLine="642" w:firstLineChars="200"/>
        <w:rPr>
          <w:rFonts w:eastAsia="楷体_GB2312"/>
          <w:b/>
          <w:bCs/>
          <w:color w:val="000000"/>
          <w:sz w:val="32"/>
          <w:szCs w:val="32"/>
        </w:rPr>
      </w:pPr>
      <w:r>
        <w:rPr>
          <w:rStyle w:val="13"/>
          <w:rFonts w:hAnsi="楷体_GB2312" w:eastAsia="楷体_GB2312"/>
          <w:sz w:val="32"/>
          <w:szCs w:val="32"/>
          <w:shd w:val="clear" w:color="auto" w:fill="FFFFFF"/>
        </w:rPr>
        <w:t>（二）机构</w:t>
      </w:r>
      <w:r>
        <w:rPr>
          <w:rFonts w:hAnsi="楷体_GB2312" w:eastAsia="楷体_GB2312"/>
          <w:b/>
          <w:bCs/>
          <w:color w:val="000000"/>
          <w:sz w:val="32"/>
          <w:szCs w:val="32"/>
        </w:rPr>
        <w:t>情况</w:t>
      </w:r>
    </w:p>
    <w:p>
      <w:pPr>
        <w:pStyle w:val="9"/>
        <w:spacing w:beforeAutospacing="0" w:afterAutospacing="0" w:line="530" w:lineRule="exact"/>
        <w:ind w:firstLine="640" w:firstLineChars="200"/>
        <w:rPr>
          <w:rFonts w:eastAsia="仿宋_GB2312"/>
          <w:color w:val="000000"/>
          <w:sz w:val="32"/>
          <w:szCs w:val="32"/>
        </w:rPr>
      </w:pPr>
      <w:r>
        <w:rPr>
          <w:rFonts w:hAnsi="仿宋_GB2312" w:eastAsia="仿宋_GB2312"/>
          <w:color w:val="000000"/>
          <w:sz w:val="32"/>
          <w:szCs w:val="32"/>
        </w:rPr>
        <w:t>单位内设科</w:t>
      </w:r>
      <w:r>
        <w:rPr>
          <w:rFonts w:hAnsi="仿宋_GB2312" w:eastAsia="仿宋_GB2312"/>
          <w:color w:val="000000"/>
          <w:sz w:val="32"/>
          <w:szCs w:val="32"/>
          <w:highlight w:val="none"/>
        </w:rPr>
        <w:t>室（部门）</w:t>
      </w:r>
      <w:r>
        <w:rPr>
          <w:rFonts w:eastAsia="仿宋_GB2312"/>
          <w:color w:val="000000"/>
          <w:sz w:val="32"/>
          <w:szCs w:val="32"/>
          <w:highlight w:val="none"/>
        </w:rPr>
        <w:t>20</w:t>
      </w:r>
      <w:r>
        <w:rPr>
          <w:rFonts w:hAnsi="仿宋_GB2312" w:eastAsia="仿宋_GB2312"/>
          <w:color w:val="000000"/>
          <w:sz w:val="32"/>
          <w:szCs w:val="32"/>
          <w:highlight w:val="none"/>
        </w:rPr>
        <w:t>个，</w:t>
      </w:r>
      <w:r>
        <w:rPr>
          <w:rFonts w:hint="eastAsia" w:hAnsi="仿宋_GB2312" w:eastAsia="仿宋_GB2312"/>
          <w:color w:val="000000"/>
          <w:sz w:val="32"/>
          <w:szCs w:val="32"/>
          <w:highlight w:val="none"/>
          <w:lang w:eastAsia="zh-CN"/>
        </w:rPr>
        <w:t>管理</w:t>
      </w:r>
      <w:r>
        <w:rPr>
          <w:rFonts w:eastAsia="仿宋_GB2312"/>
          <w:color w:val="000000"/>
          <w:sz w:val="32"/>
          <w:szCs w:val="32"/>
          <w:highlight w:val="none"/>
        </w:rPr>
        <w:t>2</w:t>
      </w:r>
      <w:r>
        <w:rPr>
          <w:rFonts w:hAnsi="仿宋_GB2312" w:eastAsia="仿宋_GB2312"/>
          <w:color w:val="000000"/>
          <w:sz w:val="32"/>
          <w:szCs w:val="32"/>
          <w:highlight w:val="none"/>
        </w:rPr>
        <w:t>个正处级单位（</w:t>
      </w:r>
      <w:r>
        <w:rPr>
          <w:rFonts w:eastAsia="仿宋_GB2312"/>
          <w:sz w:val="32"/>
          <w:szCs w:val="32"/>
          <w:highlight w:val="none"/>
        </w:rPr>
        <w:t>衡州监狱、市强戒所</w:t>
      </w:r>
      <w:r>
        <w:rPr>
          <w:rFonts w:hAnsi="仿宋_GB2312" w:eastAsia="仿宋_GB2312"/>
          <w:color w:val="000000"/>
          <w:sz w:val="32"/>
          <w:szCs w:val="32"/>
          <w:highlight w:val="none"/>
        </w:rPr>
        <w:t>）</w:t>
      </w:r>
      <w:r>
        <w:rPr>
          <w:rFonts w:hint="eastAsia" w:hAnsi="仿宋_GB2312" w:eastAsia="仿宋_GB2312"/>
          <w:color w:val="000000"/>
          <w:sz w:val="32"/>
          <w:szCs w:val="32"/>
          <w:highlight w:val="none"/>
          <w:lang w:eastAsia="zh-CN"/>
        </w:rPr>
        <w:t>、下设</w:t>
      </w:r>
      <w:r>
        <w:rPr>
          <w:rFonts w:eastAsia="仿宋_GB2312"/>
          <w:color w:val="000000"/>
          <w:sz w:val="32"/>
          <w:szCs w:val="32"/>
          <w:highlight w:val="none"/>
        </w:rPr>
        <w:t>1</w:t>
      </w:r>
      <w:r>
        <w:rPr>
          <w:rFonts w:hAnsi="仿宋_GB2312" w:eastAsia="仿宋_GB2312"/>
          <w:color w:val="000000"/>
          <w:sz w:val="32"/>
          <w:szCs w:val="32"/>
          <w:highlight w:val="none"/>
        </w:rPr>
        <w:t>个副处级单位（</w:t>
      </w:r>
      <w:r>
        <w:rPr>
          <w:rFonts w:eastAsia="仿宋_GB2312"/>
          <w:sz w:val="32"/>
          <w:szCs w:val="32"/>
          <w:highlight w:val="none"/>
        </w:rPr>
        <w:t>雁城公证处</w:t>
      </w:r>
      <w:r>
        <w:rPr>
          <w:rFonts w:hAnsi="仿宋_GB2312" w:eastAsia="仿宋_GB2312"/>
          <w:color w:val="000000"/>
          <w:sz w:val="32"/>
          <w:szCs w:val="32"/>
          <w:highlight w:val="none"/>
        </w:rPr>
        <w:t>）、</w:t>
      </w:r>
      <w:r>
        <w:rPr>
          <w:rFonts w:eastAsia="仿宋_GB2312"/>
          <w:color w:val="000000"/>
          <w:sz w:val="32"/>
          <w:szCs w:val="32"/>
          <w:highlight w:val="none"/>
        </w:rPr>
        <w:t>6</w:t>
      </w:r>
      <w:r>
        <w:rPr>
          <w:rFonts w:hAnsi="仿宋_GB2312" w:eastAsia="仿宋_GB2312"/>
          <w:color w:val="000000"/>
          <w:sz w:val="32"/>
          <w:szCs w:val="32"/>
          <w:highlight w:val="none"/>
        </w:rPr>
        <w:t>个正科级单位（</w:t>
      </w:r>
      <w:r>
        <w:rPr>
          <w:rFonts w:eastAsia="仿宋_GB2312"/>
          <w:sz w:val="32"/>
          <w:szCs w:val="32"/>
          <w:highlight w:val="none"/>
        </w:rPr>
        <w:t>市法律援助中</w:t>
      </w:r>
      <w:r>
        <w:rPr>
          <w:rFonts w:eastAsia="仿宋_GB2312"/>
          <w:sz w:val="32"/>
          <w:szCs w:val="32"/>
        </w:rPr>
        <w:t>心、市医疗纠纷调解中心、市法律顾问室、市司法干部培训中心、衡州公证处、市仲裁委员会秘书处</w:t>
      </w:r>
      <w:r>
        <w:rPr>
          <w:rFonts w:hAnsi="仿宋_GB2312" w:eastAsia="仿宋_GB2312"/>
          <w:color w:val="000000"/>
          <w:sz w:val="32"/>
          <w:szCs w:val="32"/>
        </w:rPr>
        <w:t>），其中</w:t>
      </w:r>
      <w:r>
        <w:rPr>
          <w:rFonts w:eastAsia="仿宋_GB2312"/>
          <w:sz w:val="32"/>
          <w:szCs w:val="32"/>
        </w:rPr>
        <w:t>市法律援助中心、市医疗纠纷调解中心、市法律顾问室财务未独立，在局机关统一核算。</w:t>
      </w:r>
    </w:p>
    <w:p>
      <w:pPr>
        <w:pStyle w:val="9"/>
        <w:numPr>
          <w:ilvl w:val="0"/>
          <w:numId w:val="2"/>
        </w:numPr>
        <w:shd w:val="clear" w:color="auto" w:fill="FFFFFF"/>
        <w:spacing w:beforeAutospacing="0" w:afterAutospacing="0" w:line="530" w:lineRule="exact"/>
        <w:ind w:firstLine="642" w:firstLineChars="200"/>
        <w:rPr>
          <w:rFonts w:eastAsia="楷体_GB2312"/>
          <w:b/>
          <w:bCs/>
          <w:color w:val="000000"/>
          <w:sz w:val="32"/>
          <w:szCs w:val="32"/>
        </w:rPr>
      </w:pPr>
      <w:r>
        <w:rPr>
          <w:rStyle w:val="13"/>
          <w:rFonts w:hAnsi="楷体_GB2312" w:eastAsia="楷体_GB2312"/>
          <w:sz w:val="32"/>
          <w:szCs w:val="32"/>
          <w:shd w:val="clear" w:color="auto" w:fill="FFFFFF"/>
        </w:rPr>
        <w:t>人员</w:t>
      </w:r>
      <w:r>
        <w:rPr>
          <w:rFonts w:hAnsi="楷体_GB2312" w:eastAsia="楷体_GB2312"/>
          <w:b/>
          <w:bCs/>
          <w:color w:val="000000"/>
          <w:sz w:val="32"/>
          <w:szCs w:val="32"/>
        </w:rPr>
        <w:t>情况</w:t>
      </w:r>
    </w:p>
    <w:p>
      <w:pPr>
        <w:spacing w:line="530" w:lineRule="exact"/>
        <w:ind w:firstLine="640" w:firstLineChars="200"/>
        <w:rPr>
          <w:rFonts w:eastAsia="仿宋_GB2312"/>
          <w:sz w:val="32"/>
          <w:szCs w:val="32"/>
        </w:rPr>
      </w:pPr>
      <w:r>
        <w:rPr>
          <w:rFonts w:hAnsi="仿宋_GB2312" w:eastAsia="仿宋_GB2312"/>
          <w:sz w:val="32"/>
          <w:szCs w:val="32"/>
        </w:rPr>
        <w:t>单位编制数</w:t>
      </w:r>
      <w:r>
        <w:rPr>
          <w:rFonts w:eastAsia="仿宋_GB2312"/>
          <w:sz w:val="32"/>
          <w:szCs w:val="32"/>
        </w:rPr>
        <w:t>99</w:t>
      </w:r>
      <w:r>
        <w:rPr>
          <w:rFonts w:hAnsi="仿宋_GB2312" w:eastAsia="仿宋_GB2312"/>
          <w:sz w:val="32"/>
          <w:szCs w:val="32"/>
        </w:rPr>
        <w:t>个（其中机关行政编制</w:t>
      </w:r>
      <w:r>
        <w:rPr>
          <w:rFonts w:eastAsia="仿宋_GB2312"/>
          <w:sz w:val="32"/>
          <w:szCs w:val="32"/>
        </w:rPr>
        <w:t>85</w:t>
      </w:r>
      <w:r>
        <w:rPr>
          <w:rFonts w:hAnsi="仿宋_GB2312" w:eastAsia="仿宋_GB2312"/>
          <w:sz w:val="32"/>
          <w:szCs w:val="32"/>
        </w:rPr>
        <w:t>个、机关后勤编制</w:t>
      </w:r>
      <w:r>
        <w:rPr>
          <w:rFonts w:eastAsia="仿宋_GB2312"/>
          <w:sz w:val="32"/>
          <w:szCs w:val="32"/>
        </w:rPr>
        <w:t>4</w:t>
      </w:r>
      <w:r>
        <w:rPr>
          <w:rFonts w:hAnsi="仿宋_GB2312" w:eastAsia="仿宋_GB2312"/>
          <w:sz w:val="32"/>
          <w:szCs w:val="32"/>
        </w:rPr>
        <w:t>个、市医疗纠纷调解中心和市法律顾问室各</w:t>
      </w:r>
      <w:r>
        <w:rPr>
          <w:rFonts w:eastAsia="仿宋_GB2312"/>
          <w:sz w:val="32"/>
          <w:szCs w:val="32"/>
        </w:rPr>
        <w:t>5</w:t>
      </w:r>
      <w:r>
        <w:rPr>
          <w:rFonts w:hAnsi="仿宋_GB2312" w:eastAsia="仿宋_GB2312"/>
          <w:sz w:val="32"/>
          <w:szCs w:val="32"/>
        </w:rPr>
        <w:t>个事业编制），实际在职人数</w:t>
      </w:r>
      <w:r>
        <w:rPr>
          <w:rFonts w:eastAsia="仿宋_GB2312"/>
          <w:sz w:val="32"/>
          <w:szCs w:val="32"/>
        </w:rPr>
        <w:t>89</w:t>
      </w:r>
      <w:r>
        <w:rPr>
          <w:rFonts w:hAnsi="仿宋_GB2312" w:eastAsia="仿宋_GB2312"/>
          <w:sz w:val="32"/>
          <w:szCs w:val="32"/>
        </w:rPr>
        <w:t>人，退休人员</w:t>
      </w:r>
      <w:r>
        <w:rPr>
          <w:rFonts w:eastAsia="仿宋_GB2312"/>
          <w:sz w:val="32"/>
          <w:szCs w:val="32"/>
        </w:rPr>
        <w:t>76</w:t>
      </w:r>
      <w:r>
        <w:rPr>
          <w:rFonts w:hAnsi="仿宋_GB2312" w:eastAsia="仿宋_GB2312"/>
          <w:sz w:val="32"/>
          <w:szCs w:val="32"/>
        </w:rPr>
        <w:t>人。</w:t>
      </w:r>
    </w:p>
    <w:p>
      <w:pPr>
        <w:spacing w:line="530" w:lineRule="exact"/>
        <w:ind w:firstLine="642" w:firstLineChars="200"/>
        <w:outlineLvl w:val="1"/>
        <w:rPr>
          <w:rFonts w:eastAsia="楷体_GB2312"/>
          <w:b/>
          <w:bCs/>
          <w:sz w:val="32"/>
          <w:szCs w:val="32"/>
        </w:rPr>
      </w:pPr>
      <w:r>
        <w:rPr>
          <w:rFonts w:hAnsi="楷体_GB2312" w:eastAsia="楷体_GB2312"/>
          <w:b/>
          <w:bCs/>
          <w:sz w:val="32"/>
          <w:szCs w:val="32"/>
        </w:rPr>
        <w:t>（四）年初预算绩效目标设定情况</w:t>
      </w:r>
      <w:bookmarkEnd w:id="20"/>
      <w:bookmarkEnd w:id="21"/>
      <w:bookmarkEnd w:id="22"/>
      <w:bookmarkEnd w:id="23"/>
    </w:p>
    <w:p>
      <w:pPr>
        <w:spacing w:line="530"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w:t>
      </w:r>
      <w:r>
        <w:rPr>
          <w:rFonts w:eastAsia="仿宋_GB2312"/>
          <w:sz w:val="32"/>
          <w:szCs w:val="32"/>
        </w:rPr>
        <w:t>2019</w:t>
      </w:r>
      <w:r>
        <w:rPr>
          <w:rFonts w:hAnsi="仿宋_GB2312" w:eastAsia="仿宋_GB2312"/>
          <w:sz w:val="32"/>
          <w:szCs w:val="32"/>
        </w:rPr>
        <w:t>年年初我局申报及市财政局审批的绩效目标主要有：推进公共法律服务体系建设，</w:t>
      </w:r>
      <w:r>
        <w:rPr>
          <w:rFonts w:hint="eastAsia" w:hAnsi="仿宋_GB2312" w:eastAsia="仿宋_GB2312"/>
          <w:sz w:val="32"/>
          <w:szCs w:val="32"/>
          <w:lang w:eastAsia="zh-CN"/>
        </w:rPr>
        <w:t>不断增加公共法律服务补给，提升法律服务水平</w:t>
      </w:r>
      <w:r>
        <w:rPr>
          <w:rFonts w:hAnsi="仿宋_GB2312" w:eastAsia="仿宋_GB2312"/>
          <w:sz w:val="32"/>
          <w:szCs w:val="32"/>
        </w:rPr>
        <w:t>；加大全民普法力度，提升全社会法治信仰；维护社会和谐稳定，为平安衡阳建设提供法治保障；发挥司法行政在经济发展中的服务作用，助力法治</w:t>
      </w:r>
      <w:r>
        <w:rPr>
          <w:rFonts w:hint="eastAsia" w:hAnsi="仿宋_GB2312" w:eastAsia="仿宋_GB2312"/>
          <w:sz w:val="32"/>
          <w:szCs w:val="32"/>
          <w:lang w:eastAsia="zh-CN"/>
        </w:rPr>
        <w:t>政府</w:t>
      </w:r>
      <w:r>
        <w:rPr>
          <w:rFonts w:hAnsi="仿宋_GB2312" w:eastAsia="仿宋_GB2312"/>
          <w:sz w:val="32"/>
          <w:szCs w:val="32"/>
        </w:rPr>
        <w:t>建设；创新推进司法改革各项任务落地落实，努力践行司法公正。</w:t>
      </w:r>
    </w:p>
    <w:p>
      <w:pPr>
        <w:spacing w:line="530" w:lineRule="exact"/>
        <w:ind w:firstLine="640" w:firstLineChars="200"/>
        <w:rPr>
          <w:rFonts w:eastAsia="仿宋_GB2312"/>
          <w:sz w:val="32"/>
          <w:szCs w:val="32"/>
        </w:rPr>
      </w:pPr>
      <w:r>
        <w:rPr>
          <w:rFonts w:eastAsia="仿宋_GB2312"/>
          <w:sz w:val="32"/>
          <w:szCs w:val="32"/>
        </w:rPr>
        <w:t>2</w:t>
      </w:r>
      <w:r>
        <w:rPr>
          <w:rFonts w:hAnsi="仿宋_GB2312" w:eastAsia="仿宋_GB2312"/>
          <w:sz w:val="32"/>
          <w:szCs w:val="32"/>
        </w:rPr>
        <w:t>．部门整体支出年度绩效指标</w:t>
      </w:r>
    </w:p>
    <w:p>
      <w:pPr>
        <w:spacing w:line="530" w:lineRule="exact"/>
        <w:ind w:firstLine="640" w:firstLineChars="200"/>
        <w:rPr>
          <w:rFonts w:eastAsia="仿宋_GB2312"/>
          <w:color w:val="C00000"/>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）产出指标：</w:t>
      </w:r>
      <w:r>
        <w:rPr>
          <w:rFonts w:hAnsi="仿宋_GB2312" w:eastAsia="仿宋_GB2312"/>
          <w:kern w:val="0"/>
          <w:sz w:val="32"/>
          <w:szCs w:val="32"/>
        </w:rPr>
        <w:t>法治教育普及率≧</w:t>
      </w:r>
      <w:r>
        <w:rPr>
          <w:rFonts w:eastAsia="仿宋_GB2312"/>
          <w:kern w:val="0"/>
          <w:sz w:val="32"/>
          <w:szCs w:val="32"/>
        </w:rPr>
        <w:t>80%</w:t>
      </w:r>
      <w:r>
        <w:rPr>
          <w:rFonts w:hAnsi="仿宋_GB2312" w:eastAsia="仿宋_GB2312"/>
          <w:kern w:val="0"/>
          <w:sz w:val="32"/>
          <w:szCs w:val="32"/>
        </w:rPr>
        <w:t>；在全市范围内打造市级实体安置帮教平台</w:t>
      </w:r>
      <w:r>
        <w:rPr>
          <w:rFonts w:eastAsia="仿宋_GB2312"/>
          <w:kern w:val="0"/>
          <w:sz w:val="32"/>
          <w:szCs w:val="32"/>
        </w:rPr>
        <w:t>2</w:t>
      </w:r>
      <w:r>
        <w:rPr>
          <w:rFonts w:hAnsi="仿宋_GB2312" w:eastAsia="仿宋_GB2312"/>
          <w:kern w:val="0"/>
          <w:sz w:val="32"/>
          <w:szCs w:val="32"/>
        </w:rPr>
        <w:t>个，县市区平台</w:t>
      </w:r>
      <w:r>
        <w:rPr>
          <w:rFonts w:eastAsia="仿宋_GB2312"/>
          <w:kern w:val="0"/>
          <w:sz w:val="32"/>
          <w:szCs w:val="32"/>
        </w:rPr>
        <w:t>12</w:t>
      </w:r>
      <w:r>
        <w:rPr>
          <w:rFonts w:hAnsi="仿宋_GB2312" w:eastAsia="仿宋_GB2312"/>
          <w:kern w:val="0"/>
          <w:sz w:val="32"/>
          <w:szCs w:val="32"/>
        </w:rPr>
        <w:t>个；</w:t>
      </w:r>
      <w:r>
        <w:rPr>
          <w:rFonts w:hAnsi="仿宋_GB2312" w:eastAsia="仿宋_GB2312"/>
          <w:sz w:val="32"/>
          <w:szCs w:val="32"/>
        </w:rPr>
        <w:t>全市干部普法教育参学率</w:t>
      </w:r>
      <w:r>
        <w:rPr>
          <w:rFonts w:eastAsia="仿宋_GB2312"/>
          <w:sz w:val="32"/>
          <w:szCs w:val="32"/>
        </w:rPr>
        <w:t>100%</w:t>
      </w:r>
      <w:r>
        <w:rPr>
          <w:rFonts w:hAnsi="仿宋_GB2312" w:eastAsia="仿宋_GB2312"/>
          <w:sz w:val="32"/>
          <w:szCs w:val="32"/>
        </w:rPr>
        <w:t>；全市干部普法教育参考率</w:t>
      </w:r>
      <w:r>
        <w:rPr>
          <w:rFonts w:eastAsia="仿宋_GB2312"/>
          <w:sz w:val="32"/>
          <w:szCs w:val="32"/>
        </w:rPr>
        <w:t>99.2%</w:t>
      </w:r>
      <w:r>
        <w:rPr>
          <w:rFonts w:hAnsi="仿宋_GB2312" w:eastAsia="仿宋_GB2312"/>
          <w:sz w:val="32"/>
          <w:szCs w:val="32"/>
        </w:rPr>
        <w:t>；全市干部普法教育及格率</w:t>
      </w:r>
      <w:r>
        <w:rPr>
          <w:rFonts w:eastAsia="仿宋_GB2312"/>
          <w:sz w:val="32"/>
          <w:szCs w:val="32"/>
        </w:rPr>
        <w:t>97.5%</w:t>
      </w:r>
      <w:r>
        <w:rPr>
          <w:rFonts w:hAnsi="仿宋_GB2312" w:eastAsia="仿宋_GB2312"/>
          <w:sz w:val="32"/>
          <w:szCs w:val="32"/>
        </w:rPr>
        <w:t>；公共法律服务体系建设质量为优。</w:t>
      </w:r>
    </w:p>
    <w:p>
      <w:pPr>
        <w:spacing w:line="530" w:lineRule="exact"/>
        <w:ind w:firstLine="640" w:firstLineChars="200"/>
        <w:rPr>
          <w:rFonts w:eastAsia="仿宋_GB2312"/>
          <w:sz w:val="32"/>
          <w:szCs w:val="32"/>
          <w:highlight w:val="none"/>
        </w:rPr>
      </w:pPr>
      <w:r>
        <w:rPr>
          <w:rFonts w:hAnsi="仿宋_GB2312" w:eastAsia="仿宋_GB2312"/>
          <w:sz w:val="32"/>
          <w:szCs w:val="32"/>
        </w:rPr>
        <w:t>（</w:t>
      </w:r>
      <w:r>
        <w:rPr>
          <w:rFonts w:eastAsia="仿宋_GB2312"/>
          <w:sz w:val="32"/>
          <w:szCs w:val="32"/>
        </w:rPr>
        <w:t>2</w:t>
      </w:r>
      <w:r>
        <w:rPr>
          <w:rFonts w:hAnsi="仿宋_GB2312" w:eastAsia="仿宋_GB2312"/>
          <w:sz w:val="32"/>
          <w:szCs w:val="32"/>
        </w:rPr>
        <w:t>）效益指标：建设法治衡阳为推动衡阳经济良性发展营造了良好的氛围，引导了干部群众树立法治观念，提高了</w:t>
      </w:r>
      <w:r>
        <w:rPr>
          <w:rFonts w:hint="eastAsia" w:hAnsi="仿宋_GB2312" w:eastAsia="仿宋_GB2312"/>
          <w:sz w:val="32"/>
          <w:szCs w:val="32"/>
          <w:lang w:eastAsia="zh-CN"/>
        </w:rPr>
        <w:t>民众</w:t>
      </w:r>
      <w:r>
        <w:rPr>
          <w:rFonts w:hAnsi="仿宋_GB2312" w:eastAsia="仿宋_GB2312"/>
          <w:sz w:val="32"/>
          <w:szCs w:val="32"/>
        </w:rPr>
        <w:t>法治意识，为社会发展提供了强有力的法律保障和优质高效的法律服务</w:t>
      </w:r>
      <w:r>
        <w:rPr>
          <w:rFonts w:hint="eastAsia" w:hAnsi="仿宋_GB2312" w:eastAsia="仿宋_GB2312"/>
          <w:sz w:val="32"/>
          <w:szCs w:val="32"/>
          <w:lang w:eastAsia="zh-CN"/>
        </w:rPr>
        <w:t>。以</w:t>
      </w:r>
      <w:r>
        <w:rPr>
          <w:rFonts w:hAnsi="仿宋_GB2312" w:eastAsia="仿宋_GB2312"/>
          <w:sz w:val="32"/>
          <w:szCs w:val="32"/>
        </w:rPr>
        <w:t>法治宣传、舆论引导改</w:t>
      </w:r>
      <w:r>
        <w:rPr>
          <w:rFonts w:hint="eastAsia" w:hAnsi="仿宋_GB2312" w:eastAsia="仿宋_GB2312"/>
          <w:sz w:val="32"/>
          <w:szCs w:val="32"/>
          <w:lang w:eastAsia="zh-CN"/>
        </w:rPr>
        <w:t>善</w:t>
      </w:r>
      <w:r>
        <w:rPr>
          <w:rFonts w:hAnsi="仿宋_GB2312" w:eastAsia="仿宋_GB2312"/>
          <w:sz w:val="32"/>
          <w:szCs w:val="32"/>
        </w:rPr>
        <w:t>了本地政治生态</w:t>
      </w:r>
      <w:r>
        <w:rPr>
          <w:rFonts w:hint="eastAsia" w:hAnsi="仿宋_GB2312" w:eastAsia="仿宋_GB2312"/>
          <w:sz w:val="32"/>
          <w:szCs w:val="32"/>
          <w:lang w:eastAsia="zh-CN"/>
        </w:rPr>
        <w:t>，倡导了廉洁高效作风，</w:t>
      </w:r>
      <w:r>
        <w:rPr>
          <w:rFonts w:hAnsi="仿宋_GB2312" w:eastAsia="仿宋_GB2312"/>
          <w:sz w:val="32"/>
          <w:szCs w:val="32"/>
        </w:rPr>
        <w:t>树立了全</w:t>
      </w:r>
      <w:r>
        <w:rPr>
          <w:rFonts w:hAnsi="仿宋_GB2312" w:eastAsia="仿宋_GB2312"/>
          <w:sz w:val="32"/>
          <w:szCs w:val="32"/>
          <w:highlight w:val="none"/>
        </w:rPr>
        <w:t>面</w:t>
      </w:r>
      <w:r>
        <w:rPr>
          <w:rFonts w:hint="eastAsia" w:hAnsi="仿宋_GB2312" w:eastAsia="仿宋_GB2312"/>
          <w:sz w:val="32"/>
          <w:szCs w:val="32"/>
          <w:highlight w:val="none"/>
          <w:lang w:eastAsia="zh-CN"/>
        </w:rPr>
        <w:t>依法办事</w:t>
      </w:r>
      <w:r>
        <w:rPr>
          <w:rFonts w:hAnsi="仿宋_GB2312" w:eastAsia="仿宋_GB2312"/>
          <w:sz w:val="32"/>
          <w:szCs w:val="32"/>
          <w:highlight w:val="none"/>
        </w:rPr>
        <w:t>的</w:t>
      </w:r>
      <w:r>
        <w:rPr>
          <w:rFonts w:hAnsi="仿宋_GB2312" w:eastAsia="仿宋_GB2312"/>
          <w:sz w:val="32"/>
          <w:szCs w:val="32"/>
        </w:rPr>
        <w:t>政治、社会风气环境；深化了衡阳各项司法行政体制改革，不断提高了司法行政体制运行效率，促进了社会平稳发展；上级主管部门及市委满意度为</w:t>
      </w:r>
      <w:r>
        <w:rPr>
          <w:rFonts w:eastAsia="仿宋_GB2312"/>
          <w:sz w:val="32"/>
          <w:szCs w:val="32"/>
          <w:highlight w:val="none"/>
        </w:rPr>
        <w:t>100%</w:t>
      </w:r>
      <w:r>
        <w:rPr>
          <w:rFonts w:hAnsi="仿宋_GB2312" w:eastAsia="仿宋_GB2312"/>
          <w:sz w:val="32"/>
          <w:szCs w:val="32"/>
          <w:highlight w:val="none"/>
        </w:rPr>
        <w:t>。</w:t>
      </w:r>
    </w:p>
    <w:p>
      <w:pPr>
        <w:pStyle w:val="2"/>
        <w:spacing w:before="0" w:after="0" w:line="530" w:lineRule="exact"/>
        <w:ind w:firstLine="640" w:firstLineChars="200"/>
        <w:jc w:val="both"/>
        <w:rPr>
          <w:szCs w:val="32"/>
        </w:rPr>
      </w:pPr>
      <w:bookmarkStart w:id="24" w:name="_Toc19171"/>
      <w:bookmarkStart w:id="25" w:name="_Toc30095"/>
      <w:r>
        <w:rPr>
          <w:rFonts w:hAnsi="黑体"/>
          <w:szCs w:val="32"/>
        </w:rPr>
        <w:t>二、绩效评价工作情况</w:t>
      </w:r>
      <w:bookmarkEnd w:id="24"/>
      <w:bookmarkEnd w:id="25"/>
    </w:p>
    <w:p>
      <w:pPr>
        <w:spacing w:line="530" w:lineRule="exact"/>
        <w:ind w:firstLine="642" w:firstLineChars="200"/>
        <w:outlineLvl w:val="1"/>
        <w:rPr>
          <w:rFonts w:eastAsia="楷体_GB2312"/>
          <w:b/>
          <w:bCs/>
          <w:sz w:val="32"/>
          <w:szCs w:val="32"/>
        </w:rPr>
      </w:pPr>
      <w:bookmarkStart w:id="26" w:name="_Toc30758"/>
      <w:bookmarkStart w:id="27" w:name="_Toc27291"/>
      <w:r>
        <w:rPr>
          <w:rFonts w:hAnsi="楷体_GB2312" w:eastAsia="楷体_GB2312"/>
          <w:b/>
          <w:bCs/>
          <w:sz w:val="32"/>
          <w:szCs w:val="32"/>
        </w:rPr>
        <w:t>（一）绩效评价目的</w:t>
      </w:r>
      <w:bookmarkEnd w:id="26"/>
      <w:bookmarkEnd w:id="27"/>
    </w:p>
    <w:p>
      <w:pPr>
        <w:spacing w:line="530" w:lineRule="exact"/>
        <w:ind w:firstLine="640" w:firstLineChars="200"/>
        <w:rPr>
          <w:rFonts w:eastAsia="仿宋_GB2312"/>
          <w:sz w:val="32"/>
          <w:szCs w:val="32"/>
        </w:rPr>
      </w:pPr>
      <w:r>
        <w:rPr>
          <w:rFonts w:hAnsi="仿宋_GB2312" w:eastAsia="仿宋_GB2312"/>
          <w:sz w:val="32"/>
          <w:szCs w:val="32"/>
        </w:rPr>
        <w:t>全面分析和综合评价我局</w:t>
      </w:r>
      <w:r>
        <w:rPr>
          <w:rFonts w:eastAsia="仿宋_GB2312"/>
          <w:sz w:val="32"/>
          <w:szCs w:val="32"/>
        </w:rPr>
        <w:t>2019</w:t>
      </w:r>
      <w:r>
        <w:rPr>
          <w:rFonts w:hAnsi="仿宋_GB2312" w:eastAsia="仿宋_GB2312"/>
          <w:sz w:val="32"/>
          <w:szCs w:val="32"/>
        </w:rPr>
        <w:t>年度资金分配、使用、管理情况，切实提高资金的使用效益和管理水平，</w:t>
      </w:r>
      <w:r>
        <w:rPr>
          <w:rFonts w:hAnsi="仿宋_GB2312" w:eastAsia="仿宋_GB2312"/>
          <w:kern w:val="0"/>
          <w:sz w:val="32"/>
          <w:szCs w:val="32"/>
        </w:rPr>
        <w:t>强化部门支出责任，规范资金管理行为，保障部门更好地履行职责。</w:t>
      </w:r>
    </w:p>
    <w:p>
      <w:pPr>
        <w:spacing w:line="530" w:lineRule="exact"/>
        <w:ind w:firstLine="642" w:firstLineChars="200"/>
        <w:outlineLvl w:val="1"/>
        <w:rPr>
          <w:rFonts w:eastAsia="楷体_GB2312"/>
          <w:b/>
          <w:bCs/>
          <w:sz w:val="32"/>
          <w:szCs w:val="32"/>
        </w:rPr>
      </w:pPr>
      <w:bookmarkStart w:id="28" w:name="_Toc26101"/>
      <w:bookmarkStart w:id="29" w:name="_Toc29672"/>
      <w:r>
        <w:rPr>
          <w:rFonts w:hAnsi="楷体_GB2312" w:eastAsia="楷体_GB2312"/>
          <w:b/>
          <w:bCs/>
          <w:sz w:val="32"/>
          <w:szCs w:val="32"/>
        </w:rPr>
        <w:t>（二）绩效评价原则、评价指标体系、评价方法</w:t>
      </w:r>
      <w:bookmarkEnd w:id="28"/>
      <w:bookmarkEnd w:id="29"/>
    </w:p>
    <w:p>
      <w:pPr>
        <w:spacing w:line="530" w:lineRule="exact"/>
        <w:ind w:firstLine="642" w:firstLineChars="200"/>
        <w:rPr>
          <w:rFonts w:eastAsia="仿宋_GB2312"/>
          <w:b/>
          <w:bCs/>
          <w:sz w:val="32"/>
          <w:szCs w:val="32"/>
        </w:rPr>
      </w:pPr>
      <w:bookmarkStart w:id="30" w:name="_Toc27732"/>
      <w:r>
        <w:rPr>
          <w:rFonts w:eastAsia="仿宋_GB2312"/>
          <w:b/>
          <w:bCs/>
          <w:sz w:val="32"/>
          <w:szCs w:val="32"/>
        </w:rPr>
        <w:t>1</w:t>
      </w:r>
      <w:r>
        <w:rPr>
          <w:rFonts w:hAnsi="仿宋_GB2312" w:eastAsia="仿宋_GB2312"/>
          <w:b/>
          <w:bCs/>
          <w:sz w:val="32"/>
          <w:szCs w:val="32"/>
        </w:rPr>
        <w:t>．绩效评价的原则</w:t>
      </w:r>
      <w:bookmarkEnd w:id="30"/>
    </w:p>
    <w:p>
      <w:pPr>
        <w:spacing w:line="53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）科学规范。绩效评价应当严格执行规定的程序，按照科学可行的要求，采用定量与定性分析相结合的方法。</w:t>
      </w:r>
    </w:p>
    <w:p>
      <w:pPr>
        <w:spacing w:line="53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）公正公开。绩效评价应当符合真实、客观、公正的要求，依法公开并接受监督。</w:t>
      </w:r>
    </w:p>
    <w:p>
      <w:pPr>
        <w:spacing w:line="53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）分级分类。绩效评价由财政部门、预算部门根据评价对象的特点分类组织实施。</w:t>
      </w:r>
    </w:p>
    <w:p>
      <w:pPr>
        <w:spacing w:line="53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）绩效相关。绩效评价应当针对具体支出及其产出绩效进行，评价结果应当清晰反映支出和产出绩效之间的紧密对应关系。</w:t>
      </w:r>
    </w:p>
    <w:p>
      <w:pPr>
        <w:spacing w:line="530" w:lineRule="exact"/>
        <w:ind w:firstLine="642" w:firstLineChars="200"/>
        <w:rPr>
          <w:rFonts w:eastAsia="仿宋_GB2312"/>
          <w:b/>
          <w:bCs/>
          <w:sz w:val="32"/>
          <w:szCs w:val="32"/>
        </w:rPr>
      </w:pPr>
      <w:bookmarkStart w:id="31" w:name="_Toc6178"/>
      <w:r>
        <w:rPr>
          <w:rFonts w:eastAsia="仿宋_GB2312"/>
          <w:b/>
          <w:bCs/>
          <w:sz w:val="32"/>
          <w:szCs w:val="32"/>
        </w:rPr>
        <w:t>2</w:t>
      </w:r>
      <w:r>
        <w:rPr>
          <w:rFonts w:hAnsi="仿宋_GB2312" w:eastAsia="仿宋_GB2312"/>
          <w:b/>
          <w:bCs/>
          <w:sz w:val="32"/>
          <w:szCs w:val="32"/>
        </w:rPr>
        <w:t>．评价指标体系</w:t>
      </w:r>
      <w:bookmarkEnd w:id="31"/>
    </w:p>
    <w:p>
      <w:pPr>
        <w:spacing w:line="530" w:lineRule="exact"/>
        <w:ind w:firstLine="640" w:firstLineChars="200"/>
        <w:rPr>
          <w:rFonts w:eastAsia="仿宋_GB2312"/>
          <w:sz w:val="32"/>
          <w:szCs w:val="32"/>
        </w:rPr>
      </w:pPr>
      <w:bookmarkStart w:id="32" w:name="_Toc8040"/>
      <w:r>
        <w:rPr>
          <w:rFonts w:hAnsi="仿宋_GB2312" w:eastAsia="仿宋_GB2312"/>
          <w:sz w:val="32"/>
          <w:szCs w:val="32"/>
        </w:rPr>
        <w:t>指标体系包括共性指标和个性指标两部分，主要参照了财政部制定的《部门整体支出绩效评价体系》、《衡阳市财政局关于开展</w:t>
      </w:r>
      <w:r>
        <w:rPr>
          <w:rFonts w:eastAsia="仿宋_GB2312"/>
          <w:sz w:val="32"/>
          <w:szCs w:val="32"/>
        </w:rPr>
        <w:t>2019</w:t>
      </w:r>
      <w:r>
        <w:rPr>
          <w:rFonts w:hAnsi="仿宋_GB2312" w:eastAsia="仿宋_GB2312"/>
          <w:sz w:val="32"/>
          <w:szCs w:val="32"/>
        </w:rPr>
        <w:t>年度部门整体支出绩效自评工作的通知》（衡财绩〔</w:t>
      </w:r>
      <w:r>
        <w:rPr>
          <w:rFonts w:eastAsia="仿宋_GB2312"/>
          <w:sz w:val="32"/>
          <w:szCs w:val="32"/>
        </w:rPr>
        <w:t>2020</w:t>
      </w:r>
      <w:r>
        <w:rPr>
          <w:rFonts w:hAnsi="仿宋_GB2312" w:eastAsia="仿宋_GB2312"/>
          <w:sz w:val="32"/>
          <w:szCs w:val="32"/>
        </w:rPr>
        <w:t>〕</w:t>
      </w:r>
      <w:r>
        <w:rPr>
          <w:rFonts w:eastAsia="仿宋_GB2312"/>
          <w:sz w:val="32"/>
          <w:szCs w:val="32"/>
        </w:rPr>
        <w:t>139</w:t>
      </w:r>
      <w:r>
        <w:rPr>
          <w:rFonts w:hAnsi="仿宋_GB2312" w:eastAsia="仿宋_GB2312"/>
          <w:sz w:val="32"/>
          <w:szCs w:val="32"/>
        </w:rPr>
        <w:t>号）的相关内容，根据我局具体情况对个性指标进行调整细化，形成</w:t>
      </w:r>
      <w:r>
        <w:rPr>
          <w:rFonts w:eastAsia="仿宋_GB2312"/>
          <w:sz w:val="32"/>
          <w:szCs w:val="32"/>
        </w:rPr>
        <w:t>2019</w:t>
      </w:r>
      <w:r>
        <w:rPr>
          <w:rFonts w:hAnsi="仿宋_GB2312" w:eastAsia="仿宋_GB2312"/>
          <w:sz w:val="32"/>
          <w:szCs w:val="32"/>
        </w:rPr>
        <w:t>年度衡阳市司法局《部门整体绩效评价指标体系》，该体系包括</w:t>
      </w:r>
      <w:r>
        <w:rPr>
          <w:rFonts w:eastAsia="仿宋_GB2312"/>
          <w:sz w:val="32"/>
          <w:szCs w:val="32"/>
        </w:rPr>
        <w:t>4</w:t>
      </w:r>
      <w:r>
        <w:rPr>
          <w:rFonts w:hAnsi="仿宋_GB2312" w:eastAsia="仿宋_GB2312"/>
          <w:sz w:val="32"/>
          <w:szCs w:val="32"/>
        </w:rPr>
        <w:t>项一级指标，</w:t>
      </w:r>
      <w:r>
        <w:rPr>
          <w:rFonts w:eastAsia="仿宋_GB2312"/>
          <w:sz w:val="32"/>
          <w:szCs w:val="32"/>
        </w:rPr>
        <w:t>7</w:t>
      </w:r>
      <w:r>
        <w:rPr>
          <w:rFonts w:hAnsi="仿宋_GB2312" w:eastAsia="仿宋_GB2312"/>
          <w:sz w:val="32"/>
          <w:szCs w:val="32"/>
        </w:rPr>
        <w:t>项二级指标，</w:t>
      </w:r>
      <w:r>
        <w:rPr>
          <w:rFonts w:eastAsia="仿宋_GB2312"/>
          <w:sz w:val="32"/>
          <w:szCs w:val="32"/>
        </w:rPr>
        <w:t>27</w:t>
      </w:r>
      <w:r>
        <w:rPr>
          <w:rFonts w:hAnsi="仿宋_GB2312" w:eastAsia="仿宋_GB2312"/>
          <w:sz w:val="32"/>
          <w:szCs w:val="32"/>
        </w:rPr>
        <w:t>项三级指标，涵盖投入、过程、产出和效果四个方面，满分</w:t>
      </w:r>
      <w:r>
        <w:rPr>
          <w:rFonts w:eastAsia="仿宋_GB2312"/>
          <w:sz w:val="32"/>
          <w:szCs w:val="32"/>
        </w:rPr>
        <w:t>100</w:t>
      </w:r>
      <w:r>
        <w:rPr>
          <w:rFonts w:hAnsi="仿宋_GB2312" w:eastAsia="仿宋_GB2312"/>
          <w:sz w:val="32"/>
          <w:szCs w:val="32"/>
        </w:rPr>
        <w:t>分。</w:t>
      </w:r>
    </w:p>
    <w:p>
      <w:pPr>
        <w:spacing w:line="530" w:lineRule="exact"/>
        <w:ind w:firstLine="640" w:firstLineChars="200"/>
        <w:rPr>
          <w:rFonts w:eastAsia="仿宋_GB2312"/>
          <w:sz w:val="32"/>
          <w:szCs w:val="32"/>
        </w:rPr>
      </w:pPr>
      <w:r>
        <w:rPr>
          <w:rFonts w:hAnsi="仿宋_GB2312" w:eastAsia="仿宋_GB2312"/>
          <w:sz w:val="32"/>
          <w:szCs w:val="32"/>
        </w:rPr>
        <w:t>一是投入（</w:t>
      </w:r>
      <w:r>
        <w:rPr>
          <w:rFonts w:eastAsia="仿宋_GB2312"/>
          <w:sz w:val="32"/>
          <w:szCs w:val="32"/>
        </w:rPr>
        <w:t xml:space="preserve">10 </w:t>
      </w:r>
      <w:r>
        <w:rPr>
          <w:rFonts w:hAnsi="仿宋_GB2312" w:eastAsia="仿宋_GB2312"/>
          <w:sz w:val="32"/>
          <w:szCs w:val="32"/>
        </w:rPr>
        <w:t>分），主要评价目标设定、预算配置落实情况。</w:t>
      </w:r>
    </w:p>
    <w:p>
      <w:pPr>
        <w:spacing w:line="530" w:lineRule="exact"/>
        <w:ind w:firstLine="640" w:firstLineChars="200"/>
        <w:rPr>
          <w:rFonts w:eastAsia="仿宋_GB2312"/>
          <w:sz w:val="32"/>
          <w:szCs w:val="32"/>
        </w:rPr>
      </w:pPr>
      <w:r>
        <w:rPr>
          <w:rFonts w:hAnsi="仿宋_GB2312" w:eastAsia="仿宋_GB2312"/>
          <w:sz w:val="32"/>
          <w:szCs w:val="32"/>
        </w:rPr>
        <w:t>二是过程（</w:t>
      </w:r>
      <w:r>
        <w:rPr>
          <w:rFonts w:eastAsia="仿宋_GB2312"/>
          <w:sz w:val="32"/>
          <w:szCs w:val="32"/>
        </w:rPr>
        <w:t xml:space="preserve">30 </w:t>
      </w:r>
      <w:r>
        <w:rPr>
          <w:rFonts w:hAnsi="仿宋_GB2312" w:eastAsia="仿宋_GB2312"/>
          <w:sz w:val="32"/>
          <w:szCs w:val="32"/>
        </w:rPr>
        <w:t>分），主要评价预算执行、预算管理、资产管理工作的开展情况。</w:t>
      </w:r>
    </w:p>
    <w:p>
      <w:pPr>
        <w:spacing w:line="530" w:lineRule="exact"/>
        <w:ind w:firstLine="640" w:firstLineChars="200"/>
        <w:rPr>
          <w:rFonts w:eastAsia="仿宋_GB2312"/>
          <w:sz w:val="32"/>
          <w:szCs w:val="32"/>
        </w:rPr>
      </w:pPr>
      <w:r>
        <w:rPr>
          <w:rFonts w:hAnsi="仿宋_GB2312" w:eastAsia="仿宋_GB2312"/>
          <w:sz w:val="32"/>
          <w:szCs w:val="32"/>
        </w:rPr>
        <w:t>三是产出（</w:t>
      </w:r>
      <w:r>
        <w:rPr>
          <w:rFonts w:eastAsia="仿宋_GB2312"/>
          <w:sz w:val="32"/>
          <w:szCs w:val="32"/>
        </w:rPr>
        <w:t>30</w:t>
      </w:r>
      <w:r>
        <w:rPr>
          <w:rFonts w:hAnsi="仿宋_GB2312" w:eastAsia="仿宋_GB2312"/>
          <w:sz w:val="32"/>
          <w:szCs w:val="32"/>
        </w:rPr>
        <w:t>分），主要评价职责履行情况。</w:t>
      </w:r>
    </w:p>
    <w:p>
      <w:pPr>
        <w:spacing w:line="530" w:lineRule="exact"/>
        <w:ind w:firstLine="640" w:firstLineChars="200"/>
        <w:rPr>
          <w:rFonts w:eastAsia="仿宋_GB2312"/>
          <w:sz w:val="32"/>
          <w:szCs w:val="32"/>
        </w:rPr>
      </w:pPr>
      <w:r>
        <w:rPr>
          <w:rFonts w:hAnsi="仿宋_GB2312" w:eastAsia="仿宋_GB2312"/>
          <w:sz w:val="32"/>
          <w:szCs w:val="32"/>
        </w:rPr>
        <w:t>四是效果（</w:t>
      </w:r>
      <w:r>
        <w:rPr>
          <w:rFonts w:eastAsia="仿宋_GB2312"/>
          <w:sz w:val="32"/>
          <w:szCs w:val="32"/>
        </w:rPr>
        <w:t>30</w:t>
      </w:r>
      <w:r>
        <w:rPr>
          <w:rFonts w:hAnsi="仿宋_GB2312" w:eastAsia="仿宋_GB2312"/>
          <w:sz w:val="32"/>
          <w:szCs w:val="32"/>
        </w:rPr>
        <w:t>分），主要评价履职效益情况。</w:t>
      </w:r>
    </w:p>
    <w:p>
      <w:pPr>
        <w:spacing w:line="530" w:lineRule="exact"/>
        <w:ind w:firstLine="642" w:firstLineChars="200"/>
        <w:rPr>
          <w:rFonts w:eastAsia="仿宋_GB2312"/>
          <w:b/>
          <w:bCs/>
          <w:sz w:val="32"/>
          <w:szCs w:val="32"/>
        </w:rPr>
      </w:pPr>
      <w:r>
        <w:rPr>
          <w:rFonts w:eastAsia="仿宋_GB2312"/>
          <w:b/>
          <w:bCs/>
          <w:sz w:val="32"/>
          <w:szCs w:val="32"/>
        </w:rPr>
        <w:t>3</w:t>
      </w:r>
      <w:r>
        <w:rPr>
          <w:rFonts w:hAnsi="仿宋_GB2312" w:eastAsia="仿宋_GB2312"/>
          <w:b/>
          <w:bCs/>
          <w:sz w:val="32"/>
          <w:szCs w:val="32"/>
        </w:rPr>
        <w:t>．评价方法</w:t>
      </w:r>
      <w:bookmarkEnd w:id="32"/>
    </w:p>
    <w:p>
      <w:pPr>
        <w:spacing w:line="530" w:lineRule="exact"/>
        <w:ind w:firstLine="640" w:firstLineChars="200"/>
        <w:rPr>
          <w:rFonts w:eastAsia="仿宋_GB2312"/>
          <w:sz w:val="32"/>
          <w:szCs w:val="32"/>
        </w:rPr>
      </w:pPr>
      <w:r>
        <w:rPr>
          <w:rFonts w:hAnsi="仿宋_GB2312" w:eastAsia="仿宋_GB2312"/>
          <w:sz w:val="32"/>
          <w:szCs w:val="32"/>
        </w:rPr>
        <w:t>通过综合分析影响绩效目标实现、实施效果的内外因素，评价绩效目标的实现程度。</w:t>
      </w:r>
    </w:p>
    <w:p>
      <w:pPr>
        <w:spacing w:line="530" w:lineRule="exact"/>
        <w:ind w:firstLine="640" w:firstLineChars="200"/>
        <w:outlineLvl w:val="0"/>
        <w:rPr>
          <w:rFonts w:eastAsia="黑体"/>
          <w:sz w:val="32"/>
          <w:szCs w:val="32"/>
        </w:rPr>
      </w:pPr>
      <w:bookmarkStart w:id="33" w:name="_Toc30647"/>
      <w:bookmarkStart w:id="34" w:name="_Toc31676"/>
      <w:bookmarkStart w:id="35" w:name="_Toc20458"/>
      <w:bookmarkStart w:id="36" w:name="_Toc7069"/>
      <w:r>
        <w:rPr>
          <w:rFonts w:hAnsi="黑体" w:eastAsia="黑体"/>
          <w:sz w:val="32"/>
          <w:szCs w:val="32"/>
        </w:rPr>
        <w:t>三、</w:t>
      </w:r>
      <w:bookmarkEnd w:id="33"/>
      <w:bookmarkEnd w:id="34"/>
      <w:bookmarkEnd w:id="35"/>
      <w:r>
        <w:rPr>
          <w:rFonts w:hAnsi="黑体" w:eastAsia="黑体"/>
          <w:sz w:val="32"/>
          <w:szCs w:val="32"/>
        </w:rPr>
        <w:t>部门整体支出管理及使用情况分析</w:t>
      </w:r>
      <w:bookmarkEnd w:id="36"/>
    </w:p>
    <w:p>
      <w:pPr>
        <w:pStyle w:val="9"/>
        <w:shd w:val="clear" w:color="auto" w:fill="FFFFFF"/>
        <w:spacing w:beforeAutospacing="0" w:afterAutospacing="0" w:line="530" w:lineRule="exact"/>
        <w:ind w:firstLine="640"/>
        <w:jc w:val="both"/>
        <w:rPr>
          <w:rFonts w:eastAsia="仿宋_GB2312"/>
          <w:sz w:val="32"/>
          <w:szCs w:val="32"/>
        </w:rPr>
      </w:pPr>
      <w:bookmarkStart w:id="37" w:name="_Toc32038"/>
      <w:bookmarkStart w:id="38" w:name="_Toc12364"/>
      <w:bookmarkStart w:id="39" w:name="_Toc18261"/>
      <w:bookmarkStart w:id="40" w:name="_Toc3978"/>
      <w:bookmarkStart w:id="41" w:name="_Toc10843"/>
      <w:bookmarkStart w:id="42" w:name="_Toc16630"/>
      <w:r>
        <w:rPr>
          <w:rFonts w:eastAsia="仿宋_GB2312"/>
          <w:sz w:val="32"/>
          <w:szCs w:val="32"/>
          <w:shd w:val="clear" w:color="auto" w:fill="FFFFFF"/>
        </w:rPr>
        <w:t>2019</w:t>
      </w:r>
      <w:r>
        <w:rPr>
          <w:rFonts w:hAnsi="仿宋_GB2312" w:eastAsia="仿宋_GB2312"/>
          <w:sz w:val="32"/>
          <w:szCs w:val="32"/>
          <w:shd w:val="clear" w:color="auto" w:fill="FFFFFF"/>
        </w:rPr>
        <w:t>年收入合计</w:t>
      </w:r>
      <w:r>
        <w:rPr>
          <w:rFonts w:eastAsia="仿宋_GB2312"/>
          <w:sz w:val="32"/>
          <w:szCs w:val="32"/>
          <w:shd w:val="clear" w:color="auto" w:fill="FFFFFF"/>
        </w:rPr>
        <w:t>3500.05</w:t>
      </w:r>
      <w:r>
        <w:rPr>
          <w:rFonts w:hAnsi="仿宋_GB2312" w:eastAsia="仿宋_GB2312"/>
          <w:sz w:val="32"/>
          <w:szCs w:val="32"/>
          <w:shd w:val="clear" w:color="auto" w:fill="FFFFFF"/>
        </w:rPr>
        <w:t>万元，包括：财政拨款收入</w:t>
      </w:r>
      <w:r>
        <w:rPr>
          <w:rFonts w:eastAsia="仿宋_GB2312"/>
          <w:sz w:val="32"/>
          <w:szCs w:val="32"/>
          <w:shd w:val="clear" w:color="auto" w:fill="FFFFFF"/>
        </w:rPr>
        <w:t>3476.9</w:t>
      </w:r>
      <w:r>
        <w:rPr>
          <w:rFonts w:hAnsi="仿宋_GB2312" w:eastAsia="仿宋_GB2312"/>
          <w:sz w:val="32"/>
          <w:szCs w:val="32"/>
          <w:shd w:val="clear" w:color="auto" w:fill="FFFFFF"/>
        </w:rPr>
        <w:t>万元，占总收入的</w:t>
      </w:r>
      <w:r>
        <w:rPr>
          <w:rFonts w:eastAsia="仿宋_GB2312"/>
          <w:sz w:val="32"/>
          <w:szCs w:val="32"/>
          <w:shd w:val="clear" w:color="auto" w:fill="FFFFFF"/>
        </w:rPr>
        <w:t>99.34%</w:t>
      </w:r>
      <w:r>
        <w:rPr>
          <w:rFonts w:hAnsi="仿宋_GB2312" w:eastAsia="仿宋_GB2312"/>
          <w:sz w:val="32"/>
          <w:szCs w:val="32"/>
          <w:shd w:val="clear" w:color="auto" w:fill="FFFFFF"/>
        </w:rPr>
        <w:t>；其他收入</w:t>
      </w:r>
      <w:r>
        <w:rPr>
          <w:rFonts w:eastAsia="仿宋_GB2312"/>
          <w:sz w:val="32"/>
          <w:szCs w:val="32"/>
          <w:shd w:val="clear" w:color="auto" w:fill="FFFFFF"/>
        </w:rPr>
        <w:t>23.15</w:t>
      </w:r>
      <w:r>
        <w:rPr>
          <w:rFonts w:hAnsi="仿宋_GB2312" w:eastAsia="仿宋_GB2312"/>
          <w:sz w:val="32"/>
          <w:szCs w:val="32"/>
          <w:shd w:val="clear" w:color="auto" w:fill="FFFFFF"/>
        </w:rPr>
        <w:t>万元，占总收入的</w:t>
      </w:r>
      <w:r>
        <w:rPr>
          <w:rFonts w:eastAsia="仿宋_GB2312"/>
          <w:sz w:val="32"/>
          <w:szCs w:val="32"/>
          <w:shd w:val="clear" w:color="auto" w:fill="FFFFFF"/>
        </w:rPr>
        <w:t>0.66%</w:t>
      </w:r>
      <w:r>
        <w:rPr>
          <w:rFonts w:hAnsi="仿宋_GB2312" w:eastAsia="仿宋_GB2312"/>
          <w:sz w:val="32"/>
          <w:szCs w:val="32"/>
          <w:shd w:val="clear" w:color="auto" w:fill="FFFFFF"/>
        </w:rPr>
        <w:t>。</w:t>
      </w:r>
    </w:p>
    <w:p>
      <w:pPr>
        <w:pStyle w:val="9"/>
        <w:shd w:val="clear" w:color="auto" w:fill="FFFFFF"/>
        <w:spacing w:beforeAutospacing="0" w:afterAutospacing="0" w:line="530" w:lineRule="exact"/>
        <w:ind w:firstLine="645"/>
        <w:rPr>
          <w:rFonts w:eastAsia="仿宋_GB2312"/>
          <w:sz w:val="32"/>
          <w:szCs w:val="32"/>
          <w:shd w:val="clear" w:color="auto" w:fill="FFFFFF"/>
        </w:rPr>
      </w:pPr>
      <w:r>
        <w:rPr>
          <w:rFonts w:eastAsia="仿宋_GB2312"/>
          <w:sz w:val="32"/>
          <w:szCs w:val="32"/>
          <w:shd w:val="clear" w:color="auto" w:fill="FFFFFF"/>
        </w:rPr>
        <w:t>2019</w:t>
      </w:r>
      <w:r>
        <w:rPr>
          <w:rFonts w:hint="eastAsia" w:eastAsia="仿宋_GB2312"/>
          <w:sz w:val="32"/>
          <w:szCs w:val="32"/>
          <w:shd w:val="clear" w:color="auto" w:fill="FFFFFF"/>
          <w:lang w:eastAsia="zh-CN"/>
        </w:rPr>
        <w:t>年</w:t>
      </w:r>
      <w:r>
        <w:rPr>
          <w:rFonts w:hAnsi="仿宋_GB2312" w:eastAsia="仿宋_GB2312"/>
          <w:sz w:val="32"/>
          <w:szCs w:val="32"/>
          <w:shd w:val="clear" w:color="auto" w:fill="FFFFFF"/>
        </w:rPr>
        <w:t>支出合计</w:t>
      </w:r>
      <w:r>
        <w:rPr>
          <w:rFonts w:eastAsia="仿宋_GB2312"/>
          <w:sz w:val="32"/>
          <w:szCs w:val="32"/>
          <w:shd w:val="clear" w:color="auto" w:fill="FFFFFF"/>
        </w:rPr>
        <w:t>3178.01</w:t>
      </w:r>
      <w:r>
        <w:rPr>
          <w:rFonts w:hAnsi="仿宋_GB2312" w:eastAsia="仿宋_GB2312"/>
          <w:sz w:val="32"/>
          <w:szCs w:val="32"/>
          <w:shd w:val="clear" w:color="auto" w:fill="FFFFFF"/>
        </w:rPr>
        <w:t>万元，包括：基本支出</w:t>
      </w:r>
      <w:r>
        <w:rPr>
          <w:rFonts w:eastAsia="仿宋_GB2312"/>
          <w:sz w:val="32"/>
          <w:szCs w:val="32"/>
          <w:shd w:val="clear" w:color="auto" w:fill="FFFFFF"/>
        </w:rPr>
        <w:t>2214.08</w:t>
      </w:r>
      <w:r>
        <w:rPr>
          <w:rFonts w:hAnsi="仿宋_GB2312" w:eastAsia="仿宋_GB2312"/>
          <w:sz w:val="32"/>
          <w:szCs w:val="32"/>
          <w:shd w:val="clear" w:color="auto" w:fill="FFFFFF"/>
        </w:rPr>
        <w:t>万元，</w:t>
      </w:r>
      <w:r>
        <w:rPr>
          <w:rFonts w:eastAsia="仿宋_GB2312"/>
          <w:sz w:val="32"/>
          <w:szCs w:val="32"/>
        </w:rPr>
        <w:t>占总支出</w:t>
      </w:r>
      <w:r>
        <w:rPr>
          <w:rFonts w:hint="eastAsia" w:eastAsia="仿宋_GB2312"/>
          <w:sz w:val="32"/>
          <w:szCs w:val="32"/>
          <w:lang w:eastAsia="zh-CN"/>
        </w:rPr>
        <w:t>的</w:t>
      </w:r>
      <w:r>
        <w:rPr>
          <w:rFonts w:eastAsia="仿宋_GB2312"/>
          <w:sz w:val="32"/>
          <w:szCs w:val="32"/>
        </w:rPr>
        <w:t>69.67</w:t>
      </w:r>
      <w:r>
        <w:rPr>
          <w:rFonts w:eastAsia="仿宋_GB2312"/>
          <w:sz w:val="32"/>
          <w:szCs w:val="32"/>
          <w:shd w:val="clear" w:color="auto" w:fill="FFFFFF"/>
        </w:rPr>
        <w:t>%；</w:t>
      </w:r>
      <w:r>
        <w:rPr>
          <w:rFonts w:hAnsi="仿宋_GB2312" w:eastAsia="仿宋_GB2312"/>
          <w:sz w:val="32"/>
          <w:szCs w:val="32"/>
          <w:shd w:val="clear" w:color="auto" w:fill="FFFFFF"/>
        </w:rPr>
        <w:t>项目支出</w:t>
      </w:r>
      <w:r>
        <w:rPr>
          <w:rFonts w:eastAsia="仿宋_GB2312"/>
          <w:sz w:val="32"/>
          <w:szCs w:val="32"/>
          <w:shd w:val="clear" w:color="auto" w:fill="FFFFFF"/>
        </w:rPr>
        <w:t>963.93</w:t>
      </w:r>
      <w:r>
        <w:rPr>
          <w:rFonts w:hAnsi="仿宋_GB2312" w:eastAsia="仿宋_GB2312"/>
          <w:sz w:val="32"/>
          <w:szCs w:val="32"/>
          <w:shd w:val="clear" w:color="auto" w:fill="FFFFFF"/>
        </w:rPr>
        <w:t>万元，</w:t>
      </w:r>
      <w:r>
        <w:rPr>
          <w:rFonts w:eastAsia="仿宋_GB2312"/>
          <w:sz w:val="32"/>
          <w:szCs w:val="32"/>
          <w:shd w:val="clear" w:color="auto" w:fill="FFFFFF"/>
        </w:rPr>
        <w:t>占总支出的30.33%</w:t>
      </w:r>
      <w:r>
        <w:rPr>
          <w:rFonts w:eastAsia="仿宋_GB2312"/>
          <w:sz w:val="32"/>
          <w:szCs w:val="32"/>
        </w:rPr>
        <w:t>。</w:t>
      </w:r>
    </w:p>
    <w:p>
      <w:pPr>
        <w:pStyle w:val="9"/>
        <w:numPr>
          <w:ilvl w:val="0"/>
          <w:numId w:val="3"/>
        </w:numPr>
        <w:shd w:val="clear" w:color="auto" w:fill="FFFFFF"/>
        <w:spacing w:beforeAutospacing="0" w:afterAutospacing="0" w:line="530" w:lineRule="exact"/>
        <w:ind w:firstLine="645"/>
        <w:rPr>
          <w:rStyle w:val="13"/>
          <w:rFonts w:eastAsia="楷体_GB2312"/>
          <w:sz w:val="32"/>
          <w:szCs w:val="32"/>
          <w:shd w:val="clear" w:color="auto" w:fill="FFFFFF"/>
        </w:rPr>
      </w:pPr>
      <w:r>
        <w:rPr>
          <w:rStyle w:val="13"/>
          <w:rFonts w:hAnsi="楷体_GB2312" w:eastAsia="楷体_GB2312"/>
          <w:sz w:val="32"/>
          <w:szCs w:val="32"/>
          <w:shd w:val="clear" w:color="auto" w:fill="FFFFFF"/>
        </w:rPr>
        <w:t>基本支出情况</w:t>
      </w:r>
    </w:p>
    <w:p>
      <w:pPr>
        <w:pStyle w:val="9"/>
        <w:shd w:val="clear" w:color="auto" w:fill="FFFFFF"/>
        <w:spacing w:beforeAutospacing="0" w:afterAutospacing="0" w:line="530" w:lineRule="exact"/>
        <w:ind w:firstLine="645"/>
        <w:rPr>
          <w:rFonts w:eastAsia="仿宋_GB2312"/>
          <w:sz w:val="32"/>
          <w:szCs w:val="32"/>
        </w:rPr>
      </w:pPr>
      <w:r>
        <w:rPr>
          <w:rFonts w:eastAsia="仿宋_GB2312"/>
          <w:sz w:val="32"/>
          <w:szCs w:val="32"/>
          <w:shd w:val="clear" w:color="auto" w:fill="FFFFFF"/>
        </w:rPr>
        <w:t>2019</w:t>
      </w:r>
      <w:r>
        <w:rPr>
          <w:rFonts w:hAnsi="仿宋_GB2312" w:eastAsia="仿宋_GB2312"/>
          <w:sz w:val="32"/>
          <w:szCs w:val="32"/>
          <w:shd w:val="clear" w:color="auto" w:fill="FFFFFF"/>
        </w:rPr>
        <w:t>年基本支出</w:t>
      </w:r>
      <w:r>
        <w:rPr>
          <w:rFonts w:eastAsia="仿宋_GB2312"/>
          <w:sz w:val="32"/>
          <w:szCs w:val="32"/>
          <w:shd w:val="clear" w:color="auto" w:fill="FFFFFF"/>
        </w:rPr>
        <w:t>2214.08</w:t>
      </w:r>
      <w:r>
        <w:rPr>
          <w:rFonts w:hAnsi="仿宋_GB2312" w:eastAsia="仿宋_GB2312"/>
          <w:sz w:val="32"/>
          <w:szCs w:val="32"/>
          <w:shd w:val="clear" w:color="auto" w:fill="FFFFFF"/>
        </w:rPr>
        <w:t>万元，包括：人员经费</w:t>
      </w:r>
      <w:r>
        <w:rPr>
          <w:rFonts w:eastAsia="仿宋_GB2312"/>
          <w:sz w:val="32"/>
          <w:szCs w:val="32"/>
          <w:shd w:val="clear" w:color="auto" w:fill="FFFFFF"/>
        </w:rPr>
        <w:t>1880.83</w:t>
      </w:r>
      <w:r>
        <w:rPr>
          <w:rFonts w:hAnsi="仿宋_GB2312" w:eastAsia="仿宋_GB2312"/>
          <w:sz w:val="32"/>
          <w:szCs w:val="32"/>
          <w:shd w:val="clear" w:color="auto" w:fill="FFFFFF"/>
        </w:rPr>
        <w:t>万元，主要用于保障人员工资性支出（包含正常工资支出、养老保险、医疗保险、住房公积金、职业年金缴费等工资性支出）。公用经费支出</w:t>
      </w:r>
      <w:r>
        <w:rPr>
          <w:rFonts w:eastAsia="仿宋_GB2312"/>
          <w:sz w:val="32"/>
          <w:szCs w:val="32"/>
          <w:shd w:val="clear" w:color="auto" w:fill="FFFFFF"/>
        </w:rPr>
        <w:t>333.25</w:t>
      </w:r>
      <w:r>
        <w:rPr>
          <w:rFonts w:hAnsi="仿宋_GB2312" w:eastAsia="仿宋_GB2312"/>
          <w:sz w:val="32"/>
          <w:szCs w:val="32"/>
          <w:shd w:val="clear" w:color="auto" w:fill="FFFFFF"/>
        </w:rPr>
        <w:t>万元，主要用于保障本单位正常运转。</w:t>
      </w:r>
    </w:p>
    <w:p>
      <w:pPr>
        <w:pStyle w:val="9"/>
        <w:shd w:val="clear" w:color="auto" w:fill="FFFFFF"/>
        <w:spacing w:beforeAutospacing="0" w:afterAutospacing="0" w:line="530" w:lineRule="exact"/>
        <w:ind w:firstLine="645"/>
        <w:rPr>
          <w:rFonts w:eastAsia="楷体_GB2312"/>
          <w:color w:val="C00000"/>
          <w:sz w:val="32"/>
          <w:szCs w:val="32"/>
        </w:rPr>
      </w:pPr>
      <w:r>
        <w:rPr>
          <w:rStyle w:val="13"/>
          <w:rFonts w:hAnsi="楷体_GB2312" w:eastAsia="楷体_GB2312"/>
          <w:sz w:val="32"/>
          <w:szCs w:val="32"/>
          <w:shd w:val="clear" w:color="auto" w:fill="FFFFFF"/>
        </w:rPr>
        <w:t>（二）项目支出情况</w:t>
      </w:r>
    </w:p>
    <w:p>
      <w:pPr>
        <w:spacing w:line="530" w:lineRule="exact"/>
        <w:ind w:firstLine="640" w:firstLineChars="200"/>
        <w:rPr>
          <w:rFonts w:eastAsia="仿宋_GB2312"/>
          <w:sz w:val="32"/>
          <w:szCs w:val="32"/>
        </w:rPr>
      </w:pPr>
      <w:r>
        <w:rPr>
          <w:rFonts w:eastAsia="仿宋_GB2312"/>
          <w:sz w:val="32"/>
          <w:szCs w:val="32"/>
          <w:shd w:val="clear" w:color="auto" w:fill="FFFFFF"/>
        </w:rPr>
        <w:t>2019</w:t>
      </w:r>
      <w:r>
        <w:rPr>
          <w:rFonts w:hAnsi="仿宋_GB2312" w:eastAsia="仿宋_GB2312"/>
          <w:sz w:val="32"/>
          <w:szCs w:val="32"/>
          <w:shd w:val="clear" w:color="auto" w:fill="FFFFFF"/>
        </w:rPr>
        <w:t>年项目支出</w:t>
      </w:r>
      <w:r>
        <w:rPr>
          <w:rFonts w:eastAsia="仿宋_GB2312"/>
          <w:sz w:val="32"/>
          <w:szCs w:val="32"/>
          <w:shd w:val="clear" w:color="auto" w:fill="FFFFFF"/>
        </w:rPr>
        <w:t>963.93</w:t>
      </w:r>
      <w:r>
        <w:rPr>
          <w:rFonts w:hAnsi="仿宋_GB2312" w:eastAsia="仿宋_GB2312"/>
          <w:sz w:val="32"/>
          <w:szCs w:val="32"/>
          <w:shd w:val="clear" w:color="auto" w:fill="FFFFFF"/>
        </w:rPr>
        <w:t>万元，包括：普法宣传</w:t>
      </w:r>
      <w:r>
        <w:rPr>
          <w:rFonts w:eastAsia="仿宋_GB2312"/>
          <w:sz w:val="32"/>
          <w:szCs w:val="32"/>
          <w:shd w:val="clear" w:color="auto" w:fill="FFFFFF"/>
        </w:rPr>
        <w:t>278.57</w:t>
      </w:r>
      <w:r>
        <w:rPr>
          <w:rFonts w:hAnsi="仿宋_GB2312" w:eastAsia="仿宋_GB2312"/>
          <w:sz w:val="32"/>
          <w:szCs w:val="32"/>
          <w:shd w:val="clear" w:color="auto" w:fill="FFFFFF"/>
        </w:rPr>
        <w:t>万元、法律援助</w:t>
      </w:r>
      <w:r>
        <w:rPr>
          <w:rFonts w:eastAsia="仿宋_GB2312"/>
          <w:sz w:val="32"/>
          <w:szCs w:val="32"/>
          <w:shd w:val="clear" w:color="auto" w:fill="FFFFFF"/>
        </w:rPr>
        <w:t>20</w:t>
      </w:r>
      <w:r>
        <w:rPr>
          <w:rFonts w:hAnsi="仿宋_GB2312" w:eastAsia="仿宋_GB2312"/>
          <w:sz w:val="32"/>
          <w:szCs w:val="32"/>
          <w:shd w:val="clear" w:color="auto" w:fill="FFFFFF"/>
        </w:rPr>
        <w:t>万元、基层司法业务</w:t>
      </w:r>
      <w:r>
        <w:rPr>
          <w:rFonts w:eastAsia="仿宋_GB2312"/>
          <w:sz w:val="32"/>
          <w:szCs w:val="32"/>
          <w:shd w:val="clear" w:color="auto" w:fill="FFFFFF"/>
        </w:rPr>
        <w:t>80</w:t>
      </w:r>
      <w:r>
        <w:rPr>
          <w:rFonts w:hAnsi="仿宋_GB2312" w:eastAsia="仿宋_GB2312"/>
          <w:sz w:val="32"/>
          <w:szCs w:val="32"/>
          <w:shd w:val="clear" w:color="auto" w:fill="FFFFFF"/>
        </w:rPr>
        <w:t>万元、法制建设</w:t>
      </w:r>
      <w:r>
        <w:rPr>
          <w:rFonts w:eastAsia="仿宋_GB2312"/>
          <w:sz w:val="32"/>
          <w:szCs w:val="32"/>
          <w:shd w:val="clear" w:color="auto" w:fill="FFFFFF"/>
        </w:rPr>
        <w:t>139.4</w:t>
      </w:r>
      <w:r>
        <w:rPr>
          <w:rFonts w:hAnsi="仿宋_GB2312" w:eastAsia="仿宋_GB2312"/>
          <w:sz w:val="32"/>
          <w:szCs w:val="32"/>
          <w:shd w:val="clear" w:color="auto" w:fill="FFFFFF"/>
        </w:rPr>
        <w:t>万元、一般行政管理事务</w:t>
      </w:r>
      <w:r>
        <w:rPr>
          <w:rFonts w:eastAsia="仿宋_GB2312"/>
          <w:sz w:val="32"/>
          <w:szCs w:val="32"/>
          <w:shd w:val="clear" w:color="auto" w:fill="FFFFFF"/>
        </w:rPr>
        <w:t>258.96</w:t>
      </w:r>
      <w:r>
        <w:rPr>
          <w:rFonts w:hAnsi="仿宋_GB2312" w:eastAsia="仿宋_GB2312"/>
          <w:sz w:val="32"/>
          <w:szCs w:val="32"/>
          <w:shd w:val="clear" w:color="auto" w:fill="FFFFFF"/>
        </w:rPr>
        <w:t>万元、其他司法支出</w:t>
      </w:r>
      <w:r>
        <w:rPr>
          <w:rFonts w:eastAsia="仿宋_GB2312"/>
          <w:sz w:val="32"/>
          <w:szCs w:val="32"/>
          <w:shd w:val="clear" w:color="auto" w:fill="FFFFFF"/>
        </w:rPr>
        <w:t>187</w:t>
      </w:r>
      <w:r>
        <w:rPr>
          <w:rFonts w:hAnsi="仿宋_GB2312" w:eastAsia="仿宋_GB2312"/>
          <w:sz w:val="32"/>
          <w:szCs w:val="32"/>
          <w:shd w:val="clear" w:color="auto" w:fill="FFFFFF"/>
        </w:rPr>
        <w:t>万元。主要用于</w:t>
      </w:r>
      <w:r>
        <w:rPr>
          <w:rFonts w:hAnsi="仿宋_GB2312" w:eastAsia="仿宋_GB2312"/>
          <w:color w:val="000000"/>
          <w:sz w:val="32"/>
          <w:szCs w:val="32"/>
          <w:shd w:val="clear" w:color="auto" w:fill="FFFFFF"/>
        </w:rPr>
        <w:t>全面提升普法依法治理工作水平，</w:t>
      </w:r>
      <w:r>
        <w:rPr>
          <w:rFonts w:hAnsi="仿宋_GB2312" w:eastAsia="仿宋_GB2312"/>
          <w:sz w:val="32"/>
          <w:szCs w:val="32"/>
        </w:rPr>
        <w:t>建设全市行政执法监督、智慧社矫、市司法行政指挥中心三合一信息化综合平台，推进公共法律服务体系建设，加强政府合同、会议纪要、领导批示件的法治审查把关，开展好行政复议及应诉、</w:t>
      </w:r>
      <w:r>
        <w:rPr>
          <w:rFonts w:hAnsi="仿宋_GB2312" w:eastAsia="仿宋_GB2312"/>
          <w:kern w:val="0"/>
          <w:sz w:val="32"/>
          <w:szCs w:val="32"/>
        </w:rPr>
        <w:t>为困难群众提供免费法律援助服务、</w:t>
      </w:r>
      <w:r>
        <w:rPr>
          <w:rFonts w:hAnsi="仿宋_GB2312" w:eastAsia="仿宋_GB2312"/>
          <w:sz w:val="32"/>
          <w:szCs w:val="32"/>
        </w:rPr>
        <w:t>提供医疗纠纷第三方调解服务等方面工作。</w:t>
      </w:r>
    </w:p>
    <w:bookmarkEnd w:id="37"/>
    <w:bookmarkEnd w:id="38"/>
    <w:bookmarkEnd w:id="39"/>
    <w:bookmarkEnd w:id="40"/>
    <w:bookmarkEnd w:id="41"/>
    <w:bookmarkEnd w:id="42"/>
    <w:p>
      <w:pPr>
        <w:pStyle w:val="9"/>
        <w:spacing w:beforeAutospacing="0" w:afterAutospacing="0" w:line="530" w:lineRule="exact"/>
        <w:ind w:firstLine="645"/>
        <w:rPr>
          <w:rFonts w:eastAsia="楷体_GB2312"/>
          <w:b/>
          <w:bCs/>
          <w:sz w:val="32"/>
          <w:szCs w:val="32"/>
        </w:rPr>
      </w:pPr>
      <w:bookmarkStart w:id="43" w:name="_Toc2954"/>
      <w:bookmarkStart w:id="44" w:name="_Toc26008"/>
      <w:r>
        <w:rPr>
          <w:rFonts w:hAnsi="楷体_GB2312" w:eastAsia="楷体_GB2312"/>
          <w:b/>
          <w:bCs/>
          <w:sz w:val="32"/>
          <w:szCs w:val="32"/>
        </w:rPr>
        <w:t>（三）</w:t>
      </w:r>
      <w:bookmarkEnd w:id="43"/>
      <w:bookmarkEnd w:id="44"/>
      <w:bookmarkStart w:id="45" w:name="_Toc10737"/>
      <w:bookmarkStart w:id="46" w:name="_Toc3637"/>
      <w:bookmarkStart w:id="47" w:name="_Toc16318"/>
      <w:r>
        <w:rPr>
          <w:rFonts w:hAnsi="楷体_GB2312" w:eastAsia="楷体_GB2312"/>
          <w:b/>
          <w:bCs/>
          <w:sz w:val="32"/>
          <w:szCs w:val="32"/>
        </w:rPr>
        <w:t>部门整体支出与管理情况</w:t>
      </w:r>
      <w:bookmarkEnd w:id="45"/>
    </w:p>
    <w:p>
      <w:pPr>
        <w:spacing w:line="530" w:lineRule="exact"/>
        <w:ind w:firstLine="642" w:firstLineChars="200"/>
        <w:rPr>
          <w:rFonts w:eastAsia="仿宋_GB2312"/>
          <w:b/>
          <w:bCs/>
          <w:sz w:val="32"/>
          <w:szCs w:val="32"/>
        </w:rPr>
      </w:pPr>
      <w:bookmarkStart w:id="48" w:name="_Toc25716"/>
      <w:r>
        <w:rPr>
          <w:rFonts w:eastAsia="仿宋_GB2312"/>
          <w:b/>
          <w:bCs/>
          <w:sz w:val="32"/>
          <w:szCs w:val="32"/>
        </w:rPr>
        <w:t>1</w:t>
      </w:r>
      <w:bookmarkEnd w:id="48"/>
      <w:bookmarkStart w:id="49" w:name="_Toc24572"/>
      <w:r>
        <w:rPr>
          <w:rFonts w:hAnsi="仿宋_GB2312" w:eastAsia="仿宋_GB2312"/>
          <w:b/>
          <w:bCs/>
          <w:sz w:val="32"/>
          <w:szCs w:val="32"/>
        </w:rPr>
        <w:t>．部门整体支出管理情况</w:t>
      </w:r>
      <w:bookmarkEnd w:id="49"/>
    </w:p>
    <w:p>
      <w:pPr>
        <w:spacing w:line="530" w:lineRule="exact"/>
        <w:ind w:firstLine="640" w:firstLineChars="200"/>
        <w:rPr>
          <w:rFonts w:eastAsia="仿宋_GB2312"/>
          <w:sz w:val="32"/>
          <w:szCs w:val="32"/>
        </w:rPr>
      </w:pPr>
      <w:r>
        <w:rPr>
          <w:rFonts w:hAnsi="仿宋_GB2312" w:eastAsia="仿宋_GB2312"/>
          <w:sz w:val="32"/>
          <w:szCs w:val="32"/>
        </w:rPr>
        <w:t>为规范和加强收入、支出、资产等</w:t>
      </w:r>
      <w:r>
        <w:rPr>
          <w:rFonts w:hint="eastAsia" w:hAnsi="仿宋_GB2312" w:eastAsia="仿宋_GB2312"/>
          <w:sz w:val="32"/>
          <w:szCs w:val="32"/>
          <w:lang w:eastAsia="zh-CN"/>
        </w:rPr>
        <w:t>方面</w:t>
      </w:r>
      <w:r>
        <w:rPr>
          <w:rFonts w:hAnsi="仿宋_GB2312" w:eastAsia="仿宋_GB2312"/>
          <w:sz w:val="32"/>
          <w:szCs w:val="32"/>
        </w:rPr>
        <w:t>管理，我局</w:t>
      </w:r>
      <w:r>
        <w:rPr>
          <w:rFonts w:eastAsia="仿宋_GB2312"/>
          <w:sz w:val="32"/>
          <w:szCs w:val="32"/>
        </w:rPr>
        <w:t>重新修订了《衡阳市司法局财务管理办法》，</w:t>
      </w:r>
      <w:r>
        <w:rPr>
          <w:rFonts w:hAnsi="仿宋_GB2312" w:eastAsia="仿宋_GB2312"/>
          <w:sz w:val="32"/>
          <w:szCs w:val="32"/>
        </w:rPr>
        <w:t>规范了资金使用范围和用途，明确了各项费用报销内容及范围、程序及标准、审批权限等，</w:t>
      </w:r>
      <w:r>
        <w:rPr>
          <w:rFonts w:eastAsia="仿宋_GB2312"/>
          <w:sz w:val="32"/>
          <w:szCs w:val="32"/>
        </w:rPr>
        <w:t>进一步规范了各项资金的使用，提高了资金使用效益，杜绝了浪费。</w:t>
      </w:r>
    </w:p>
    <w:p>
      <w:pPr>
        <w:tabs>
          <w:tab w:val="left" w:pos="6735"/>
        </w:tabs>
        <w:spacing w:line="530" w:lineRule="exact"/>
        <w:ind w:firstLine="642" w:firstLineChars="200"/>
        <w:jc w:val="left"/>
        <w:rPr>
          <w:rFonts w:eastAsia="仿宋"/>
          <w:sz w:val="32"/>
          <w:szCs w:val="32"/>
        </w:rPr>
      </w:pPr>
      <w:bookmarkStart w:id="50" w:name="_Toc7322"/>
      <w:r>
        <w:rPr>
          <w:rFonts w:eastAsia="仿宋_GB2312"/>
          <w:b/>
          <w:bCs/>
          <w:sz w:val="32"/>
          <w:szCs w:val="32"/>
        </w:rPr>
        <w:t>2．</w:t>
      </w:r>
      <w:r>
        <w:rPr>
          <w:rFonts w:hAnsi="仿宋" w:eastAsia="仿宋"/>
          <w:b/>
          <w:bCs/>
          <w:sz w:val="32"/>
          <w:szCs w:val="32"/>
        </w:rPr>
        <w:t>项目管理情况</w:t>
      </w:r>
      <w:r>
        <w:rPr>
          <w:rFonts w:eastAsia="仿宋"/>
          <w:b/>
          <w:bCs/>
          <w:sz w:val="32"/>
          <w:szCs w:val="32"/>
        </w:rPr>
        <w:t xml:space="preserve">  </w:t>
      </w:r>
    </w:p>
    <w:p>
      <w:pPr>
        <w:spacing w:line="530" w:lineRule="exact"/>
        <w:ind w:firstLine="640" w:firstLineChars="200"/>
        <w:rPr>
          <w:rFonts w:eastAsia="仿宋_GB2312"/>
          <w:sz w:val="32"/>
          <w:szCs w:val="32"/>
        </w:rPr>
      </w:pPr>
      <w:r>
        <w:rPr>
          <w:rFonts w:eastAsia="仿宋_GB2312"/>
          <w:sz w:val="32"/>
          <w:szCs w:val="32"/>
        </w:rPr>
        <w:t>为加强对预算资金的绩效评价，提高财政资金的使用效益，我局对本单位的专项资金进行了合理预算安排</w:t>
      </w:r>
      <w:r>
        <w:rPr>
          <w:rFonts w:hint="eastAsia" w:eastAsia="仿宋_GB2312"/>
          <w:sz w:val="32"/>
          <w:szCs w:val="32"/>
          <w:lang w:eastAsia="zh-CN"/>
        </w:rPr>
        <w:t>。项目管理</w:t>
      </w:r>
      <w:r>
        <w:rPr>
          <w:rFonts w:eastAsia="仿宋_GB2312"/>
          <w:sz w:val="32"/>
          <w:szCs w:val="32"/>
        </w:rPr>
        <w:t>遵循严格控制、规划使用、适当调整原则，对项目管理职责、申报与组织实施、项目资金的管理、监督检查与验收等进行了规定，明确</w:t>
      </w:r>
      <w:r>
        <w:rPr>
          <w:rFonts w:hint="eastAsia" w:eastAsia="仿宋_GB2312"/>
          <w:sz w:val="32"/>
          <w:szCs w:val="32"/>
          <w:lang w:eastAsia="zh-CN"/>
        </w:rPr>
        <w:t>了</w:t>
      </w:r>
      <w:r>
        <w:rPr>
          <w:rFonts w:eastAsia="仿宋_GB2312"/>
          <w:sz w:val="32"/>
          <w:szCs w:val="32"/>
        </w:rPr>
        <w:t>工作职责、确定</w:t>
      </w:r>
      <w:r>
        <w:rPr>
          <w:rFonts w:hint="eastAsia" w:eastAsia="仿宋_GB2312"/>
          <w:sz w:val="32"/>
          <w:szCs w:val="32"/>
          <w:lang w:eastAsia="zh-CN"/>
        </w:rPr>
        <w:t>了</w:t>
      </w:r>
      <w:r>
        <w:rPr>
          <w:rFonts w:eastAsia="仿宋_GB2312"/>
          <w:sz w:val="32"/>
          <w:szCs w:val="32"/>
        </w:rPr>
        <w:t>责任部门，保证项目支出能够严格按照制度、规定进行。</w:t>
      </w:r>
    </w:p>
    <w:bookmarkEnd w:id="46"/>
    <w:bookmarkEnd w:id="47"/>
    <w:bookmarkEnd w:id="50"/>
    <w:p>
      <w:pPr>
        <w:pStyle w:val="9"/>
        <w:shd w:val="clear" w:color="auto" w:fill="FFFFFF"/>
        <w:spacing w:beforeAutospacing="0" w:afterAutospacing="0" w:line="530" w:lineRule="exact"/>
        <w:ind w:firstLine="640" w:firstLineChars="200"/>
        <w:rPr>
          <w:rFonts w:eastAsia="微软雅黑"/>
          <w:sz w:val="32"/>
          <w:szCs w:val="32"/>
        </w:rPr>
      </w:pPr>
      <w:r>
        <w:rPr>
          <w:rFonts w:eastAsia="黑体"/>
          <w:sz w:val="32"/>
          <w:szCs w:val="32"/>
          <w:shd w:val="clear" w:color="auto" w:fill="FFFFFF"/>
        </w:rPr>
        <w:t>四、评价情况分析及综合评价结论</w:t>
      </w:r>
    </w:p>
    <w:p>
      <w:pPr>
        <w:pStyle w:val="9"/>
        <w:shd w:val="clear" w:color="auto" w:fill="FFFFFF"/>
        <w:spacing w:beforeAutospacing="0" w:afterAutospacing="0" w:line="530" w:lineRule="exact"/>
        <w:ind w:firstLine="645"/>
        <w:rPr>
          <w:rFonts w:eastAsia="仿宋_GB2312"/>
          <w:sz w:val="32"/>
          <w:szCs w:val="32"/>
        </w:rPr>
      </w:pPr>
      <w:r>
        <w:rPr>
          <w:rFonts w:eastAsia="仿宋_GB2312"/>
          <w:sz w:val="32"/>
          <w:szCs w:val="32"/>
          <w:shd w:val="clear" w:color="auto" w:fill="FFFFFF"/>
        </w:rPr>
        <w:t>2019</w:t>
      </w:r>
      <w:r>
        <w:rPr>
          <w:rFonts w:hAnsi="仿宋_GB2312" w:eastAsia="仿宋_GB2312"/>
          <w:sz w:val="32"/>
          <w:szCs w:val="32"/>
          <w:shd w:val="clear" w:color="auto" w:fill="FFFFFF"/>
        </w:rPr>
        <w:t>年单位整体支出绩效综合评价得分</w:t>
      </w:r>
      <w:r>
        <w:rPr>
          <w:rFonts w:eastAsia="仿宋_GB2312"/>
          <w:sz w:val="32"/>
          <w:szCs w:val="32"/>
          <w:shd w:val="clear" w:color="auto" w:fill="FFFFFF"/>
        </w:rPr>
        <w:t>93</w:t>
      </w:r>
      <w:r>
        <w:rPr>
          <w:rFonts w:hAnsi="仿宋_GB2312" w:eastAsia="仿宋_GB2312"/>
          <w:sz w:val="32"/>
          <w:szCs w:val="32"/>
          <w:shd w:val="clear" w:color="auto" w:fill="FFFFFF"/>
        </w:rPr>
        <w:t>分，自评等级为</w:t>
      </w:r>
      <w:r>
        <w:rPr>
          <w:rFonts w:eastAsia="仿宋_GB2312"/>
          <w:sz w:val="32"/>
          <w:szCs w:val="32"/>
          <w:shd w:val="clear" w:color="auto" w:fill="FFFFFF"/>
        </w:rPr>
        <w:t>“</w:t>
      </w:r>
      <w:r>
        <w:rPr>
          <w:rFonts w:hAnsi="仿宋_GB2312" w:eastAsia="仿宋_GB2312"/>
          <w:sz w:val="32"/>
          <w:szCs w:val="32"/>
          <w:shd w:val="clear" w:color="auto" w:fill="FFFFFF"/>
        </w:rPr>
        <w:t>优</w:t>
      </w:r>
      <w:r>
        <w:rPr>
          <w:rFonts w:eastAsia="仿宋_GB2312"/>
          <w:sz w:val="32"/>
          <w:szCs w:val="32"/>
          <w:shd w:val="clear" w:color="auto" w:fill="FFFFFF"/>
        </w:rPr>
        <w:t>”</w:t>
      </w:r>
      <w:r>
        <w:rPr>
          <w:rFonts w:hAnsi="仿宋_GB2312" w:eastAsia="仿宋_GB2312"/>
          <w:sz w:val="32"/>
          <w:szCs w:val="32"/>
          <w:shd w:val="clear" w:color="auto" w:fill="FFFFFF"/>
        </w:rPr>
        <w:t>。根据综合评价结果来看，</w:t>
      </w:r>
      <w:r>
        <w:rPr>
          <w:rFonts w:eastAsia="仿宋_GB2312"/>
          <w:sz w:val="32"/>
          <w:szCs w:val="32"/>
          <w:shd w:val="clear" w:color="auto" w:fill="FFFFFF"/>
        </w:rPr>
        <w:t> 2019</w:t>
      </w:r>
      <w:r>
        <w:rPr>
          <w:rFonts w:hAnsi="仿宋_GB2312" w:eastAsia="仿宋_GB2312"/>
          <w:sz w:val="32"/>
          <w:szCs w:val="32"/>
          <w:shd w:val="clear" w:color="auto" w:fill="FFFFFF"/>
        </w:rPr>
        <w:t>年我局在市委、市政府的正确领导下、在上级业务部门的关心指导下，坚持稳中求进的工作总基调，以提高发展质量和效益为中心，主动适应经济发展新常态，全力抓统筹、保重点、重协调、强监管，各项工作有序推进，取得了明显成效。</w:t>
      </w:r>
    </w:p>
    <w:p>
      <w:pPr>
        <w:spacing w:line="530" w:lineRule="exact"/>
        <w:ind w:firstLine="640" w:firstLineChars="200"/>
        <w:rPr>
          <w:rFonts w:eastAsia="黑体"/>
          <w:kern w:val="0"/>
          <w:sz w:val="32"/>
          <w:szCs w:val="32"/>
        </w:rPr>
      </w:pPr>
      <w:r>
        <w:rPr>
          <w:rFonts w:hAnsi="黑体" w:eastAsia="黑体"/>
          <w:kern w:val="0"/>
          <w:sz w:val="32"/>
          <w:szCs w:val="32"/>
        </w:rPr>
        <w:t>五、存在的主要问题</w:t>
      </w:r>
    </w:p>
    <w:p>
      <w:pPr>
        <w:pStyle w:val="9"/>
        <w:spacing w:beforeAutospacing="0" w:afterAutospacing="0" w:line="530" w:lineRule="exact"/>
        <w:ind w:firstLine="640" w:firstLineChars="200"/>
        <w:jc w:val="both"/>
        <w:rPr>
          <w:rFonts w:eastAsia="仿宋_GB2312"/>
          <w:sz w:val="32"/>
          <w:szCs w:val="32"/>
          <w:shd w:val="clear" w:color="auto" w:fill="FFFFFF"/>
        </w:rPr>
      </w:pPr>
      <w:r>
        <w:rPr>
          <w:rFonts w:hAnsi="仿宋_GB2312" w:eastAsia="仿宋_GB2312"/>
          <w:sz w:val="32"/>
          <w:szCs w:val="32"/>
        </w:rPr>
        <w:t>（一）</w:t>
      </w:r>
      <w:r>
        <w:rPr>
          <w:rFonts w:hAnsi="仿宋_GB2312" w:eastAsia="仿宋_GB2312"/>
          <w:sz w:val="32"/>
          <w:szCs w:val="32"/>
          <w:shd w:val="clear" w:color="auto" w:fill="FFFFFF"/>
        </w:rPr>
        <w:t>在部门整体支出的资金安排和使用上仍有不可预见性，在科学设置预算绩效指标上还需进一步加强，使之更加贴合司法行政工作实际。</w:t>
      </w:r>
    </w:p>
    <w:p>
      <w:pPr>
        <w:pStyle w:val="9"/>
        <w:spacing w:beforeAutospacing="0" w:afterAutospacing="0" w:line="530" w:lineRule="exact"/>
        <w:ind w:firstLine="640" w:firstLineChars="200"/>
        <w:jc w:val="both"/>
        <w:rPr>
          <w:rFonts w:eastAsia="仿宋_GB2312"/>
          <w:sz w:val="32"/>
          <w:szCs w:val="32"/>
        </w:rPr>
      </w:pPr>
      <w:r>
        <w:rPr>
          <w:rFonts w:hAnsi="仿宋_GB2312" w:eastAsia="仿宋_GB2312"/>
          <w:sz w:val="32"/>
          <w:szCs w:val="32"/>
        </w:rPr>
        <w:t>（二）预算业务管理控制还存在不完善、不健全的问题，单位收支业务、资产管理、建设项目、管理控制、合同管理等控制情况没有完全形成体系化、制度化、信息化。</w:t>
      </w:r>
    </w:p>
    <w:p>
      <w:pPr>
        <w:pStyle w:val="9"/>
        <w:spacing w:beforeAutospacing="0" w:afterAutospacing="0" w:line="530" w:lineRule="exact"/>
        <w:ind w:firstLine="640" w:firstLineChars="200"/>
        <w:jc w:val="both"/>
        <w:rPr>
          <w:rFonts w:eastAsia="黑体"/>
          <w:sz w:val="32"/>
          <w:szCs w:val="32"/>
        </w:rPr>
      </w:pPr>
      <w:r>
        <w:rPr>
          <w:rStyle w:val="13"/>
          <w:rFonts w:hAnsi="黑体" w:eastAsia="黑体"/>
          <w:b w:val="0"/>
          <w:bCs w:val="0"/>
          <w:sz w:val="32"/>
          <w:szCs w:val="32"/>
        </w:rPr>
        <w:t>六、改进措施和建议</w:t>
      </w:r>
    </w:p>
    <w:p>
      <w:pPr>
        <w:spacing w:line="530" w:lineRule="exact"/>
        <w:ind w:firstLine="642" w:firstLineChars="200"/>
        <w:rPr>
          <w:rFonts w:eastAsia="仿宋_GB2312"/>
          <w:kern w:val="0"/>
          <w:sz w:val="32"/>
          <w:szCs w:val="32"/>
        </w:rPr>
      </w:pPr>
      <w:r>
        <w:rPr>
          <w:rFonts w:hAnsi="楷体_GB2312" w:eastAsia="楷体_GB2312"/>
          <w:b/>
          <w:bCs/>
          <w:kern w:val="0"/>
          <w:sz w:val="32"/>
          <w:szCs w:val="32"/>
        </w:rPr>
        <w:t>（一）加强预算编制的前瞻性。</w:t>
      </w:r>
      <w:r>
        <w:rPr>
          <w:rFonts w:hAnsi="仿宋_GB2312" w:eastAsia="仿宋_GB2312"/>
          <w:sz w:val="32"/>
          <w:szCs w:val="32"/>
        </w:rPr>
        <w:t>严格按照预算编制的相关制度和要求，</w:t>
      </w:r>
      <w:r>
        <w:rPr>
          <w:rFonts w:hAnsi="仿宋_GB2312" w:eastAsia="仿宋_GB2312"/>
          <w:kern w:val="0"/>
          <w:sz w:val="32"/>
          <w:szCs w:val="32"/>
        </w:rPr>
        <w:t>结合上一年度预算执行情况和本年度预算收支变化因素，科学、合理地编制本年度预算草案，避免项目支出与基本支出划分不准或预算支出与实际执行出现较大偏差的情况，</w:t>
      </w:r>
      <w:r>
        <w:rPr>
          <w:rFonts w:hAnsi="仿宋_GB2312" w:eastAsia="仿宋_GB2312"/>
          <w:sz w:val="32"/>
          <w:szCs w:val="32"/>
        </w:rPr>
        <w:t>进一步提高预算编制的科学性、合理性、严谨性和可控性。</w:t>
      </w:r>
    </w:p>
    <w:p>
      <w:pPr>
        <w:spacing w:line="530" w:lineRule="exact"/>
        <w:ind w:firstLine="642" w:firstLineChars="200"/>
        <w:rPr>
          <w:rFonts w:eastAsia="仿宋"/>
          <w:kern w:val="0"/>
          <w:sz w:val="32"/>
          <w:szCs w:val="32"/>
        </w:rPr>
      </w:pPr>
      <w:r>
        <w:rPr>
          <w:rFonts w:hAnsi="楷体_GB2312" w:eastAsia="楷体_GB2312"/>
          <w:b/>
          <w:bCs/>
          <w:kern w:val="0"/>
          <w:sz w:val="32"/>
          <w:szCs w:val="32"/>
        </w:rPr>
        <w:t>（二）不断规范预算收支工作。</w:t>
      </w:r>
      <w:r>
        <w:rPr>
          <w:rFonts w:hAnsi="仿宋_GB2312" w:eastAsia="仿宋_GB2312"/>
          <w:kern w:val="0"/>
          <w:sz w:val="32"/>
          <w:szCs w:val="32"/>
        </w:rPr>
        <w:t>加强《预算法》《行政单位会计制度》的学习，</w:t>
      </w:r>
      <w:r>
        <w:rPr>
          <w:rFonts w:hAnsi="仿宋_GB2312" w:eastAsia="仿宋_GB2312"/>
          <w:sz w:val="32"/>
          <w:szCs w:val="32"/>
        </w:rPr>
        <w:t>按</w:t>
      </w:r>
      <w:r>
        <w:rPr>
          <w:rFonts w:hAnsi="仿宋_GB2312" w:eastAsia="仿宋_GB2312"/>
          <w:kern w:val="0"/>
          <w:sz w:val="32"/>
          <w:szCs w:val="32"/>
        </w:rPr>
        <w:t>照《政府会计准则制度》的新要求，不断规范部门预算收支核算。</w:t>
      </w:r>
      <w:r>
        <w:rPr>
          <w:rFonts w:hAnsi="仿宋_GB2312" w:eastAsia="仿宋_GB2312"/>
          <w:b/>
          <w:bCs/>
          <w:kern w:val="0"/>
          <w:sz w:val="32"/>
          <w:szCs w:val="32"/>
        </w:rPr>
        <w:t>一是</w:t>
      </w:r>
      <w:r>
        <w:rPr>
          <w:rFonts w:hAnsi="仿宋_GB2312" w:eastAsia="仿宋_GB2312"/>
          <w:kern w:val="0"/>
          <w:sz w:val="32"/>
          <w:szCs w:val="32"/>
        </w:rPr>
        <w:t>要制定和完善基本支出、项目支出等各项支出标准，严格按项目和进度执行预算，增强预算的约束力和严肃性。</w:t>
      </w:r>
      <w:r>
        <w:rPr>
          <w:rFonts w:hAnsi="仿宋_GB2312" w:eastAsia="仿宋_GB2312"/>
          <w:b/>
          <w:bCs/>
          <w:kern w:val="0"/>
          <w:sz w:val="32"/>
          <w:szCs w:val="32"/>
        </w:rPr>
        <w:t>二是</w:t>
      </w:r>
      <w:r>
        <w:rPr>
          <w:rFonts w:hAnsi="仿宋_GB2312" w:eastAsia="仿宋_GB2312"/>
          <w:kern w:val="0"/>
          <w:sz w:val="32"/>
          <w:szCs w:val="32"/>
        </w:rPr>
        <w:t>要落实预算执行分析，及时了解预算执行差异，合理调整、纠正预算执行偏差，切实提高部门预算收支管理水平。</w:t>
      </w:r>
    </w:p>
    <w:p>
      <w:pPr>
        <w:spacing w:line="530" w:lineRule="exact"/>
        <w:ind w:firstLine="645"/>
        <w:jc w:val="left"/>
        <w:rPr>
          <w:rFonts w:eastAsia="黑体"/>
          <w:bCs/>
          <w:sz w:val="32"/>
          <w:szCs w:val="32"/>
        </w:rPr>
      </w:pPr>
      <w:r>
        <w:rPr>
          <w:rFonts w:hAnsi="黑体" w:eastAsia="黑体"/>
          <w:bCs/>
          <w:sz w:val="32"/>
          <w:szCs w:val="32"/>
        </w:rPr>
        <w:t>七、绩效自评结果拟应用和公开情况</w:t>
      </w:r>
    </w:p>
    <w:p>
      <w:pPr>
        <w:spacing w:line="530" w:lineRule="exact"/>
        <w:ind w:firstLine="640" w:firstLineChars="200"/>
        <w:jc w:val="left"/>
        <w:rPr>
          <w:rFonts w:eastAsia="仿宋_GB2312"/>
          <w:sz w:val="32"/>
          <w:szCs w:val="32"/>
        </w:rPr>
      </w:pPr>
      <w:r>
        <w:rPr>
          <w:rFonts w:hAnsi="仿宋_GB2312" w:eastAsia="仿宋_GB2312"/>
          <w:sz w:val="32"/>
          <w:szCs w:val="32"/>
        </w:rPr>
        <w:t>我局对单位</w:t>
      </w:r>
      <w:r>
        <w:rPr>
          <w:rFonts w:eastAsia="仿宋_GB2312"/>
          <w:sz w:val="32"/>
          <w:szCs w:val="32"/>
        </w:rPr>
        <w:t>2019</w:t>
      </w:r>
      <w:r>
        <w:rPr>
          <w:rFonts w:hAnsi="仿宋_GB2312" w:eastAsia="仿宋_GB2312"/>
          <w:sz w:val="32"/>
          <w:szCs w:val="32"/>
        </w:rPr>
        <w:t>年度部门整体绩效进行了全面综合评价，并进行网上公开</w:t>
      </w:r>
      <w:r>
        <w:rPr>
          <w:rFonts w:hint="eastAsia" w:hAnsi="仿宋_GB2312" w:eastAsia="仿宋_GB2312"/>
          <w:sz w:val="32"/>
          <w:szCs w:val="32"/>
          <w:lang w:eastAsia="zh-CN"/>
        </w:rPr>
        <w:t>，</w:t>
      </w:r>
      <w:r>
        <w:rPr>
          <w:rFonts w:hAnsi="仿宋_GB2312" w:eastAsia="仿宋_GB2312"/>
          <w:sz w:val="32"/>
          <w:szCs w:val="32"/>
        </w:rPr>
        <w:t>接受社会监督。</w:t>
      </w:r>
    </w:p>
    <w:p>
      <w:pPr>
        <w:spacing w:line="530" w:lineRule="exact"/>
        <w:jc w:val="left"/>
        <w:rPr>
          <w:rFonts w:eastAsia="仿宋_GB2312"/>
          <w:sz w:val="32"/>
          <w:szCs w:val="32"/>
        </w:rPr>
      </w:pPr>
    </w:p>
    <w:sectPr>
      <w:footerReference r:id="rId3" w:type="default"/>
      <w:pgSz w:w="11906" w:h="16838"/>
      <w:pgMar w:top="1418" w:right="1474" w:bottom="141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08"/>
        <w:tab w:val="clear" w:pos="4153"/>
        <w:tab w:val="clear" w:pos="8306"/>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o5+i1HAIAACkEAAAOAAAAZHJz&#10;L2Uyb0RvYy54bWytU8uO0zAU3SPxD5b3NGlH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6OfotRwCAAAp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AE431"/>
    <w:multiLevelType w:val="singleLevel"/>
    <w:tmpl w:val="B70AE431"/>
    <w:lvl w:ilvl="0" w:tentative="0">
      <w:start w:val="3"/>
      <w:numFmt w:val="chineseCounting"/>
      <w:suff w:val="nothing"/>
      <w:lvlText w:val="（%1）"/>
      <w:lvlJc w:val="left"/>
      <w:rPr>
        <w:rFonts w:hint="eastAsia"/>
      </w:rPr>
    </w:lvl>
  </w:abstractNum>
  <w:abstractNum w:abstractNumId="1">
    <w:nsid w:val="F5780A98"/>
    <w:multiLevelType w:val="singleLevel"/>
    <w:tmpl w:val="F5780A98"/>
    <w:lvl w:ilvl="0" w:tentative="0">
      <w:start w:val="1"/>
      <w:numFmt w:val="chineseCounting"/>
      <w:suff w:val="nothing"/>
      <w:lvlText w:val="（%1）"/>
      <w:lvlJc w:val="left"/>
      <w:rPr>
        <w:rFonts w:hint="eastAsia"/>
      </w:rPr>
    </w:lvl>
  </w:abstractNum>
  <w:abstractNum w:abstractNumId="2">
    <w:nsid w:val="57689562"/>
    <w:multiLevelType w:val="singleLevel"/>
    <w:tmpl w:val="57689562"/>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D3"/>
    <w:rsid w:val="000232DA"/>
    <w:rsid w:val="000A4BA0"/>
    <w:rsid w:val="00234CB9"/>
    <w:rsid w:val="002F7EDF"/>
    <w:rsid w:val="003747B0"/>
    <w:rsid w:val="004B10C5"/>
    <w:rsid w:val="00530D20"/>
    <w:rsid w:val="00650C49"/>
    <w:rsid w:val="00657AD3"/>
    <w:rsid w:val="006B3FE6"/>
    <w:rsid w:val="007C1369"/>
    <w:rsid w:val="008E46A1"/>
    <w:rsid w:val="009C7908"/>
    <w:rsid w:val="00AB2961"/>
    <w:rsid w:val="00AF7D91"/>
    <w:rsid w:val="00DE0F54"/>
    <w:rsid w:val="00FC46EB"/>
    <w:rsid w:val="01727394"/>
    <w:rsid w:val="03096DE5"/>
    <w:rsid w:val="045049BE"/>
    <w:rsid w:val="04621892"/>
    <w:rsid w:val="04C42AFA"/>
    <w:rsid w:val="050760F4"/>
    <w:rsid w:val="0561660B"/>
    <w:rsid w:val="057848B5"/>
    <w:rsid w:val="05EE1BFF"/>
    <w:rsid w:val="06045C5A"/>
    <w:rsid w:val="06737F1A"/>
    <w:rsid w:val="07E42AEE"/>
    <w:rsid w:val="08562D4F"/>
    <w:rsid w:val="08D454D6"/>
    <w:rsid w:val="094206EE"/>
    <w:rsid w:val="0A5F494A"/>
    <w:rsid w:val="0A9053BA"/>
    <w:rsid w:val="0AE73979"/>
    <w:rsid w:val="0B405F82"/>
    <w:rsid w:val="0B8E54F5"/>
    <w:rsid w:val="0C4A64A7"/>
    <w:rsid w:val="0CB4127C"/>
    <w:rsid w:val="0D467F27"/>
    <w:rsid w:val="0D562AC6"/>
    <w:rsid w:val="0E340E24"/>
    <w:rsid w:val="0EB4235A"/>
    <w:rsid w:val="0F0E621B"/>
    <w:rsid w:val="0F57115A"/>
    <w:rsid w:val="0FD6756A"/>
    <w:rsid w:val="108A683E"/>
    <w:rsid w:val="10C10E5C"/>
    <w:rsid w:val="10D915D3"/>
    <w:rsid w:val="11FA5D2C"/>
    <w:rsid w:val="12B94974"/>
    <w:rsid w:val="12F963CC"/>
    <w:rsid w:val="13981C43"/>
    <w:rsid w:val="13BD42AB"/>
    <w:rsid w:val="141A7315"/>
    <w:rsid w:val="14957C74"/>
    <w:rsid w:val="14DB562E"/>
    <w:rsid w:val="1565764E"/>
    <w:rsid w:val="16925263"/>
    <w:rsid w:val="16A527A6"/>
    <w:rsid w:val="16AE1267"/>
    <w:rsid w:val="16F14563"/>
    <w:rsid w:val="17231F3F"/>
    <w:rsid w:val="1744761F"/>
    <w:rsid w:val="18882B99"/>
    <w:rsid w:val="18D36828"/>
    <w:rsid w:val="18FC35AB"/>
    <w:rsid w:val="1B13047A"/>
    <w:rsid w:val="1B221DD8"/>
    <w:rsid w:val="1B974421"/>
    <w:rsid w:val="1BB879DB"/>
    <w:rsid w:val="1C751366"/>
    <w:rsid w:val="1CEE5D53"/>
    <w:rsid w:val="1D891301"/>
    <w:rsid w:val="1DC34C45"/>
    <w:rsid w:val="1F5A3DE4"/>
    <w:rsid w:val="1F816DBE"/>
    <w:rsid w:val="1F8C47AF"/>
    <w:rsid w:val="20CD3CBE"/>
    <w:rsid w:val="21360286"/>
    <w:rsid w:val="2151067D"/>
    <w:rsid w:val="22607A4B"/>
    <w:rsid w:val="2324250F"/>
    <w:rsid w:val="23DC164A"/>
    <w:rsid w:val="240D590A"/>
    <w:rsid w:val="24220670"/>
    <w:rsid w:val="24662AFD"/>
    <w:rsid w:val="24AC4206"/>
    <w:rsid w:val="24D53454"/>
    <w:rsid w:val="25161148"/>
    <w:rsid w:val="255C2103"/>
    <w:rsid w:val="25737B20"/>
    <w:rsid w:val="263C5311"/>
    <w:rsid w:val="2679519B"/>
    <w:rsid w:val="27B973E9"/>
    <w:rsid w:val="28E16636"/>
    <w:rsid w:val="2A544067"/>
    <w:rsid w:val="2A731569"/>
    <w:rsid w:val="2ABC6D39"/>
    <w:rsid w:val="2C5528A6"/>
    <w:rsid w:val="2C6D4488"/>
    <w:rsid w:val="2CCE4F45"/>
    <w:rsid w:val="2D8019C0"/>
    <w:rsid w:val="2E6974F5"/>
    <w:rsid w:val="2E7047D2"/>
    <w:rsid w:val="2EF20019"/>
    <w:rsid w:val="2F2D32C3"/>
    <w:rsid w:val="2FF96286"/>
    <w:rsid w:val="306F446E"/>
    <w:rsid w:val="30F0674D"/>
    <w:rsid w:val="315A251B"/>
    <w:rsid w:val="3211638F"/>
    <w:rsid w:val="329D6053"/>
    <w:rsid w:val="3305046C"/>
    <w:rsid w:val="33683D66"/>
    <w:rsid w:val="33D23A86"/>
    <w:rsid w:val="33F467D2"/>
    <w:rsid w:val="34033D9E"/>
    <w:rsid w:val="344E57A4"/>
    <w:rsid w:val="35306CB1"/>
    <w:rsid w:val="353C52EB"/>
    <w:rsid w:val="364F2814"/>
    <w:rsid w:val="366E0012"/>
    <w:rsid w:val="36703DE4"/>
    <w:rsid w:val="36E2300D"/>
    <w:rsid w:val="376725A6"/>
    <w:rsid w:val="37B27295"/>
    <w:rsid w:val="380C124E"/>
    <w:rsid w:val="38E83BA8"/>
    <w:rsid w:val="38E90C60"/>
    <w:rsid w:val="38E940B4"/>
    <w:rsid w:val="399C4508"/>
    <w:rsid w:val="3BA76726"/>
    <w:rsid w:val="3BDE1B89"/>
    <w:rsid w:val="3C0C5F55"/>
    <w:rsid w:val="3C544250"/>
    <w:rsid w:val="3C7B03B5"/>
    <w:rsid w:val="3CA87EB3"/>
    <w:rsid w:val="3E5B72D4"/>
    <w:rsid w:val="4074020A"/>
    <w:rsid w:val="40CA3A4A"/>
    <w:rsid w:val="41436D7B"/>
    <w:rsid w:val="419436A0"/>
    <w:rsid w:val="42D3192C"/>
    <w:rsid w:val="43260BD9"/>
    <w:rsid w:val="4393752D"/>
    <w:rsid w:val="44003400"/>
    <w:rsid w:val="440576F6"/>
    <w:rsid w:val="44344F85"/>
    <w:rsid w:val="44352445"/>
    <w:rsid w:val="44667C44"/>
    <w:rsid w:val="46286952"/>
    <w:rsid w:val="4632095D"/>
    <w:rsid w:val="4694557A"/>
    <w:rsid w:val="47027F1B"/>
    <w:rsid w:val="479D1796"/>
    <w:rsid w:val="47FC2792"/>
    <w:rsid w:val="480A3620"/>
    <w:rsid w:val="4863615D"/>
    <w:rsid w:val="488946B5"/>
    <w:rsid w:val="48F00971"/>
    <w:rsid w:val="495456C1"/>
    <w:rsid w:val="4971178B"/>
    <w:rsid w:val="49E67C4A"/>
    <w:rsid w:val="49E914DB"/>
    <w:rsid w:val="4A1C4D53"/>
    <w:rsid w:val="4AA159EE"/>
    <w:rsid w:val="4AB12DEE"/>
    <w:rsid w:val="4AD63B7A"/>
    <w:rsid w:val="4B9934B0"/>
    <w:rsid w:val="4BBE6D23"/>
    <w:rsid w:val="4CA164FD"/>
    <w:rsid w:val="4D4D31C3"/>
    <w:rsid w:val="4FAE47CA"/>
    <w:rsid w:val="50EF7A5E"/>
    <w:rsid w:val="52874968"/>
    <w:rsid w:val="52915DE2"/>
    <w:rsid w:val="52B0306C"/>
    <w:rsid w:val="52C70A8B"/>
    <w:rsid w:val="53045887"/>
    <w:rsid w:val="53EC6554"/>
    <w:rsid w:val="54F43C99"/>
    <w:rsid w:val="56560B4C"/>
    <w:rsid w:val="57512934"/>
    <w:rsid w:val="57DF453C"/>
    <w:rsid w:val="580E6340"/>
    <w:rsid w:val="58A80C5D"/>
    <w:rsid w:val="598A31D5"/>
    <w:rsid w:val="59EA6D7B"/>
    <w:rsid w:val="5A164BE0"/>
    <w:rsid w:val="5B2528B0"/>
    <w:rsid w:val="5BE93305"/>
    <w:rsid w:val="5D132C1A"/>
    <w:rsid w:val="5D4D5D98"/>
    <w:rsid w:val="5D8102BA"/>
    <w:rsid w:val="5DAD32EB"/>
    <w:rsid w:val="5F4C01AC"/>
    <w:rsid w:val="60B35F56"/>
    <w:rsid w:val="610D4646"/>
    <w:rsid w:val="61C43137"/>
    <w:rsid w:val="622A7EB2"/>
    <w:rsid w:val="62A045DD"/>
    <w:rsid w:val="64F65D3D"/>
    <w:rsid w:val="65145649"/>
    <w:rsid w:val="65BB7DC7"/>
    <w:rsid w:val="665C39C6"/>
    <w:rsid w:val="677F0F2A"/>
    <w:rsid w:val="690D6C5B"/>
    <w:rsid w:val="695A7401"/>
    <w:rsid w:val="6A2A0C96"/>
    <w:rsid w:val="6B87289F"/>
    <w:rsid w:val="6BE8698B"/>
    <w:rsid w:val="6BFB3BC0"/>
    <w:rsid w:val="6C1D279C"/>
    <w:rsid w:val="6C646FBC"/>
    <w:rsid w:val="6D84406E"/>
    <w:rsid w:val="6E443E50"/>
    <w:rsid w:val="6EBE4E4F"/>
    <w:rsid w:val="6EEA0655"/>
    <w:rsid w:val="6FA847E7"/>
    <w:rsid w:val="6FEB7BA3"/>
    <w:rsid w:val="700603D0"/>
    <w:rsid w:val="712E694B"/>
    <w:rsid w:val="72F7310D"/>
    <w:rsid w:val="731349A4"/>
    <w:rsid w:val="757478C0"/>
    <w:rsid w:val="75D9108B"/>
    <w:rsid w:val="75F1241C"/>
    <w:rsid w:val="77B361AF"/>
    <w:rsid w:val="78CE676A"/>
    <w:rsid w:val="7AA46CDD"/>
    <w:rsid w:val="7B9B4271"/>
    <w:rsid w:val="7C451E77"/>
    <w:rsid w:val="7CEA651C"/>
    <w:rsid w:val="7D411131"/>
    <w:rsid w:val="7E33358B"/>
    <w:rsid w:val="7E5650EA"/>
    <w:rsid w:val="7E5E6B6A"/>
    <w:rsid w:val="7EA116B8"/>
    <w:rsid w:val="7EC738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120" w:after="120" w:line="360" w:lineRule="auto"/>
      <w:jc w:val="left"/>
      <w:outlineLvl w:val="0"/>
    </w:pPr>
    <w:rPr>
      <w:rFonts w:eastAsia="黑体"/>
      <w:bCs/>
      <w:kern w:val="44"/>
      <w:sz w:val="32"/>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ind w:left="120"/>
    </w:pPr>
    <w:rPr>
      <w:rFonts w:ascii="仿宋" w:hAnsi="仿宋" w:eastAsia="仿宋" w:cs="仿宋"/>
      <w:sz w:val="32"/>
      <w:szCs w:val="32"/>
      <w:lang w:val="zh-CN" w:bidi="zh-CN"/>
    </w:rPr>
  </w:style>
  <w:style w:type="paragraph" w:styleId="4">
    <w:name w:val="Balloon Text"/>
    <w:basedOn w:val="1"/>
    <w:link w:val="16"/>
    <w:qFormat/>
    <w:uiPriority w:val="0"/>
    <w:rPr>
      <w:sz w:val="18"/>
      <w:szCs w:val="18"/>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0"/>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customStyle="1" w:styleId="14">
    <w:name w:val="font31"/>
    <w:basedOn w:val="12"/>
    <w:qFormat/>
    <w:uiPriority w:val="0"/>
    <w:rPr>
      <w:rFonts w:hint="eastAsia" w:ascii="宋体" w:hAnsi="宋体" w:eastAsia="宋体" w:cs="宋体"/>
      <w:b/>
      <w:color w:val="FF0000"/>
      <w:sz w:val="21"/>
      <w:szCs w:val="21"/>
      <w:u w:val="none"/>
    </w:rPr>
  </w:style>
  <w:style w:type="character" w:customStyle="1" w:styleId="15">
    <w:name w:val="font61"/>
    <w:basedOn w:val="12"/>
    <w:qFormat/>
    <w:uiPriority w:val="0"/>
    <w:rPr>
      <w:rFonts w:hint="eastAsia" w:ascii="宋体" w:hAnsi="宋体" w:eastAsia="宋体" w:cs="宋体"/>
      <w:b/>
      <w:color w:val="000000"/>
      <w:sz w:val="21"/>
      <w:szCs w:val="21"/>
      <w:u w:val="none"/>
    </w:rPr>
  </w:style>
  <w:style w:type="character" w:customStyle="1" w:styleId="16">
    <w:name w:val="批注框文本 Char"/>
    <w:basedOn w:val="12"/>
    <w:link w:val="4"/>
    <w:qFormat/>
    <w:uiPriority w:val="0"/>
    <w:rPr>
      <w:kern w:val="2"/>
      <w:sz w:val="18"/>
      <w:szCs w:val="18"/>
    </w:rPr>
  </w:style>
  <w:style w:type="paragraph" w:customStyle="1" w:styleId="1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4526</Words>
  <Characters>296</Characters>
  <Lines>2</Lines>
  <Paragraphs>9</Paragraphs>
  <TotalTime>7</TotalTime>
  <ScaleCrop>false</ScaleCrop>
  <LinksUpToDate>false</LinksUpToDate>
  <CharactersWithSpaces>4813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2020-02-26T08:28:00Z</dcterms:created>
  <dc:creator>admin</dc:creator>
  <cp:lastModifiedBy>云云</cp:lastModifiedBy>
  <cp:lastPrinted>2020-09-29T08:39:00Z</cp:lastPrinted>
  <dcterms:modified xsi:type="dcterms:W3CDTF">2021-06-18T15:13:07Z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