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关于市级“三公”经费支出情况的说明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市级一般公共预算安排的行政事业单位“三公”经费支出合计3138.79万元，比预算数6448.11万元减少3309.32万元。其中：公务用车购置及运行费2394.15万元（其中：公务用车购置82.68万元，公务用车运行维护费2311.47万元）， 比预算数减少962.36万元；公务接待费744.64万元，比预算数减少2232.75万元；因公出国（境）经费0万元，比预算数减少114.2万元。“三公”减少主要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是市直部门带头“过紧日子”，严控“三公”开支，加之受疫情影响，部分公务活动没有实施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1283"/>
    <w:rsid w:val="34DA2378"/>
    <w:rsid w:val="4FCF62AE"/>
    <w:rsid w:val="694F1283"/>
    <w:rsid w:val="71A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2021-08-31T08:54:00Z</dcterms:created>
  <dc:creator>Ivey1392696185</dc:creator>
  <cp:lastModifiedBy>Ivey1392696185</cp:lastModifiedBy>
  <dcterms:modified xsi:type="dcterms:W3CDTF">2021-08-31T09:55:35Z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9C486FC475E6469481FAB121EF1AB405</vt:lpwstr>
  </property>
</Properties>
</file>