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kern w:val="0"/>
          <w:sz w:val="36"/>
          <w:szCs w:val="30"/>
        </w:rPr>
      </w:pPr>
    </w:p>
    <w:p>
      <w:pPr>
        <w:jc w:val="center"/>
        <w:rPr>
          <w:rFonts w:eastAsia="黑体"/>
          <w:kern w:val="0"/>
          <w:sz w:val="36"/>
          <w:szCs w:val="30"/>
        </w:rPr>
      </w:pPr>
    </w:p>
    <w:p>
      <w:pPr>
        <w:jc w:val="center"/>
        <w:rPr>
          <w:rFonts w:eastAsia="黑体"/>
          <w:kern w:val="0"/>
          <w:sz w:val="48"/>
          <w:szCs w:val="30"/>
        </w:rPr>
      </w:pPr>
      <w:r>
        <w:rPr>
          <w:rFonts w:eastAsia="黑体"/>
          <w:kern w:val="0"/>
          <w:sz w:val="48"/>
          <w:szCs w:val="30"/>
        </w:rPr>
        <w:t>湖南省人工纯林森林质量提升建设导则</w:t>
      </w: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44"/>
          <w:szCs w:val="30"/>
        </w:rPr>
      </w:pPr>
    </w:p>
    <w:p>
      <w:pPr>
        <w:jc w:val="center"/>
        <w:rPr>
          <w:rFonts w:eastAsia="黑体"/>
          <w:kern w:val="0"/>
          <w:sz w:val="32"/>
          <w:szCs w:val="30"/>
        </w:rPr>
      </w:pPr>
      <w:r>
        <w:rPr>
          <w:rFonts w:eastAsia="黑体"/>
          <w:kern w:val="0"/>
          <w:sz w:val="32"/>
          <w:szCs w:val="30"/>
        </w:rPr>
        <w:t>湖南省</w:t>
      </w:r>
      <w:r>
        <w:rPr>
          <w:rFonts w:hint="eastAsia" w:eastAsia="黑体"/>
          <w:kern w:val="0"/>
          <w:sz w:val="32"/>
          <w:szCs w:val="30"/>
          <w:lang w:eastAsia="zh-CN"/>
        </w:rPr>
        <w:t>林业局</w:t>
      </w:r>
      <w:bookmarkStart w:id="676" w:name="_GoBack"/>
      <w:bookmarkEnd w:id="676"/>
    </w:p>
    <w:p>
      <w:pPr>
        <w:jc w:val="center"/>
        <w:rPr>
          <w:rFonts w:eastAsia="黑体"/>
          <w:kern w:val="0"/>
          <w:sz w:val="30"/>
          <w:szCs w:val="30"/>
        </w:rPr>
        <w:sectPr>
          <w:footerReference r:id="rId3" w:type="default"/>
          <w:pgSz w:w="11906" w:h="16838"/>
          <w:pgMar w:top="1440" w:right="1800" w:bottom="1440" w:left="1800" w:header="851" w:footer="992" w:gutter="0"/>
          <w:cols w:space="425" w:num="1"/>
          <w:docGrid w:type="lines" w:linePitch="326" w:charSpace="0"/>
        </w:sectPr>
      </w:pPr>
      <w:r>
        <w:rPr>
          <w:rFonts w:eastAsia="黑体"/>
          <w:kern w:val="0"/>
          <w:sz w:val="30"/>
          <w:szCs w:val="30"/>
        </w:rPr>
        <w:t>二〇二一年三月</w:t>
      </w:r>
    </w:p>
    <w:p>
      <w:pPr>
        <w:pStyle w:val="11"/>
        <w:spacing w:line="360" w:lineRule="auto"/>
        <w:jc w:val="center"/>
        <w:rPr>
          <w:rFonts w:ascii="Times New Roman"/>
          <w:color w:val="auto"/>
          <w:sz w:val="30"/>
          <w:szCs w:val="30"/>
        </w:rPr>
      </w:pPr>
      <w:r>
        <w:rPr>
          <w:rFonts w:ascii="Times New Roman"/>
          <w:color w:val="auto"/>
          <w:sz w:val="30"/>
          <w:szCs w:val="30"/>
        </w:rPr>
        <w:t>目 录</w:t>
      </w:r>
    </w:p>
    <w:p>
      <w:pPr>
        <w:pStyle w:val="11"/>
        <w:tabs>
          <w:tab w:val="right" w:leader="dot" w:pos="8312"/>
          <w:tab w:val="clear" w:pos="8296"/>
        </w:tabs>
        <w:spacing w:line="400" w:lineRule="exact"/>
        <w:rPr>
          <w:rFonts w:ascii="Times New Roman"/>
          <w:color w:val="auto"/>
        </w:rPr>
      </w:pPr>
      <w:r>
        <w:rPr>
          <w:rFonts w:ascii="Times New Roman" w:eastAsiaTheme="minorEastAsia"/>
          <w:color w:val="auto"/>
          <w:szCs w:val="21"/>
        </w:rPr>
        <w:fldChar w:fldCharType="begin"/>
      </w:r>
      <w:r>
        <w:rPr>
          <w:rFonts w:ascii="Times New Roman" w:eastAsiaTheme="minorEastAsia"/>
          <w:color w:val="auto"/>
          <w:szCs w:val="21"/>
        </w:rPr>
        <w:instrText xml:space="preserve"> TOC \o "1-2" \h \z \u </w:instrText>
      </w:r>
      <w:r>
        <w:rPr>
          <w:rFonts w:ascii="Times New Roman" w:eastAsiaTheme="minorEastAsia"/>
          <w:color w:val="auto"/>
          <w:szCs w:val="21"/>
        </w:rPr>
        <w:fldChar w:fldCharType="separate"/>
      </w:r>
      <w:r>
        <w:fldChar w:fldCharType="begin"/>
      </w:r>
      <w:r>
        <w:instrText xml:space="preserve"> HYPERLINK \l "_Toc32149" </w:instrText>
      </w:r>
      <w:r>
        <w:fldChar w:fldCharType="separate"/>
      </w:r>
      <w:r>
        <w:rPr>
          <w:rFonts w:ascii="Times New Roman"/>
          <w:bCs/>
          <w:color w:val="auto"/>
          <w:szCs w:val="28"/>
        </w:rPr>
        <w:t xml:space="preserve">1 </w:t>
      </w:r>
      <w:r>
        <w:rPr>
          <w:rFonts w:ascii="Times New Roman"/>
          <w:color w:val="auto"/>
          <w:szCs w:val="28"/>
        </w:rPr>
        <w:t>适用范围</w:t>
      </w:r>
      <w:r>
        <w:rPr>
          <w:rFonts w:ascii="Times New Roman"/>
          <w:color w:val="auto"/>
        </w:rPr>
        <w:tab/>
      </w:r>
      <w:r>
        <w:rPr>
          <w:rFonts w:ascii="Times New Roman"/>
          <w:color w:val="auto"/>
        </w:rPr>
        <w:fldChar w:fldCharType="begin"/>
      </w:r>
      <w:r>
        <w:rPr>
          <w:rFonts w:ascii="Times New Roman"/>
          <w:color w:val="auto"/>
        </w:rPr>
        <w:instrText xml:space="preserve"> PAGEREF _Toc32149 \h </w:instrText>
      </w:r>
      <w:r>
        <w:rPr>
          <w:rFonts w:ascii="Times New Roman"/>
          <w:color w:val="auto"/>
        </w:rPr>
        <w:fldChar w:fldCharType="separate"/>
      </w:r>
      <w:r>
        <w:rPr>
          <w:rFonts w:ascii="Times New Roman"/>
          <w:color w:val="auto"/>
        </w:rPr>
        <w:t>1</w:t>
      </w:r>
      <w:r>
        <w:rPr>
          <w:rFonts w:ascii="Times New Roman"/>
          <w:color w:val="auto"/>
        </w:rPr>
        <w:fldChar w:fldCharType="end"/>
      </w:r>
      <w:r>
        <w:rPr>
          <w:rFonts w:ascii="Times New Roman"/>
          <w:color w:val="auto"/>
        </w:rP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"_Toc13980" </w:instrText>
      </w:r>
      <w:r>
        <w:fldChar w:fldCharType="separate"/>
      </w:r>
      <w:r>
        <w:rPr>
          <w:rFonts w:ascii="Times New Roman"/>
          <w:color w:val="auto"/>
          <w:szCs w:val="28"/>
        </w:rPr>
        <w:t>2 规范性引用文件</w:t>
      </w:r>
      <w:r>
        <w:rPr>
          <w:rFonts w:ascii="Times New Roman"/>
          <w:color w:val="auto"/>
        </w:rPr>
        <w:tab/>
      </w:r>
      <w:r>
        <w:rPr>
          <w:rFonts w:ascii="Times New Roman"/>
          <w:color w:val="auto"/>
        </w:rPr>
        <w:fldChar w:fldCharType="begin"/>
      </w:r>
      <w:r>
        <w:rPr>
          <w:rFonts w:ascii="Times New Roman"/>
          <w:color w:val="auto"/>
        </w:rPr>
        <w:instrText xml:space="preserve"> PAGEREF _Toc13980 \h </w:instrText>
      </w:r>
      <w:r>
        <w:rPr>
          <w:rFonts w:ascii="Times New Roman"/>
          <w:color w:val="auto"/>
        </w:rPr>
        <w:fldChar w:fldCharType="separate"/>
      </w:r>
      <w:r>
        <w:rPr>
          <w:rFonts w:ascii="Times New Roman"/>
          <w:color w:val="auto"/>
        </w:rPr>
        <w:t>1</w:t>
      </w:r>
      <w:r>
        <w:rPr>
          <w:rFonts w:ascii="Times New Roman"/>
          <w:color w:val="auto"/>
        </w:rPr>
        <w:fldChar w:fldCharType="end"/>
      </w:r>
      <w:r>
        <w:rPr>
          <w:rFonts w:ascii="Times New Roman"/>
          <w:color w:val="auto"/>
        </w:rP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"_Toc992" </w:instrText>
      </w:r>
      <w:r>
        <w:fldChar w:fldCharType="separate"/>
      </w:r>
      <w:r>
        <w:rPr>
          <w:rFonts w:ascii="Times New Roman"/>
          <w:color w:val="auto"/>
          <w:szCs w:val="28"/>
        </w:rPr>
        <w:t>3 术语和定义</w:t>
      </w:r>
      <w:r>
        <w:rPr>
          <w:rFonts w:ascii="Times New Roman"/>
          <w:color w:val="auto"/>
        </w:rPr>
        <w:tab/>
      </w:r>
      <w:r>
        <w:rPr>
          <w:rFonts w:ascii="Times New Roman"/>
          <w:color w:val="auto"/>
        </w:rPr>
        <w:fldChar w:fldCharType="begin"/>
      </w:r>
      <w:r>
        <w:rPr>
          <w:rFonts w:ascii="Times New Roman"/>
          <w:color w:val="auto"/>
        </w:rPr>
        <w:instrText xml:space="preserve"> PAGEREF _Toc992 \h </w:instrText>
      </w:r>
      <w:r>
        <w:rPr>
          <w:rFonts w:ascii="Times New Roman"/>
          <w:color w:val="auto"/>
        </w:rPr>
        <w:fldChar w:fldCharType="separate"/>
      </w:r>
      <w:r>
        <w:rPr>
          <w:rFonts w:ascii="Times New Roman"/>
          <w:color w:val="auto"/>
        </w:rPr>
        <w:t>1</w:t>
      </w:r>
      <w:r>
        <w:rPr>
          <w:rFonts w:ascii="Times New Roman"/>
          <w:color w:val="auto"/>
        </w:rPr>
        <w:fldChar w:fldCharType="end"/>
      </w:r>
      <w:r>
        <w:rPr>
          <w:rFonts w:ascii="Times New Roman"/>
          <w:color w:val="auto"/>
        </w:rPr>
        <w:fldChar w:fldCharType="end"/>
      </w:r>
    </w:p>
    <w:p>
      <w:pPr>
        <w:pStyle w:val="13"/>
        <w:tabs>
          <w:tab w:val="right" w:leader="dot" w:pos="8312"/>
        </w:tabs>
        <w:spacing w:line="400" w:lineRule="exact"/>
        <w:ind w:left="480"/>
      </w:pPr>
      <w:r>
        <w:fldChar w:fldCharType="begin"/>
      </w:r>
      <w:r>
        <w:instrText xml:space="preserve"> HYPERLINK \l "_Toc16950" </w:instrText>
      </w:r>
      <w:r>
        <w:fldChar w:fldCharType="separate"/>
      </w:r>
      <w:r>
        <w:rPr>
          <w:rFonts w:eastAsia="黑体"/>
        </w:rPr>
        <w:t>3.1 森林质量</w:t>
      </w:r>
      <w:r>
        <w:tab/>
      </w:r>
      <w:r>
        <w:fldChar w:fldCharType="begin"/>
      </w:r>
      <w:r>
        <w:instrText xml:space="preserve"> PAGEREF _Toc16950 \h </w:instrText>
      </w:r>
      <w:r>
        <w:fldChar w:fldCharType="separate"/>
      </w:r>
      <w:r>
        <w:t>1</w:t>
      </w:r>
      <w:r>
        <w:fldChar w:fldCharType="end"/>
      </w:r>
      <w:r>
        <w:fldChar w:fldCharType="end"/>
      </w:r>
    </w:p>
    <w:p>
      <w:pPr>
        <w:pStyle w:val="13"/>
        <w:tabs>
          <w:tab w:val="right" w:leader="dot" w:pos="8312"/>
        </w:tabs>
        <w:spacing w:line="400" w:lineRule="exact"/>
        <w:ind w:left="480"/>
      </w:pPr>
      <w:r>
        <w:fldChar w:fldCharType="begin"/>
      </w:r>
      <w:r>
        <w:instrText xml:space="preserve"> HYPERLINK \l "_Toc10047" </w:instrText>
      </w:r>
      <w:r>
        <w:fldChar w:fldCharType="separate"/>
      </w:r>
      <w:r>
        <w:rPr>
          <w:rFonts w:eastAsia="黑体"/>
        </w:rPr>
        <w:t>3.2 森林质量提升</w:t>
      </w:r>
      <w:r>
        <w:tab/>
      </w:r>
      <w:r>
        <w:fldChar w:fldCharType="begin"/>
      </w:r>
      <w:r>
        <w:instrText xml:space="preserve"> PAGEREF _Toc10047 \h </w:instrText>
      </w:r>
      <w:r>
        <w:fldChar w:fldCharType="separate"/>
      </w:r>
      <w:r>
        <w:t>1</w:t>
      </w:r>
      <w:r>
        <w:fldChar w:fldCharType="end"/>
      </w:r>
      <w:r>
        <w:fldChar w:fldCharType="end"/>
      </w:r>
    </w:p>
    <w:p>
      <w:pPr>
        <w:pStyle w:val="13"/>
        <w:tabs>
          <w:tab w:val="right" w:leader="dot" w:pos="8312"/>
        </w:tabs>
        <w:spacing w:line="400" w:lineRule="exact"/>
        <w:ind w:left="480"/>
      </w:pPr>
      <w:r>
        <w:fldChar w:fldCharType="begin"/>
      </w:r>
      <w:r>
        <w:instrText xml:space="preserve"> HYPERLINK \l "_Toc8373" </w:instrText>
      </w:r>
      <w:r>
        <w:fldChar w:fldCharType="separate"/>
      </w:r>
      <w:r>
        <w:rPr>
          <w:rFonts w:eastAsia="黑体"/>
        </w:rPr>
        <w:t>3.3 间伐</w:t>
      </w:r>
      <w:r>
        <w:tab/>
      </w:r>
      <w:r>
        <w:fldChar w:fldCharType="begin"/>
      </w:r>
      <w:r>
        <w:instrText xml:space="preserve"> PAGEREF _Toc8373 \h </w:instrText>
      </w:r>
      <w:r>
        <w:fldChar w:fldCharType="separate"/>
      </w:r>
      <w:r>
        <w:t>2</w:t>
      </w:r>
      <w:r>
        <w:fldChar w:fldCharType="end"/>
      </w:r>
      <w:r>
        <w:fldChar w:fldCharType="end"/>
      </w:r>
    </w:p>
    <w:p>
      <w:pPr>
        <w:pStyle w:val="13"/>
        <w:tabs>
          <w:tab w:val="right" w:leader="dot" w:pos="8312"/>
        </w:tabs>
        <w:spacing w:line="400" w:lineRule="exact"/>
        <w:ind w:left="480"/>
      </w:pPr>
      <w:r>
        <w:fldChar w:fldCharType="begin"/>
      </w:r>
      <w:r>
        <w:instrText xml:space="preserve"> HYPERLINK \l "_Toc24722" </w:instrText>
      </w:r>
      <w:r>
        <w:fldChar w:fldCharType="separate"/>
      </w:r>
      <w:r>
        <w:rPr>
          <w:rFonts w:eastAsia="黑体"/>
        </w:rPr>
        <w:t>3.4 修枝</w:t>
      </w:r>
      <w:r>
        <w:tab/>
      </w:r>
      <w:r>
        <w:fldChar w:fldCharType="begin"/>
      </w:r>
      <w:r>
        <w:instrText xml:space="preserve"> PAGEREF _Toc24722 \h </w:instrText>
      </w:r>
      <w:r>
        <w:fldChar w:fldCharType="separate"/>
      </w:r>
      <w:r>
        <w:t>2</w:t>
      </w:r>
      <w:r>
        <w:fldChar w:fldCharType="end"/>
      </w:r>
      <w:r>
        <w:fldChar w:fldCharType="end"/>
      </w:r>
    </w:p>
    <w:p>
      <w:pPr>
        <w:pStyle w:val="13"/>
        <w:tabs>
          <w:tab w:val="right" w:leader="dot" w:pos="8312"/>
        </w:tabs>
        <w:spacing w:line="400" w:lineRule="exact"/>
        <w:ind w:left="480"/>
      </w:pPr>
      <w:r>
        <w:fldChar w:fldCharType="begin"/>
      </w:r>
      <w:r>
        <w:instrText xml:space="preserve"> HYPERLINK \l "_Toc27249" </w:instrText>
      </w:r>
      <w:r>
        <w:fldChar w:fldCharType="separate"/>
      </w:r>
      <w:r>
        <w:rPr>
          <w:rFonts w:eastAsia="黑体"/>
        </w:rPr>
        <w:t>3.5 补植</w:t>
      </w:r>
      <w:r>
        <w:tab/>
      </w:r>
      <w:r>
        <w:fldChar w:fldCharType="begin"/>
      </w:r>
      <w:r>
        <w:instrText xml:space="preserve"> PAGEREF _Toc27249 \h </w:instrText>
      </w:r>
      <w:r>
        <w:fldChar w:fldCharType="separate"/>
      </w:r>
      <w:r>
        <w:t>2</w:t>
      </w:r>
      <w:r>
        <w:fldChar w:fldCharType="end"/>
      </w:r>
      <w:r>
        <w:fldChar w:fldCharType="end"/>
      </w:r>
    </w:p>
    <w:p>
      <w:pPr>
        <w:pStyle w:val="13"/>
        <w:tabs>
          <w:tab w:val="right" w:leader="dot" w:pos="8312"/>
        </w:tabs>
        <w:spacing w:line="400" w:lineRule="exact"/>
        <w:ind w:left="480"/>
      </w:pPr>
      <w:r>
        <w:fldChar w:fldCharType="begin"/>
      </w:r>
      <w:r>
        <w:instrText xml:space="preserve"> HYPERLINK \l "_Toc17889" </w:instrText>
      </w:r>
      <w:r>
        <w:fldChar w:fldCharType="separate"/>
      </w:r>
      <w:r>
        <w:rPr>
          <w:rFonts w:eastAsia="黑体"/>
        </w:rPr>
        <w:t>3.6 培蔸</w:t>
      </w:r>
      <w:r>
        <w:tab/>
      </w:r>
      <w:r>
        <w:fldChar w:fldCharType="begin"/>
      </w:r>
      <w:r>
        <w:instrText xml:space="preserve"> PAGEREF _Toc17889 \h </w:instrText>
      </w:r>
      <w:r>
        <w:fldChar w:fldCharType="separate"/>
      </w:r>
      <w:r>
        <w:t>2</w:t>
      </w:r>
      <w:r>
        <w:fldChar w:fldCharType="end"/>
      </w:r>
      <w:r>
        <w:fldChar w:fldCharType="end"/>
      </w:r>
    </w:p>
    <w:p>
      <w:pPr>
        <w:pStyle w:val="13"/>
        <w:tabs>
          <w:tab w:val="right" w:leader="dot" w:pos="8312"/>
        </w:tabs>
        <w:spacing w:line="400" w:lineRule="exact"/>
        <w:ind w:left="480"/>
      </w:pPr>
      <w:r>
        <w:fldChar w:fldCharType="begin"/>
      </w:r>
      <w:r>
        <w:instrText xml:space="preserve"> HYPERLINK \l "_Toc2075" </w:instrText>
      </w:r>
      <w:r>
        <w:fldChar w:fldCharType="separate"/>
      </w:r>
      <w:r>
        <w:rPr>
          <w:rFonts w:eastAsia="黑体"/>
        </w:rPr>
        <w:t>3.7 目标树</w:t>
      </w:r>
      <w:r>
        <w:tab/>
      </w:r>
      <w:r>
        <w:fldChar w:fldCharType="begin"/>
      </w:r>
      <w:r>
        <w:instrText xml:space="preserve"> PAGEREF _Toc2075 \h </w:instrText>
      </w:r>
      <w:r>
        <w:fldChar w:fldCharType="separate"/>
      </w:r>
      <w:r>
        <w:t>2</w:t>
      </w:r>
      <w:r>
        <w:fldChar w:fldCharType="end"/>
      </w:r>
      <w:r>
        <w:fldChar w:fldCharType="end"/>
      </w:r>
    </w:p>
    <w:p>
      <w:pPr>
        <w:pStyle w:val="13"/>
        <w:tabs>
          <w:tab w:val="right" w:leader="dot" w:pos="8312"/>
        </w:tabs>
        <w:spacing w:line="400" w:lineRule="exact"/>
        <w:ind w:left="480"/>
      </w:pPr>
      <w:r>
        <w:fldChar w:fldCharType="begin"/>
      </w:r>
      <w:r>
        <w:instrText xml:space="preserve"> HYPERLINK \l "_Toc17594" </w:instrText>
      </w:r>
      <w:r>
        <w:fldChar w:fldCharType="separate"/>
      </w:r>
      <w:r>
        <w:rPr>
          <w:rFonts w:eastAsia="黑体"/>
        </w:rPr>
        <w:t>3.8 干扰树</w:t>
      </w:r>
      <w:r>
        <w:tab/>
      </w:r>
      <w:r>
        <w:fldChar w:fldCharType="begin"/>
      </w:r>
      <w:r>
        <w:instrText xml:space="preserve"> PAGEREF _Toc17594 \h </w:instrText>
      </w:r>
      <w:r>
        <w:fldChar w:fldCharType="separate"/>
      </w:r>
      <w:r>
        <w:t>2</w:t>
      </w:r>
      <w:r>
        <w:fldChar w:fldCharType="end"/>
      </w:r>
      <w: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"_Toc16935" </w:instrText>
      </w:r>
      <w:r>
        <w:fldChar w:fldCharType="separate"/>
      </w:r>
      <w:r>
        <w:rPr>
          <w:rFonts w:ascii="Times New Roman"/>
          <w:color w:val="auto"/>
          <w:szCs w:val="28"/>
        </w:rPr>
        <w:t>4 指导思想</w:t>
      </w:r>
      <w:r>
        <w:rPr>
          <w:rFonts w:ascii="Times New Roman"/>
          <w:color w:val="auto"/>
        </w:rPr>
        <w:tab/>
      </w:r>
      <w:r>
        <w:rPr>
          <w:rFonts w:ascii="Times New Roman"/>
          <w:color w:val="auto"/>
        </w:rPr>
        <w:fldChar w:fldCharType="begin"/>
      </w:r>
      <w:r>
        <w:rPr>
          <w:rFonts w:ascii="Times New Roman"/>
          <w:color w:val="auto"/>
        </w:rPr>
        <w:instrText xml:space="preserve"> PAGEREF _Toc16935 \h </w:instrText>
      </w:r>
      <w:r>
        <w:rPr>
          <w:rFonts w:ascii="Times New Roman"/>
          <w:color w:val="auto"/>
        </w:rPr>
        <w:fldChar w:fldCharType="separate"/>
      </w:r>
      <w:r>
        <w:rPr>
          <w:rFonts w:ascii="Times New Roman"/>
          <w:color w:val="auto"/>
        </w:rPr>
        <w:t>2</w:t>
      </w:r>
      <w:r>
        <w:rPr>
          <w:rFonts w:ascii="Times New Roman"/>
          <w:color w:val="auto"/>
        </w:rPr>
        <w:fldChar w:fldCharType="end"/>
      </w:r>
      <w:r>
        <w:rPr>
          <w:rFonts w:ascii="Times New Roman"/>
          <w:color w:val="auto"/>
        </w:rP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"_Toc14457" </w:instrText>
      </w:r>
      <w:r>
        <w:fldChar w:fldCharType="separate"/>
      </w:r>
      <w:r>
        <w:rPr>
          <w:rFonts w:ascii="Times New Roman"/>
          <w:color w:val="auto"/>
          <w:szCs w:val="28"/>
        </w:rPr>
        <w:t>5 建设原则与目标</w:t>
      </w:r>
      <w:r>
        <w:rPr>
          <w:rFonts w:ascii="Times New Roman"/>
          <w:color w:val="auto"/>
        </w:rPr>
        <w:tab/>
      </w:r>
      <w:r>
        <w:rPr>
          <w:rFonts w:ascii="Times New Roman"/>
          <w:color w:val="auto"/>
        </w:rPr>
        <w:fldChar w:fldCharType="begin"/>
      </w:r>
      <w:r>
        <w:rPr>
          <w:rFonts w:ascii="Times New Roman"/>
          <w:color w:val="auto"/>
        </w:rPr>
        <w:instrText xml:space="preserve"> PAGEREF _Toc14457 \h </w:instrText>
      </w:r>
      <w:r>
        <w:rPr>
          <w:rFonts w:ascii="Times New Roman"/>
          <w:color w:val="auto"/>
        </w:rPr>
        <w:fldChar w:fldCharType="separate"/>
      </w:r>
      <w:r>
        <w:rPr>
          <w:rFonts w:ascii="Times New Roman"/>
          <w:color w:val="auto"/>
        </w:rPr>
        <w:t>2</w:t>
      </w:r>
      <w:r>
        <w:rPr>
          <w:rFonts w:ascii="Times New Roman"/>
          <w:color w:val="auto"/>
        </w:rPr>
        <w:fldChar w:fldCharType="end"/>
      </w:r>
      <w:r>
        <w:rPr>
          <w:rFonts w:ascii="Times New Roman"/>
          <w:color w:val="auto"/>
        </w:rPr>
        <w:fldChar w:fldCharType="end"/>
      </w:r>
    </w:p>
    <w:p>
      <w:pPr>
        <w:pStyle w:val="13"/>
        <w:tabs>
          <w:tab w:val="right" w:leader="dot" w:pos="8312"/>
        </w:tabs>
        <w:spacing w:line="400" w:lineRule="exact"/>
        <w:ind w:left="480"/>
      </w:pPr>
      <w:r>
        <w:fldChar w:fldCharType="begin"/>
      </w:r>
      <w:r>
        <w:instrText xml:space="preserve"> HYPERLINK \l "_Toc12388" </w:instrText>
      </w:r>
      <w:r>
        <w:fldChar w:fldCharType="separate"/>
      </w:r>
      <w:r>
        <w:rPr>
          <w:rFonts w:eastAsia="黑体"/>
        </w:rPr>
        <w:t>5.1 建设原则</w:t>
      </w:r>
      <w:r>
        <w:tab/>
      </w:r>
      <w:r>
        <w:fldChar w:fldCharType="begin"/>
      </w:r>
      <w:r>
        <w:instrText xml:space="preserve"> PAGEREF _Toc12388 \h </w:instrText>
      </w:r>
      <w:r>
        <w:fldChar w:fldCharType="separate"/>
      </w:r>
      <w:r>
        <w:t>3</w:t>
      </w:r>
      <w:r>
        <w:fldChar w:fldCharType="end"/>
      </w:r>
      <w:r>
        <w:fldChar w:fldCharType="end"/>
      </w:r>
    </w:p>
    <w:p>
      <w:pPr>
        <w:pStyle w:val="13"/>
        <w:tabs>
          <w:tab w:val="right" w:leader="dot" w:pos="8312"/>
        </w:tabs>
        <w:spacing w:line="400" w:lineRule="exact"/>
        <w:ind w:left="480"/>
      </w:pPr>
      <w:r>
        <w:fldChar w:fldCharType="begin"/>
      </w:r>
      <w:r>
        <w:instrText xml:space="preserve"> HYPERLINK \l "_Toc1005" </w:instrText>
      </w:r>
      <w:r>
        <w:fldChar w:fldCharType="separate"/>
      </w:r>
      <w:r>
        <w:rPr>
          <w:rFonts w:eastAsia="黑体"/>
        </w:rPr>
        <w:t>5.2 建设目标</w:t>
      </w:r>
      <w:r>
        <w:tab/>
      </w:r>
      <w:r>
        <w:fldChar w:fldCharType="begin"/>
      </w:r>
      <w:r>
        <w:instrText xml:space="preserve"> PAGEREF _Toc1005 \h </w:instrText>
      </w:r>
      <w:r>
        <w:fldChar w:fldCharType="separate"/>
      </w:r>
      <w:r>
        <w:t>3</w:t>
      </w:r>
      <w:r>
        <w:fldChar w:fldCharType="end"/>
      </w:r>
      <w: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"_Toc13222" </w:instrText>
      </w:r>
      <w:r>
        <w:fldChar w:fldCharType="separate"/>
      </w:r>
      <w:r>
        <w:rPr>
          <w:rFonts w:ascii="Times New Roman"/>
          <w:color w:val="auto"/>
          <w:szCs w:val="28"/>
        </w:rPr>
        <w:t>6 林分选择</w:t>
      </w:r>
      <w:r>
        <w:rPr>
          <w:rFonts w:ascii="Times New Roman"/>
          <w:color w:val="auto"/>
        </w:rPr>
        <w:tab/>
      </w:r>
      <w:r>
        <w:rPr>
          <w:rFonts w:ascii="Times New Roman"/>
          <w:color w:val="auto"/>
        </w:rPr>
        <w:fldChar w:fldCharType="begin"/>
      </w:r>
      <w:r>
        <w:rPr>
          <w:rFonts w:ascii="Times New Roman"/>
          <w:color w:val="auto"/>
        </w:rPr>
        <w:instrText xml:space="preserve"> PAGEREF _Toc13222 \h </w:instrText>
      </w:r>
      <w:r>
        <w:rPr>
          <w:rFonts w:ascii="Times New Roman"/>
          <w:color w:val="auto"/>
        </w:rPr>
        <w:fldChar w:fldCharType="separate"/>
      </w:r>
      <w:r>
        <w:rPr>
          <w:rFonts w:ascii="Times New Roman"/>
          <w:color w:val="auto"/>
        </w:rPr>
        <w:t>3</w:t>
      </w:r>
      <w:r>
        <w:rPr>
          <w:rFonts w:ascii="Times New Roman"/>
          <w:color w:val="auto"/>
        </w:rPr>
        <w:fldChar w:fldCharType="end"/>
      </w:r>
      <w:r>
        <w:rPr>
          <w:rFonts w:ascii="Times New Roman"/>
          <w:color w:val="auto"/>
        </w:rPr>
        <w:fldChar w:fldCharType="end"/>
      </w:r>
    </w:p>
    <w:p>
      <w:pPr>
        <w:pStyle w:val="13"/>
        <w:tabs>
          <w:tab w:val="right" w:leader="dot" w:pos="8312"/>
        </w:tabs>
        <w:spacing w:line="400" w:lineRule="exact"/>
        <w:ind w:left="480"/>
      </w:pPr>
      <w:r>
        <w:fldChar w:fldCharType="begin"/>
      </w:r>
      <w:r>
        <w:instrText xml:space="preserve"> HYPERLINK \l "_Toc20718" </w:instrText>
      </w:r>
      <w:r>
        <w:fldChar w:fldCharType="separate"/>
      </w:r>
      <w:r>
        <w:rPr>
          <w:rFonts w:eastAsia="黑体"/>
        </w:rPr>
        <w:t>6.1 林分选择标准</w:t>
      </w:r>
      <w:r>
        <w:tab/>
      </w:r>
      <w:r>
        <w:fldChar w:fldCharType="begin"/>
      </w:r>
      <w:r>
        <w:instrText xml:space="preserve"> PAGEREF _Toc20718 \h </w:instrText>
      </w:r>
      <w:r>
        <w:fldChar w:fldCharType="separate"/>
      </w:r>
      <w:r>
        <w:t>3</w:t>
      </w:r>
      <w:r>
        <w:fldChar w:fldCharType="end"/>
      </w:r>
      <w:r>
        <w:fldChar w:fldCharType="end"/>
      </w:r>
    </w:p>
    <w:p>
      <w:pPr>
        <w:pStyle w:val="13"/>
        <w:tabs>
          <w:tab w:val="right" w:leader="dot" w:pos="8312"/>
        </w:tabs>
        <w:spacing w:line="400" w:lineRule="exact"/>
        <w:ind w:left="480"/>
      </w:pPr>
      <w:r>
        <w:fldChar w:fldCharType="begin"/>
      </w:r>
      <w:r>
        <w:instrText xml:space="preserve"> HYPERLINK \l "_Toc12652" </w:instrText>
      </w:r>
      <w:r>
        <w:fldChar w:fldCharType="separate"/>
      </w:r>
      <w:r>
        <w:rPr>
          <w:rFonts w:eastAsia="黑体"/>
        </w:rPr>
        <w:t>6.2 立地条件选择</w:t>
      </w:r>
      <w:r>
        <w:tab/>
      </w:r>
      <w:r>
        <w:fldChar w:fldCharType="begin"/>
      </w:r>
      <w:r>
        <w:instrText xml:space="preserve"> PAGEREF _Toc12652 \h </w:instrText>
      </w:r>
      <w:r>
        <w:fldChar w:fldCharType="separate"/>
      </w:r>
      <w:r>
        <w:t>4</w:t>
      </w:r>
      <w:r>
        <w:fldChar w:fldCharType="end"/>
      </w:r>
      <w:r>
        <w:fldChar w:fldCharType="end"/>
      </w:r>
    </w:p>
    <w:p>
      <w:pPr>
        <w:pStyle w:val="13"/>
        <w:tabs>
          <w:tab w:val="right" w:leader="dot" w:pos="8312"/>
        </w:tabs>
        <w:spacing w:line="400" w:lineRule="exact"/>
        <w:ind w:left="480"/>
      </w:pPr>
      <w:r>
        <w:fldChar w:fldCharType="begin"/>
      </w:r>
      <w:r>
        <w:instrText xml:space="preserve"> HYPERLINK \l "_Toc28131" </w:instrText>
      </w:r>
      <w:r>
        <w:fldChar w:fldCharType="separate"/>
      </w:r>
      <w:r>
        <w:rPr>
          <w:rFonts w:eastAsia="黑体"/>
          <w:szCs w:val="21"/>
        </w:rPr>
        <w:t>表2 各树种立地条件表</w:t>
      </w:r>
      <w:r>
        <w:tab/>
      </w:r>
      <w:r>
        <w:fldChar w:fldCharType="begin"/>
      </w:r>
      <w:r>
        <w:instrText xml:space="preserve"> PAGEREF _Toc28131 \h </w:instrText>
      </w:r>
      <w:r>
        <w:fldChar w:fldCharType="separate"/>
      </w:r>
      <w:r>
        <w:t>4</w:t>
      </w:r>
      <w:r>
        <w:fldChar w:fldCharType="end"/>
      </w:r>
      <w:r>
        <w:fldChar w:fldCharType="end"/>
      </w:r>
    </w:p>
    <w:p>
      <w:pPr>
        <w:pStyle w:val="13"/>
        <w:tabs>
          <w:tab w:val="right" w:leader="dot" w:pos="8312"/>
        </w:tabs>
        <w:spacing w:line="400" w:lineRule="exact"/>
        <w:ind w:left="480"/>
      </w:pPr>
      <w:r>
        <w:fldChar w:fldCharType="begin"/>
      </w:r>
      <w:r>
        <w:instrText xml:space="preserve"> HYPERLINK \l "_Toc18905" </w:instrText>
      </w:r>
      <w:r>
        <w:fldChar w:fldCharType="separate"/>
      </w:r>
      <w:r>
        <w:rPr>
          <w:rFonts w:eastAsia="黑体"/>
        </w:rPr>
        <w:t>6.3 禁止纳入的林分</w:t>
      </w:r>
      <w:r>
        <w:tab/>
      </w:r>
      <w:r>
        <w:fldChar w:fldCharType="begin"/>
      </w:r>
      <w:r>
        <w:instrText xml:space="preserve"> PAGEREF _Toc18905 \h </w:instrText>
      </w:r>
      <w:r>
        <w:fldChar w:fldCharType="separate"/>
      </w:r>
      <w:r>
        <w:t>5</w:t>
      </w:r>
      <w:r>
        <w:fldChar w:fldCharType="end"/>
      </w:r>
      <w: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"_Toc16465" </w:instrText>
      </w:r>
      <w:r>
        <w:fldChar w:fldCharType="separate"/>
      </w:r>
      <w:r>
        <w:rPr>
          <w:rFonts w:ascii="Times New Roman"/>
          <w:color w:val="auto"/>
          <w:szCs w:val="28"/>
        </w:rPr>
        <w:t>7 实施程序</w:t>
      </w:r>
      <w:r>
        <w:rPr>
          <w:rFonts w:ascii="Times New Roman"/>
          <w:color w:val="auto"/>
        </w:rPr>
        <w:tab/>
      </w:r>
      <w:r>
        <w:rPr>
          <w:rFonts w:ascii="Times New Roman"/>
          <w:color w:val="auto"/>
        </w:rPr>
        <w:fldChar w:fldCharType="begin"/>
      </w:r>
      <w:r>
        <w:rPr>
          <w:rFonts w:ascii="Times New Roman"/>
          <w:color w:val="auto"/>
        </w:rPr>
        <w:instrText xml:space="preserve"> PAGEREF _Toc16465 \h </w:instrText>
      </w:r>
      <w:r>
        <w:rPr>
          <w:rFonts w:ascii="Times New Roman"/>
          <w:color w:val="auto"/>
        </w:rPr>
        <w:fldChar w:fldCharType="separate"/>
      </w:r>
      <w:r>
        <w:rPr>
          <w:rFonts w:ascii="Times New Roman"/>
          <w:color w:val="auto"/>
        </w:rPr>
        <w:t>5</w:t>
      </w:r>
      <w:r>
        <w:rPr>
          <w:rFonts w:ascii="Times New Roman"/>
          <w:color w:val="auto"/>
        </w:rPr>
        <w:fldChar w:fldCharType="end"/>
      </w:r>
      <w:r>
        <w:rPr>
          <w:rFonts w:ascii="Times New Roman"/>
          <w:color w:val="auto"/>
        </w:rPr>
        <w:fldChar w:fldCharType="end"/>
      </w:r>
    </w:p>
    <w:p>
      <w:pPr>
        <w:pStyle w:val="13"/>
        <w:tabs>
          <w:tab w:val="right" w:leader="dot" w:pos="8312"/>
        </w:tabs>
        <w:spacing w:line="400" w:lineRule="exact"/>
        <w:ind w:left="480"/>
      </w:pPr>
      <w:r>
        <w:fldChar w:fldCharType="begin"/>
      </w:r>
      <w:r>
        <w:instrText xml:space="preserve"> HYPERLINK \l "_Toc17039" </w:instrText>
      </w:r>
      <w:r>
        <w:fldChar w:fldCharType="separate"/>
      </w:r>
      <w:r>
        <w:rPr>
          <w:rFonts w:eastAsia="黑体"/>
        </w:rPr>
        <w:t>7.1 实施方案编制</w:t>
      </w:r>
      <w:r>
        <w:tab/>
      </w:r>
      <w:r>
        <w:fldChar w:fldCharType="begin"/>
      </w:r>
      <w:r>
        <w:instrText xml:space="preserve"> PAGEREF _Toc17039 \h </w:instrText>
      </w:r>
      <w:r>
        <w:fldChar w:fldCharType="separate"/>
      </w:r>
      <w:r>
        <w:t>5</w:t>
      </w:r>
      <w:r>
        <w:fldChar w:fldCharType="end"/>
      </w:r>
      <w:r>
        <w:fldChar w:fldCharType="end"/>
      </w:r>
    </w:p>
    <w:p>
      <w:pPr>
        <w:pStyle w:val="13"/>
        <w:tabs>
          <w:tab w:val="right" w:leader="dot" w:pos="8312"/>
        </w:tabs>
        <w:spacing w:line="400" w:lineRule="exact"/>
        <w:ind w:left="480"/>
      </w:pPr>
      <w:r>
        <w:fldChar w:fldCharType="begin"/>
      </w:r>
      <w:r>
        <w:instrText xml:space="preserve"> HYPERLINK \l "_Toc15577" </w:instrText>
      </w:r>
      <w:r>
        <w:fldChar w:fldCharType="separate"/>
      </w:r>
      <w:r>
        <w:rPr>
          <w:rFonts w:eastAsia="黑体"/>
        </w:rPr>
        <w:t>7.2 作业设计</w:t>
      </w:r>
      <w:r>
        <w:tab/>
      </w:r>
      <w:r>
        <w:fldChar w:fldCharType="begin"/>
      </w:r>
      <w:r>
        <w:instrText xml:space="preserve"> PAGEREF _Toc15577 \h </w:instrText>
      </w:r>
      <w:r>
        <w:fldChar w:fldCharType="separate"/>
      </w:r>
      <w:r>
        <w:t>5</w:t>
      </w:r>
      <w:r>
        <w:fldChar w:fldCharType="end"/>
      </w:r>
      <w:r>
        <w:fldChar w:fldCharType="end"/>
      </w:r>
    </w:p>
    <w:p>
      <w:pPr>
        <w:pStyle w:val="13"/>
        <w:tabs>
          <w:tab w:val="right" w:leader="dot" w:pos="8312"/>
        </w:tabs>
        <w:spacing w:line="400" w:lineRule="exact"/>
        <w:ind w:left="480"/>
      </w:pPr>
      <w:r>
        <w:fldChar w:fldCharType="begin"/>
      </w:r>
      <w:r>
        <w:instrText xml:space="preserve"> HYPERLINK \l "_Toc29979" </w:instrText>
      </w:r>
      <w:r>
        <w:fldChar w:fldCharType="separate"/>
      </w:r>
      <w:r>
        <w:rPr>
          <w:rFonts w:eastAsia="黑体"/>
        </w:rPr>
        <w:t>7.3 项目施工</w:t>
      </w:r>
      <w:r>
        <w:tab/>
      </w:r>
      <w:r>
        <w:fldChar w:fldCharType="begin"/>
      </w:r>
      <w:r>
        <w:instrText xml:space="preserve"> PAGEREF _Toc29979 \h </w:instrText>
      </w:r>
      <w:r>
        <w:fldChar w:fldCharType="separate"/>
      </w:r>
      <w:r>
        <w:t>6</w:t>
      </w:r>
      <w:r>
        <w:fldChar w:fldCharType="end"/>
      </w:r>
      <w:r>
        <w:fldChar w:fldCharType="end"/>
      </w:r>
    </w:p>
    <w:p>
      <w:pPr>
        <w:pStyle w:val="13"/>
        <w:tabs>
          <w:tab w:val="right" w:leader="dot" w:pos="8312"/>
        </w:tabs>
        <w:spacing w:line="400" w:lineRule="exact"/>
        <w:ind w:left="480"/>
      </w:pPr>
      <w:r>
        <w:fldChar w:fldCharType="begin"/>
      </w:r>
      <w:r>
        <w:instrText xml:space="preserve"> HYPERLINK \l "_Toc6242" </w:instrText>
      </w:r>
      <w:r>
        <w:fldChar w:fldCharType="separate"/>
      </w:r>
      <w:r>
        <w:rPr>
          <w:rFonts w:eastAsia="黑体"/>
        </w:rPr>
        <w:t>7.4 成效评价</w:t>
      </w:r>
      <w:r>
        <w:tab/>
      </w:r>
      <w:r>
        <w:fldChar w:fldCharType="begin"/>
      </w:r>
      <w:r>
        <w:instrText xml:space="preserve"> PAGEREF _Toc6242 \h </w:instrText>
      </w:r>
      <w:r>
        <w:fldChar w:fldCharType="separate"/>
      </w:r>
      <w:r>
        <w:t>6</w:t>
      </w:r>
      <w:r>
        <w:fldChar w:fldCharType="end"/>
      </w:r>
      <w: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"_Toc17947" </w:instrText>
      </w:r>
      <w:r>
        <w:fldChar w:fldCharType="separate"/>
      </w:r>
      <w:r>
        <w:rPr>
          <w:rFonts w:ascii="Times New Roman"/>
          <w:color w:val="auto"/>
          <w:szCs w:val="28"/>
        </w:rPr>
        <w:t>8 主要技术措施</w:t>
      </w:r>
      <w:r>
        <w:rPr>
          <w:rFonts w:ascii="Times New Roman"/>
          <w:color w:val="auto"/>
        </w:rPr>
        <w:tab/>
      </w:r>
      <w:r>
        <w:rPr>
          <w:rFonts w:ascii="Times New Roman"/>
          <w:color w:val="auto"/>
        </w:rPr>
        <w:fldChar w:fldCharType="begin"/>
      </w:r>
      <w:r>
        <w:rPr>
          <w:rFonts w:ascii="Times New Roman"/>
          <w:color w:val="auto"/>
        </w:rPr>
        <w:instrText xml:space="preserve"> PAGEREF _Toc17947 \h </w:instrText>
      </w:r>
      <w:r>
        <w:rPr>
          <w:rFonts w:ascii="Times New Roman"/>
          <w:color w:val="auto"/>
        </w:rPr>
        <w:fldChar w:fldCharType="separate"/>
      </w:r>
      <w:r>
        <w:rPr>
          <w:rFonts w:ascii="Times New Roman"/>
          <w:color w:val="auto"/>
        </w:rPr>
        <w:t>6</w:t>
      </w:r>
      <w:r>
        <w:rPr>
          <w:rFonts w:ascii="Times New Roman"/>
          <w:color w:val="auto"/>
        </w:rPr>
        <w:fldChar w:fldCharType="end"/>
      </w:r>
      <w:r>
        <w:rPr>
          <w:rFonts w:ascii="Times New Roman"/>
          <w:color w:val="auto"/>
        </w:rPr>
        <w:fldChar w:fldCharType="end"/>
      </w:r>
    </w:p>
    <w:p>
      <w:pPr>
        <w:pStyle w:val="13"/>
        <w:tabs>
          <w:tab w:val="right" w:leader="dot" w:pos="8312"/>
        </w:tabs>
        <w:spacing w:line="400" w:lineRule="exact"/>
        <w:ind w:left="480"/>
      </w:pPr>
      <w:r>
        <w:fldChar w:fldCharType="begin"/>
      </w:r>
      <w:r>
        <w:instrText xml:space="preserve"> HYPERLINK \l "_Toc17205" </w:instrText>
      </w:r>
      <w:r>
        <w:fldChar w:fldCharType="separate"/>
      </w:r>
      <w:r>
        <w:rPr>
          <w:rFonts w:eastAsia="黑体"/>
        </w:rPr>
        <w:t>8.1 林地清理</w:t>
      </w:r>
      <w:r>
        <w:tab/>
      </w:r>
      <w:r>
        <w:fldChar w:fldCharType="begin"/>
      </w:r>
      <w:r>
        <w:instrText xml:space="preserve"> PAGEREF _Toc17205 \h </w:instrText>
      </w:r>
      <w:r>
        <w:fldChar w:fldCharType="separate"/>
      </w:r>
      <w:r>
        <w:t>6</w:t>
      </w:r>
      <w:r>
        <w:fldChar w:fldCharType="end"/>
      </w:r>
      <w:r>
        <w:fldChar w:fldCharType="end"/>
      </w:r>
    </w:p>
    <w:p>
      <w:pPr>
        <w:pStyle w:val="13"/>
        <w:tabs>
          <w:tab w:val="right" w:leader="dot" w:pos="8312"/>
        </w:tabs>
        <w:spacing w:line="400" w:lineRule="exact"/>
        <w:ind w:left="480"/>
      </w:pPr>
      <w:r>
        <w:fldChar w:fldCharType="begin"/>
      </w:r>
      <w:r>
        <w:instrText xml:space="preserve"> HYPERLINK \l "_Toc4681" </w:instrText>
      </w:r>
      <w:r>
        <w:fldChar w:fldCharType="separate"/>
      </w:r>
      <w:r>
        <w:rPr>
          <w:rFonts w:eastAsia="黑体"/>
        </w:rPr>
        <w:t>8.2 间伐抚育</w:t>
      </w:r>
      <w:r>
        <w:tab/>
      </w:r>
      <w:r>
        <w:fldChar w:fldCharType="begin"/>
      </w:r>
      <w:r>
        <w:instrText xml:space="preserve"> PAGEREF _Toc4681 \h </w:instrText>
      </w:r>
      <w:r>
        <w:fldChar w:fldCharType="separate"/>
      </w:r>
      <w:r>
        <w:t>6</w:t>
      </w:r>
      <w:r>
        <w:fldChar w:fldCharType="end"/>
      </w:r>
      <w:r>
        <w:fldChar w:fldCharType="end"/>
      </w:r>
    </w:p>
    <w:p>
      <w:pPr>
        <w:pStyle w:val="13"/>
        <w:tabs>
          <w:tab w:val="right" w:leader="dot" w:pos="8312"/>
        </w:tabs>
        <w:spacing w:line="400" w:lineRule="exact"/>
        <w:ind w:left="480"/>
      </w:pPr>
      <w:r>
        <w:fldChar w:fldCharType="begin"/>
      </w:r>
      <w:r>
        <w:instrText xml:space="preserve"> HYPERLINK \l "_Toc1622" </w:instrText>
      </w:r>
      <w:r>
        <w:fldChar w:fldCharType="separate"/>
      </w:r>
      <w:r>
        <w:rPr>
          <w:rFonts w:eastAsia="黑体"/>
        </w:rPr>
        <w:t>8.3 修枝整形</w:t>
      </w:r>
      <w:r>
        <w:tab/>
      </w:r>
      <w:r>
        <w:fldChar w:fldCharType="begin"/>
      </w:r>
      <w:r>
        <w:instrText xml:space="preserve"> PAGEREF _Toc1622 \h </w:instrText>
      </w:r>
      <w:r>
        <w:fldChar w:fldCharType="separate"/>
      </w:r>
      <w:r>
        <w:t>8</w:t>
      </w:r>
      <w:r>
        <w:fldChar w:fldCharType="end"/>
      </w:r>
      <w:r>
        <w:fldChar w:fldCharType="end"/>
      </w:r>
    </w:p>
    <w:p>
      <w:pPr>
        <w:pStyle w:val="13"/>
        <w:tabs>
          <w:tab w:val="right" w:leader="dot" w:pos="8312"/>
        </w:tabs>
        <w:spacing w:line="400" w:lineRule="exact"/>
        <w:ind w:left="480"/>
      </w:pPr>
      <w:r>
        <w:fldChar w:fldCharType="begin"/>
      </w:r>
      <w:r>
        <w:instrText xml:space="preserve"> HYPERLINK \l "_Toc10500" </w:instrText>
      </w:r>
      <w:r>
        <w:fldChar w:fldCharType="separate"/>
      </w:r>
      <w:r>
        <w:rPr>
          <w:rFonts w:eastAsia="黑体"/>
        </w:rPr>
        <w:t>8.4 补植</w:t>
      </w:r>
      <w:r>
        <w:tab/>
      </w:r>
      <w:r>
        <w:fldChar w:fldCharType="begin"/>
      </w:r>
      <w:r>
        <w:instrText xml:space="preserve"> PAGEREF _Toc10500 \h </w:instrText>
      </w:r>
      <w:r>
        <w:fldChar w:fldCharType="separate"/>
      </w:r>
      <w:r>
        <w:t>8</w:t>
      </w:r>
      <w:r>
        <w:fldChar w:fldCharType="end"/>
      </w:r>
      <w:r>
        <w:fldChar w:fldCharType="end"/>
      </w:r>
    </w:p>
    <w:p>
      <w:pPr>
        <w:pStyle w:val="13"/>
        <w:tabs>
          <w:tab w:val="right" w:leader="dot" w:pos="8312"/>
        </w:tabs>
        <w:spacing w:line="400" w:lineRule="exact"/>
        <w:ind w:left="480"/>
      </w:pPr>
      <w:r>
        <w:fldChar w:fldCharType="begin"/>
      </w:r>
      <w:r>
        <w:instrText xml:space="preserve"> HYPERLINK \l "_Toc7273" </w:instrText>
      </w:r>
      <w:r>
        <w:fldChar w:fldCharType="separate"/>
      </w:r>
      <w:r>
        <w:rPr>
          <w:rFonts w:eastAsia="黑体"/>
        </w:rPr>
        <w:t>8.5 培蔸抚育</w:t>
      </w:r>
      <w:r>
        <w:tab/>
      </w:r>
      <w:r>
        <w:fldChar w:fldCharType="begin"/>
      </w:r>
      <w:r>
        <w:instrText xml:space="preserve"> PAGEREF _Toc7273 \h </w:instrText>
      </w:r>
      <w:r>
        <w:fldChar w:fldCharType="separate"/>
      </w:r>
      <w:r>
        <w:t>9</w:t>
      </w:r>
      <w:r>
        <w:fldChar w:fldCharType="end"/>
      </w:r>
      <w:r>
        <w:fldChar w:fldCharType="end"/>
      </w:r>
    </w:p>
    <w:p>
      <w:pPr>
        <w:pStyle w:val="13"/>
        <w:tabs>
          <w:tab w:val="right" w:leader="dot" w:pos="8312"/>
        </w:tabs>
        <w:spacing w:line="400" w:lineRule="exact"/>
        <w:ind w:left="480"/>
      </w:pPr>
      <w:r>
        <w:fldChar w:fldCharType="begin"/>
      </w:r>
      <w:r>
        <w:instrText xml:space="preserve"> HYPERLINK \l "_Toc26651" </w:instrText>
      </w:r>
      <w:r>
        <w:fldChar w:fldCharType="separate"/>
      </w:r>
      <w:r>
        <w:rPr>
          <w:rFonts w:eastAsia="黑体"/>
        </w:rPr>
        <w:t>8.6 配套基础设施建设</w:t>
      </w:r>
      <w:r>
        <w:tab/>
      </w:r>
      <w:r>
        <w:fldChar w:fldCharType="begin"/>
      </w:r>
      <w:r>
        <w:instrText xml:space="preserve"> PAGEREF _Toc26651 \h </w:instrText>
      </w:r>
      <w:r>
        <w:fldChar w:fldCharType="separate"/>
      </w:r>
      <w:r>
        <w:t>10</w:t>
      </w:r>
      <w:r>
        <w:fldChar w:fldCharType="end"/>
      </w:r>
      <w:r>
        <w:fldChar w:fldCharType="end"/>
      </w:r>
    </w:p>
    <w:p>
      <w:pPr>
        <w:pStyle w:val="13"/>
        <w:tabs>
          <w:tab w:val="right" w:leader="dot" w:pos="8312"/>
        </w:tabs>
        <w:spacing w:line="400" w:lineRule="exact"/>
        <w:ind w:left="480"/>
      </w:pPr>
      <w:r>
        <w:fldChar w:fldCharType="begin"/>
      </w:r>
      <w:r>
        <w:instrText xml:space="preserve"> HYPERLINK \l "_Toc10967" </w:instrText>
      </w:r>
      <w:r>
        <w:fldChar w:fldCharType="separate"/>
      </w:r>
      <w:r>
        <w:rPr>
          <w:rFonts w:eastAsia="黑体"/>
        </w:rPr>
        <w:t>8.7 典型模式应用</w:t>
      </w:r>
      <w:r>
        <w:tab/>
      </w:r>
      <w:r>
        <w:fldChar w:fldCharType="begin"/>
      </w:r>
      <w:r>
        <w:instrText xml:space="preserve"> PAGEREF _Toc10967 \h </w:instrText>
      </w:r>
      <w:r>
        <w:fldChar w:fldCharType="separate"/>
      </w:r>
      <w:r>
        <w:t>10</w:t>
      </w:r>
      <w:r>
        <w:fldChar w:fldCharType="end"/>
      </w:r>
      <w:r>
        <w:fldChar w:fldCharType="end"/>
      </w:r>
    </w:p>
    <w:p>
      <w:pPr>
        <w:pStyle w:val="13"/>
        <w:tabs>
          <w:tab w:val="right" w:leader="dot" w:pos="8312"/>
        </w:tabs>
        <w:spacing w:line="400" w:lineRule="exact"/>
        <w:ind w:left="480"/>
      </w:pPr>
      <w:r>
        <w:fldChar w:fldCharType="begin"/>
      </w:r>
      <w:r>
        <w:instrText xml:space="preserve"> HYPERLINK \l "_Toc27354" </w:instrText>
      </w:r>
      <w:r>
        <w:fldChar w:fldCharType="separate"/>
      </w:r>
      <w:r>
        <w:rPr>
          <w:rFonts w:eastAsia="黑体"/>
        </w:rPr>
        <w:t>8.8 森林保护</w:t>
      </w:r>
      <w:r>
        <w:tab/>
      </w:r>
      <w:r>
        <w:fldChar w:fldCharType="begin"/>
      </w:r>
      <w:r>
        <w:instrText xml:space="preserve"> PAGEREF _Toc27354 \h </w:instrText>
      </w:r>
      <w:r>
        <w:fldChar w:fldCharType="separate"/>
      </w:r>
      <w:r>
        <w:t>10</w:t>
      </w:r>
      <w:r>
        <w:fldChar w:fldCharType="end"/>
      </w:r>
      <w: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"_Toc25881" </w:instrText>
      </w:r>
      <w:r>
        <w:fldChar w:fldCharType="separate"/>
      </w:r>
      <w:r>
        <w:rPr>
          <w:rFonts w:ascii="Times New Roman"/>
          <w:color w:val="auto"/>
          <w:szCs w:val="28"/>
        </w:rPr>
        <w:t>9 标识标牌</w:t>
      </w:r>
      <w:r>
        <w:rPr>
          <w:rFonts w:ascii="Times New Roman"/>
          <w:color w:val="auto"/>
        </w:rPr>
        <w:tab/>
      </w:r>
      <w:r>
        <w:rPr>
          <w:rFonts w:ascii="Times New Roman"/>
          <w:color w:val="auto"/>
        </w:rPr>
        <w:fldChar w:fldCharType="begin"/>
      </w:r>
      <w:r>
        <w:rPr>
          <w:rFonts w:ascii="Times New Roman"/>
          <w:color w:val="auto"/>
        </w:rPr>
        <w:instrText xml:space="preserve"> PAGEREF _Toc25881 \h </w:instrText>
      </w:r>
      <w:r>
        <w:rPr>
          <w:rFonts w:ascii="Times New Roman"/>
          <w:color w:val="auto"/>
        </w:rPr>
        <w:fldChar w:fldCharType="separate"/>
      </w:r>
      <w:r>
        <w:rPr>
          <w:rFonts w:ascii="Times New Roman"/>
          <w:color w:val="auto"/>
        </w:rPr>
        <w:t>11</w:t>
      </w:r>
      <w:r>
        <w:rPr>
          <w:rFonts w:ascii="Times New Roman"/>
          <w:color w:val="auto"/>
        </w:rPr>
        <w:fldChar w:fldCharType="end"/>
      </w:r>
      <w:r>
        <w:rPr>
          <w:rFonts w:ascii="Times New Roman"/>
          <w:color w:val="auto"/>
        </w:rPr>
        <w:fldChar w:fldCharType="end"/>
      </w:r>
    </w:p>
    <w:p>
      <w:pPr>
        <w:pStyle w:val="13"/>
        <w:tabs>
          <w:tab w:val="right" w:leader="dot" w:pos="8312"/>
        </w:tabs>
        <w:spacing w:line="400" w:lineRule="exact"/>
        <w:ind w:left="480"/>
      </w:pPr>
      <w:r>
        <w:fldChar w:fldCharType="begin"/>
      </w:r>
      <w:r>
        <w:instrText xml:space="preserve"> HYPERLINK \l "_Toc3764" </w:instrText>
      </w:r>
      <w:r>
        <w:fldChar w:fldCharType="separate"/>
      </w:r>
      <w:r>
        <w:rPr>
          <w:rFonts w:eastAsia="黑体"/>
        </w:rPr>
        <w:t>9.1 临时标识牌</w:t>
      </w:r>
      <w:r>
        <w:tab/>
      </w:r>
      <w:r>
        <w:fldChar w:fldCharType="begin"/>
      </w:r>
      <w:r>
        <w:instrText xml:space="preserve"> PAGEREF _Toc3764 \h </w:instrText>
      </w:r>
      <w:r>
        <w:fldChar w:fldCharType="separate"/>
      </w:r>
      <w:r>
        <w:t>11</w:t>
      </w:r>
      <w:r>
        <w:fldChar w:fldCharType="end"/>
      </w:r>
      <w:r>
        <w:fldChar w:fldCharType="end"/>
      </w:r>
    </w:p>
    <w:p>
      <w:pPr>
        <w:pStyle w:val="13"/>
        <w:tabs>
          <w:tab w:val="right" w:leader="dot" w:pos="8312"/>
        </w:tabs>
        <w:spacing w:line="400" w:lineRule="exact"/>
        <w:ind w:left="480"/>
      </w:pPr>
      <w:r>
        <w:fldChar w:fldCharType="begin"/>
      </w:r>
      <w:r>
        <w:instrText xml:space="preserve"> HYPERLINK \l "_Toc13133" </w:instrText>
      </w:r>
      <w:r>
        <w:fldChar w:fldCharType="separate"/>
      </w:r>
      <w:r>
        <w:rPr>
          <w:rFonts w:eastAsia="黑体"/>
        </w:rPr>
        <w:t>9.2 永久标识牌</w:t>
      </w:r>
      <w:r>
        <w:tab/>
      </w:r>
      <w:r>
        <w:fldChar w:fldCharType="begin"/>
      </w:r>
      <w:r>
        <w:instrText xml:space="preserve"> PAGEREF _Toc13133 \h </w:instrText>
      </w:r>
      <w:r>
        <w:fldChar w:fldCharType="separate"/>
      </w:r>
      <w:r>
        <w:t>11</w:t>
      </w:r>
      <w:r>
        <w:fldChar w:fldCharType="end"/>
      </w:r>
      <w: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"_Toc25081" </w:instrText>
      </w:r>
      <w:r>
        <w:fldChar w:fldCharType="separate"/>
      </w:r>
      <w:r>
        <w:rPr>
          <w:rFonts w:ascii="Times New Roman"/>
          <w:color w:val="auto"/>
          <w:szCs w:val="28"/>
        </w:rPr>
        <w:t>10 档案管理</w:t>
      </w:r>
      <w:r>
        <w:rPr>
          <w:rFonts w:ascii="Times New Roman"/>
          <w:color w:val="auto"/>
        </w:rPr>
        <w:tab/>
      </w:r>
      <w:r>
        <w:rPr>
          <w:rFonts w:ascii="Times New Roman"/>
          <w:color w:val="auto"/>
        </w:rPr>
        <w:fldChar w:fldCharType="begin"/>
      </w:r>
      <w:r>
        <w:rPr>
          <w:rFonts w:ascii="Times New Roman"/>
          <w:color w:val="auto"/>
        </w:rPr>
        <w:instrText xml:space="preserve"> PAGEREF _Toc25081 \h </w:instrText>
      </w:r>
      <w:r>
        <w:rPr>
          <w:rFonts w:ascii="Times New Roman"/>
          <w:color w:val="auto"/>
        </w:rPr>
        <w:fldChar w:fldCharType="separate"/>
      </w:r>
      <w:r>
        <w:rPr>
          <w:rFonts w:ascii="Times New Roman"/>
          <w:color w:val="auto"/>
        </w:rPr>
        <w:t>11</w:t>
      </w:r>
      <w:r>
        <w:rPr>
          <w:rFonts w:ascii="Times New Roman"/>
          <w:color w:val="auto"/>
        </w:rPr>
        <w:fldChar w:fldCharType="end"/>
      </w:r>
      <w:r>
        <w:rPr>
          <w:rFonts w:ascii="Times New Roman"/>
          <w:color w:val="auto"/>
        </w:rPr>
        <w:fldChar w:fldCharType="end"/>
      </w:r>
    </w:p>
    <w:p>
      <w:pPr>
        <w:pStyle w:val="13"/>
        <w:tabs>
          <w:tab w:val="right" w:leader="dot" w:pos="8312"/>
        </w:tabs>
        <w:spacing w:line="400" w:lineRule="exact"/>
        <w:ind w:left="480"/>
      </w:pPr>
      <w:r>
        <w:fldChar w:fldCharType="begin"/>
      </w:r>
      <w:r>
        <w:instrText xml:space="preserve"> HYPERLINK \l "_Toc16000" </w:instrText>
      </w:r>
      <w:r>
        <w:fldChar w:fldCharType="separate"/>
      </w:r>
      <w:r>
        <w:rPr>
          <w:rFonts w:eastAsia="黑体"/>
        </w:rPr>
        <w:t>10.1 管理机构及职责</w:t>
      </w:r>
      <w:r>
        <w:tab/>
      </w:r>
      <w:r>
        <w:fldChar w:fldCharType="begin"/>
      </w:r>
      <w:r>
        <w:instrText xml:space="preserve"> PAGEREF _Toc16000 \h </w:instrText>
      </w:r>
      <w:r>
        <w:fldChar w:fldCharType="separate"/>
      </w:r>
      <w:r>
        <w:t>11</w:t>
      </w:r>
      <w:r>
        <w:fldChar w:fldCharType="end"/>
      </w:r>
      <w:r>
        <w:fldChar w:fldCharType="end"/>
      </w:r>
    </w:p>
    <w:p>
      <w:pPr>
        <w:pStyle w:val="13"/>
        <w:tabs>
          <w:tab w:val="right" w:leader="dot" w:pos="8312"/>
        </w:tabs>
        <w:spacing w:line="400" w:lineRule="exact"/>
        <w:ind w:left="480"/>
      </w:pPr>
      <w:r>
        <w:fldChar w:fldCharType="begin"/>
      </w:r>
      <w:r>
        <w:instrText xml:space="preserve"> HYPERLINK \l "_Toc30071" </w:instrText>
      </w:r>
      <w:r>
        <w:fldChar w:fldCharType="separate"/>
      </w:r>
      <w:r>
        <w:rPr>
          <w:rFonts w:eastAsia="黑体"/>
        </w:rPr>
        <w:t>10.2 档案资料</w:t>
      </w:r>
      <w:r>
        <w:tab/>
      </w:r>
      <w:r>
        <w:fldChar w:fldCharType="begin"/>
      </w:r>
      <w:r>
        <w:instrText xml:space="preserve"> PAGEREF _Toc30071 \h </w:instrText>
      </w:r>
      <w:r>
        <w:fldChar w:fldCharType="separate"/>
      </w:r>
      <w:r>
        <w:t>11</w:t>
      </w:r>
      <w:r>
        <w:fldChar w:fldCharType="end"/>
      </w:r>
      <w:r>
        <w:fldChar w:fldCharType="end"/>
      </w:r>
    </w:p>
    <w:p>
      <w:pPr>
        <w:pStyle w:val="13"/>
        <w:tabs>
          <w:tab w:val="right" w:leader="dot" w:pos="8312"/>
        </w:tabs>
        <w:spacing w:line="400" w:lineRule="exact"/>
        <w:ind w:left="480"/>
      </w:pPr>
      <w:r>
        <w:fldChar w:fldCharType="begin"/>
      </w:r>
      <w:r>
        <w:instrText xml:space="preserve"> HYPERLINK \l "_Toc6236" </w:instrText>
      </w:r>
      <w:r>
        <w:fldChar w:fldCharType="separate"/>
      </w:r>
      <w:r>
        <w:rPr>
          <w:rFonts w:eastAsia="黑体"/>
        </w:rPr>
        <w:t>10.3 档案入库</w:t>
      </w:r>
      <w:r>
        <w:tab/>
      </w:r>
      <w:r>
        <w:fldChar w:fldCharType="begin"/>
      </w:r>
      <w:r>
        <w:instrText xml:space="preserve"> PAGEREF _Toc6236 \h </w:instrText>
      </w:r>
      <w:r>
        <w:fldChar w:fldCharType="separate"/>
      </w:r>
      <w:r>
        <w:t>11</w:t>
      </w:r>
      <w:r>
        <w:fldChar w:fldCharType="end"/>
      </w:r>
      <w:r>
        <w:fldChar w:fldCharType="end"/>
      </w:r>
    </w:p>
    <w:p>
      <w:pPr>
        <w:pStyle w:val="13"/>
        <w:tabs>
          <w:tab w:val="right" w:leader="dot" w:pos="8312"/>
        </w:tabs>
        <w:spacing w:line="400" w:lineRule="exact"/>
        <w:ind w:left="480"/>
      </w:pPr>
      <w:r>
        <w:fldChar w:fldCharType="begin"/>
      </w:r>
      <w:r>
        <w:instrText xml:space="preserve"> HYPERLINK \l "_Toc4096" </w:instrText>
      </w:r>
      <w:r>
        <w:fldChar w:fldCharType="separate"/>
      </w:r>
      <w:r>
        <w:rPr>
          <w:rFonts w:eastAsia="黑体"/>
        </w:rPr>
        <w:t>10.4 档案保存形式</w:t>
      </w:r>
      <w:r>
        <w:tab/>
      </w:r>
      <w:r>
        <w:fldChar w:fldCharType="begin"/>
      </w:r>
      <w:r>
        <w:instrText xml:space="preserve"> PAGEREF _Toc4096 \h </w:instrText>
      </w:r>
      <w:r>
        <w:fldChar w:fldCharType="separate"/>
      </w:r>
      <w:r>
        <w:t>11</w:t>
      </w:r>
      <w:r>
        <w:fldChar w:fldCharType="end"/>
      </w:r>
      <w:r>
        <w:fldChar w:fldCharType="end"/>
      </w:r>
    </w:p>
    <w:p>
      <w:pPr>
        <w:pStyle w:val="13"/>
        <w:tabs>
          <w:tab w:val="right" w:leader="dot" w:pos="8312"/>
        </w:tabs>
        <w:spacing w:line="400" w:lineRule="exact"/>
        <w:ind w:left="480"/>
      </w:pPr>
      <w:r>
        <w:fldChar w:fldCharType="begin"/>
      </w:r>
      <w:r>
        <w:instrText xml:space="preserve"> HYPERLINK \l "_Toc8464" </w:instrText>
      </w:r>
      <w:r>
        <w:fldChar w:fldCharType="separate"/>
      </w:r>
      <w:r>
        <w:rPr>
          <w:rFonts w:eastAsia="黑体"/>
        </w:rPr>
        <w:t>10.5 档案管理</w:t>
      </w:r>
      <w:r>
        <w:tab/>
      </w:r>
      <w:r>
        <w:fldChar w:fldCharType="begin"/>
      </w:r>
      <w:r>
        <w:instrText xml:space="preserve"> PAGEREF _Toc8464 \h </w:instrText>
      </w:r>
      <w:r>
        <w:fldChar w:fldCharType="separate"/>
      </w:r>
      <w:r>
        <w:t>11</w:t>
      </w:r>
      <w:r>
        <w:fldChar w:fldCharType="end"/>
      </w:r>
      <w: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"_Toc16672" </w:instrText>
      </w:r>
      <w:r>
        <w:fldChar w:fldCharType="separate"/>
      </w:r>
      <w:r>
        <w:rPr>
          <w:rFonts w:ascii="Times New Roman"/>
          <w:color w:val="auto"/>
          <w:szCs w:val="28"/>
        </w:rPr>
        <w:t>附录1：湖南省XX县XX林场（乡镇）XX年度森林质量精准提升工程实施方案</w:t>
      </w:r>
      <w:r>
        <w:rPr>
          <w:rFonts w:ascii="Times New Roman"/>
          <w:color w:val="auto"/>
          <w:szCs w:val="28"/>
        </w:rP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"_Toc16672" </w:instrText>
      </w:r>
      <w:r>
        <w:fldChar w:fldCharType="separate"/>
      </w:r>
      <w:r>
        <w:rPr>
          <w:rFonts w:ascii="Times New Roman"/>
          <w:color w:val="auto"/>
          <w:szCs w:val="28"/>
        </w:rPr>
        <w:t>附录2：湖南省XX县XX林场（乡镇）XX年度森林质量精准提升工程初步设计</w:t>
      </w:r>
      <w:r>
        <w:rPr>
          <w:rFonts w:ascii="Times New Roman"/>
          <w:color w:val="auto"/>
          <w:szCs w:val="28"/>
        </w:rP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"_Toc32725" </w:instrText>
      </w:r>
      <w:r>
        <w:fldChar w:fldCharType="separate"/>
      </w:r>
      <w:r>
        <w:rPr>
          <w:rFonts w:ascii="Times New Roman"/>
          <w:bCs/>
          <w:color w:val="auto"/>
          <w:szCs w:val="28"/>
        </w:rPr>
        <w:t>附录3：森林质量提升建设成效评价标准表</w:t>
      </w:r>
      <w:r>
        <w:rPr>
          <w:rFonts w:ascii="Times New Roman"/>
          <w:bCs/>
          <w:color w:val="auto"/>
          <w:szCs w:val="28"/>
        </w:rPr>
        <w:fldChar w:fldCharType="end"/>
      </w:r>
    </w:p>
    <w:p>
      <w:pPr>
        <w:pStyle w:val="11"/>
        <w:tabs>
          <w:tab w:val="right" w:leader="dot" w:pos="8312"/>
          <w:tab w:val="clear" w:pos="8296"/>
        </w:tabs>
        <w:spacing w:line="400" w:lineRule="exact"/>
        <w:rPr>
          <w:rFonts w:ascii="Times New Roman"/>
          <w:color w:val="auto"/>
        </w:rPr>
      </w:pPr>
      <w:r>
        <w:fldChar w:fldCharType="begin"/>
      </w:r>
      <w:r>
        <w:instrText xml:space="preserve"> HYPERLINK \l "_Toc25880" </w:instrText>
      </w:r>
      <w:r>
        <w:fldChar w:fldCharType="separate"/>
      </w:r>
      <w:r>
        <w:rPr>
          <w:rFonts w:ascii="Times New Roman"/>
          <w:bCs/>
          <w:color w:val="auto"/>
          <w:szCs w:val="28"/>
        </w:rPr>
        <w:t>附录4：森林质量精准提升典型模式设计参考表</w:t>
      </w:r>
      <w:r>
        <w:rPr>
          <w:rFonts w:ascii="Times New Roman"/>
          <w:bCs/>
          <w:color w:val="auto"/>
          <w:szCs w:val="28"/>
        </w:rPr>
        <w:fldChar w:fldCharType="end"/>
      </w:r>
    </w:p>
    <w:p>
      <w:pPr>
        <w:pStyle w:val="11"/>
        <w:spacing w:line="400" w:lineRule="exact"/>
        <w:rPr>
          <w:rFonts w:ascii="Times New Roman"/>
          <w:color w:val="auto"/>
          <w:szCs w:val="30"/>
        </w:rPr>
        <w:sectPr>
          <w:footerReference r:id="rId4" w:type="default"/>
          <w:pgSz w:w="11906" w:h="16838"/>
          <w:pgMar w:top="1418" w:right="1797" w:bottom="1418" w:left="1797" w:header="851" w:footer="992" w:gutter="0"/>
          <w:pgNumType w:start="1"/>
          <w:cols w:space="425" w:num="1"/>
          <w:docGrid w:type="lines" w:linePitch="326" w:charSpace="0"/>
        </w:sectPr>
      </w:pPr>
      <w:r>
        <w:rPr>
          <w:rFonts w:ascii="Times New Roman" w:eastAsiaTheme="minorEastAsia"/>
          <w:color w:val="auto"/>
          <w:szCs w:val="21"/>
        </w:rPr>
        <w:fldChar w:fldCharType="end"/>
      </w:r>
    </w:p>
    <w:p>
      <w:pPr>
        <w:jc w:val="center"/>
        <w:rPr>
          <w:rFonts w:eastAsia="黑体"/>
          <w:kern w:val="0"/>
          <w:sz w:val="30"/>
          <w:szCs w:val="30"/>
        </w:rPr>
      </w:pPr>
      <w:r>
        <w:rPr>
          <w:rFonts w:eastAsia="黑体"/>
          <w:kern w:val="0"/>
          <w:sz w:val="30"/>
          <w:szCs w:val="30"/>
        </w:rPr>
        <w:t>湖南省人工纯林森林质量提升建设导则</w:t>
      </w:r>
    </w:p>
    <w:p>
      <w:pPr>
        <w:pStyle w:val="24"/>
        <w:numPr>
          <w:ilvl w:val="0"/>
          <w:numId w:val="1"/>
        </w:numPr>
        <w:ind w:left="284" w:hanging="284" w:firstLineChars="0"/>
        <w:outlineLvl w:val="0"/>
        <w:rPr>
          <w:rFonts w:eastAsia="黑体"/>
          <w:bCs/>
          <w:kern w:val="0"/>
          <w:sz w:val="28"/>
          <w:szCs w:val="28"/>
        </w:rPr>
      </w:pPr>
      <w:bookmarkStart w:id="0" w:name="_Toc12840"/>
      <w:bookmarkStart w:id="1" w:name="_Toc35528045"/>
      <w:bookmarkStart w:id="2" w:name="_Toc12584"/>
      <w:bookmarkStart w:id="3" w:name="_Toc32149"/>
      <w:bookmarkStart w:id="4" w:name="_Toc1158"/>
      <w:bookmarkStart w:id="5" w:name="_Toc9326"/>
      <w:bookmarkStart w:id="6" w:name="_Toc35528064"/>
      <w:r>
        <w:rPr>
          <w:rFonts w:eastAsia="黑体"/>
          <w:sz w:val="28"/>
          <w:szCs w:val="28"/>
        </w:rPr>
        <w:t>适用范围</w:t>
      </w:r>
      <w:bookmarkEnd w:id="0"/>
      <w:bookmarkEnd w:id="1"/>
      <w:bookmarkEnd w:id="2"/>
      <w:bookmarkEnd w:id="3"/>
      <w:bookmarkEnd w:id="4"/>
      <w:bookmarkEnd w:id="5"/>
    </w:p>
    <w:p>
      <w:pPr>
        <w:widowControl/>
        <w:spacing w:line="360" w:lineRule="auto"/>
        <w:ind w:firstLine="480" w:firstLineChars="200"/>
        <w:jc w:val="left"/>
        <w:rPr>
          <w:kern w:val="0"/>
          <w:szCs w:val="24"/>
        </w:rPr>
      </w:pPr>
      <w:r>
        <w:rPr>
          <w:kern w:val="0"/>
          <w:szCs w:val="24"/>
        </w:rPr>
        <w:t>本导则规定了湖南省森林质量提升建设的规范性引用文件、术语和定义、指导思想、建设原则与目标、林分选择、建设程序、主要技术措施、档案管理等内容和要求。</w:t>
      </w:r>
    </w:p>
    <w:p>
      <w:pPr>
        <w:widowControl/>
        <w:spacing w:line="360" w:lineRule="auto"/>
        <w:ind w:firstLine="480" w:firstLineChars="200"/>
        <w:jc w:val="left"/>
        <w:rPr>
          <w:kern w:val="0"/>
          <w:szCs w:val="24"/>
        </w:rPr>
      </w:pPr>
      <w:r>
        <w:rPr>
          <w:kern w:val="0"/>
          <w:szCs w:val="24"/>
        </w:rPr>
        <w:t>本导则适用于全省范围内的人工杉木、马尾松、湿地松、落叶松等针叶林（含针叶混交林、针阔混交林），以及人工桤木阔叶林的森林质量提升工程项目建设。</w:t>
      </w:r>
    </w:p>
    <w:p>
      <w:pPr>
        <w:pStyle w:val="24"/>
        <w:numPr>
          <w:ilvl w:val="0"/>
          <w:numId w:val="1"/>
        </w:numPr>
        <w:ind w:left="284" w:hanging="284" w:firstLineChars="0"/>
        <w:outlineLvl w:val="0"/>
        <w:rPr>
          <w:rFonts w:eastAsia="黑体"/>
          <w:sz w:val="28"/>
          <w:szCs w:val="28"/>
        </w:rPr>
      </w:pPr>
      <w:bookmarkStart w:id="7" w:name="_Toc4577"/>
      <w:bookmarkStart w:id="8" w:name="_Toc5480"/>
      <w:bookmarkStart w:id="9" w:name="_Toc27419"/>
      <w:bookmarkStart w:id="10" w:name="_Toc13980"/>
      <w:bookmarkStart w:id="11" w:name="_Toc14471"/>
      <w:r>
        <w:rPr>
          <w:rFonts w:eastAsia="黑体"/>
          <w:sz w:val="28"/>
          <w:szCs w:val="28"/>
        </w:rPr>
        <w:t>规范性引用文件</w:t>
      </w:r>
      <w:bookmarkEnd w:id="7"/>
      <w:bookmarkEnd w:id="8"/>
      <w:bookmarkEnd w:id="9"/>
      <w:bookmarkEnd w:id="10"/>
      <w:bookmarkEnd w:id="11"/>
    </w:p>
    <w:p>
      <w:pPr>
        <w:widowControl/>
        <w:spacing w:line="360" w:lineRule="auto"/>
        <w:ind w:firstLine="480" w:firstLineChars="200"/>
        <w:jc w:val="left"/>
        <w:rPr>
          <w:kern w:val="0"/>
          <w:szCs w:val="24"/>
        </w:rPr>
      </w:pPr>
      <w:r>
        <w:rPr>
          <w:kern w:val="0"/>
          <w:szCs w:val="24"/>
        </w:rPr>
        <w:t>下列文件对于本导则的应用是必不可少的。其最新版本（包括所有的修改单）适用于本导则。</w:t>
      </w:r>
    </w:p>
    <w:p>
      <w:pPr>
        <w:widowControl/>
        <w:spacing w:line="360" w:lineRule="auto"/>
        <w:ind w:firstLine="480" w:firstLineChars="200"/>
        <w:jc w:val="left"/>
        <w:rPr>
          <w:kern w:val="0"/>
          <w:szCs w:val="24"/>
        </w:rPr>
      </w:pPr>
      <w:r>
        <w:rPr>
          <w:kern w:val="0"/>
          <w:szCs w:val="24"/>
        </w:rPr>
        <w:t>GB/T 15776造林技术规程</w:t>
      </w:r>
    </w:p>
    <w:p>
      <w:pPr>
        <w:widowControl/>
        <w:spacing w:line="360" w:lineRule="auto"/>
        <w:ind w:firstLine="480" w:firstLineChars="200"/>
        <w:jc w:val="left"/>
        <w:rPr>
          <w:kern w:val="0"/>
          <w:szCs w:val="24"/>
        </w:rPr>
      </w:pPr>
      <w:r>
        <w:rPr>
          <w:kern w:val="0"/>
          <w:szCs w:val="24"/>
        </w:rPr>
        <w:t>GB/T 15781森林抚育规程</w:t>
      </w:r>
    </w:p>
    <w:p>
      <w:pPr>
        <w:widowControl/>
        <w:spacing w:line="360" w:lineRule="auto"/>
        <w:ind w:firstLine="480" w:firstLineChars="200"/>
        <w:jc w:val="left"/>
        <w:rPr>
          <w:kern w:val="0"/>
          <w:szCs w:val="24"/>
        </w:rPr>
      </w:pPr>
      <w:r>
        <w:rPr>
          <w:kern w:val="0"/>
          <w:szCs w:val="24"/>
        </w:rPr>
        <w:t>GB/T 18337.3生态公益林建设技术规程</w:t>
      </w:r>
    </w:p>
    <w:p>
      <w:pPr>
        <w:widowControl/>
        <w:spacing w:line="360" w:lineRule="auto"/>
        <w:ind w:firstLine="480" w:firstLineChars="200"/>
        <w:jc w:val="left"/>
        <w:rPr>
          <w:kern w:val="0"/>
          <w:szCs w:val="24"/>
        </w:rPr>
      </w:pPr>
      <w:r>
        <w:rPr>
          <w:kern w:val="0"/>
          <w:szCs w:val="24"/>
        </w:rPr>
        <w:t>LY/T 1690低效林改造技术规程</w:t>
      </w:r>
    </w:p>
    <w:p>
      <w:pPr>
        <w:widowControl/>
        <w:spacing w:line="360" w:lineRule="auto"/>
        <w:ind w:firstLine="480" w:firstLineChars="200"/>
        <w:jc w:val="left"/>
        <w:rPr>
          <w:kern w:val="0"/>
          <w:szCs w:val="24"/>
        </w:rPr>
      </w:pPr>
      <w:r>
        <w:rPr>
          <w:kern w:val="0"/>
          <w:szCs w:val="24"/>
        </w:rPr>
        <w:t>LY/T 3179退化防护林修复技术规程</w:t>
      </w:r>
    </w:p>
    <w:p>
      <w:pPr>
        <w:widowControl/>
        <w:spacing w:line="360" w:lineRule="auto"/>
        <w:ind w:firstLine="480" w:firstLineChars="200"/>
        <w:jc w:val="left"/>
        <w:rPr>
          <w:kern w:val="0"/>
          <w:szCs w:val="24"/>
        </w:rPr>
      </w:pPr>
      <w:r>
        <w:rPr>
          <w:kern w:val="0"/>
          <w:szCs w:val="24"/>
        </w:rPr>
        <w:t>LY/T 5007林火阻隔系统建设标准</w:t>
      </w:r>
    </w:p>
    <w:p>
      <w:pPr>
        <w:widowControl/>
        <w:spacing w:line="360" w:lineRule="auto"/>
        <w:ind w:firstLine="480" w:firstLineChars="200"/>
        <w:jc w:val="left"/>
        <w:rPr>
          <w:kern w:val="0"/>
          <w:szCs w:val="24"/>
        </w:rPr>
      </w:pPr>
      <w:r>
        <w:rPr>
          <w:kern w:val="0"/>
          <w:szCs w:val="24"/>
        </w:rPr>
        <w:t>DA/T 28建设项目档案管理规范</w:t>
      </w:r>
    </w:p>
    <w:p>
      <w:pPr>
        <w:widowControl/>
        <w:spacing w:line="360" w:lineRule="auto"/>
        <w:ind w:firstLine="480" w:firstLineChars="200"/>
        <w:jc w:val="left"/>
        <w:rPr>
          <w:kern w:val="0"/>
          <w:szCs w:val="24"/>
        </w:rPr>
      </w:pPr>
      <w:r>
        <w:rPr>
          <w:kern w:val="0"/>
          <w:szCs w:val="24"/>
        </w:rPr>
        <w:t>DB43/094主要造林树种苗木质量分级</w:t>
      </w:r>
    </w:p>
    <w:p>
      <w:pPr>
        <w:widowControl/>
        <w:spacing w:line="360" w:lineRule="auto"/>
        <w:ind w:firstLine="480" w:firstLineChars="200"/>
        <w:jc w:val="left"/>
        <w:rPr>
          <w:kern w:val="0"/>
          <w:szCs w:val="24"/>
        </w:rPr>
      </w:pPr>
      <w:r>
        <w:rPr>
          <w:kern w:val="0"/>
          <w:szCs w:val="24"/>
        </w:rPr>
        <w:t>DB43/T 1027近自然森林可持续经营技术规程</w:t>
      </w:r>
    </w:p>
    <w:p>
      <w:pPr>
        <w:pStyle w:val="24"/>
        <w:numPr>
          <w:ilvl w:val="0"/>
          <w:numId w:val="1"/>
        </w:numPr>
        <w:ind w:left="284" w:hanging="284" w:firstLineChars="0"/>
        <w:outlineLvl w:val="0"/>
        <w:rPr>
          <w:rFonts w:eastAsia="黑体"/>
          <w:sz w:val="28"/>
          <w:szCs w:val="28"/>
        </w:rPr>
      </w:pPr>
      <w:bookmarkStart w:id="12" w:name="_Toc17060"/>
      <w:bookmarkStart w:id="13" w:name="_Toc12069"/>
      <w:bookmarkStart w:id="14" w:name="_Toc26211"/>
      <w:bookmarkStart w:id="15" w:name="_Toc992"/>
      <w:bookmarkStart w:id="16" w:name="_Toc5671"/>
      <w:bookmarkStart w:id="17" w:name="_Toc35528047"/>
      <w:r>
        <w:rPr>
          <w:rFonts w:eastAsia="黑体"/>
          <w:sz w:val="28"/>
          <w:szCs w:val="28"/>
        </w:rPr>
        <w:t>术语和定义</w:t>
      </w:r>
      <w:bookmarkEnd w:id="12"/>
      <w:bookmarkEnd w:id="13"/>
      <w:bookmarkEnd w:id="14"/>
      <w:bookmarkEnd w:id="15"/>
      <w:bookmarkEnd w:id="16"/>
      <w:bookmarkEnd w:id="17"/>
    </w:p>
    <w:p>
      <w:pPr>
        <w:widowControl/>
        <w:spacing w:line="360" w:lineRule="auto"/>
        <w:ind w:firstLine="480" w:firstLineChars="200"/>
        <w:jc w:val="left"/>
        <w:rPr>
          <w:kern w:val="0"/>
          <w:szCs w:val="24"/>
        </w:rPr>
      </w:pPr>
      <w:r>
        <w:rPr>
          <w:kern w:val="0"/>
          <w:szCs w:val="24"/>
        </w:rPr>
        <w:t>下列术语和定义适用于本导则。</w:t>
      </w:r>
    </w:p>
    <w:p>
      <w:pPr>
        <w:pStyle w:val="3"/>
        <w:numPr>
          <w:ilvl w:val="1"/>
          <w:numId w:val="1"/>
        </w:numPr>
        <w:spacing w:before="0" w:after="0" w:line="360" w:lineRule="auto"/>
        <w:rPr>
          <w:rFonts w:ascii="Times New Roman" w:hAnsi="Times New Roman" w:eastAsia="黑体" w:cs="Times New Roman"/>
          <w:b w:val="0"/>
          <w:sz w:val="24"/>
          <w:szCs w:val="24"/>
        </w:rPr>
      </w:pPr>
      <w:bookmarkStart w:id="18" w:name="_Toc25767"/>
      <w:bookmarkStart w:id="19" w:name="_Toc2205"/>
      <w:bookmarkStart w:id="20" w:name="_Toc7093"/>
      <w:bookmarkStart w:id="21" w:name="_Toc15748"/>
      <w:bookmarkStart w:id="22" w:name="_Toc16950"/>
      <w:r>
        <w:rPr>
          <w:rFonts w:ascii="Times New Roman" w:hAnsi="Times New Roman" w:eastAsia="黑体" w:cs="Times New Roman"/>
          <w:b w:val="0"/>
          <w:sz w:val="24"/>
          <w:szCs w:val="24"/>
        </w:rPr>
        <w:t>森林质量</w:t>
      </w:r>
      <w:bookmarkEnd w:id="18"/>
      <w:bookmarkEnd w:id="19"/>
      <w:bookmarkEnd w:id="20"/>
      <w:bookmarkEnd w:id="21"/>
      <w:bookmarkEnd w:id="22"/>
    </w:p>
    <w:p>
      <w:pPr>
        <w:widowControl/>
        <w:spacing w:line="360" w:lineRule="auto"/>
        <w:ind w:firstLine="480" w:firstLineChars="200"/>
        <w:jc w:val="left"/>
        <w:rPr>
          <w:kern w:val="0"/>
          <w:szCs w:val="24"/>
        </w:rPr>
      </w:pPr>
      <w:r>
        <w:rPr>
          <w:kern w:val="0"/>
          <w:szCs w:val="24"/>
        </w:rPr>
        <w:t>森林在生态、社会和经济效益方面的所有功能与价值总和。</w:t>
      </w:r>
    </w:p>
    <w:p>
      <w:pPr>
        <w:pStyle w:val="3"/>
        <w:numPr>
          <w:ilvl w:val="1"/>
          <w:numId w:val="1"/>
        </w:numPr>
        <w:spacing w:before="0" w:after="0" w:line="360" w:lineRule="auto"/>
        <w:rPr>
          <w:rFonts w:ascii="Times New Roman" w:hAnsi="Times New Roman" w:eastAsia="黑体" w:cs="Times New Roman"/>
          <w:b w:val="0"/>
          <w:sz w:val="24"/>
          <w:szCs w:val="24"/>
        </w:rPr>
      </w:pPr>
      <w:bookmarkStart w:id="23" w:name="_Toc35528050"/>
      <w:bookmarkStart w:id="24" w:name="_Toc25498"/>
      <w:bookmarkStart w:id="25" w:name="_Toc17826"/>
      <w:bookmarkStart w:id="26" w:name="_Toc19822"/>
      <w:bookmarkStart w:id="27" w:name="_Toc24229"/>
      <w:bookmarkStart w:id="28" w:name="_Toc10047"/>
      <w:r>
        <w:rPr>
          <w:rFonts w:ascii="Times New Roman" w:hAnsi="Times New Roman" w:eastAsia="黑体" w:cs="Times New Roman"/>
          <w:b w:val="0"/>
          <w:sz w:val="24"/>
          <w:szCs w:val="24"/>
        </w:rPr>
        <w:t>森林质量提升</w:t>
      </w:r>
      <w:bookmarkEnd w:id="23"/>
      <w:bookmarkEnd w:id="24"/>
      <w:bookmarkEnd w:id="25"/>
      <w:bookmarkEnd w:id="26"/>
      <w:bookmarkEnd w:id="27"/>
      <w:bookmarkEnd w:id="28"/>
    </w:p>
    <w:p>
      <w:pPr>
        <w:widowControl/>
        <w:spacing w:line="360" w:lineRule="auto"/>
        <w:ind w:firstLine="480" w:firstLineChars="200"/>
        <w:jc w:val="left"/>
        <w:rPr>
          <w:kern w:val="0"/>
          <w:szCs w:val="24"/>
        </w:rPr>
      </w:pPr>
      <w:r>
        <w:rPr>
          <w:kern w:val="0"/>
          <w:szCs w:val="24"/>
        </w:rPr>
        <w:t>针对树种单一、生态功能不强以及具有提升潜力的人工纯林的中幼龄林或者近熟林，按照近自然经营理念，开展的林分改造、森林抚育、退化林修复等一系列经营措施和活动。</w:t>
      </w:r>
    </w:p>
    <w:p>
      <w:pPr>
        <w:pStyle w:val="3"/>
        <w:numPr>
          <w:ilvl w:val="1"/>
          <w:numId w:val="1"/>
        </w:numPr>
        <w:spacing w:before="0" w:after="0" w:line="360" w:lineRule="auto"/>
        <w:rPr>
          <w:rFonts w:ascii="Times New Roman" w:hAnsi="Times New Roman" w:eastAsia="黑体" w:cs="Times New Roman"/>
          <w:b w:val="0"/>
          <w:sz w:val="24"/>
          <w:szCs w:val="24"/>
        </w:rPr>
      </w:pPr>
      <w:bookmarkStart w:id="29" w:name="_Toc29211"/>
      <w:bookmarkStart w:id="30" w:name="_Toc17333"/>
      <w:bookmarkStart w:id="31" w:name="_Toc30606"/>
      <w:bookmarkStart w:id="32" w:name="_Toc6673"/>
      <w:bookmarkStart w:id="33" w:name="_Toc8373"/>
      <w:r>
        <w:rPr>
          <w:rFonts w:ascii="Times New Roman" w:hAnsi="Times New Roman" w:eastAsia="黑体" w:cs="Times New Roman"/>
          <w:b w:val="0"/>
          <w:sz w:val="24"/>
          <w:szCs w:val="24"/>
        </w:rPr>
        <w:t>间伐</w:t>
      </w:r>
      <w:bookmarkEnd w:id="29"/>
      <w:bookmarkEnd w:id="30"/>
      <w:bookmarkEnd w:id="31"/>
      <w:bookmarkEnd w:id="32"/>
      <w:bookmarkEnd w:id="33"/>
    </w:p>
    <w:p>
      <w:pPr>
        <w:widowControl/>
        <w:spacing w:line="360" w:lineRule="auto"/>
        <w:ind w:firstLine="480" w:firstLineChars="200"/>
        <w:jc w:val="left"/>
        <w:rPr>
          <w:kern w:val="0"/>
          <w:szCs w:val="24"/>
        </w:rPr>
      </w:pPr>
      <w:r>
        <w:rPr>
          <w:kern w:val="0"/>
          <w:szCs w:val="24"/>
        </w:rPr>
        <w:t>根据林分发育、林木竞争和自然稀疏规律及森林培育目标，适时适量伐除部分林木，调整树种组成和林分密度，优化林分结构，改善林木生长环境条件，促进保留木生长的营林措施。</w:t>
      </w:r>
    </w:p>
    <w:p>
      <w:pPr>
        <w:pStyle w:val="3"/>
        <w:numPr>
          <w:ilvl w:val="1"/>
          <w:numId w:val="1"/>
        </w:numPr>
        <w:spacing w:before="0" w:after="0" w:line="360" w:lineRule="auto"/>
        <w:rPr>
          <w:rFonts w:ascii="Times New Roman" w:hAnsi="Times New Roman" w:eastAsia="黑体" w:cs="Times New Roman"/>
          <w:b w:val="0"/>
          <w:sz w:val="24"/>
          <w:szCs w:val="24"/>
        </w:rPr>
      </w:pPr>
      <w:bookmarkStart w:id="34" w:name="_Toc1154"/>
      <w:bookmarkStart w:id="35" w:name="_Toc17480"/>
      <w:bookmarkStart w:id="36" w:name="_Toc2755"/>
      <w:bookmarkStart w:id="37" w:name="_Toc5189"/>
      <w:bookmarkStart w:id="38" w:name="_Toc24722"/>
      <w:r>
        <w:rPr>
          <w:rFonts w:ascii="Times New Roman" w:hAnsi="Times New Roman" w:eastAsia="黑体" w:cs="Times New Roman"/>
          <w:b w:val="0"/>
          <w:sz w:val="24"/>
          <w:szCs w:val="24"/>
        </w:rPr>
        <w:t>修枝</w:t>
      </w:r>
      <w:bookmarkEnd w:id="34"/>
      <w:bookmarkEnd w:id="35"/>
      <w:bookmarkEnd w:id="36"/>
      <w:bookmarkEnd w:id="37"/>
      <w:bookmarkEnd w:id="38"/>
    </w:p>
    <w:p>
      <w:pPr>
        <w:widowControl/>
        <w:spacing w:line="360" w:lineRule="auto"/>
        <w:ind w:firstLine="480" w:firstLineChars="200"/>
        <w:jc w:val="left"/>
        <w:rPr>
          <w:kern w:val="0"/>
          <w:szCs w:val="24"/>
        </w:rPr>
      </w:pPr>
      <w:r>
        <w:rPr>
          <w:kern w:val="0"/>
          <w:szCs w:val="24"/>
        </w:rPr>
        <w:t>人为地除去上层目的树种下部枝条或者去除补植树种多余侧枝的抚育方式。主要用于培育自然整枝不良的大径级用材林或珍贵树种用材林。</w:t>
      </w:r>
    </w:p>
    <w:p>
      <w:pPr>
        <w:pStyle w:val="3"/>
        <w:numPr>
          <w:ilvl w:val="1"/>
          <w:numId w:val="1"/>
        </w:numPr>
        <w:spacing w:before="0" w:after="0" w:line="360" w:lineRule="auto"/>
        <w:rPr>
          <w:rFonts w:ascii="Times New Roman" w:hAnsi="Times New Roman" w:eastAsia="黑体" w:cs="Times New Roman"/>
          <w:b w:val="0"/>
          <w:sz w:val="24"/>
          <w:szCs w:val="24"/>
        </w:rPr>
      </w:pPr>
      <w:bookmarkStart w:id="39" w:name="_Toc13245"/>
      <w:bookmarkStart w:id="40" w:name="_Toc17304"/>
      <w:bookmarkStart w:id="41" w:name="_Toc32467"/>
      <w:bookmarkStart w:id="42" w:name="_Toc13482"/>
      <w:bookmarkStart w:id="43" w:name="_Toc27249"/>
      <w:r>
        <w:rPr>
          <w:rFonts w:ascii="Times New Roman" w:hAnsi="Times New Roman" w:eastAsia="黑体" w:cs="Times New Roman"/>
          <w:b w:val="0"/>
          <w:sz w:val="24"/>
          <w:szCs w:val="24"/>
        </w:rPr>
        <w:t>补植</w:t>
      </w:r>
      <w:bookmarkEnd w:id="39"/>
      <w:bookmarkEnd w:id="40"/>
      <w:bookmarkEnd w:id="41"/>
      <w:bookmarkEnd w:id="42"/>
      <w:bookmarkEnd w:id="43"/>
    </w:p>
    <w:p>
      <w:pPr>
        <w:widowControl/>
        <w:spacing w:line="360" w:lineRule="auto"/>
        <w:ind w:firstLine="480" w:firstLineChars="200"/>
        <w:jc w:val="left"/>
        <w:rPr>
          <w:kern w:val="0"/>
          <w:szCs w:val="24"/>
        </w:rPr>
      </w:pPr>
      <w:r>
        <w:rPr>
          <w:kern w:val="0"/>
          <w:szCs w:val="24"/>
        </w:rPr>
        <w:t>在郁闭度低的林分，或林隙、林窗、林中空地等，或在缺少目的树种的林分中，在林冠下或林窗等处补植目的树种，调整树种结构和林分密度、提高林地生产力和生态功能的营林措施。</w:t>
      </w:r>
    </w:p>
    <w:p>
      <w:pPr>
        <w:pStyle w:val="3"/>
        <w:numPr>
          <w:ilvl w:val="1"/>
          <w:numId w:val="1"/>
        </w:numPr>
        <w:spacing w:before="0" w:after="0" w:line="360" w:lineRule="auto"/>
        <w:rPr>
          <w:rFonts w:ascii="Times New Roman" w:hAnsi="Times New Roman" w:eastAsia="黑体" w:cs="Times New Roman"/>
          <w:b w:val="0"/>
          <w:sz w:val="24"/>
          <w:szCs w:val="24"/>
        </w:rPr>
      </w:pPr>
      <w:bookmarkStart w:id="44" w:name="_Toc21032"/>
      <w:bookmarkStart w:id="45" w:name="_Toc11842"/>
      <w:bookmarkStart w:id="46" w:name="_Toc12872"/>
      <w:bookmarkStart w:id="47" w:name="_Toc10537"/>
      <w:bookmarkStart w:id="48" w:name="_Toc17889"/>
      <w:r>
        <w:rPr>
          <w:rFonts w:ascii="Times New Roman" w:hAnsi="Times New Roman" w:eastAsia="黑体" w:cs="Times New Roman"/>
          <w:b w:val="0"/>
          <w:sz w:val="24"/>
          <w:szCs w:val="24"/>
        </w:rPr>
        <w:t>培蔸</w:t>
      </w:r>
      <w:bookmarkEnd w:id="44"/>
      <w:bookmarkEnd w:id="45"/>
      <w:bookmarkEnd w:id="46"/>
      <w:bookmarkEnd w:id="47"/>
      <w:bookmarkEnd w:id="48"/>
    </w:p>
    <w:p>
      <w:pPr>
        <w:widowControl/>
        <w:spacing w:line="360" w:lineRule="auto"/>
        <w:ind w:firstLine="480" w:firstLineChars="200"/>
        <w:jc w:val="left"/>
        <w:rPr>
          <w:kern w:val="0"/>
          <w:szCs w:val="24"/>
        </w:rPr>
      </w:pPr>
      <w:r>
        <w:rPr>
          <w:kern w:val="0"/>
          <w:szCs w:val="24"/>
        </w:rPr>
        <w:t>以林分内补植和保留的苗木植株为中心，清除1米直径范围内影响木生长的杂草杂灌，培蔸除萌，覆盖保墒的营林措施。</w:t>
      </w:r>
    </w:p>
    <w:p>
      <w:pPr>
        <w:pStyle w:val="3"/>
        <w:numPr>
          <w:ilvl w:val="1"/>
          <w:numId w:val="1"/>
        </w:numPr>
        <w:spacing w:before="0" w:after="0" w:line="360" w:lineRule="auto"/>
        <w:rPr>
          <w:rFonts w:ascii="Times New Roman" w:hAnsi="Times New Roman" w:eastAsia="黑体" w:cs="Times New Roman"/>
          <w:b w:val="0"/>
          <w:sz w:val="24"/>
          <w:szCs w:val="24"/>
        </w:rPr>
      </w:pPr>
      <w:bookmarkStart w:id="49" w:name="_Toc5185"/>
      <w:bookmarkStart w:id="50" w:name="_Toc12644"/>
      <w:bookmarkStart w:id="51" w:name="_Toc24298"/>
      <w:bookmarkStart w:id="52" w:name="_Toc660"/>
      <w:bookmarkStart w:id="53" w:name="_Toc2075"/>
      <w:r>
        <w:rPr>
          <w:rFonts w:ascii="Times New Roman" w:hAnsi="Times New Roman" w:eastAsia="黑体" w:cs="Times New Roman"/>
          <w:b w:val="0"/>
          <w:sz w:val="24"/>
          <w:szCs w:val="24"/>
        </w:rPr>
        <w:t>目标树</w:t>
      </w:r>
      <w:bookmarkEnd w:id="49"/>
      <w:bookmarkEnd w:id="50"/>
      <w:bookmarkEnd w:id="51"/>
      <w:bookmarkEnd w:id="52"/>
      <w:bookmarkEnd w:id="53"/>
    </w:p>
    <w:p>
      <w:pPr>
        <w:widowControl/>
        <w:spacing w:line="360" w:lineRule="auto"/>
        <w:ind w:firstLine="480" w:firstLineChars="200"/>
        <w:jc w:val="left"/>
        <w:rPr>
          <w:kern w:val="0"/>
          <w:szCs w:val="24"/>
        </w:rPr>
      </w:pPr>
      <w:r>
        <w:rPr>
          <w:kern w:val="0"/>
          <w:szCs w:val="24"/>
        </w:rPr>
        <w:t>在目的树种中，对林分稳定性和生产力发挥重要作用的长势好、质量优、寿命长、价值高，需要长期保留直到达到目标直径方可采伐利用的林木。</w:t>
      </w:r>
    </w:p>
    <w:p>
      <w:pPr>
        <w:pStyle w:val="3"/>
        <w:numPr>
          <w:ilvl w:val="1"/>
          <w:numId w:val="1"/>
        </w:numPr>
        <w:spacing w:before="0" w:after="0" w:line="360" w:lineRule="auto"/>
        <w:rPr>
          <w:rFonts w:ascii="Times New Roman" w:hAnsi="Times New Roman" w:eastAsia="黑体" w:cs="Times New Roman"/>
          <w:b w:val="0"/>
          <w:sz w:val="24"/>
          <w:szCs w:val="24"/>
        </w:rPr>
      </w:pPr>
      <w:bookmarkStart w:id="54" w:name="_Toc20698"/>
      <w:bookmarkStart w:id="55" w:name="_Toc10189"/>
      <w:bookmarkStart w:id="56" w:name="_Toc25136"/>
      <w:bookmarkStart w:id="57" w:name="_Toc27083"/>
      <w:bookmarkStart w:id="58" w:name="_Toc17594"/>
      <w:r>
        <w:rPr>
          <w:rFonts w:ascii="Times New Roman" w:hAnsi="Times New Roman" w:eastAsia="黑体" w:cs="Times New Roman"/>
          <w:b w:val="0"/>
          <w:sz w:val="24"/>
          <w:szCs w:val="24"/>
        </w:rPr>
        <w:t>干扰树</w:t>
      </w:r>
      <w:bookmarkEnd w:id="54"/>
      <w:bookmarkEnd w:id="55"/>
      <w:bookmarkEnd w:id="56"/>
      <w:bookmarkEnd w:id="57"/>
      <w:bookmarkEnd w:id="58"/>
    </w:p>
    <w:p>
      <w:pPr>
        <w:widowControl/>
        <w:spacing w:line="360" w:lineRule="auto"/>
        <w:ind w:firstLine="480" w:firstLineChars="200"/>
        <w:jc w:val="left"/>
        <w:rPr>
          <w:kern w:val="0"/>
          <w:szCs w:val="24"/>
        </w:rPr>
      </w:pPr>
      <w:r>
        <w:rPr>
          <w:kern w:val="0"/>
          <w:szCs w:val="24"/>
        </w:rPr>
        <w:t>对目标树生长直接产生不利影响、或显著影响林分卫生条件，需要在近期采伐的林木。</w:t>
      </w:r>
    </w:p>
    <w:p>
      <w:pPr>
        <w:pStyle w:val="3"/>
        <w:numPr>
          <w:ilvl w:val="1"/>
          <w:numId w:val="1"/>
        </w:numPr>
        <w:spacing w:before="0" w:after="0" w:line="360" w:lineRule="auto"/>
        <w:rPr>
          <w:rFonts w:ascii="Times New Roman" w:hAnsi="Times New Roman" w:eastAsia="黑体" w:cs="Times New Roman"/>
          <w:b w:val="0"/>
          <w:sz w:val="24"/>
          <w:szCs w:val="24"/>
        </w:rPr>
      </w:pPr>
      <w:r>
        <w:rPr>
          <w:rFonts w:ascii="Times New Roman" w:hAnsi="Times New Roman" w:eastAsia="黑体" w:cs="Times New Roman"/>
          <w:b w:val="0"/>
          <w:sz w:val="24"/>
          <w:szCs w:val="24"/>
        </w:rPr>
        <w:t>辅助树</w:t>
      </w:r>
    </w:p>
    <w:p>
      <w:pPr>
        <w:spacing w:line="560" w:lineRule="exact"/>
        <w:ind w:firstLine="560" w:firstLineChars="200"/>
        <w:jc w:val="left"/>
        <w:rPr>
          <w:sz w:val="28"/>
          <w:szCs w:val="28"/>
        </w:rPr>
      </w:pPr>
      <w:r>
        <w:rPr>
          <w:sz w:val="28"/>
          <w:szCs w:val="28"/>
        </w:rPr>
        <w:t>又称“生态目标树”，是有利于提高森林的生物多样性、保护珍稀濒危物种、改善森林空间结构、保护和改良土壤等功能的林木。比如，能为鸟类或其他动物提供栖息场所的林木可选择为辅助树加以保护。</w:t>
      </w:r>
    </w:p>
    <w:p>
      <w:pPr>
        <w:pStyle w:val="3"/>
        <w:numPr>
          <w:ilvl w:val="1"/>
          <w:numId w:val="1"/>
        </w:numPr>
        <w:spacing w:before="0" w:after="0" w:line="360" w:lineRule="auto"/>
        <w:rPr>
          <w:rFonts w:ascii="Times New Roman" w:hAnsi="Times New Roman" w:eastAsia="黑体" w:cs="Times New Roman"/>
          <w:b w:val="0"/>
          <w:sz w:val="24"/>
          <w:szCs w:val="24"/>
        </w:rPr>
      </w:pPr>
      <w:r>
        <w:rPr>
          <w:rFonts w:ascii="Times New Roman" w:hAnsi="Times New Roman" w:eastAsia="黑体" w:cs="Times New Roman"/>
          <w:b w:val="0"/>
          <w:sz w:val="24"/>
          <w:szCs w:val="24"/>
        </w:rPr>
        <w:t>干扰树</w:t>
      </w:r>
    </w:p>
    <w:p>
      <w:pPr>
        <w:spacing w:line="560" w:lineRule="exact"/>
        <w:ind w:firstLine="560" w:firstLineChars="200"/>
        <w:jc w:val="left"/>
        <w:rPr>
          <w:sz w:val="28"/>
          <w:szCs w:val="28"/>
        </w:rPr>
      </w:pPr>
      <w:r>
        <w:rPr>
          <w:sz w:val="28"/>
          <w:szCs w:val="28"/>
        </w:rPr>
        <w:t>对目标树生长直接产生不利影响、或显著影响林分卫生条件、需要在近期采伐的林木。</w:t>
      </w:r>
    </w:p>
    <w:p>
      <w:pPr>
        <w:pStyle w:val="3"/>
        <w:numPr>
          <w:ilvl w:val="1"/>
          <w:numId w:val="1"/>
        </w:numPr>
        <w:spacing w:before="0" w:after="0" w:line="360" w:lineRule="auto"/>
        <w:rPr>
          <w:rFonts w:ascii="Times New Roman" w:hAnsi="Times New Roman" w:eastAsia="黑体" w:cs="Times New Roman"/>
          <w:b w:val="0"/>
          <w:sz w:val="24"/>
          <w:szCs w:val="24"/>
        </w:rPr>
      </w:pPr>
      <w:r>
        <w:rPr>
          <w:rFonts w:ascii="Times New Roman" w:hAnsi="Times New Roman" w:eastAsia="黑体" w:cs="Times New Roman"/>
          <w:b w:val="0"/>
          <w:sz w:val="24"/>
          <w:szCs w:val="24"/>
        </w:rPr>
        <w:t>其它树</w:t>
      </w:r>
    </w:p>
    <w:p>
      <w:pPr>
        <w:spacing w:line="560" w:lineRule="exact"/>
        <w:ind w:firstLine="560" w:firstLineChars="200"/>
        <w:jc w:val="left"/>
        <w:rPr>
          <w:sz w:val="28"/>
          <w:szCs w:val="28"/>
        </w:rPr>
      </w:pPr>
      <w:r>
        <w:rPr>
          <w:sz w:val="28"/>
          <w:szCs w:val="28"/>
        </w:rPr>
        <w:t>林分中除目标树、辅助树、干扰树以外的林木。</w:t>
      </w:r>
    </w:p>
    <w:p>
      <w:pPr>
        <w:pStyle w:val="24"/>
        <w:numPr>
          <w:ilvl w:val="0"/>
          <w:numId w:val="1"/>
        </w:numPr>
        <w:ind w:left="284" w:hanging="284" w:firstLineChars="0"/>
        <w:outlineLvl w:val="0"/>
        <w:rPr>
          <w:rFonts w:eastAsia="黑体"/>
          <w:sz w:val="28"/>
          <w:szCs w:val="28"/>
        </w:rPr>
      </w:pPr>
      <w:bookmarkStart w:id="59" w:name="_Toc16792"/>
      <w:bookmarkStart w:id="60" w:name="_Toc10645"/>
      <w:bookmarkStart w:id="61" w:name="_Toc25167"/>
      <w:bookmarkStart w:id="62" w:name="_Toc20786"/>
      <w:bookmarkStart w:id="63" w:name="_Toc16935"/>
      <w:r>
        <w:rPr>
          <w:rFonts w:eastAsia="黑体"/>
          <w:sz w:val="28"/>
          <w:szCs w:val="28"/>
        </w:rPr>
        <w:t>指导思想</w:t>
      </w:r>
      <w:bookmarkEnd w:id="59"/>
      <w:bookmarkEnd w:id="60"/>
      <w:bookmarkEnd w:id="61"/>
      <w:bookmarkEnd w:id="62"/>
      <w:bookmarkEnd w:id="63"/>
    </w:p>
    <w:p>
      <w:pPr>
        <w:widowControl/>
        <w:spacing w:line="360" w:lineRule="auto"/>
        <w:ind w:firstLine="480" w:firstLineChars="200"/>
        <w:jc w:val="left"/>
        <w:rPr>
          <w:kern w:val="0"/>
          <w:szCs w:val="24"/>
        </w:rPr>
      </w:pPr>
      <w:r>
        <w:rPr>
          <w:kern w:val="0"/>
          <w:szCs w:val="24"/>
        </w:rPr>
        <w:t>深入贯彻习近平生态文明思想，以多功能森林经营理论为指导，以精准提升森林质量、储备优质木材、增强生态功能和优质生态产品供给为目标，依据森林类型、立地质量、发育阶段和主导功能，准确诊断、精细规划、定向施策，提高森林质量和林地生产力，培育健康稳定高效的森林生态系统。</w:t>
      </w:r>
    </w:p>
    <w:p>
      <w:pPr>
        <w:pStyle w:val="24"/>
        <w:numPr>
          <w:ilvl w:val="0"/>
          <w:numId w:val="1"/>
        </w:numPr>
        <w:ind w:left="284" w:hanging="284" w:firstLineChars="0"/>
        <w:outlineLvl w:val="0"/>
        <w:rPr>
          <w:rFonts w:eastAsia="黑体"/>
          <w:sz w:val="28"/>
          <w:szCs w:val="28"/>
        </w:rPr>
      </w:pPr>
      <w:bookmarkStart w:id="64" w:name="_Toc35528057"/>
      <w:bookmarkStart w:id="65" w:name="_Toc11822"/>
      <w:bookmarkStart w:id="66" w:name="_Toc2015"/>
      <w:bookmarkStart w:id="67" w:name="_Toc5072"/>
      <w:bookmarkStart w:id="68" w:name="_Toc14457"/>
      <w:bookmarkStart w:id="69" w:name="_Toc7565"/>
      <w:r>
        <w:rPr>
          <w:rFonts w:eastAsia="黑体"/>
          <w:sz w:val="28"/>
          <w:szCs w:val="28"/>
        </w:rPr>
        <w:t>建设原则</w:t>
      </w:r>
      <w:bookmarkEnd w:id="64"/>
      <w:r>
        <w:rPr>
          <w:rFonts w:eastAsia="黑体"/>
          <w:sz w:val="28"/>
          <w:szCs w:val="28"/>
        </w:rPr>
        <w:t>与目标</w:t>
      </w:r>
      <w:bookmarkEnd w:id="65"/>
      <w:bookmarkEnd w:id="66"/>
      <w:bookmarkEnd w:id="67"/>
      <w:bookmarkEnd w:id="68"/>
      <w:bookmarkEnd w:id="69"/>
    </w:p>
    <w:p>
      <w:pPr>
        <w:pStyle w:val="3"/>
        <w:numPr>
          <w:ilvl w:val="1"/>
          <w:numId w:val="1"/>
        </w:numPr>
        <w:spacing w:before="0" w:after="0" w:line="360" w:lineRule="auto"/>
        <w:rPr>
          <w:rFonts w:ascii="Times New Roman" w:hAnsi="Times New Roman" w:eastAsia="黑体" w:cs="Times New Roman"/>
          <w:b w:val="0"/>
          <w:sz w:val="24"/>
          <w:szCs w:val="24"/>
        </w:rPr>
      </w:pPr>
      <w:bookmarkStart w:id="70" w:name="_Toc21669"/>
      <w:bookmarkStart w:id="71" w:name="_Toc18957"/>
      <w:bookmarkStart w:id="72" w:name="_Toc15007"/>
      <w:bookmarkStart w:id="73" w:name="_Toc25532"/>
      <w:bookmarkStart w:id="74" w:name="_Toc12388"/>
      <w:r>
        <w:rPr>
          <w:rFonts w:ascii="Times New Roman" w:hAnsi="Times New Roman" w:eastAsia="黑体" w:cs="Times New Roman"/>
          <w:b w:val="0"/>
          <w:sz w:val="24"/>
          <w:szCs w:val="24"/>
        </w:rPr>
        <w:t>建设原则</w:t>
      </w:r>
      <w:bookmarkEnd w:id="70"/>
      <w:bookmarkEnd w:id="71"/>
      <w:bookmarkEnd w:id="72"/>
      <w:bookmarkEnd w:id="73"/>
      <w:bookmarkEnd w:id="74"/>
    </w:p>
    <w:p>
      <w:pPr>
        <w:pStyle w:val="24"/>
        <w:widowControl/>
        <w:spacing w:line="360" w:lineRule="auto"/>
        <w:ind w:firstLine="480"/>
        <w:jc w:val="left"/>
        <w:rPr>
          <w:kern w:val="0"/>
          <w:szCs w:val="24"/>
        </w:rPr>
      </w:pPr>
      <w:r>
        <w:rPr>
          <w:kern w:val="0"/>
          <w:szCs w:val="24"/>
        </w:rPr>
        <w:t>(1)坚持生态优先。加强原生境保护，充分保留原有的天然林木、珍稀植物、古树和野生动物栖息地，保持生物多样性，减少对自然生态系统造成的影响，逐步恢复和重建地带性顶级群落。</w:t>
      </w:r>
    </w:p>
    <w:p>
      <w:pPr>
        <w:pStyle w:val="24"/>
        <w:widowControl/>
        <w:spacing w:line="360" w:lineRule="auto"/>
        <w:ind w:firstLine="480"/>
        <w:jc w:val="left"/>
        <w:rPr>
          <w:kern w:val="0"/>
          <w:szCs w:val="24"/>
        </w:rPr>
      </w:pPr>
      <w:r>
        <w:rPr>
          <w:kern w:val="0"/>
          <w:szCs w:val="24"/>
        </w:rPr>
        <w:t>(2)坚持可持续经营目标和近自然林经营理念。按照可持续经营目标和近自然经营理念，结合森林经营规划，大力优化林分的树种、林层、林龄结构和空间配置布局。强化纯林抚育间伐措施，留足补植空间，培育多树种混交的复层异龄林，构建健康稳定的森林生态系统。</w:t>
      </w:r>
    </w:p>
    <w:p>
      <w:pPr>
        <w:widowControl/>
        <w:spacing w:line="360" w:lineRule="auto"/>
        <w:ind w:firstLine="480" w:firstLineChars="200"/>
        <w:jc w:val="left"/>
        <w:rPr>
          <w:kern w:val="0"/>
          <w:szCs w:val="24"/>
        </w:rPr>
      </w:pPr>
      <w:r>
        <w:rPr>
          <w:kern w:val="0"/>
          <w:szCs w:val="24"/>
        </w:rPr>
        <w:t>(3)坚持应用先进技术和标准。大力引进和推广使用先进成熟的新技术、新成果、新材料，严格执行现行标准。</w:t>
      </w:r>
    </w:p>
    <w:p>
      <w:pPr>
        <w:widowControl/>
        <w:spacing w:line="360" w:lineRule="auto"/>
        <w:ind w:firstLine="480" w:firstLineChars="200"/>
        <w:jc w:val="left"/>
      </w:pPr>
      <w:r>
        <w:rPr>
          <w:kern w:val="0"/>
          <w:szCs w:val="24"/>
        </w:rPr>
        <w:t>(4)</w:t>
      </w:r>
      <w:r>
        <w:t>遵循良种壮苗、适地适树原则。优先选择抗病性与抗逆性强、寿命长、材质好的优良乡土树种补植</w:t>
      </w:r>
      <w:r>
        <w:rPr>
          <w:kern w:val="0"/>
          <w:szCs w:val="24"/>
        </w:rPr>
        <w:t>，培育多树种混交林，恢复地带性森林植被。</w:t>
      </w:r>
      <w:r>
        <w:t>大力提倡轻基质容器苗或带土球大苗补植，严禁使用无冠苗木和未经引种试验的外来树种。</w:t>
      </w:r>
    </w:p>
    <w:p>
      <w:pPr>
        <w:pStyle w:val="3"/>
        <w:numPr>
          <w:ilvl w:val="1"/>
          <w:numId w:val="1"/>
        </w:numPr>
        <w:spacing w:before="0" w:after="0" w:line="360" w:lineRule="auto"/>
        <w:rPr>
          <w:rFonts w:ascii="Times New Roman" w:hAnsi="Times New Roman" w:eastAsia="黑体" w:cs="Times New Roman"/>
          <w:b w:val="0"/>
          <w:sz w:val="24"/>
          <w:szCs w:val="24"/>
        </w:rPr>
      </w:pPr>
      <w:bookmarkStart w:id="75" w:name="_Toc25222"/>
      <w:bookmarkStart w:id="76" w:name="_Toc5264"/>
      <w:bookmarkStart w:id="77" w:name="_Toc24940"/>
      <w:bookmarkStart w:id="78" w:name="_Toc13981"/>
      <w:bookmarkStart w:id="79" w:name="_Toc1005"/>
      <w:r>
        <w:rPr>
          <w:rFonts w:ascii="Times New Roman" w:hAnsi="Times New Roman" w:eastAsia="黑体" w:cs="Times New Roman"/>
          <w:b w:val="0"/>
          <w:sz w:val="24"/>
          <w:szCs w:val="24"/>
        </w:rPr>
        <w:t>建设目标</w:t>
      </w:r>
      <w:bookmarkEnd w:id="75"/>
      <w:bookmarkEnd w:id="76"/>
      <w:bookmarkEnd w:id="77"/>
      <w:bookmarkEnd w:id="78"/>
      <w:bookmarkEnd w:id="79"/>
    </w:p>
    <w:p>
      <w:pPr>
        <w:widowControl/>
        <w:spacing w:line="360" w:lineRule="auto"/>
        <w:ind w:firstLine="480" w:firstLineChars="200"/>
        <w:jc w:val="left"/>
        <w:rPr>
          <w:kern w:val="0"/>
          <w:szCs w:val="24"/>
        </w:rPr>
      </w:pPr>
      <w:r>
        <w:rPr>
          <w:kern w:val="0"/>
          <w:szCs w:val="24"/>
          <w:highlight w:val="yellow"/>
        </w:rPr>
        <w:t>通过森林质量精准提升工程建设，有力促进人工纯林由单一树种向多树种、复层异龄林过渡，形成恒续林，兼顾大径材，提升物种丰富度和碳汇储量，培育“结构合理、系统稳定，功能完备、效益递增”的森林生态系统。</w:t>
      </w:r>
    </w:p>
    <w:p>
      <w:pPr>
        <w:pStyle w:val="24"/>
        <w:numPr>
          <w:ilvl w:val="0"/>
          <w:numId w:val="1"/>
        </w:numPr>
        <w:ind w:left="284" w:hanging="284" w:firstLineChars="0"/>
        <w:outlineLvl w:val="0"/>
        <w:rPr>
          <w:rFonts w:eastAsia="黑体"/>
          <w:sz w:val="28"/>
          <w:szCs w:val="28"/>
        </w:rPr>
      </w:pPr>
      <w:bookmarkStart w:id="80" w:name="_Toc9027"/>
      <w:bookmarkStart w:id="81" w:name="_Toc18772"/>
      <w:bookmarkStart w:id="82" w:name="_Toc29636"/>
      <w:bookmarkStart w:id="83" w:name="_Toc6170"/>
      <w:bookmarkStart w:id="84" w:name="_Toc13222"/>
      <w:r>
        <w:rPr>
          <w:rFonts w:eastAsia="黑体"/>
          <w:sz w:val="28"/>
          <w:szCs w:val="28"/>
        </w:rPr>
        <w:t>林分选择</w:t>
      </w:r>
      <w:bookmarkEnd w:id="80"/>
      <w:bookmarkEnd w:id="81"/>
      <w:bookmarkEnd w:id="82"/>
      <w:bookmarkEnd w:id="83"/>
      <w:bookmarkEnd w:id="84"/>
    </w:p>
    <w:p>
      <w:pPr>
        <w:pStyle w:val="3"/>
        <w:numPr>
          <w:ilvl w:val="1"/>
          <w:numId w:val="1"/>
        </w:numPr>
        <w:spacing w:before="0" w:after="0" w:line="360" w:lineRule="auto"/>
        <w:rPr>
          <w:rFonts w:ascii="Times New Roman" w:hAnsi="Times New Roman" w:eastAsia="黑体" w:cs="Times New Roman"/>
          <w:b w:val="0"/>
          <w:sz w:val="24"/>
          <w:szCs w:val="24"/>
        </w:rPr>
      </w:pPr>
      <w:bookmarkStart w:id="85" w:name="_Toc5983"/>
      <w:bookmarkStart w:id="86" w:name="_Toc22476"/>
      <w:bookmarkStart w:id="87" w:name="_Toc24372"/>
      <w:bookmarkStart w:id="88" w:name="_Toc17907"/>
      <w:bookmarkStart w:id="89" w:name="_Toc20718"/>
      <w:r>
        <w:rPr>
          <w:rFonts w:ascii="Times New Roman" w:hAnsi="Times New Roman" w:eastAsia="黑体" w:cs="Times New Roman"/>
          <w:b w:val="0"/>
          <w:sz w:val="24"/>
          <w:szCs w:val="24"/>
        </w:rPr>
        <w:t>林分选择标准</w:t>
      </w:r>
      <w:bookmarkEnd w:id="85"/>
      <w:bookmarkEnd w:id="86"/>
      <w:bookmarkEnd w:id="87"/>
      <w:bookmarkEnd w:id="88"/>
      <w:bookmarkEnd w:id="89"/>
    </w:p>
    <w:p>
      <w:pPr>
        <w:widowControl/>
        <w:spacing w:line="360" w:lineRule="auto"/>
        <w:ind w:firstLine="480" w:firstLineChars="200"/>
        <w:jc w:val="left"/>
        <w:rPr>
          <w:kern w:val="0"/>
          <w:szCs w:val="24"/>
        </w:rPr>
      </w:pPr>
      <w:r>
        <w:rPr>
          <w:kern w:val="0"/>
          <w:szCs w:val="24"/>
        </w:rPr>
        <w:t>开展森林质量精准提升的林分，针叶林、针阔混交林选择11年~20年的林分，立地条件好且生长势较好的林分可延长至25年；阔叶林选择15年~25年的林分，立地条件好且生长势较好的林分可延长至30年。近5年内开展过间伐抚育，且满足下列要求：</w:t>
      </w:r>
    </w:p>
    <w:p>
      <w:pPr>
        <w:widowControl/>
        <w:numPr>
          <w:ilvl w:val="0"/>
          <w:numId w:val="2"/>
        </w:numPr>
        <w:spacing w:line="360" w:lineRule="auto"/>
        <w:ind w:firstLine="480" w:firstLineChars="200"/>
        <w:jc w:val="left"/>
        <w:rPr>
          <w:kern w:val="0"/>
          <w:szCs w:val="24"/>
        </w:rPr>
      </w:pPr>
      <w:r>
        <w:rPr>
          <w:kern w:val="0"/>
          <w:szCs w:val="24"/>
        </w:rPr>
        <w:t>林分立木各龄级密度要求见表1；</w:t>
      </w:r>
    </w:p>
    <w:tbl>
      <w:tblPr>
        <w:tblStyle w:val="18"/>
        <w:tblW w:w="8336" w:type="dxa"/>
        <w:tblInd w:w="0" w:type="dxa"/>
        <w:tblLayout w:type="fixed"/>
        <w:tblCellMar>
          <w:top w:w="0" w:type="dxa"/>
          <w:left w:w="0" w:type="dxa"/>
          <w:bottom w:w="0" w:type="dxa"/>
          <w:right w:w="0" w:type="dxa"/>
        </w:tblCellMar>
      </w:tblPr>
      <w:tblGrid>
        <w:gridCol w:w="1409"/>
        <w:gridCol w:w="681"/>
        <w:gridCol w:w="780"/>
        <w:gridCol w:w="780"/>
        <w:gridCol w:w="781"/>
        <w:gridCol w:w="781"/>
        <w:gridCol w:w="781"/>
        <w:gridCol w:w="781"/>
        <w:gridCol w:w="781"/>
        <w:gridCol w:w="781"/>
      </w:tblGrid>
      <w:tr>
        <w:tblPrEx>
          <w:tblLayout w:type="fixed"/>
          <w:tblCellMar>
            <w:top w:w="0" w:type="dxa"/>
            <w:left w:w="0" w:type="dxa"/>
            <w:bottom w:w="0" w:type="dxa"/>
            <w:right w:w="0" w:type="dxa"/>
          </w:tblCellMar>
        </w:tblPrEx>
        <w:trPr>
          <w:trHeight w:val="285" w:hRule="atLeast"/>
        </w:trPr>
        <w:tc>
          <w:tcPr>
            <w:tcW w:w="8336" w:type="dxa"/>
            <w:gridSpan w:val="10"/>
            <w:tcBorders>
              <w:top w:val="nil"/>
              <w:left w:val="nil"/>
              <w:bottom w:val="single" w:color="auto" w:sz="4" w:space="0"/>
              <w:right w:val="nil"/>
            </w:tcBorders>
            <w:tcMar>
              <w:top w:w="15" w:type="dxa"/>
              <w:left w:w="15" w:type="dxa"/>
              <w:bottom w:w="0" w:type="dxa"/>
              <w:right w:w="15" w:type="dxa"/>
            </w:tcMar>
            <w:vAlign w:val="center"/>
          </w:tcPr>
          <w:p>
            <w:pPr>
              <w:widowControl/>
              <w:jc w:val="center"/>
              <w:rPr>
                <w:kern w:val="0"/>
                <w:sz w:val="21"/>
                <w:szCs w:val="21"/>
              </w:rPr>
            </w:pPr>
            <w:r>
              <w:rPr>
                <w:rFonts w:eastAsia="黑体"/>
                <w:kern w:val="0"/>
                <w:sz w:val="21"/>
                <w:szCs w:val="21"/>
              </w:rPr>
              <w:t>表1：各龄级林分密度参考表</w:t>
            </w:r>
          </w:p>
        </w:tc>
      </w:tr>
      <w:tr>
        <w:tblPrEx>
          <w:tblLayout w:type="fixed"/>
          <w:tblCellMar>
            <w:top w:w="0" w:type="dxa"/>
            <w:left w:w="0" w:type="dxa"/>
            <w:bottom w:w="0" w:type="dxa"/>
            <w:right w:w="0" w:type="dxa"/>
          </w:tblCellMar>
        </w:tblPrEx>
        <w:trPr>
          <w:trHeight w:val="285" w:hRule="atLeast"/>
        </w:trPr>
        <w:tc>
          <w:tcPr>
            <w:tcW w:w="1409" w:type="dxa"/>
            <w:tcBorders>
              <w:top w:val="single" w:color="auto" w:sz="4"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林分类型</w:t>
            </w:r>
          </w:p>
        </w:tc>
        <w:tc>
          <w:tcPr>
            <w:tcW w:w="6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立地指数</w:t>
            </w:r>
          </w:p>
        </w:tc>
        <w:tc>
          <w:tcPr>
            <w:tcW w:w="780"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0"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20龄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22龄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24龄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26龄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杉木纯林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1725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1650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1500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1365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马尾松纯林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1350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1575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1500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945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湿地松、火炬松纯林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1365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1245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1140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1350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1320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1245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945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落叶松、华山松纯林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1290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1215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1140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1005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1650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1455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1110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1575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1545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1455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1245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1110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针阔混交林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1515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1290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1215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1140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840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1350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1320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1260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945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810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针叶混交林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1290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1245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1110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990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915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840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1500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1425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945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桤木阔叶林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1380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1260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1140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1065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990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915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840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1200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1170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1095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915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840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690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r>
    </w:tbl>
    <w:p>
      <w:pPr>
        <w:widowControl/>
        <w:spacing w:line="360" w:lineRule="auto"/>
        <w:ind w:firstLine="480" w:firstLineChars="200"/>
        <w:jc w:val="left"/>
        <w:rPr>
          <w:kern w:val="0"/>
          <w:szCs w:val="24"/>
        </w:rPr>
      </w:pPr>
      <w:r>
        <w:rPr>
          <w:kern w:val="0"/>
          <w:szCs w:val="24"/>
        </w:rPr>
        <w:t>(2)林分郁闭度</w:t>
      </w:r>
      <w:r>
        <w:rPr>
          <w:szCs w:val="21"/>
        </w:rPr>
        <w:t>≥</w:t>
      </w:r>
      <w:r>
        <w:rPr>
          <w:kern w:val="0"/>
          <w:szCs w:val="24"/>
        </w:rPr>
        <w:t>0.6；</w:t>
      </w:r>
    </w:p>
    <w:p>
      <w:pPr>
        <w:widowControl/>
        <w:spacing w:line="360" w:lineRule="auto"/>
        <w:ind w:firstLine="480" w:firstLineChars="200"/>
        <w:jc w:val="left"/>
        <w:rPr>
          <w:kern w:val="0"/>
          <w:szCs w:val="24"/>
        </w:rPr>
      </w:pPr>
      <w:r>
        <w:rPr>
          <w:kern w:val="0"/>
          <w:szCs w:val="24"/>
        </w:rPr>
        <w:t>(3)林分自然整枝高度不超过树高的60%；</w:t>
      </w:r>
    </w:p>
    <w:p>
      <w:pPr>
        <w:widowControl/>
        <w:spacing w:line="360" w:lineRule="auto"/>
        <w:ind w:firstLine="480" w:firstLineChars="200"/>
        <w:jc w:val="left"/>
        <w:rPr>
          <w:kern w:val="0"/>
          <w:szCs w:val="24"/>
        </w:rPr>
      </w:pPr>
      <w:r>
        <w:rPr>
          <w:kern w:val="0"/>
          <w:szCs w:val="24"/>
        </w:rPr>
        <w:t>(4)林木胸径连年生长量显著下降；</w:t>
      </w:r>
    </w:p>
    <w:p>
      <w:pPr>
        <w:widowControl/>
        <w:spacing w:line="360" w:lineRule="auto"/>
        <w:ind w:firstLine="480" w:firstLineChars="200"/>
        <w:jc w:val="left"/>
        <w:rPr>
          <w:kern w:val="0"/>
          <w:szCs w:val="24"/>
        </w:rPr>
      </w:pPr>
      <w:r>
        <w:rPr>
          <w:kern w:val="0"/>
          <w:szCs w:val="24"/>
        </w:rPr>
        <w:t>(5)实生苗造林或依靠种子天然更新林分；</w:t>
      </w:r>
    </w:p>
    <w:p>
      <w:pPr>
        <w:pStyle w:val="24"/>
        <w:widowControl/>
        <w:spacing w:line="360" w:lineRule="auto"/>
        <w:ind w:firstLine="480"/>
        <w:jc w:val="left"/>
        <w:rPr>
          <w:kern w:val="0"/>
          <w:szCs w:val="24"/>
        </w:rPr>
      </w:pPr>
      <w:r>
        <w:rPr>
          <w:kern w:val="0"/>
          <w:szCs w:val="24"/>
        </w:rPr>
        <w:t>(6)进行过轻度以下采脂的松树林分；</w:t>
      </w:r>
    </w:p>
    <w:p>
      <w:pPr>
        <w:widowControl/>
        <w:spacing w:line="360" w:lineRule="auto"/>
        <w:ind w:firstLine="480" w:firstLineChars="200"/>
        <w:jc w:val="left"/>
        <w:rPr>
          <w:kern w:val="0"/>
          <w:szCs w:val="24"/>
        </w:rPr>
      </w:pPr>
      <w:r>
        <w:rPr>
          <w:kern w:val="0"/>
          <w:szCs w:val="24"/>
        </w:rPr>
        <w:t>(7)无严重病虫害、无严重机械损伤的林分。</w:t>
      </w:r>
    </w:p>
    <w:p>
      <w:pPr>
        <w:pStyle w:val="3"/>
        <w:numPr>
          <w:ilvl w:val="1"/>
          <w:numId w:val="1"/>
        </w:numPr>
        <w:spacing w:before="0" w:after="0" w:line="360" w:lineRule="auto"/>
        <w:rPr>
          <w:rFonts w:ascii="Times New Roman" w:hAnsi="Times New Roman" w:eastAsia="黑体" w:cs="Times New Roman"/>
          <w:b w:val="0"/>
          <w:sz w:val="24"/>
          <w:szCs w:val="24"/>
        </w:rPr>
      </w:pPr>
      <w:bookmarkStart w:id="90" w:name="_Toc12652"/>
      <w:bookmarkStart w:id="91" w:name="_Toc25451"/>
      <w:bookmarkStart w:id="92" w:name="_Toc20848"/>
      <w:bookmarkStart w:id="93" w:name="_Toc10505"/>
      <w:bookmarkStart w:id="94" w:name="_Toc30654"/>
      <w:r>
        <w:rPr>
          <w:rFonts w:ascii="Times New Roman" w:hAnsi="Times New Roman" w:eastAsia="黑体" w:cs="Times New Roman"/>
          <w:b w:val="0"/>
          <w:sz w:val="24"/>
          <w:szCs w:val="24"/>
        </w:rPr>
        <w:t>立地条件选择</w:t>
      </w:r>
      <w:bookmarkEnd w:id="90"/>
      <w:bookmarkEnd w:id="91"/>
      <w:bookmarkEnd w:id="92"/>
      <w:bookmarkEnd w:id="93"/>
      <w:bookmarkEnd w:id="94"/>
    </w:p>
    <w:p>
      <w:pPr>
        <w:widowControl/>
        <w:spacing w:line="360" w:lineRule="auto"/>
        <w:ind w:firstLine="480" w:firstLineChars="200"/>
        <w:jc w:val="left"/>
        <w:rPr>
          <w:kern w:val="0"/>
          <w:szCs w:val="24"/>
        </w:rPr>
      </w:pPr>
      <w:r>
        <w:rPr>
          <w:kern w:val="0"/>
          <w:szCs w:val="24"/>
        </w:rPr>
        <w:t>开展森林质量提升应选择立地条件好，适宜已栽培林木生长的地段。主要造林树种立地条件，按下表标准确定：</w:t>
      </w:r>
    </w:p>
    <w:tbl>
      <w:tblPr>
        <w:tblStyle w:val="18"/>
        <w:tblW w:w="84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
        <w:gridCol w:w="2396"/>
        <w:gridCol w:w="1570"/>
        <w:gridCol w:w="2301"/>
        <w:gridCol w:w="582"/>
        <w:gridCol w:w="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trPr>
        <w:tc>
          <w:tcPr>
            <w:tcW w:w="8408" w:type="dxa"/>
            <w:gridSpan w:val="6"/>
            <w:tcBorders>
              <w:top w:val="nil"/>
              <w:left w:val="nil"/>
              <w:bottom w:val="single" w:color="auto" w:sz="4" w:space="0"/>
              <w:right w:val="nil"/>
            </w:tcBorders>
            <w:tcMar>
              <w:top w:w="0" w:type="dxa"/>
              <w:left w:w="51" w:type="dxa"/>
              <w:bottom w:w="0" w:type="dxa"/>
              <w:right w:w="51" w:type="dxa"/>
            </w:tcMar>
            <w:vAlign w:val="center"/>
          </w:tcPr>
          <w:p>
            <w:pPr>
              <w:spacing w:line="360" w:lineRule="exact"/>
              <w:jc w:val="center"/>
              <w:rPr>
                <w:sz w:val="21"/>
                <w:szCs w:val="21"/>
              </w:rPr>
            </w:pPr>
            <w:bookmarkStart w:id="95" w:name="_Toc16759"/>
            <w:bookmarkStart w:id="96" w:name="_Toc30359"/>
            <w:bookmarkStart w:id="97" w:name="_Toc18755"/>
            <w:bookmarkStart w:id="98" w:name="_Toc31785"/>
            <w:bookmarkStart w:id="99" w:name="_Toc28131"/>
            <w:r>
              <w:rPr>
                <w:rStyle w:val="20"/>
                <w:rFonts w:ascii="Times New Roman" w:hAnsi="Times New Roman" w:eastAsia="黑体" w:cs="Times New Roman"/>
                <w:b w:val="0"/>
                <w:sz w:val="21"/>
                <w:szCs w:val="21"/>
              </w:rPr>
              <w:t>表2 各树种立地条件表</w:t>
            </w:r>
            <w:bookmarkEnd w:id="95"/>
            <w:bookmarkEnd w:id="96"/>
            <w:bookmarkEnd w:id="97"/>
            <w:bookmarkEnd w:id="98"/>
            <w:bookmarkEnd w:id="9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trPr>
        <w:tc>
          <w:tcPr>
            <w:tcW w:w="892" w:type="dxa"/>
            <w:tcBorders>
              <w:top w:val="single" w:color="auto" w:sz="4" w:space="0"/>
            </w:tcBorders>
            <w:tcMar>
              <w:top w:w="0" w:type="dxa"/>
              <w:left w:w="51" w:type="dxa"/>
              <w:bottom w:w="0" w:type="dxa"/>
              <w:right w:w="51" w:type="dxa"/>
            </w:tcMar>
            <w:vAlign w:val="center"/>
          </w:tcPr>
          <w:p>
            <w:pPr>
              <w:spacing w:line="360" w:lineRule="exact"/>
              <w:jc w:val="center"/>
              <w:rPr>
                <w:sz w:val="18"/>
                <w:szCs w:val="18"/>
              </w:rPr>
            </w:pPr>
            <w:r>
              <w:rPr>
                <w:sz w:val="18"/>
                <w:szCs w:val="18"/>
              </w:rPr>
              <w:t>树种</w:t>
            </w:r>
          </w:p>
        </w:tc>
        <w:tc>
          <w:tcPr>
            <w:tcW w:w="2396" w:type="dxa"/>
            <w:tcBorders>
              <w:top w:val="single" w:color="auto" w:sz="4" w:space="0"/>
            </w:tcBorders>
            <w:tcMar>
              <w:top w:w="0" w:type="dxa"/>
              <w:left w:w="51" w:type="dxa"/>
              <w:bottom w:w="0" w:type="dxa"/>
              <w:right w:w="51" w:type="dxa"/>
            </w:tcMar>
            <w:vAlign w:val="center"/>
          </w:tcPr>
          <w:p>
            <w:pPr>
              <w:spacing w:line="360" w:lineRule="exact"/>
              <w:jc w:val="center"/>
              <w:rPr>
                <w:sz w:val="18"/>
                <w:szCs w:val="18"/>
              </w:rPr>
            </w:pPr>
            <w:r>
              <w:rPr>
                <w:sz w:val="18"/>
                <w:szCs w:val="18"/>
              </w:rPr>
              <w:t>海   拔</w:t>
            </w:r>
          </w:p>
        </w:tc>
        <w:tc>
          <w:tcPr>
            <w:tcW w:w="1570" w:type="dxa"/>
            <w:tcBorders>
              <w:top w:val="single" w:color="auto" w:sz="4" w:space="0"/>
            </w:tcBorders>
            <w:tcMar>
              <w:top w:w="0" w:type="dxa"/>
              <w:left w:w="51" w:type="dxa"/>
              <w:bottom w:w="0" w:type="dxa"/>
              <w:right w:w="51" w:type="dxa"/>
            </w:tcMar>
            <w:vAlign w:val="center"/>
          </w:tcPr>
          <w:p>
            <w:pPr>
              <w:spacing w:line="360" w:lineRule="exact"/>
              <w:jc w:val="center"/>
              <w:rPr>
                <w:sz w:val="18"/>
                <w:szCs w:val="18"/>
              </w:rPr>
            </w:pPr>
            <w:r>
              <w:rPr>
                <w:sz w:val="18"/>
                <w:szCs w:val="18"/>
              </w:rPr>
              <w:t>土  壤</w:t>
            </w:r>
          </w:p>
        </w:tc>
        <w:tc>
          <w:tcPr>
            <w:tcW w:w="2301" w:type="dxa"/>
            <w:tcBorders>
              <w:top w:val="single" w:color="auto" w:sz="4" w:space="0"/>
            </w:tcBorders>
            <w:tcMar>
              <w:top w:w="0" w:type="dxa"/>
              <w:left w:w="51" w:type="dxa"/>
              <w:bottom w:w="0" w:type="dxa"/>
              <w:right w:w="51" w:type="dxa"/>
            </w:tcMar>
            <w:vAlign w:val="center"/>
          </w:tcPr>
          <w:p>
            <w:pPr>
              <w:spacing w:line="360" w:lineRule="exact"/>
              <w:jc w:val="center"/>
              <w:rPr>
                <w:sz w:val="18"/>
                <w:szCs w:val="18"/>
              </w:rPr>
            </w:pPr>
            <w:r>
              <w:rPr>
                <w:sz w:val="18"/>
                <w:szCs w:val="18"/>
              </w:rPr>
              <w:t>立地指数</w:t>
            </w:r>
          </w:p>
        </w:tc>
        <w:tc>
          <w:tcPr>
            <w:tcW w:w="582" w:type="dxa"/>
            <w:tcBorders>
              <w:top w:val="single" w:color="auto" w:sz="4" w:space="0"/>
            </w:tcBorders>
            <w:tcMar>
              <w:top w:w="0" w:type="dxa"/>
              <w:left w:w="51" w:type="dxa"/>
              <w:bottom w:w="0" w:type="dxa"/>
              <w:right w:w="51" w:type="dxa"/>
            </w:tcMar>
            <w:vAlign w:val="center"/>
          </w:tcPr>
          <w:p>
            <w:pPr>
              <w:spacing w:line="360" w:lineRule="exact"/>
              <w:jc w:val="center"/>
              <w:rPr>
                <w:sz w:val="18"/>
                <w:szCs w:val="18"/>
              </w:rPr>
            </w:pPr>
            <w:r>
              <w:rPr>
                <w:sz w:val="18"/>
                <w:szCs w:val="18"/>
              </w:rPr>
              <w:t>坡度</w:t>
            </w:r>
          </w:p>
        </w:tc>
        <w:tc>
          <w:tcPr>
            <w:tcW w:w="667" w:type="dxa"/>
            <w:tcBorders>
              <w:top w:val="single" w:color="auto" w:sz="4" w:space="0"/>
            </w:tcBorders>
            <w:tcMar>
              <w:top w:w="0" w:type="dxa"/>
              <w:left w:w="51" w:type="dxa"/>
              <w:bottom w:w="0" w:type="dxa"/>
              <w:right w:w="51" w:type="dxa"/>
            </w:tcMar>
            <w:vAlign w:val="center"/>
          </w:tcPr>
          <w:p>
            <w:pPr>
              <w:spacing w:line="360" w:lineRule="exact"/>
              <w:jc w:val="center"/>
              <w:rPr>
                <w:sz w:val="18"/>
                <w:szCs w:val="18"/>
              </w:rPr>
            </w:pPr>
            <w:r>
              <w:rPr>
                <w:sz w:val="18"/>
                <w:szCs w:val="18"/>
              </w:rPr>
              <w:t>岩石裸露度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2" w:type="dxa"/>
            <w:tcMar>
              <w:top w:w="0" w:type="dxa"/>
              <w:left w:w="51" w:type="dxa"/>
              <w:bottom w:w="0" w:type="dxa"/>
              <w:right w:w="51" w:type="dxa"/>
            </w:tcMar>
            <w:vAlign w:val="center"/>
          </w:tcPr>
          <w:p>
            <w:pPr>
              <w:jc w:val="center"/>
              <w:rPr>
                <w:sz w:val="18"/>
                <w:szCs w:val="18"/>
              </w:rPr>
            </w:pPr>
            <w:r>
              <w:rPr>
                <w:sz w:val="18"/>
                <w:szCs w:val="18"/>
              </w:rPr>
              <w:t>杉木</w:t>
            </w:r>
          </w:p>
        </w:tc>
        <w:tc>
          <w:tcPr>
            <w:tcW w:w="2396" w:type="dxa"/>
            <w:tcMar>
              <w:top w:w="0" w:type="dxa"/>
              <w:left w:w="51" w:type="dxa"/>
              <w:bottom w:w="0" w:type="dxa"/>
              <w:right w:w="51" w:type="dxa"/>
            </w:tcMar>
            <w:vAlign w:val="center"/>
          </w:tcPr>
          <w:p>
            <w:pPr>
              <w:jc w:val="left"/>
              <w:rPr>
                <w:sz w:val="18"/>
                <w:szCs w:val="18"/>
              </w:rPr>
            </w:pPr>
            <w:r>
              <w:rPr>
                <w:sz w:val="18"/>
                <w:szCs w:val="18"/>
              </w:rPr>
              <w:t>1000m以下，群山区海拔高度可放宽至1200 m</w:t>
            </w:r>
          </w:p>
        </w:tc>
        <w:tc>
          <w:tcPr>
            <w:tcW w:w="1570" w:type="dxa"/>
            <w:tcMar>
              <w:top w:w="0" w:type="dxa"/>
              <w:left w:w="51" w:type="dxa"/>
              <w:bottom w:w="0" w:type="dxa"/>
              <w:right w:w="51" w:type="dxa"/>
            </w:tcMar>
            <w:vAlign w:val="center"/>
          </w:tcPr>
          <w:p>
            <w:pPr>
              <w:jc w:val="left"/>
              <w:rPr>
                <w:sz w:val="18"/>
                <w:szCs w:val="18"/>
              </w:rPr>
            </w:pPr>
            <w:r>
              <w:rPr>
                <w:sz w:val="18"/>
                <w:szCs w:val="18"/>
              </w:rPr>
              <w:t>红壤、黄壤、黄棕壤和黄褐壤</w:t>
            </w:r>
          </w:p>
        </w:tc>
        <w:tc>
          <w:tcPr>
            <w:tcW w:w="2301" w:type="dxa"/>
            <w:tcMar>
              <w:top w:w="0" w:type="dxa"/>
              <w:left w:w="51" w:type="dxa"/>
              <w:bottom w:w="0" w:type="dxa"/>
              <w:right w:w="51" w:type="dxa"/>
            </w:tcMar>
            <w:vAlign w:val="center"/>
          </w:tcPr>
          <w:p>
            <w:pPr>
              <w:jc w:val="left"/>
              <w:rPr>
                <w:sz w:val="18"/>
                <w:szCs w:val="18"/>
              </w:rPr>
            </w:pPr>
            <w:r>
              <w:rPr>
                <w:sz w:val="18"/>
                <w:szCs w:val="18"/>
              </w:rPr>
              <w:t>14以上或土层厚度在60 cm以上</w:t>
            </w:r>
          </w:p>
        </w:tc>
        <w:tc>
          <w:tcPr>
            <w:tcW w:w="582" w:type="dxa"/>
            <w:tcMar>
              <w:top w:w="0" w:type="dxa"/>
              <w:left w:w="51" w:type="dxa"/>
              <w:bottom w:w="0" w:type="dxa"/>
              <w:right w:w="51" w:type="dxa"/>
            </w:tcMar>
            <w:vAlign w:val="center"/>
          </w:tcPr>
          <w:p>
            <w:pPr>
              <w:jc w:val="center"/>
              <w:rPr>
                <w:sz w:val="18"/>
                <w:szCs w:val="18"/>
              </w:rPr>
            </w:pPr>
            <w:r>
              <w:rPr>
                <w:sz w:val="18"/>
                <w:szCs w:val="18"/>
              </w:rPr>
              <w:t>25度以下</w:t>
            </w:r>
          </w:p>
        </w:tc>
        <w:tc>
          <w:tcPr>
            <w:tcW w:w="667" w:type="dxa"/>
            <w:tcMar>
              <w:top w:w="0" w:type="dxa"/>
              <w:left w:w="51" w:type="dxa"/>
              <w:bottom w:w="0" w:type="dxa"/>
              <w:right w:w="51" w:type="dxa"/>
            </w:tcMar>
            <w:vAlign w:val="center"/>
          </w:tcPr>
          <w:p>
            <w:pPr>
              <w:jc w:val="center"/>
              <w:rPr>
                <w:sz w:val="18"/>
                <w:szCs w:val="18"/>
              </w:rPr>
            </w:pPr>
            <w:r>
              <w:rPr>
                <w:sz w:val="18"/>
                <w:szCs w:val="18"/>
              </w:rPr>
              <w:t>10%以下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2" w:type="dxa"/>
            <w:tcMar>
              <w:top w:w="0" w:type="dxa"/>
              <w:left w:w="51" w:type="dxa"/>
              <w:bottom w:w="0" w:type="dxa"/>
              <w:right w:w="51" w:type="dxa"/>
            </w:tcMar>
            <w:vAlign w:val="center"/>
          </w:tcPr>
          <w:p>
            <w:pPr>
              <w:jc w:val="center"/>
              <w:rPr>
                <w:sz w:val="18"/>
                <w:szCs w:val="18"/>
              </w:rPr>
            </w:pPr>
            <w:r>
              <w:rPr>
                <w:sz w:val="18"/>
                <w:szCs w:val="18"/>
              </w:rPr>
              <w:t>马尾松</w:t>
            </w:r>
          </w:p>
        </w:tc>
        <w:tc>
          <w:tcPr>
            <w:tcW w:w="2396" w:type="dxa"/>
            <w:tcMar>
              <w:top w:w="0" w:type="dxa"/>
              <w:left w:w="51" w:type="dxa"/>
              <w:bottom w:w="0" w:type="dxa"/>
              <w:right w:w="51" w:type="dxa"/>
            </w:tcMar>
            <w:vAlign w:val="center"/>
          </w:tcPr>
          <w:p>
            <w:pPr>
              <w:jc w:val="center"/>
              <w:rPr>
                <w:sz w:val="18"/>
                <w:szCs w:val="18"/>
              </w:rPr>
            </w:pPr>
            <w:r>
              <w:rPr>
                <w:sz w:val="18"/>
                <w:szCs w:val="18"/>
              </w:rPr>
              <w:t>800m以下</w:t>
            </w:r>
          </w:p>
        </w:tc>
        <w:tc>
          <w:tcPr>
            <w:tcW w:w="1570" w:type="dxa"/>
            <w:tcMar>
              <w:top w:w="0" w:type="dxa"/>
              <w:left w:w="51" w:type="dxa"/>
              <w:bottom w:w="0" w:type="dxa"/>
              <w:right w:w="51" w:type="dxa"/>
            </w:tcMar>
            <w:vAlign w:val="center"/>
          </w:tcPr>
          <w:p>
            <w:pPr>
              <w:jc w:val="center"/>
              <w:rPr>
                <w:sz w:val="18"/>
                <w:szCs w:val="18"/>
              </w:rPr>
            </w:pPr>
            <w:r>
              <w:rPr>
                <w:sz w:val="18"/>
                <w:szCs w:val="18"/>
              </w:rPr>
              <w:t>红壤、黄壤、黄棕壤</w:t>
            </w:r>
          </w:p>
        </w:tc>
        <w:tc>
          <w:tcPr>
            <w:tcW w:w="2301" w:type="dxa"/>
            <w:tcMar>
              <w:top w:w="0" w:type="dxa"/>
              <w:left w:w="51" w:type="dxa"/>
              <w:bottom w:w="0" w:type="dxa"/>
              <w:right w:w="51" w:type="dxa"/>
            </w:tcMar>
            <w:vAlign w:val="center"/>
          </w:tcPr>
          <w:p>
            <w:pPr>
              <w:jc w:val="center"/>
              <w:rPr>
                <w:sz w:val="18"/>
                <w:szCs w:val="18"/>
              </w:rPr>
            </w:pPr>
            <w:r>
              <w:rPr>
                <w:sz w:val="18"/>
                <w:szCs w:val="18"/>
              </w:rPr>
              <w:t>立地指数在14以上或土层厚度在50 cm以上</w:t>
            </w:r>
          </w:p>
        </w:tc>
        <w:tc>
          <w:tcPr>
            <w:tcW w:w="582" w:type="dxa"/>
            <w:tcMar>
              <w:top w:w="0" w:type="dxa"/>
              <w:left w:w="51" w:type="dxa"/>
              <w:bottom w:w="0" w:type="dxa"/>
              <w:right w:w="51" w:type="dxa"/>
            </w:tcMar>
            <w:vAlign w:val="center"/>
          </w:tcPr>
          <w:p>
            <w:pPr>
              <w:jc w:val="center"/>
              <w:rPr>
                <w:sz w:val="18"/>
                <w:szCs w:val="18"/>
              </w:rPr>
            </w:pPr>
            <w:r>
              <w:rPr>
                <w:sz w:val="18"/>
                <w:szCs w:val="18"/>
              </w:rPr>
              <w:t>30度以下</w:t>
            </w:r>
          </w:p>
        </w:tc>
        <w:tc>
          <w:tcPr>
            <w:tcW w:w="667" w:type="dxa"/>
            <w:tcMar>
              <w:top w:w="0" w:type="dxa"/>
              <w:left w:w="51" w:type="dxa"/>
              <w:bottom w:w="0" w:type="dxa"/>
              <w:right w:w="51" w:type="dxa"/>
            </w:tcMar>
            <w:vAlign w:val="center"/>
          </w:tcPr>
          <w:p>
            <w:pPr>
              <w:jc w:val="center"/>
              <w:rPr>
                <w:sz w:val="18"/>
                <w:szCs w:val="18"/>
              </w:rPr>
            </w:pPr>
            <w:r>
              <w:rPr>
                <w:sz w:val="18"/>
                <w:szCs w:val="18"/>
              </w:rPr>
              <w:t>20%以下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2" w:type="dxa"/>
            <w:tcMar>
              <w:top w:w="0" w:type="dxa"/>
              <w:left w:w="51" w:type="dxa"/>
              <w:bottom w:w="0" w:type="dxa"/>
              <w:right w:w="51" w:type="dxa"/>
            </w:tcMar>
            <w:vAlign w:val="center"/>
          </w:tcPr>
          <w:p>
            <w:pPr>
              <w:jc w:val="left"/>
              <w:rPr>
                <w:sz w:val="18"/>
                <w:szCs w:val="18"/>
              </w:rPr>
            </w:pPr>
            <w:r>
              <w:rPr>
                <w:sz w:val="18"/>
                <w:szCs w:val="18"/>
              </w:rPr>
              <w:t>湿地松、火炬松</w:t>
            </w:r>
          </w:p>
        </w:tc>
        <w:tc>
          <w:tcPr>
            <w:tcW w:w="2396" w:type="dxa"/>
            <w:tcMar>
              <w:top w:w="0" w:type="dxa"/>
              <w:left w:w="51" w:type="dxa"/>
              <w:bottom w:w="0" w:type="dxa"/>
              <w:right w:w="51" w:type="dxa"/>
            </w:tcMar>
            <w:vAlign w:val="center"/>
          </w:tcPr>
          <w:p>
            <w:pPr>
              <w:jc w:val="center"/>
              <w:rPr>
                <w:sz w:val="18"/>
                <w:szCs w:val="18"/>
              </w:rPr>
            </w:pPr>
            <w:r>
              <w:rPr>
                <w:sz w:val="18"/>
                <w:szCs w:val="18"/>
              </w:rPr>
              <w:t>400m以下</w:t>
            </w:r>
          </w:p>
        </w:tc>
        <w:tc>
          <w:tcPr>
            <w:tcW w:w="1570" w:type="dxa"/>
            <w:tcMar>
              <w:top w:w="0" w:type="dxa"/>
              <w:left w:w="51" w:type="dxa"/>
              <w:bottom w:w="0" w:type="dxa"/>
              <w:right w:w="51" w:type="dxa"/>
            </w:tcMar>
            <w:vAlign w:val="center"/>
          </w:tcPr>
          <w:p>
            <w:pPr>
              <w:jc w:val="center"/>
              <w:rPr>
                <w:sz w:val="18"/>
                <w:szCs w:val="18"/>
              </w:rPr>
            </w:pPr>
            <w:r>
              <w:rPr>
                <w:sz w:val="18"/>
                <w:szCs w:val="18"/>
              </w:rPr>
              <w:t>红壤、红黄壤</w:t>
            </w:r>
          </w:p>
        </w:tc>
        <w:tc>
          <w:tcPr>
            <w:tcW w:w="2301" w:type="dxa"/>
            <w:tcMar>
              <w:top w:w="0" w:type="dxa"/>
              <w:left w:w="51" w:type="dxa"/>
              <w:bottom w:w="0" w:type="dxa"/>
              <w:right w:w="51" w:type="dxa"/>
            </w:tcMar>
            <w:vAlign w:val="center"/>
          </w:tcPr>
          <w:p>
            <w:pPr>
              <w:jc w:val="center"/>
              <w:rPr>
                <w:sz w:val="18"/>
                <w:szCs w:val="18"/>
              </w:rPr>
            </w:pPr>
            <w:r>
              <w:rPr>
                <w:sz w:val="18"/>
                <w:szCs w:val="18"/>
              </w:rPr>
              <w:t>立地指数在12以上或土层厚度在50 cm以上</w:t>
            </w:r>
          </w:p>
        </w:tc>
        <w:tc>
          <w:tcPr>
            <w:tcW w:w="582" w:type="dxa"/>
            <w:tcMar>
              <w:top w:w="0" w:type="dxa"/>
              <w:left w:w="51" w:type="dxa"/>
              <w:bottom w:w="0" w:type="dxa"/>
              <w:right w:w="51" w:type="dxa"/>
            </w:tcMar>
            <w:vAlign w:val="center"/>
          </w:tcPr>
          <w:p>
            <w:pPr>
              <w:jc w:val="center"/>
              <w:rPr>
                <w:sz w:val="18"/>
                <w:szCs w:val="18"/>
              </w:rPr>
            </w:pPr>
            <w:r>
              <w:rPr>
                <w:sz w:val="18"/>
                <w:szCs w:val="18"/>
              </w:rPr>
              <w:t>25度以下</w:t>
            </w:r>
          </w:p>
        </w:tc>
        <w:tc>
          <w:tcPr>
            <w:tcW w:w="667" w:type="dxa"/>
            <w:tcMar>
              <w:top w:w="0" w:type="dxa"/>
              <w:left w:w="51" w:type="dxa"/>
              <w:bottom w:w="0" w:type="dxa"/>
              <w:right w:w="51" w:type="dxa"/>
            </w:tcMar>
            <w:vAlign w:val="center"/>
          </w:tcPr>
          <w:p>
            <w:pPr>
              <w:jc w:val="center"/>
              <w:rPr>
                <w:sz w:val="18"/>
                <w:szCs w:val="18"/>
              </w:rPr>
            </w:pPr>
            <w:r>
              <w:rPr>
                <w:sz w:val="18"/>
                <w:szCs w:val="18"/>
              </w:rPr>
              <w:t>15%以下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2" w:type="dxa"/>
            <w:tcMar>
              <w:top w:w="0" w:type="dxa"/>
              <w:left w:w="51" w:type="dxa"/>
              <w:bottom w:w="0" w:type="dxa"/>
              <w:right w:w="51" w:type="dxa"/>
            </w:tcMar>
            <w:vAlign w:val="center"/>
          </w:tcPr>
          <w:p>
            <w:pPr>
              <w:jc w:val="center"/>
              <w:rPr>
                <w:sz w:val="18"/>
                <w:szCs w:val="18"/>
              </w:rPr>
            </w:pPr>
            <w:r>
              <w:rPr>
                <w:sz w:val="18"/>
                <w:szCs w:val="18"/>
              </w:rPr>
              <w:t>落叶松、华山松</w:t>
            </w:r>
          </w:p>
        </w:tc>
        <w:tc>
          <w:tcPr>
            <w:tcW w:w="2396" w:type="dxa"/>
            <w:tcMar>
              <w:top w:w="0" w:type="dxa"/>
              <w:left w:w="51" w:type="dxa"/>
              <w:bottom w:w="0" w:type="dxa"/>
              <w:right w:w="51" w:type="dxa"/>
            </w:tcMar>
            <w:vAlign w:val="center"/>
          </w:tcPr>
          <w:p>
            <w:pPr>
              <w:jc w:val="center"/>
              <w:rPr>
                <w:sz w:val="18"/>
                <w:szCs w:val="18"/>
              </w:rPr>
            </w:pPr>
            <w:r>
              <w:rPr>
                <w:sz w:val="18"/>
                <w:szCs w:val="18"/>
              </w:rPr>
              <w:t>900m～1400m以下</w:t>
            </w:r>
          </w:p>
        </w:tc>
        <w:tc>
          <w:tcPr>
            <w:tcW w:w="1570" w:type="dxa"/>
            <w:tcMar>
              <w:top w:w="0" w:type="dxa"/>
              <w:left w:w="51" w:type="dxa"/>
              <w:bottom w:w="0" w:type="dxa"/>
              <w:right w:w="51" w:type="dxa"/>
            </w:tcMar>
            <w:vAlign w:val="center"/>
          </w:tcPr>
          <w:p>
            <w:pPr>
              <w:jc w:val="left"/>
              <w:rPr>
                <w:sz w:val="18"/>
                <w:szCs w:val="18"/>
              </w:rPr>
            </w:pPr>
            <w:r>
              <w:rPr>
                <w:sz w:val="18"/>
                <w:szCs w:val="18"/>
              </w:rPr>
              <w:t>黄棕壤、黄褐壤或过渡土壤</w:t>
            </w:r>
          </w:p>
        </w:tc>
        <w:tc>
          <w:tcPr>
            <w:tcW w:w="2301" w:type="dxa"/>
            <w:tcMar>
              <w:top w:w="0" w:type="dxa"/>
              <w:left w:w="51" w:type="dxa"/>
              <w:bottom w:w="0" w:type="dxa"/>
              <w:right w:w="51" w:type="dxa"/>
            </w:tcMar>
            <w:vAlign w:val="center"/>
          </w:tcPr>
          <w:p>
            <w:pPr>
              <w:jc w:val="center"/>
              <w:rPr>
                <w:sz w:val="18"/>
                <w:szCs w:val="18"/>
              </w:rPr>
            </w:pPr>
            <w:r>
              <w:rPr>
                <w:sz w:val="18"/>
                <w:szCs w:val="18"/>
              </w:rPr>
              <w:t>立地指数在12以上或土层厚度在50 cm以上</w:t>
            </w:r>
          </w:p>
        </w:tc>
        <w:tc>
          <w:tcPr>
            <w:tcW w:w="582" w:type="dxa"/>
            <w:tcMar>
              <w:top w:w="0" w:type="dxa"/>
              <w:left w:w="51" w:type="dxa"/>
              <w:bottom w:w="0" w:type="dxa"/>
              <w:right w:w="51" w:type="dxa"/>
            </w:tcMar>
            <w:vAlign w:val="center"/>
          </w:tcPr>
          <w:p>
            <w:pPr>
              <w:jc w:val="center"/>
              <w:rPr>
                <w:sz w:val="18"/>
                <w:szCs w:val="18"/>
              </w:rPr>
            </w:pPr>
            <w:r>
              <w:rPr>
                <w:sz w:val="18"/>
                <w:szCs w:val="18"/>
              </w:rPr>
              <w:t>25度以下</w:t>
            </w:r>
          </w:p>
        </w:tc>
        <w:tc>
          <w:tcPr>
            <w:tcW w:w="667" w:type="dxa"/>
            <w:tcMar>
              <w:top w:w="0" w:type="dxa"/>
              <w:left w:w="51" w:type="dxa"/>
              <w:bottom w:w="0" w:type="dxa"/>
              <w:right w:w="51" w:type="dxa"/>
            </w:tcMar>
            <w:vAlign w:val="center"/>
          </w:tcPr>
          <w:p>
            <w:pPr>
              <w:jc w:val="center"/>
              <w:rPr>
                <w:sz w:val="18"/>
                <w:szCs w:val="18"/>
              </w:rPr>
            </w:pPr>
            <w:r>
              <w:rPr>
                <w:sz w:val="18"/>
                <w:szCs w:val="18"/>
              </w:rPr>
              <w:t>20%以下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2" w:type="dxa"/>
            <w:tcMar>
              <w:top w:w="0" w:type="dxa"/>
              <w:left w:w="51" w:type="dxa"/>
              <w:bottom w:w="0" w:type="dxa"/>
              <w:right w:w="51" w:type="dxa"/>
            </w:tcMar>
            <w:vAlign w:val="center"/>
          </w:tcPr>
          <w:p>
            <w:pPr>
              <w:jc w:val="center"/>
              <w:rPr>
                <w:sz w:val="18"/>
                <w:szCs w:val="18"/>
              </w:rPr>
            </w:pPr>
            <w:r>
              <w:rPr>
                <w:sz w:val="18"/>
                <w:szCs w:val="18"/>
              </w:rPr>
              <w:t>桤木阔叶树</w:t>
            </w:r>
          </w:p>
        </w:tc>
        <w:tc>
          <w:tcPr>
            <w:tcW w:w="2396" w:type="dxa"/>
            <w:tcMar>
              <w:top w:w="0" w:type="dxa"/>
              <w:left w:w="51" w:type="dxa"/>
              <w:bottom w:w="0" w:type="dxa"/>
              <w:right w:w="51" w:type="dxa"/>
            </w:tcMar>
            <w:vAlign w:val="center"/>
          </w:tcPr>
          <w:p>
            <w:pPr>
              <w:jc w:val="center"/>
              <w:rPr>
                <w:sz w:val="18"/>
                <w:szCs w:val="18"/>
              </w:rPr>
            </w:pPr>
            <w:r>
              <w:rPr>
                <w:sz w:val="18"/>
                <w:szCs w:val="18"/>
              </w:rPr>
              <w:t>1200m以下</w:t>
            </w:r>
          </w:p>
        </w:tc>
        <w:tc>
          <w:tcPr>
            <w:tcW w:w="1570" w:type="dxa"/>
            <w:tcMar>
              <w:top w:w="0" w:type="dxa"/>
              <w:left w:w="51" w:type="dxa"/>
              <w:bottom w:w="0" w:type="dxa"/>
              <w:right w:w="51" w:type="dxa"/>
            </w:tcMar>
            <w:vAlign w:val="center"/>
          </w:tcPr>
          <w:p>
            <w:pPr>
              <w:jc w:val="left"/>
              <w:rPr>
                <w:sz w:val="18"/>
                <w:szCs w:val="18"/>
              </w:rPr>
            </w:pPr>
            <w:r>
              <w:rPr>
                <w:sz w:val="18"/>
                <w:szCs w:val="18"/>
              </w:rPr>
              <w:t>红壤、黄壤、黄棕壤和黄褐壤</w:t>
            </w:r>
          </w:p>
        </w:tc>
        <w:tc>
          <w:tcPr>
            <w:tcW w:w="2301" w:type="dxa"/>
            <w:tcMar>
              <w:top w:w="0" w:type="dxa"/>
              <w:left w:w="51" w:type="dxa"/>
              <w:bottom w:w="0" w:type="dxa"/>
              <w:right w:w="51" w:type="dxa"/>
            </w:tcMar>
            <w:vAlign w:val="center"/>
          </w:tcPr>
          <w:p>
            <w:pPr>
              <w:jc w:val="center"/>
              <w:rPr>
                <w:sz w:val="18"/>
                <w:szCs w:val="18"/>
              </w:rPr>
            </w:pPr>
            <w:r>
              <w:rPr>
                <w:sz w:val="18"/>
                <w:szCs w:val="18"/>
              </w:rPr>
              <w:t>立地指数在14以上或土层厚度在60 cm以上</w:t>
            </w:r>
          </w:p>
        </w:tc>
        <w:tc>
          <w:tcPr>
            <w:tcW w:w="582" w:type="dxa"/>
            <w:tcMar>
              <w:top w:w="0" w:type="dxa"/>
              <w:left w:w="51" w:type="dxa"/>
              <w:bottom w:w="0" w:type="dxa"/>
              <w:right w:w="51" w:type="dxa"/>
            </w:tcMar>
            <w:vAlign w:val="center"/>
          </w:tcPr>
          <w:p>
            <w:pPr>
              <w:jc w:val="center"/>
              <w:rPr>
                <w:sz w:val="18"/>
                <w:szCs w:val="18"/>
              </w:rPr>
            </w:pPr>
            <w:r>
              <w:rPr>
                <w:sz w:val="18"/>
                <w:szCs w:val="18"/>
              </w:rPr>
              <w:t>25度以下</w:t>
            </w:r>
          </w:p>
        </w:tc>
        <w:tc>
          <w:tcPr>
            <w:tcW w:w="667" w:type="dxa"/>
            <w:tcMar>
              <w:top w:w="0" w:type="dxa"/>
              <w:left w:w="51" w:type="dxa"/>
              <w:bottom w:w="0" w:type="dxa"/>
              <w:right w:w="51" w:type="dxa"/>
            </w:tcMar>
            <w:vAlign w:val="center"/>
          </w:tcPr>
          <w:p>
            <w:pPr>
              <w:jc w:val="center"/>
              <w:rPr>
                <w:sz w:val="18"/>
                <w:szCs w:val="18"/>
              </w:rPr>
            </w:pPr>
            <w:r>
              <w:rPr>
                <w:sz w:val="18"/>
                <w:szCs w:val="18"/>
              </w:rPr>
              <w:t>15%以下</w:t>
            </w:r>
          </w:p>
        </w:tc>
      </w:tr>
    </w:tbl>
    <w:p>
      <w:pPr>
        <w:pStyle w:val="24"/>
        <w:widowControl/>
        <w:spacing w:line="360" w:lineRule="auto"/>
        <w:ind w:firstLine="480"/>
        <w:jc w:val="left"/>
        <w:rPr>
          <w:kern w:val="0"/>
          <w:szCs w:val="24"/>
        </w:rPr>
      </w:pPr>
    </w:p>
    <w:p>
      <w:pPr>
        <w:pStyle w:val="3"/>
        <w:numPr>
          <w:ilvl w:val="1"/>
          <w:numId w:val="1"/>
        </w:numPr>
        <w:spacing w:before="0" w:after="0" w:line="360" w:lineRule="auto"/>
        <w:rPr>
          <w:rFonts w:ascii="Times New Roman" w:hAnsi="Times New Roman" w:eastAsia="黑体" w:cs="Times New Roman"/>
          <w:b w:val="0"/>
          <w:sz w:val="24"/>
          <w:szCs w:val="24"/>
        </w:rPr>
      </w:pPr>
      <w:bookmarkStart w:id="100" w:name="_Toc251"/>
      <w:bookmarkStart w:id="101" w:name="_Toc18905"/>
      <w:bookmarkStart w:id="102" w:name="_Toc27632"/>
      <w:bookmarkStart w:id="103" w:name="_Toc29090"/>
      <w:bookmarkStart w:id="104" w:name="_Toc25744"/>
      <w:r>
        <w:rPr>
          <w:rFonts w:ascii="Times New Roman" w:hAnsi="Times New Roman" w:eastAsia="黑体" w:cs="Times New Roman"/>
          <w:b w:val="0"/>
          <w:sz w:val="24"/>
          <w:szCs w:val="24"/>
        </w:rPr>
        <w:t>禁止纳入的林分</w:t>
      </w:r>
      <w:bookmarkEnd w:id="100"/>
      <w:bookmarkEnd w:id="101"/>
      <w:bookmarkEnd w:id="102"/>
      <w:bookmarkEnd w:id="103"/>
      <w:bookmarkEnd w:id="104"/>
    </w:p>
    <w:p>
      <w:pPr>
        <w:widowControl/>
        <w:spacing w:line="360" w:lineRule="auto"/>
        <w:ind w:firstLine="480" w:firstLineChars="200"/>
        <w:jc w:val="left"/>
        <w:rPr>
          <w:kern w:val="0"/>
          <w:szCs w:val="24"/>
        </w:rPr>
      </w:pPr>
      <w:r>
        <w:rPr>
          <w:kern w:val="0"/>
          <w:szCs w:val="24"/>
        </w:rPr>
        <w:t>(1)重要江河源头、干流两岸，湖库周围第一层山脊内的森林；</w:t>
      </w:r>
    </w:p>
    <w:p>
      <w:pPr>
        <w:widowControl/>
        <w:spacing w:line="360" w:lineRule="auto"/>
        <w:ind w:firstLine="480" w:firstLineChars="200"/>
        <w:jc w:val="left"/>
        <w:rPr>
          <w:kern w:val="0"/>
          <w:szCs w:val="24"/>
        </w:rPr>
      </w:pPr>
      <w:r>
        <w:rPr>
          <w:kern w:val="0"/>
          <w:szCs w:val="24"/>
        </w:rPr>
        <w:t>(2)重要饮用水源保护地的森林；</w:t>
      </w:r>
    </w:p>
    <w:p>
      <w:pPr>
        <w:widowControl/>
        <w:spacing w:line="360" w:lineRule="auto"/>
        <w:ind w:firstLine="480" w:firstLineChars="200"/>
        <w:jc w:val="left"/>
        <w:rPr>
          <w:kern w:val="0"/>
          <w:szCs w:val="24"/>
        </w:rPr>
      </w:pPr>
      <w:r>
        <w:rPr>
          <w:kern w:val="0"/>
          <w:szCs w:val="24"/>
        </w:rPr>
        <w:t>(3)临溪、临田山脚等高线以上5 m内的森林。</w:t>
      </w:r>
    </w:p>
    <w:p>
      <w:pPr>
        <w:pStyle w:val="24"/>
        <w:numPr>
          <w:ilvl w:val="0"/>
          <w:numId w:val="1"/>
        </w:numPr>
        <w:ind w:left="284" w:hanging="284" w:firstLineChars="0"/>
        <w:outlineLvl w:val="0"/>
        <w:rPr>
          <w:rFonts w:eastAsia="黑体"/>
          <w:sz w:val="28"/>
          <w:szCs w:val="28"/>
        </w:rPr>
      </w:pPr>
      <w:bookmarkStart w:id="105" w:name="_Toc16465"/>
      <w:bookmarkStart w:id="106" w:name="_Toc1605"/>
      <w:bookmarkStart w:id="107" w:name="_Toc5806"/>
      <w:bookmarkStart w:id="108" w:name="_Toc18053"/>
      <w:bookmarkStart w:id="109" w:name="_Toc5330"/>
      <w:r>
        <w:rPr>
          <w:rFonts w:eastAsia="黑体"/>
          <w:sz w:val="28"/>
          <w:szCs w:val="28"/>
        </w:rPr>
        <w:t>实施程序</w:t>
      </w:r>
      <w:bookmarkEnd w:id="105"/>
      <w:bookmarkEnd w:id="106"/>
      <w:bookmarkEnd w:id="107"/>
      <w:bookmarkEnd w:id="108"/>
      <w:bookmarkEnd w:id="109"/>
    </w:p>
    <w:p>
      <w:pPr>
        <w:widowControl/>
        <w:spacing w:line="360" w:lineRule="auto"/>
        <w:ind w:firstLine="480" w:firstLineChars="200"/>
        <w:jc w:val="left"/>
        <w:rPr>
          <w:kern w:val="0"/>
          <w:szCs w:val="24"/>
        </w:rPr>
      </w:pPr>
      <w:r>
        <w:rPr>
          <w:kern w:val="0"/>
          <w:szCs w:val="24"/>
        </w:rPr>
        <w:t>森林质量提升建设实施程序包括实施方案编制、作业设计、项目施工、成效评价等4个程序。</w:t>
      </w:r>
    </w:p>
    <w:p>
      <w:pPr>
        <w:pStyle w:val="3"/>
        <w:numPr>
          <w:ilvl w:val="1"/>
          <w:numId w:val="1"/>
        </w:numPr>
        <w:spacing w:before="0" w:after="0" w:line="360" w:lineRule="auto"/>
        <w:rPr>
          <w:rFonts w:ascii="Times New Roman" w:hAnsi="Times New Roman" w:eastAsia="黑体" w:cs="Times New Roman"/>
          <w:b w:val="0"/>
          <w:sz w:val="24"/>
          <w:szCs w:val="24"/>
        </w:rPr>
      </w:pPr>
      <w:bookmarkStart w:id="110" w:name="_Toc17039"/>
      <w:bookmarkStart w:id="111" w:name="_Toc29499"/>
      <w:bookmarkStart w:id="112" w:name="_Toc9216"/>
      <w:bookmarkStart w:id="113" w:name="_Toc2154"/>
      <w:bookmarkStart w:id="114" w:name="_Toc10454"/>
      <w:r>
        <w:rPr>
          <w:rFonts w:ascii="Times New Roman" w:hAnsi="Times New Roman" w:eastAsia="黑体" w:cs="Times New Roman"/>
          <w:b w:val="0"/>
          <w:sz w:val="24"/>
          <w:szCs w:val="24"/>
        </w:rPr>
        <w:t>实施方案编制</w:t>
      </w:r>
      <w:bookmarkEnd w:id="110"/>
      <w:bookmarkEnd w:id="111"/>
      <w:bookmarkEnd w:id="112"/>
      <w:bookmarkEnd w:id="113"/>
      <w:bookmarkEnd w:id="114"/>
    </w:p>
    <w:p>
      <w:pPr>
        <w:widowControl/>
        <w:spacing w:line="360" w:lineRule="auto"/>
        <w:ind w:firstLine="480" w:firstLineChars="200"/>
        <w:jc w:val="left"/>
        <w:rPr>
          <w:kern w:val="0"/>
          <w:szCs w:val="24"/>
        </w:rPr>
      </w:pPr>
      <w:r>
        <w:rPr>
          <w:kern w:val="0"/>
          <w:szCs w:val="24"/>
        </w:rPr>
        <w:t>森林质量提升建设单位组织开展项目策划和前期工作，编制项目实施方案，并按程序上报林业行政主管部门审批。</w:t>
      </w:r>
    </w:p>
    <w:p>
      <w:pPr>
        <w:widowControl/>
        <w:spacing w:line="360" w:lineRule="auto"/>
        <w:ind w:firstLine="480" w:firstLineChars="200"/>
        <w:jc w:val="left"/>
        <w:rPr>
          <w:kern w:val="0"/>
          <w:szCs w:val="24"/>
        </w:rPr>
      </w:pPr>
      <w:r>
        <w:rPr>
          <w:kern w:val="0"/>
          <w:szCs w:val="24"/>
        </w:rPr>
        <w:t>实施方案应包括项目实施单位及项目区基本情况、项目实施的必要性和建设条件、指导思想、依据、建设目标、建设方案、投资概算、保障措施等内容。实施方案提纲参考附录1。</w:t>
      </w:r>
    </w:p>
    <w:p>
      <w:pPr>
        <w:pStyle w:val="3"/>
        <w:numPr>
          <w:ilvl w:val="1"/>
          <w:numId w:val="1"/>
        </w:numPr>
        <w:spacing w:before="0" w:after="0" w:line="360" w:lineRule="auto"/>
        <w:rPr>
          <w:rFonts w:ascii="Times New Roman" w:hAnsi="Times New Roman" w:eastAsia="黑体" w:cs="Times New Roman"/>
          <w:b w:val="0"/>
          <w:sz w:val="24"/>
          <w:szCs w:val="24"/>
        </w:rPr>
      </w:pPr>
      <w:bookmarkStart w:id="115" w:name="_Toc15577"/>
      <w:bookmarkStart w:id="116" w:name="_Toc19885"/>
      <w:bookmarkStart w:id="117" w:name="_Toc8833"/>
      <w:bookmarkStart w:id="118" w:name="_Toc16858"/>
      <w:bookmarkStart w:id="119" w:name="_Toc27164"/>
      <w:r>
        <w:rPr>
          <w:rFonts w:ascii="Times New Roman" w:hAnsi="Times New Roman" w:eastAsia="黑体" w:cs="Times New Roman"/>
          <w:b w:val="0"/>
          <w:sz w:val="24"/>
          <w:szCs w:val="24"/>
        </w:rPr>
        <w:t>作业设计</w:t>
      </w:r>
      <w:bookmarkEnd w:id="115"/>
      <w:bookmarkEnd w:id="116"/>
      <w:bookmarkEnd w:id="117"/>
      <w:bookmarkEnd w:id="118"/>
      <w:bookmarkEnd w:id="119"/>
    </w:p>
    <w:p>
      <w:pPr>
        <w:pStyle w:val="4"/>
        <w:numPr>
          <w:ilvl w:val="2"/>
          <w:numId w:val="1"/>
        </w:numPr>
        <w:spacing w:before="0" w:after="0" w:line="360" w:lineRule="auto"/>
        <w:ind w:left="567" w:hanging="567"/>
        <w:rPr>
          <w:rFonts w:eastAsia="黑体"/>
          <w:b w:val="0"/>
          <w:sz w:val="24"/>
          <w:szCs w:val="24"/>
        </w:rPr>
      </w:pPr>
      <w:bookmarkStart w:id="120" w:name="_Toc10886"/>
      <w:bookmarkStart w:id="121" w:name="_Toc6853"/>
      <w:r>
        <w:rPr>
          <w:rFonts w:eastAsia="黑体"/>
          <w:b w:val="0"/>
          <w:sz w:val="24"/>
          <w:szCs w:val="24"/>
        </w:rPr>
        <w:t>组织单位</w:t>
      </w:r>
      <w:bookmarkEnd w:id="120"/>
      <w:bookmarkEnd w:id="121"/>
    </w:p>
    <w:p>
      <w:pPr>
        <w:widowControl/>
        <w:spacing w:line="360" w:lineRule="auto"/>
        <w:ind w:firstLine="480" w:firstLineChars="200"/>
        <w:jc w:val="left"/>
        <w:rPr>
          <w:kern w:val="0"/>
          <w:szCs w:val="24"/>
        </w:rPr>
      </w:pPr>
      <w:r>
        <w:rPr>
          <w:kern w:val="0"/>
          <w:szCs w:val="24"/>
        </w:rPr>
        <w:t>根据批复的实施方案，组织林业调查规划设计专业队伍编制作业设计。</w:t>
      </w:r>
    </w:p>
    <w:p>
      <w:pPr>
        <w:pStyle w:val="4"/>
        <w:numPr>
          <w:ilvl w:val="2"/>
          <w:numId w:val="1"/>
        </w:numPr>
        <w:spacing w:before="0" w:after="0" w:line="360" w:lineRule="auto"/>
        <w:ind w:left="567" w:hanging="567"/>
        <w:rPr>
          <w:rFonts w:eastAsia="黑体"/>
          <w:b w:val="0"/>
          <w:sz w:val="24"/>
          <w:szCs w:val="24"/>
        </w:rPr>
      </w:pPr>
      <w:bookmarkStart w:id="122" w:name="_Toc7390"/>
      <w:bookmarkStart w:id="123" w:name="_Toc10246"/>
      <w:r>
        <w:rPr>
          <w:rFonts w:eastAsia="黑体"/>
          <w:b w:val="0"/>
          <w:sz w:val="24"/>
          <w:szCs w:val="24"/>
        </w:rPr>
        <w:t>设计内容</w:t>
      </w:r>
      <w:bookmarkEnd w:id="122"/>
      <w:bookmarkEnd w:id="123"/>
    </w:p>
    <w:p>
      <w:pPr>
        <w:spacing w:line="360" w:lineRule="auto"/>
        <w:ind w:firstLine="480" w:firstLineChars="200"/>
      </w:pPr>
      <w:r>
        <w:t>作业设计的内容包括小班调查、经营模式、培育目标与作业法、林地清理、抚育间伐、修枝整形、补植补造、苗木、培蔸抚育、辅助设施、施工组织设计以及绘制小班施工设计图、编制小班作业设计一览表和统计等。</w:t>
      </w:r>
    </w:p>
    <w:p>
      <w:pPr>
        <w:pStyle w:val="4"/>
        <w:numPr>
          <w:ilvl w:val="2"/>
          <w:numId w:val="1"/>
        </w:numPr>
        <w:spacing w:before="0" w:after="0" w:line="360" w:lineRule="auto"/>
        <w:ind w:left="567" w:hanging="567"/>
        <w:rPr>
          <w:rFonts w:eastAsia="黑体"/>
          <w:b w:val="0"/>
          <w:sz w:val="24"/>
          <w:szCs w:val="24"/>
        </w:rPr>
      </w:pPr>
      <w:bookmarkStart w:id="124" w:name="_Toc7780"/>
      <w:bookmarkStart w:id="125" w:name="_Toc20739"/>
      <w:r>
        <w:rPr>
          <w:rFonts w:eastAsia="黑体"/>
          <w:b w:val="0"/>
          <w:sz w:val="24"/>
          <w:szCs w:val="24"/>
        </w:rPr>
        <w:t>设计文件组成</w:t>
      </w:r>
      <w:bookmarkEnd w:id="124"/>
      <w:bookmarkEnd w:id="125"/>
    </w:p>
    <w:p>
      <w:pPr>
        <w:widowControl/>
        <w:spacing w:line="360" w:lineRule="auto"/>
        <w:ind w:firstLine="480" w:firstLineChars="200"/>
        <w:jc w:val="left"/>
        <w:rPr>
          <w:kern w:val="0"/>
          <w:szCs w:val="24"/>
        </w:rPr>
      </w:pPr>
      <w:r>
        <w:rPr>
          <w:kern w:val="0"/>
          <w:szCs w:val="24"/>
        </w:rPr>
        <w:t>(1)作业设计文件由作业设计说明书、附图、附表及相关附件组成。</w:t>
      </w:r>
    </w:p>
    <w:p>
      <w:pPr>
        <w:widowControl/>
        <w:spacing w:line="360" w:lineRule="auto"/>
        <w:ind w:firstLine="480" w:firstLineChars="200"/>
        <w:jc w:val="left"/>
        <w:rPr>
          <w:kern w:val="0"/>
          <w:szCs w:val="24"/>
        </w:rPr>
      </w:pPr>
      <w:r>
        <w:rPr>
          <w:kern w:val="0"/>
          <w:szCs w:val="24"/>
        </w:rPr>
        <w:t>(2)作业设计内容及提纲参考附录2。</w:t>
      </w:r>
    </w:p>
    <w:p>
      <w:pPr>
        <w:pStyle w:val="4"/>
        <w:numPr>
          <w:ilvl w:val="2"/>
          <w:numId w:val="1"/>
        </w:numPr>
        <w:spacing w:before="0" w:after="0" w:line="360" w:lineRule="auto"/>
        <w:ind w:left="567" w:hanging="567"/>
        <w:rPr>
          <w:rFonts w:eastAsia="黑体"/>
          <w:b w:val="0"/>
          <w:sz w:val="24"/>
          <w:szCs w:val="24"/>
        </w:rPr>
      </w:pPr>
      <w:bookmarkStart w:id="126" w:name="_Toc30354"/>
      <w:bookmarkStart w:id="127" w:name="_Toc6276"/>
      <w:r>
        <w:rPr>
          <w:rFonts w:eastAsia="黑体"/>
          <w:b w:val="0"/>
          <w:sz w:val="24"/>
          <w:szCs w:val="24"/>
        </w:rPr>
        <w:t>作业设计审批</w:t>
      </w:r>
      <w:bookmarkEnd w:id="126"/>
      <w:bookmarkEnd w:id="127"/>
    </w:p>
    <w:p>
      <w:pPr>
        <w:widowControl/>
        <w:spacing w:line="360" w:lineRule="auto"/>
        <w:ind w:firstLine="480" w:firstLineChars="200"/>
        <w:jc w:val="left"/>
        <w:rPr>
          <w:kern w:val="0"/>
          <w:szCs w:val="24"/>
        </w:rPr>
      </w:pPr>
      <w:r>
        <w:rPr>
          <w:kern w:val="0"/>
          <w:szCs w:val="24"/>
        </w:rPr>
        <w:t>(1)作业设计以乡镇、林场为单位，在每年八月底前完成，按规定程序报批，作为施工遵循和成效评价依据。</w:t>
      </w:r>
    </w:p>
    <w:p>
      <w:pPr>
        <w:widowControl/>
        <w:spacing w:line="360" w:lineRule="auto"/>
        <w:ind w:firstLine="480" w:firstLineChars="200"/>
        <w:jc w:val="left"/>
        <w:rPr>
          <w:kern w:val="0"/>
          <w:szCs w:val="24"/>
        </w:rPr>
      </w:pPr>
      <w:r>
        <w:rPr>
          <w:kern w:val="0"/>
          <w:szCs w:val="24"/>
        </w:rPr>
        <w:t>(2)作业设计一经批准，不得随意变更；确需变更的，必须由建设单位报原批准部门重新审批。没有作业设计或作业设计未经批准的，不得组织实施。</w:t>
      </w:r>
    </w:p>
    <w:p>
      <w:pPr>
        <w:pStyle w:val="3"/>
        <w:numPr>
          <w:ilvl w:val="1"/>
          <w:numId w:val="1"/>
        </w:numPr>
        <w:spacing w:before="0" w:after="0" w:line="360" w:lineRule="auto"/>
        <w:rPr>
          <w:rFonts w:ascii="Times New Roman" w:hAnsi="Times New Roman" w:eastAsia="黑体" w:cs="Times New Roman"/>
          <w:b w:val="0"/>
          <w:sz w:val="24"/>
          <w:szCs w:val="24"/>
        </w:rPr>
      </w:pPr>
      <w:bookmarkStart w:id="128" w:name="_Toc17862"/>
      <w:bookmarkStart w:id="129" w:name="_Toc29979"/>
      <w:bookmarkStart w:id="130" w:name="_Toc15154"/>
      <w:bookmarkStart w:id="131" w:name="_Toc9545"/>
      <w:bookmarkStart w:id="132" w:name="_Toc23705"/>
      <w:r>
        <w:rPr>
          <w:rFonts w:ascii="Times New Roman" w:hAnsi="Times New Roman" w:eastAsia="黑体" w:cs="Times New Roman"/>
          <w:b w:val="0"/>
          <w:sz w:val="24"/>
          <w:szCs w:val="24"/>
        </w:rPr>
        <w:t>项目施工</w:t>
      </w:r>
      <w:bookmarkEnd w:id="128"/>
      <w:bookmarkEnd w:id="129"/>
      <w:bookmarkEnd w:id="130"/>
      <w:bookmarkEnd w:id="131"/>
      <w:bookmarkEnd w:id="132"/>
    </w:p>
    <w:p>
      <w:pPr>
        <w:widowControl/>
        <w:spacing w:line="360" w:lineRule="auto"/>
        <w:ind w:firstLine="480" w:firstLineChars="200"/>
        <w:jc w:val="left"/>
        <w:rPr>
          <w:kern w:val="0"/>
          <w:szCs w:val="24"/>
        </w:rPr>
      </w:pPr>
      <w:r>
        <w:rPr>
          <w:kern w:val="0"/>
          <w:szCs w:val="24"/>
        </w:rPr>
        <w:t>(1)经营单位根据经审批的作业设计组织施工作业。</w:t>
      </w:r>
    </w:p>
    <w:p>
      <w:pPr>
        <w:widowControl/>
        <w:spacing w:line="360" w:lineRule="auto"/>
        <w:ind w:firstLine="480" w:firstLineChars="200"/>
        <w:jc w:val="left"/>
        <w:rPr>
          <w:kern w:val="0"/>
          <w:szCs w:val="24"/>
        </w:rPr>
      </w:pPr>
      <w:r>
        <w:rPr>
          <w:kern w:val="0"/>
          <w:szCs w:val="24"/>
        </w:rPr>
        <w:t>(2)施工前要做好器具、材料、人员的准备，并对施工人员开展上岗培训。</w:t>
      </w:r>
    </w:p>
    <w:p>
      <w:pPr>
        <w:widowControl/>
        <w:spacing w:line="360" w:lineRule="auto"/>
        <w:ind w:firstLine="480" w:firstLineChars="200"/>
        <w:jc w:val="left"/>
        <w:rPr>
          <w:kern w:val="0"/>
          <w:szCs w:val="24"/>
        </w:rPr>
      </w:pPr>
      <w:r>
        <w:rPr>
          <w:kern w:val="0"/>
          <w:szCs w:val="24"/>
        </w:rPr>
        <w:t>(3)严格按照作业设计的区划范围、作业面积、技术措施等要求开展施工。</w:t>
      </w:r>
    </w:p>
    <w:p>
      <w:pPr>
        <w:widowControl/>
        <w:spacing w:line="360" w:lineRule="auto"/>
        <w:ind w:firstLine="480" w:firstLineChars="200"/>
        <w:jc w:val="left"/>
        <w:rPr>
          <w:kern w:val="0"/>
          <w:szCs w:val="24"/>
        </w:rPr>
      </w:pPr>
      <w:r>
        <w:rPr>
          <w:kern w:val="0"/>
          <w:szCs w:val="24"/>
        </w:rPr>
        <w:t>(4)施工过程中做好环境保护、森林防火、有害生物防治、施工安全工作。</w:t>
      </w:r>
    </w:p>
    <w:p>
      <w:pPr>
        <w:pStyle w:val="3"/>
        <w:numPr>
          <w:ilvl w:val="1"/>
          <w:numId w:val="1"/>
        </w:numPr>
        <w:spacing w:before="0" w:after="0" w:line="360" w:lineRule="auto"/>
        <w:rPr>
          <w:rFonts w:ascii="Times New Roman" w:hAnsi="Times New Roman" w:eastAsia="黑体" w:cs="Times New Roman"/>
          <w:b w:val="0"/>
          <w:sz w:val="24"/>
          <w:szCs w:val="24"/>
        </w:rPr>
      </w:pPr>
      <w:bookmarkStart w:id="133" w:name="_Toc23128"/>
      <w:bookmarkStart w:id="134" w:name="_Toc24104"/>
      <w:bookmarkStart w:id="135" w:name="_Toc22710"/>
      <w:bookmarkStart w:id="136" w:name="_Toc7046"/>
      <w:bookmarkStart w:id="137" w:name="_Toc6242"/>
      <w:r>
        <w:rPr>
          <w:rFonts w:ascii="Times New Roman" w:hAnsi="Times New Roman" w:eastAsia="黑体" w:cs="Times New Roman"/>
          <w:b w:val="0"/>
          <w:sz w:val="24"/>
          <w:szCs w:val="24"/>
        </w:rPr>
        <w:t>成效评价</w:t>
      </w:r>
      <w:bookmarkEnd w:id="133"/>
      <w:bookmarkEnd w:id="134"/>
      <w:bookmarkEnd w:id="135"/>
      <w:bookmarkEnd w:id="136"/>
      <w:bookmarkEnd w:id="137"/>
    </w:p>
    <w:p>
      <w:pPr>
        <w:widowControl/>
        <w:numPr>
          <w:ilvl w:val="0"/>
          <w:numId w:val="3"/>
        </w:numPr>
        <w:spacing w:line="360" w:lineRule="auto"/>
        <w:ind w:firstLine="480" w:firstLineChars="200"/>
        <w:jc w:val="left"/>
        <w:rPr>
          <w:kern w:val="0"/>
          <w:szCs w:val="24"/>
        </w:rPr>
      </w:pPr>
      <w:r>
        <w:rPr>
          <w:kern w:val="0"/>
          <w:szCs w:val="24"/>
        </w:rPr>
        <w:t>项目施工完成，达到作业设计成效评价时限的，林业行政主管部门按照程序组织开展成效评价工作。</w:t>
      </w:r>
    </w:p>
    <w:p>
      <w:pPr>
        <w:widowControl/>
        <w:numPr>
          <w:ilvl w:val="0"/>
          <w:numId w:val="3"/>
        </w:numPr>
        <w:spacing w:line="360" w:lineRule="auto"/>
        <w:ind w:firstLine="480" w:firstLineChars="200"/>
        <w:jc w:val="left"/>
        <w:rPr>
          <w:kern w:val="0"/>
          <w:szCs w:val="24"/>
        </w:rPr>
      </w:pPr>
      <w:r>
        <w:rPr>
          <w:kern w:val="0"/>
          <w:szCs w:val="24"/>
        </w:rPr>
        <w:t>以作业小班为单元评价施工作业质量（见附录3），实施百分制，总分达到85分为合格。</w:t>
      </w:r>
    </w:p>
    <w:p>
      <w:pPr>
        <w:widowControl/>
        <w:numPr>
          <w:ilvl w:val="0"/>
          <w:numId w:val="3"/>
        </w:numPr>
        <w:spacing w:line="360" w:lineRule="auto"/>
        <w:ind w:firstLine="480" w:firstLineChars="200"/>
        <w:jc w:val="left"/>
        <w:rPr>
          <w:kern w:val="0"/>
          <w:szCs w:val="24"/>
        </w:rPr>
      </w:pPr>
      <w:r>
        <w:rPr>
          <w:kern w:val="0"/>
          <w:szCs w:val="24"/>
        </w:rPr>
        <w:t>成效评价由第三方进行。</w:t>
      </w:r>
    </w:p>
    <w:bookmarkEnd w:id="6"/>
    <w:p>
      <w:pPr>
        <w:pStyle w:val="24"/>
        <w:numPr>
          <w:ilvl w:val="0"/>
          <w:numId w:val="1"/>
        </w:numPr>
        <w:ind w:left="284" w:hanging="284" w:firstLineChars="0"/>
        <w:outlineLvl w:val="0"/>
        <w:rPr>
          <w:rFonts w:eastAsia="黑体"/>
          <w:sz w:val="28"/>
          <w:szCs w:val="28"/>
        </w:rPr>
      </w:pPr>
      <w:bookmarkStart w:id="138" w:name="_Toc20163"/>
      <w:bookmarkStart w:id="139" w:name="_Toc12068"/>
      <w:bookmarkStart w:id="140" w:name="_Toc28385"/>
      <w:bookmarkStart w:id="141" w:name="_Toc17947"/>
      <w:bookmarkStart w:id="142" w:name="_Toc10039"/>
      <w:r>
        <w:rPr>
          <w:rFonts w:eastAsia="黑体"/>
          <w:sz w:val="28"/>
          <w:szCs w:val="28"/>
        </w:rPr>
        <w:t>主要技术措施</w:t>
      </w:r>
      <w:bookmarkEnd w:id="138"/>
      <w:bookmarkEnd w:id="139"/>
      <w:bookmarkEnd w:id="140"/>
      <w:bookmarkEnd w:id="141"/>
      <w:bookmarkEnd w:id="142"/>
    </w:p>
    <w:p>
      <w:pPr>
        <w:pStyle w:val="3"/>
        <w:numPr>
          <w:ilvl w:val="1"/>
          <w:numId w:val="1"/>
        </w:numPr>
        <w:spacing w:before="0" w:after="0" w:line="360" w:lineRule="auto"/>
        <w:ind w:left="284" w:hanging="284"/>
        <w:rPr>
          <w:rFonts w:ascii="Times New Roman" w:hAnsi="Times New Roman" w:eastAsia="黑体" w:cs="Times New Roman"/>
          <w:b w:val="0"/>
          <w:sz w:val="24"/>
          <w:szCs w:val="24"/>
        </w:rPr>
      </w:pPr>
      <w:bookmarkStart w:id="143" w:name="_Toc19341"/>
      <w:bookmarkStart w:id="144" w:name="_Toc19365"/>
      <w:bookmarkStart w:id="145" w:name="_Toc15241"/>
      <w:bookmarkStart w:id="146" w:name="_Toc23292"/>
      <w:bookmarkStart w:id="147" w:name="_Toc17205"/>
      <w:bookmarkStart w:id="148" w:name="_Toc35527773"/>
      <w:bookmarkStart w:id="149" w:name="_Toc35528073"/>
      <w:r>
        <w:rPr>
          <w:rFonts w:ascii="Times New Roman" w:hAnsi="Times New Roman" w:eastAsia="黑体" w:cs="Times New Roman"/>
          <w:b w:val="0"/>
          <w:sz w:val="24"/>
          <w:szCs w:val="24"/>
        </w:rPr>
        <w:t>林地清理</w:t>
      </w:r>
      <w:bookmarkEnd w:id="143"/>
      <w:bookmarkEnd w:id="144"/>
      <w:bookmarkEnd w:id="145"/>
      <w:bookmarkEnd w:id="146"/>
      <w:bookmarkEnd w:id="147"/>
    </w:p>
    <w:p>
      <w:pPr>
        <w:widowControl/>
        <w:spacing w:line="360" w:lineRule="auto"/>
        <w:ind w:firstLine="480" w:firstLineChars="200"/>
        <w:jc w:val="left"/>
        <w:rPr>
          <w:kern w:val="0"/>
          <w:szCs w:val="24"/>
        </w:rPr>
      </w:pPr>
      <w:r>
        <w:rPr>
          <w:kern w:val="0"/>
          <w:szCs w:val="24"/>
        </w:rPr>
        <w:t>清除病死木、断稍木、倒伏木、栽植穴中的多余木或萌芽株，胸径5 cm以下的被压木，影响林木生长的藤蔓、灌木、有害生物等；保留珍贵乡土树种的幼树、幼苗和林木；被清理剩余物应移出林地或成堆原地堆放。</w:t>
      </w:r>
    </w:p>
    <w:p>
      <w:pPr>
        <w:pStyle w:val="3"/>
        <w:numPr>
          <w:ilvl w:val="1"/>
          <w:numId w:val="1"/>
        </w:numPr>
        <w:spacing w:before="0" w:after="0" w:line="360" w:lineRule="auto"/>
        <w:rPr>
          <w:rFonts w:ascii="Times New Roman" w:hAnsi="Times New Roman" w:eastAsia="黑体" w:cs="Times New Roman"/>
          <w:b w:val="0"/>
          <w:sz w:val="24"/>
          <w:szCs w:val="24"/>
        </w:rPr>
      </w:pPr>
      <w:bookmarkStart w:id="150" w:name="_Toc10369"/>
      <w:bookmarkStart w:id="151" w:name="_Toc22134"/>
      <w:bookmarkStart w:id="152" w:name="_Toc4227"/>
      <w:bookmarkStart w:id="153" w:name="_Toc23193"/>
      <w:bookmarkStart w:id="154" w:name="_Toc4681"/>
      <w:r>
        <w:rPr>
          <w:rFonts w:ascii="Times New Roman" w:hAnsi="Times New Roman" w:eastAsia="黑体" w:cs="Times New Roman"/>
          <w:b w:val="0"/>
          <w:sz w:val="24"/>
          <w:szCs w:val="24"/>
        </w:rPr>
        <w:t>间伐抚育</w:t>
      </w:r>
      <w:bookmarkEnd w:id="150"/>
      <w:bookmarkEnd w:id="151"/>
      <w:bookmarkEnd w:id="152"/>
      <w:bookmarkEnd w:id="153"/>
      <w:bookmarkEnd w:id="154"/>
    </w:p>
    <w:p>
      <w:pPr>
        <w:pStyle w:val="24"/>
        <w:widowControl/>
        <w:spacing w:line="360" w:lineRule="auto"/>
        <w:ind w:firstLine="480"/>
        <w:jc w:val="left"/>
        <w:rPr>
          <w:kern w:val="0"/>
          <w:szCs w:val="24"/>
        </w:rPr>
      </w:pPr>
      <w:r>
        <w:rPr>
          <w:kern w:val="0"/>
          <w:szCs w:val="24"/>
        </w:rPr>
        <w:t>(1)间伐抚育方式</w:t>
      </w:r>
    </w:p>
    <w:p>
      <w:pPr>
        <w:widowControl/>
        <w:spacing w:line="360" w:lineRule="auto"/>
        <w:ind w:firstLine="480" w:firstLineChars="200"/>
        <w:jc w:val="left"/>
        <w:rPr>
          <w:kern w:val="0"/>
          <w:szCs w:val="24"/>
        </w:rPr>
      </w:pPr>
      <w:r>
        <w:rPr>
          <w:kern w:val="0"/>
          <w:szCs w:val="24"/>
        </w:rPr>
        <w:t>按照《森林抚育规程》（GB/T15781）要求，对符合间伐的林分采取透光伐、疏伐、生长伐、卫生伐等间伐抚育措施，对林分进行2-3次抚育间伐，调整林分密度。</w:t>
      </w:r>
    </w:p>
    <w:p>
      <w:pPr>
        <w:pStyle w:val="24"/>
        <w:widowControl/>
        <w:spacing w:line="360" w:lineRule="auto"/>
        <w:ind w:firstLine="480"/>
        <w:jc w:val="left"/>
        <w:rPr>
          <w:kern w:val="0"/>
          <w:szCs w:val="24"/>
        </w:rPr>
      </w:pPr>
      <w:r>
        <w:rPr>
          <w:kern w:val="0"/>
          <w:szCs w:val="24"/>
        </w:rPr>
        <w:t>(2)间伐抚育要求</w:t>
      </w:r>
    </w:p>
    <w:p>
      <w:pPr>
        <w:widowControl/>
        <w:spacing w:line="360" w:lineRule="auto"/>
        <w:ind w:firstLine="480" w:firstLineChars="200"/>
        <w:jc w:val="left"/>
        <w:rPr>
          <w:kern w:val="0"/>
          <w:szCs w:val="24"/>
        </w:rPr>
      </w:pPr>
      <w:r>
        <w:rPr>
          <w:kern w:val="0"/>
          <w:szCs w:val="24"/>
        </w:rPr>
        <w:t>①按照去弯留直、去劣留优、去弱留壮、间密留稀、确保目标树生长的原则，</w:t>
      </w:r>
    </w:p>
    <w:p>
      <w:pPr>
        <w:widowControl/>
        <w:spacing w:line="360" w:lineRule="auto"/>
        <w:jc w:val="left"/>
        <w:rPr>
          <w:kern w:val="0"/>
          <w:szCs w:val="24"/>
        </w:rPr>
      </w:pPr>
      <w:r>
        <w:rPr>
          <w:kern w:val="0"/>
          <w:szCs w:val="24"/>
        </w:rPr>
        <w:t>实行林木分类的，采伐木顺序为：干扰树、（必要时）其它树；保留木顺序为：目标树、辅助树、其他树；实行林木分级的，采伐木顺序为：保留木顺序为：Ⅰ级木、Ⅱ级木、Ⅲ级木，伐除IV级、V级木、部分III级木和必要的干扰树、竞争木、树干弯曲木和木材有缺陷的林木。</w:t>
      </w:r>
    </w:p>
    <w:p>
      <w:pPr>
        <w:widowControl/>
        <w:spacing w:line="360" w:lineRule="auto"/>
        <w:ind w:firstLine="480" w:firstLineChars="200"/>
        <w:jc w:val="left"/>
        <w:rPr>
          <w:kern w:val="0"/>
          <w:szCs w:val="24"/>
        </w:rPr>
      </w:pPr>
      <w:r>
        <w:rPr>
          <w:kern w:val="0"/>
          <w:szCs w:val="24"/>
        </w:rPr>
        <w:t>②对林分密度较大、林中空地较少的林分，可每公顷开设面积为10㎡左右的林窗75-150个，林窗要求分布均匀，为补植创造条件。</w:t>
      </w:r>
    </w:p>
    <w:p>
      <w:pPr>
        <w:widowControl/>
        <w:spacing w:line="360" w:lineRule="auto"/>
        <w:ind w:firstLine="480" w:firstLineChars="200"/>
        <w:rPr>
          <w:kern w:val="0"/>
          <w:szCs w:val="24"/>
        </w:rPr>
      </w:pPr>
      <w:r>
        <w:rPr>
          <w:kern w:val="0"/>
          <w:szCs w:val="24"/>
        </w:rPr>
        <w:t>③间伐后林分平均树高和平均胸径不小于间伐前，间伐后林分郁闭度不低于0.6。严禁以取材为目的破坏森林资源与林分。</w:t>
      </w:r>
    </w:p>
    <w:p>
      <w:pPr>
        <w:widowControl/>
        <w:spacing w:line="360" w:lineRule="auto"/>
        <w:ind w:firstLine="480" w:firstLineChars="200"/>
        <w:jc w:val="left"/>
        <w:rPr>
          <w:kern w:val="0"/>
          <w:szCs w:val="24"/>
        </w:rPr>
      </w:pPr>
      <w:r>
        <w:rPr>
          <w:kern w:val="0"/>
          <w:szCs w:val="24"/>
        </w:rPr>
        <w:t>④保留林分中价值较高的珍贵乡土阔叶树。</w:t>
      </w:r>
    </w:p>
    <w:p>
      <w:pPr>
        <w:widowControl/>
        <w:spacing w:line="360" w:lineRule="auto"/>
        <w:ind w:firstLine="480" w:firstLineChars="200"/>
        <w:jc w:val="left"/>
        <w:rPr>
          <w:kern w:val="0"/>
          <w:szCs w:val="24"/>
        </w:rPr>
      </w:pPr>
      <w:r>
        <w:rPr>
          <w:kern w:val="0"/>
          <w:szCs w:val="24"/>
        </w:rPr>
        <w:t>间伐抚育后，各林分保留密度参考表3。</w:t>
      </w:r>
    </w:p>
    <w:tbl>
      <w:tblPr>
        <w:tblStyle w:val="18"/>
        <w:tblW w:w="8336" w:type="dxa"/>
        <w:tblInd w:w="0" w:type="dxa"/>
        <w:tblLayout w:type="fixed"/>
        <w:tblCellMar>
          <w:top w:w="0" w:type="dxa"/>
          <w:left w:w="0" w:type="dxa"/>
          <w:bottom w:w="0" w:type="dxa"/>
          <w:right w:w="0" w:type="dxa"/>
        </w:tblCellMar>
      </w:tblPr>
      <w:tblGrid>
        <w:gridCol w:w="1409"/>
        <w:gridCol w:w="681"/>
        <w:gridCol w:w="780"/>
        <w:gridCol w:w="780"/>
        <w:gridCol w:w="781"/>
        <w:gridCol w:w="781"/>
        <w:gridCol w:w="781"/>
        <w:gridCol w:w="781"/>
        <w:gridCol w:w="781"/>
        <w:gridCol w:w="781"/>
      </w:tblGrid>
      <w:tr>
        <w:tblPrEx>
          <w:tblLayout w:type="fixed"/>
          <w:tblCellMar>
            <w:top w:w="0" w:type="dxa"/>
            <w:left w:w="0" w:type="dxa"/>
            <w:bottom w:w="0" w:type="dxa"/>
            <w:right w:w="0" w:type="dxa"/>
          </w:tblCellMar>
        </w:tblPrEx>
        <w:trPr>
          <w:trHeight w:val="283" w:hRule="atLeast"/>
          <w:tblHeader/>
        </w:trPr>
        <w:tc>
          <w:tcPr>
            <w:tcW w:w="8336" w:type="dxa"/>
            <w:gridSpan w:val="10"/>
            <w:tcBorders>
              <w:top w:val="nil"/>
              <w:left w:val="nil"/>
              <w:bottom w:val="single" w:color="auto" w:sz="4" w:space="0"/>
              <w:right w:val="nil"/>
            </w:tcBorders>
            <w:tcMar>
              <w:top w:w="15" w:type="dxa"/>
              <w:left w:w="15" w:type="dxa"/>
              <w:bottom w:w="0" w:type="dxa"/>
              <w:right w:w="15" w:type="dxa"/>
            </w:tcMar>
            <w:vAlign w:val="center"/>
          </w:tcPr>
          <w:p>
            <w:pPr>
              <w:widowControl/>
              <w:jc w:val="center"/>
              <w:rPr>
                <w:kern w:val="0"/>
                <w:sz w:val="21"/>
                <w:szCs w:val="21"/>
              </w:rPr>
            </w:pPr>
            <w:r>
              <w:rPr>
                <w:rFonts w:eastAsia="黑体"/>
                <w:kern w:val="0"/>
                <w:sz w:val="21"/>
                <w:szCs w:val="21"/>
              </w:rPr>
              <w:t>表 3：间伐后各龄级林分密度参考表</w:t>
            </w:r>
          </w:p>
        </w:tc>
      </w:tr>
      <w:tr>
        <w:tblPrEx>
          <w:tblLayout w:type="fixed"/>
          <w:tblCellMar>
            <w:top w:w="0" w:type="dxa"/>
            <w:left w:w="0" w:type="dxa"/>
            <w:bottom w:w="0" w:type="dxa"/>
            <w:right w:w="0" w:type="dxa"/>
          </w:tblCellMar>
        </w:tblPrEx>
        <w:trPr>
          <w:trHeight w:val="283" w:hRule="atLeast"/>
          <w:tblHeader/>
        </w:trPr>
        <w:tc>
          <w:tcPr>
            <w:tcW w:w="1409" w:type="dxa"/>
            <w:tcBorders>
              <w:top w:val="single" w:color="auto" w:sz="4"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林分类型</w:t>
            </w:r>
          </w:p>
        </w:tc>
        <w:tc>
          <w:tcPr>
            <w:tcW w:w="6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立地指数</w:t>
            </w:r>
          </w:p>
        </w:tc>
        <w:tc>
          <w:tcPr>
            <w:tcW w:w="780"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12龄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0"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14龄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16龄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18龄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20龄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22龄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24龄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c>
          <w:tcPr>
            <w:tcW w:w="781" w:type="dxa"/>
            <w:tcBorders>
              <w:top w:val="single" w:color="auto" w:sz="4" w:space="0"/>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26龄</w:t>
            </w:r>
          </w:p>
          <w:p>
            <w:pPr>
              <w:widowControl/>
              <w:jc w:val="center"/>
              <w:rPr>
                <w:kern w:val="0"/>
                <w:sz w:val="18"/>
                <w:szCs w:val="18"/>
              </w:rPr>
            </w:pPr>
            <w:r>
              <w:rPr>
                <w:kern w:val="0"/>
                <w:sz w:val="18"/>
                <w:szCs w:val="18"/>
              </w:rPr>
              <w:t>（株/hm</w:t>
            </w:r>
            <w:r>
              <w:rPr>
                <w:kern w:val="0"/>
                <w:sz w:val="18"/>
                <w:szCs w:val="18"/>
                <w:vertAlign w:val="superscript"/>
              </w:rPr>
              <w:t>2</w:t>
            </w:r>
            <w:r>
              <w:rPr>
                <w:kern w:val="0"/>
                <w:sz w:val="18"/>
                <w:szCs w:val="18"/>
              </w:rPr>
              <w:t>）</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杉木纯林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930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马尾松纯林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570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湿地松、火炬松纯林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12</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570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480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落叶松、华山松纯林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12</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1080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1020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975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930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针阔叶混交林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570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480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针叶混交林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930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900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870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r>
      <w:tr>
        <w:tblPrEx>
          <w:tblLayout w:type="fixed"/>
          <w:tblCellMar>
            <w:top w:w="0" w:type="dxa"/>
            <w:left w:w="0" w:type="dxa"/>
            <w:bottom w:w="0" w:type="dxa"/>
            <w:right w:w="0" w:type="dxa"/>
          </w:tblCellMar>
        </w:tblPrEx>
        <w:trPr>
          <w:trHeight w:val="285" w:hRule="atLeast"/>
        </w:trPr>
        <w:tc>
          <w:tcPr>
            <w:tcW w:w="1409" w:type="dxa"/>
            <w:vMerge w:val="restart"/>
            <w:tcBorders>
              <w:top w:val="nil"/>
              <w:left w:val="single" w:color="000000" w:sz="8" w:space="0"/>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桤木阔叶林</w:t>
            </w: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14</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825</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570</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16</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780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525</w:t>
            </w:r>
          </w:p>
        </w:tc>
      </w:tr>
      <w:tr>
        <w:tblPrEx>
          <w:tblLayout w:type="fixed"/>
          <w:tblCellMar>
            <w:top w:w="0" w:type="dxa"/>
            <w:left w:w="0" w:type="dxa"/>
            <w:bottom w:w="0" w:type="dxa"/>
            <w:right w:w="0" w:type="dxa"/>
          </w:tblCellMar>
        </w:tblPrEx>
        <w:trPr>
          <w:trHeight w:val="285" w:hRule="atLeast"/>
        </w:trPr>
        <w:tc>
          <w:tcPr>
            <w:tcW w:w="1409" w:type="dxa"/>
            <w:vMerge w:val="continue"/>
            <w:tcBorders>
              <w:top w:val="nil"/>
              <w:left w:val="single" w:color="000000" w:sz="8" w:space="0"/>
              <w:bottom w:val="single" w:color="000000" w:sz="8" w:space="0"/>
              <w:right w:val="single" w:color="000000" w:sz="8" w:space="0"/>
            </w:tcBorders>
            <w:vAlign w:val="center"/>
          </w:tcPr>
          <w:p>
            <w:pPr>
              <w:jc w:val="center"/>
              <w:rPr>
                <w:sz w:val="18"/>
                <w:szCs w:val="18"/>
              </w:rPr>
            </w:pPr>
          </w:p>
        </w:tc>
        <w:tc>
          <w:tcPr>
            <w:tcW w:w="681" w:type="dxa"/>
            <w:tcBorders>
              <w:top w:val="nil"/>
              <w:left w:val="nil"/>
              <w:bottom w:val="single" w:color="000000" w:sz="8" w:space="0"/>
              <w:right w:val="single" w:color="000000" w:sz="8" w:space="0"/>
            </w:tcBorders>
            <w:tcMar>
              <w:top w:w="15" w:type="dxa"/>
              <w:left w:w="15" w:type="dxa"/>
              <w:bottom w:w="0" w:type="dxa"/>
              <w:right w:w="15" w:type="dxa"/>
            </w:tcMar>
            <w:vAlign w:val="center"/>
          </w:tcPr>
          <w:p>
            <w:pPr>
              <w:jc w:val="center"/>
              <w:rPr>
                <w:sz w:val="18"/>
                <w:szCs w:val="18"/>
              </w:rPr>
            </w:pPr>
            <w:r>
              <w:rPr>
                <w:sz w:val="18"/>
                <w:szCs w:val="18"/>
              </w:rPr>
              <w:t>18及以上</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750</w:t>
            </w:r>
          </w:p>
        </w:tc>
        <w:tc>
          <w:tcPr>
            <w:tcW w:w="780"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720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675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630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600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570</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525</w:t>
            </w:r>
          </w:p>
        </w:tc>
        <w:tc>
          <w:tcPr>
            <w:tcW w:w="781" w:type="dxa"/>
            <w:tcBorders>
              <w:top w:val="nil"/>
              <w:left w:val="nil"/>
              <w:bottom w:val="single" w:color="000000" w:sz="8" w:space="0"/>
              <w:right w:val="single" w:color="000000" w:sz="8" w:space="0"/>
            </w:tcBorders>
            <w:tcMar>
              <w:top w:w="15" w:type="dxa"/>
              <w:left w:w="15" w:type="dxa"/>
              <w:bottom w:w="0" w:type="dxa"/>
              <w:right w:w="15" w:type="dxa"/>
            </w:tcMar>
            <w:vAlign w:val="center"/>
          </w:tcPr>
          <w:p>
            <w:pPr>
              <w:widowControl/>
              <w:jc w:val="center"/>
              <w:rPr>
                <w:kern w:val="0"/>
                <w:sz w:val="18"/>
                <w:szCs w:val="18"/>
              </w:rPr>
            </w:pPr>
            <w:r>
              <w:rPr>
                <w:kern w:val="0"/>
                <w:sz w:val="18"/>
                <w:szCs w:val="18"/>
              </w:rPr>
              <w:t>480</w:t>
            </w:r>
          </w:p>
        </w:tc>
      </w:tr>
    </w:tbl>
    <w:p>
      <w:pPr>
        <w:widowControl/>
        <w:spacing w:line="360" w:lineRule="auto"/>
        <w:ind w:firstLine="480" w:firstLineChars="200"/>
        <w:jc w:val="left"/>
        <w:rPr>
          <w:kern w:val="0"/>
          <w:szCs w:val="24"/>
        </w:rPr>
      </w:pPr>
    </w:p>
    <w:p>
      <w:pPr>
        <w:pStyle w:val="3"/>
        <w:numPr>
          <w:ilvl w:val="1"/>
          <w:numId w:val="1"/>
        </w:numPr>
        <w:spacing w:before="0" w:after="0" w:line="360" w:lineRule="auto"/>
        <w:rPr>
          <w:rFonts w:ascii="Times New Roman" w:hAnsi="Times New Roman" w:eastAsia="黑体" w:cs="Times New Roman"/>
          <w:b w:val="0"/>
          <w:sz w:val="24"/>
          <w:szCs w:val="24"/>
        </w:rPr>
      </w:pPr>
      <w:bookmarkStart w:id="155" w:name="_Toc1622"/>
      <w:bookmarkStart w:id="156" w:name="_Toc27812"/>
      <w:bookmarkStart w:id="157" w:name="_Toc26486"/>
      <w:bookmarkStart w:id="158" w:name="_Toc10487"/>
      <w:bookmarkStart w:id="159" w:name="_Toc13148"/>
      <w:r>
        <w:rPr>
          <w:rFonts w:ascii="Times New Roman" w:hAnsi="Times New Roman" w:eastAsia="黑体" w:cs="Times New Roman"/>
          <w:b w:val="0"/>
          <w:sz w:val="24"/>
          <w:szCs w:val="24"/>
        </w:rPr>
        <w:t>修枝整形</w:t>
      </w:r>
      <w:bookmarkEnd w:id="155"/>
      <w:bookmarkEnd w:id="156"/>
      <w:bookmarkEnd w:id="157"/>
      <w:bookmarkEnd w:id="158"/>
      <w:bookmarkEnd w:id="159"/>
    </w:p>
    <w:p>
      <w:pPr>
        <w:pStyle w:val="4"/>
        <w:numPr>
          <w:ilvl w:val="2"/>
          <w:numId w:val="1"/>
        </w:numPr>
        <w:spacing w:before="0" w:after="0" w:line="360" w:lineRule="auto"/>
        <w:ind w:left="567" w:hanging="567"/>
        <w:rPr>
          <w:rFonts w:eastAsia="黑体"/>
          <w:b w:val="0"/>
          <w:sz w:val="24"/>
          <w:szCs w:val="24"/>
        </w:rPr>
      </w:pPr>
      <w:bookmarkStart w:id="160" w:name="_Toc18079"/>
      <w:bookmarkStart w:id="161" w:name="_Toc6806"/>
      <w:r>
        <w:rPr>
          <w:rFonts w:eastAsia="黑体"/>
          <w:b w:val="0"/>
          <w:sz w:val="24"/>
          <w:szCs w:val="24"/>
        </w:rPr>
        <w:t>整形修枝对象</w:t>
      </w:r>
      <w:bookmarkEnd w:id="160"/>
      <w:bookmarkEnd w:id="161"/>
    </w:p>
    <w:p>
      <w:pPr>
        <w:widowControl/>
        <w:spacing w:line="360" w:lineRule="auto"/>
        <w:ind w:firstLine="480" w:firstLineChars="200"/>
        <w:jc w:val="left"/>
        <w:rPr>
          <w:kern w:val="0"/>
          <w:szCs w:val="24"/>
        </w:rPr>
      </w:pPr>
      <w:r>
        <w:rPr>
          <w:kern w:val="0"/>
          <w:szCs w:val="24"/>
        </w:rPr>
        <w:t>整形修枝对象为珍贵树种、培育大径材的目标树，以及高大且枝条妨碍目标树生长的其它树。</w:t>
      </w:r>
    </w:p>
    <w:p>
      <w:pPr>
        <w:pStyle w:val="4"/>
        <w:numPr>
          <w:ilvl w:val="2"/>
          <w:numId w:val="1"/>
        </w:numPr>
        <w:spacing w:before="0" w:after="0" w:line="360" w:lineRule="auto"/>
        <w:ind w:left="567" w:hanging="567"/>
        <w:rPr>
          <w:rFonts w:eastAsia="黑体"/>
          <w:b w:val="0"/>
          <w:sz w:val="24"/>
          <w:szCs w:val="24"/>
        </w:rPr>
      </w:pPr>
      <w:bookmarkStart w:id="162" w:name="_Toc24749"/>
      <w:bookmarkStart w:id="163" w:name="_Toc18099"/>
      <w:r>
        <w:rPr>
          <w:rFonts w:eastAsia="黑体"/>
          <w:b w:val="0"/>
          <w:sz w:val="24"/>
          <w:szCs w:val="24"/>
        </w:rPr>
        <w:t>整形修枝要求</w:t>
      </w:r>
      <w:bookmarkEnd w:id="162"/>
      <w:bookmarkEnd w:id="163"/>
    </w:p>
    <w:p>
      <w:pPr>
        <w:widowControl/>
        <w:spacing w:line="360" w:lineRule="auto"/>
        <w:ind w:firstLine="480" w:firstLineChars="200"/>
        <w:jc w:val="left"/>
        <w:rPr>
          <w:kern w:val="0"/>
          <w:szCs w:val="24"/>
        </w:rPr>
      </w:pPr>
      <w:r>
        <w:rPr>
          <w:kern w:val="0"/>
          <w:szCs w:val="24"/>
        </w:rPr>
        <w:t>(1)修枝整形的树为单梢树、活力强、树干通直、无病虫害、无木材缺陷等目标树及其它保留木。</w:t>
      </w:r>
    </w:p>
    <w:p>
      <w:pPr>
        <w:widowControl/>
        <w:spacing w:line="360" w:lineRule="auto"/>
        <w:ind w:firstLine="480" w:firstLineChars="200"/>
        <w:jc w:val="left"/>
        <w:rPr>
          <w:kern w:val="0"/>
          <w:szCs w:val="24"/>
        </w:rPr>
      </w:pPr>
      <w:r>
        <w:rPr>
          <w:kern w:val="0"/>
          <w:szCs w:val="24"/>
        </w:rPr>
        <w:t>(2)原则上每公顷修枝整形株树不超过450株。</w:t>
      </w:r>
    </w:p>
    <w:p>
      <w:pPr>
        <w:widowControl/>
        <w:spacing w:line="360" w:lineRule="auto"/>
        <w:ind w:firstLine="480" w:firstLineChars="200"/>
        <w:jc w:val="left"/>
        <w:rPr>
          <w:kern w:val="0"/>
          <w:szCs w:val="24"/>
        </w:rPr>
      </w:pPr>
      <w:r>
        <w:rPr>
          <w:kern w:val="0"/>
          <w:szCs w:val="24"/>
        </w:rPr>
        <w:t>(3)修去枯死枝和树冠下部1-2轮活枝；主林层目的树种修枝高度为树干的1/3-1/2；补植的珍贵树种侧枝较多时也需要修枝，修枝高度控制在树干的1/3以下。</w:t>
      </w:r>
    </w:p>
    <w:p>
      <w:pPr>
        <w:widowControl/>
        <w:spacing w:line="360" w:lineRule="auto"/>
        <w:ind w:firstLine="480" w:firstLineChars="200"/>
        <w:jc w:val="left"/>
        <w:rPr>
          <w:kern w:val="0"/>
          <w:szCs w:val="24"/>
        </w:rPr>
      </w:pPr>
      <w:r>
        <w:rPr>
          <w:kern w:val="0"/>
          <w:szCs w:val="24"/>
        </w:rPr>
        <w:t>(4)枝桩尽量修平，剪口不能伤害树干的韧皮部和木质部。</w:t>
      </w:r>
    </w:p>
    <w:p>
      <w:pPr>
        <w:widowControl/>
        <w:spacing w:line="360" w:lineRule="auto"/>
        <w:ind w:firstLine="480" w:firstLineChars="200"/>
        <w:jc w:val="left"/>
        <w:rPr>
          <w:kern w:val="0"/>
          <w:szCs w:val="24"/>
        </w:rPr>
      </w:pPr>
      <w:r>
        <w:rPr>
          <w:kern w:val="0"/>
          <w:szCs w:val="24"/>
        </w:rPr>
        <w:t>(5)整形修枝后林分通透，树形优美。</w:t>
      </w:r>
    </w:p>
    <w:p>
      <w:pPr>
        <w:pStyle w:val="3"/>
        <w:numPr>
          <w:ilvl w:val="1"/>
          <w:numId w:val="1"/>
        </w:numPr>
        <w:spacing w:before="0" w:after="0" w:line="360" w:lineRule="auto"/>
        <w:rPr>
          <w:rFonts w:ascii="Times New Roman" w:hAnsi="Times New Roman" w:eastAsia="黑体" w:cs="Times New Roman"/>
          <w:b w:val="0"/>
          <w:sz w:val="24"/>
          <w:szCs w:val="24"/>
        </w:rPr>
      </w:pPr>
      <w:bookmarkStart w:id="164" w:name="_Toc10500"/>
      <w:bookmarkStart w:id="165" w:name="_Toc14511"/>
      <w:bookmarkStart w:id="166" w:name="_Toc32231"/>
      <w:bookmarkStart w:id="167" w:name="_Toc23753"/>
      <w:bookmarkStart w:id="168" w:name="_Toc29037"/>
      <w:r>
        <w:rPr>
          <w:rFonts w:ascii="Times New Roman" w:hAnsi="Times New Roman" w:eastAsia="黑体" w:cs="Times New Roman"/>
          <w:b w:val="0"/>
          <w:sz w:val="24"/>
          <w:szCs w:val="24"/>
        </w:rPr>
        <w:t>补植</w:t>
      </w:r>
      <w:bookmarkEnd w:id="164"/>
      <w:bookmarkEnd w:id="165"/>
      <w:bookmarkEnd w:id="166"/>
      <w:bookmarkEnd w:id="167"/>
      <w:bookmarkEnd w:id="168"/>
    </w:p>
    <w:p>
      <w:pPr>
        <w:pStyle w:val="4"/>
        <w:numPr>
          <w:ilvl w:val="2"/>
          <w:numId w:val="1"/>
        </w:numPr>
        <w:spacing w:before="0" w:after="0" w:line="360" w:lineRule="auto"/>
        <w:ind w:left="567" w:hanging="567"/>
        <w:rPr>
          <w:rFonts w:eastAsia="黑体"/>
          <w:b w:val="0"/>
          <w:sz w:val="24"/>
          <w:szCs w:val="24"/>
        </w:rPr>
      </w:pPr>
      <w:bookmarkStart w:id="169" w:name="_Toc789"/>
      <w:bookmarkStart w:id="170" w:name="_Toc9915"/>
      <w:r>
        <w:rPr>
          <w:rFonts w:eastAsia="黑体"/>
          <w:b w:val="0"/>
          <w:sz w:val="24"/>
          <w:szCs w:val="24"/>
        </w:rPr>
        <w:t>补植对象</w:t>
      </w:r>
      <w:bookmarkEnd w:id="169"/>
      <w:bookmarkEnd w:id="170"/>
    </w:p>
    <w:p>
      <w:pPr>
        <w:widowControl/>
        <w:spacing w:line="360" w:lineRule="auto"/>
        <w:ind w:firstLine="480" w:firstLineChars="200"/>
        <w:jc w:val="left"/>
        <w:rPr>
          <w:kern w:val="0"/>
          <w:szCs w:val="24"/>
        </w:rPr>
      </w:pPr>
      <w:r>
        <w:rPr>
          <w:kern w:val="0"/>
          <w:szCs w:val="24"/>
        </w:rPr>
        <w:t>(1)林中空地、林窗。</w:t>
      </w:r>
    </w:p>
    <w:p>
      <w:pPr>
        <w:widowControl/>
        <w:spacing w:line="360" w:lineRule="auto"/>
        <w:ind w:firstLine="480" w:firstLineChars="200"/>
        <w:jc w:val="left"/>
        <w:rPr>
          <w:kern w:val="0"/>
          <w:szCs w:val="24"/>
        </w:rPr>
      </w:pPr>
      <w:r>
        <w:rPr>
          <w:kern w:val="0"/>
          <w:szCs w:val="24"/>
        </w:rPr>
        <w:t>(2)卫生伐后郁闭度小于0.5的林分。</w:t>
      </w:r>
    </w:p>
    <w:p>
      <w:pPr>
        <w:widowControl/>
        <w:spacing w:line="360" w:lineRule="auto"/>
        <w:ind w:firstLine="480" w:firstLineChars="200"/>
        <w:jc w:val="left"/>
        <w:rPr>
          <w:kern w:val="0"/>
          <w:szCs w:val="24"/>
        </w:rPr>
      </w:pPr>
      <w:r>
        <w:rPr>
          <w:kern w:val="0"/>
          <w:szCs w:val="24"/>
        </w:rPr>
        <w:t>(3)立地条件良好、符合经营目标的目的树种株树少的林分。</w:t>
      </w:r>
    </w:p>
    <w:p>
      <w:pPr>
        <w:pStyle w:val="4"/>
        <w:numPr>
          <w:ilvl w:val="2"/>
          <w:numId w:val="1"/>
        </w:numPr>
        <w:spacing w:before="0" w:after="0" w:line="360" w:lineRule="auto"/>
        <w:ind w:left="567" w:hanging="567"/>
        <w:rPr>
          <w:rFonts w:eastAsia="黑体"/>
          <w:b w:val="0"/>
          <w:sz w:val="24"/>
          <w:szCs w:val="24"/>
        </w:rPr>
      </w:pPr>
      <w:bookmarkStart w:id="171" w:name="_Toc7636"/>
      <w:bookmarkStart w:id="172" w:name="_Toc24138"/>
      <w:r>
        <w:rPr>
          <w:rFonts w:eastAsia="黑体"/>
          <w:b w:val="0"/>
          <w:sz w:val="24"/>
          <w:szCs w:val="24"/>
        </w:rPr>
        <w:t>补植方法</w:t>
      </w:r>
      <w:bookmarkEnd w:id="171"/>
      <w:bookmarkEnd w:id="172"/>
    </w:p>
    <w:p>
      <w:pPr>
        <w:pStyle w:val="24"/>
        <w:widowControl/>
        <w:spacing w:line="360" w:lineRule="auto"/>
        <w:ind w:firstLine="480"/>
        <w:jc w:val="left"/>
        <w:rPr>
          <w:kern w:val="0"/>
          <w:szCs w:val="24"/>
        </w:rPr>
      </w:pPr>
      <w:r>
        <w:rPr>
          <w:kern w:val="0"/>
          <w:szCs w:val="24"/>
        </w:rPr>
        <w:t>对林中空地、林窗进行补植，采用大穴整地方法整地，整地时间在补植造林前一个月进行。根据小班林分密度和林木分布情况，11年-20年林龄的林分补植株数每公顷不超过300株，21年-25年林龄的林分补植株数每公顷不超过450株，调整树种结构。补植时间宜在每年的12月至次年的4月进行。</w:t>
      </w:r>
    </w:p>
    <w:p>
      <w:pPr>
        <w:pStyle w:val="4"/>
        <w:numPr>
          <w:ilvl w:val="2"/>
          <w:numId w:val="1"/>
        </w:numPr>
        <w:spacing w:before="0" w:after="0" w:line="360" w:lineRule="auto"/>
        <w:ind w:left="567" w:hanging="567"/>
        <w:rPr>
          <w:rFonts w:eastAsia="黑体"/>
          <w:b w:val="0"/>
          <w:sz w:val="24"/>
          <w:szCs w:val="24"/>
        </w:rPr>
      </w:pPr>
      <w:bookmarkStart w:id="173" w:name="_Toc19509"/>
      <w:bookmarkStart w:id="174" w:name="_Toc2406"/>
      <w:r>
        <w:rPr>
          <w:rFonts w:eastAsia="黑体"/>
          <w:b w:val="0"/>
          <w:sz w:val="24"/>
          <w:szCs w:val="24"/>
        </w:rPr>
        <w:t>补植树种</w:t>
      </w:r>
      <w:bookmarkEnd w:id="173"/>
      <w:bookmarkEnd w:id="174"/>
    </w:p>
    <w:p>
      <w:pPr>
        <w:pStyle w:val="24"/>
        <w:widowControl/>
        <w:spacing w:line="360" w:lineRule="auto"/>
        <w:ind w:firstLine="480"/>
        <w:jc w:val="left"/>
        <w:rPr>
          <w:kern w:val="0"/>
          <w:szCs w:val="24"/>
        </w:rPr>
      </w:pPr>
      <w:r>
        <w:rPr>
          <w:kern w:val="0"/>
          <w:szCs w:val="24"/>
        </w:rPr>
        <w:t>选择能与现有树种互利、相容生长，且具备从林下到主林层生长的基本耐荫能力的目的树种，以常绿阔叶珍贵乡土树种为主，每个小班补植树种不少于3个；景区可视范围可适当补植彩叶、观花、观果树种1-2种，丰富森林景观。推荐补植树种见表4。</w:t>
      </w:r>
    </w:p>
    <w:p>
      <w:pPr>
        <w:widowControl/>
        <w:spacing w:line="360" w:lineRule="auto"/>
        <w:ind w:firstLine="1920" w:firstLineChars="800"/>
        <w:jc w:val="left"/>
        <w:rPr>
          <w:rFonts w:eastAsia="黑体"/>
          <w:kern w:val="0"/>
          <w:szCs w:val="24"/>
        </w:rPr>
      </w:pPr>
      <w:r>
        <w:rPr>
          <w:rFonts w:eastAsia="黑体"/>
          <w:kern w:val="0"/>
          <w:szCs w:val="24"/>
        </w:rPr>
        <w:t>表4  湖南省森林质量提升推荐植物表</w:t>
      </w:r>
    </w:p>
    <w:tbl>
      <w:tblPr>
        <w:tblStyle w:val="18"/>
        <w:tblW w:w="8675" w:type="dxa"/>
        <w:tblInd w:w="0" w:type="dxa"/>
        <w:tblLayout w:type="fixed"/>
        <w:tblCellMar>
          <w:top w:w="0" w:type="dxa"/>
          <w:left w:w="28" w:type="dxa"/>
          <w:bottom w:w="0" w:type="dxa"/>
          <w:right w:w="28" w:type="dxa"/>
        </w:tblCellMar>
      </w:tblPr>
      <w:tblGrid>
        <w:gridCol w:w="1097"/>
        <w:gridCol w:w="7578"/>
      </w:tblGrid>
      <w:tr>
        <w:tblPrEx>
          <w:tblLayout w:type="fixed"/>
          <w:tblCellMar>
            <w:top w:w="0" w:type="dxa"/>
            <w:left w:w="28" w:type="dxa"/>
            <w:bottom w:w="0" w:type="dxa"/>
            <w:right w:w="28" w:type="dxa"/>
          </w:tblCellMar>
        </w:tblPrEx>
        <w:trPr>
          <w:trHeight w:val="26" w:hRule="atLeast"/>
          <w:tblHeader/>
        </w:trPr>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kern w:val="0"/>
                <w:sz w:val="21"/>
                <w:szCs w:val="21"/>
              </w:rPr>
            </w:pPr>
            <w:r>
              <w:rPr>
                <w:b/>
                <w:kern w:val="0"/>
                <w:sz w:val="21"/>
                <w:szCs w:val="21"/>
              </w:rPr>
              <w:t>植物类型</w:t>
            </w:r>
          </w:p>
        </w:tc>
        <w:tc>
          <w:tcPr>
            <w:tcW w:w="7578" w:type="dxa"/>
            <w:tcBorders>
              <w:top w:val="single" w:color="auto" w:sz="4" w:space="0"/>
              <w:left w:val="nil"/>
              <w:bottom w:val="single" w:color="auto" w:sz="4" w:space="0"/>
              <w:right w:val="single" w:color="auto" w:sz="4" w:space="0"/>
            </w:tcBorders>
            <w:shd w:val="clear" w:color="auto" w:fill="auto"/>
            <w:vAlign w:val="center"/>
          </w:tcPr>
          <w:p>
            <w:pPr>
              <w:widowControl/>
              <w:jc w:val="center"/>
              <w:rPr>
                <w:b/>
                <w:kern w:val="0"/>
                <w:sz w:val="21"/>
                <w:szCs w:val="21"/>
              </w:rPr>
            </w:pPr>
            <w:r>
              <w:rPr>
                <w:b/>
                <w:kern w:val="0"/>
                <w:sz w:val="21"/>
                <w:szCs w:val="21"/>
              </w:rPr>
              <w:t>树种选择</w:t>
            </w:r>
          </w:p>
        </w:tc>
      </w:tr>
      <w:tr>
        <w:tblPrEx>
          <w:tblLayout w:type="fixed"/>
          <w:tblCellMar>
            <w:top w:w="0" w:type="dxa"/>
            <w:left w:w="28" w:type="dxa"/>
            <w:bottom w:w="0" w:type="dxa"/>
            <w:right w:w="28" w:type="dxa"/>
          </w:tblCellMar>
        </w:tblPrEx>
        <w:trPr>
          <w:trHeight w:val="26" w:hRule="atLeast"/>
        </w:trPr>
        <w:tc>
          <w:tcPr>
            <w:tcW w:w="109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常绿树种</w:t>
            </w:r>
          </w:p>
        </w:tc>
        <w:tc>
          <w:tcPr>
            <w:tcW w:w="7578" w:type="dxa"/>
            <w:tcBorders>
              <w:top w:val="nil"/>
              <w:left w:val="nil"/>
              <w:bottom w:val="single" w:color="auto" w:sz="4" w:space="0"/>
              <w:right w:val="single" w:color="auto" w:sz="4" w:space="0"/>
            </w:tcBorders>
            <w:shd w:val="clear" w:color="auto" w:fill="auto"/>
            <w:vAlign w:val="center"/>
          </w:tcPr>
          <w:p>
            <w:pPr>
              <w:widowControl/>
              <w:jc w:val="left"/>
              <w:rPr>
                <w:kern w:val="0"/>
                <w:sz w:val="21"/>
                <w:szCs w:val="21"/>
              </w:rPr>
            </w:pPr>
            <w:r>
              <w:rPr>
                <w:kern w:val="0"/>
                <w:sz w:val="21"/>
                <w:szCs w:val="21"/>
              </w:rPr>
              <w:t>樟树、沉水樟、黄樟、闽楠、青冈、赤皮青冈、福建青冈、苦槠、甜槠、钩锥、红锥、大叶桂樱、贵州石楠、木荚红豆、木荷、银木荷等</w:t>
            </w:r>
          </w:p>
        </w:tc>
      </w:tr>
      <w:tr>
        <w:tblPrEx>
          <w:tblLayout w:type="fixed"/>
          <w:tblCellMar>
            <w:top w:w="0" w:type="dxa"/>
            <w:left w:w="28" w:type="dxa"/>
            <w:bottom w:w="0" w:type="dxa"/>
            <w:right w:w="28" w:type="dxa"/>
          </w:tblCellMar>
        </w:tblPrEx>
        <w:trPr>
          <w:trHeight w:val="26" w:hRule="atLeast"/>
        </w:trPr>
        <w:tc>
          <w:tcPr>
            <w:tcW w:w="109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落叶树种</w:t>
            </w:r>
          </w:p>
        </w:tc>
        <w:tc>
          <w:tcPr>
            <w:tcW w:w="7578" w:type="dxa"/>
            <w:tcBorders>
              <w:top w:val="nil"/>
              <w:left w:val="nil"/>
              <w:bottom w:val="single" w:color="auto" w:sz="4" w:space="0"/>
              <w:right w:val="single" w:color="auto" w:sz="4" w:space="0"/>
            </w:tcBorders>
            <w:shd w:val="clear" w:color="auto" w:fill="auto"/>
            <w:vAlign w:val="center"/>
          </w:tcPr>
          <w:p>
            <w:pPr>
              <w:widowControl/>
              <w:jc w:val="left"/>
              <w:rPr>
                <w:kern w:val="0"/>
                <w:sz w:val="21"/>
                <w:szCs w:val="21"/>
              </w:rPr>
            </w:pPr>
            <w:r>
              <w:rPr>
                <w:kern w:val="0"/>
                <w:sz w:val="21"/>
                <w:szCs w:val="21"/>
              </w:rPr>
              <w:t>水青冈、亮叶水青冈、麻栎、白栎、栓皮栎、小叶栎、黄檀、南酸枣、榔榆、多脉榆、榉树、朴树、五裂槭等</w:t>
            </w:r>
          </w:p>
        </w:tc>
      </w:tr>
      <w:tr>
        <w:tblPrEx>
          <w:tblLayout w:type="fixed"/>
          <w:tblCellMar>
            <w:top w:w="0" w:type="dxa"/>
            <w:left w:w="28" w:type="dxa"/>
            <w:bottom w:w="0" w:type="dxa"/>
            <w:right w:w="28" w:type="dxa"/>
          </w:tblCellMar>
        </w:tblPrEx>
        <w:trPr>
          <w:trHeight w:val="26" w:hRule="atLeast"/>
        </w:trPr>
        <w:tc>
          <w:tcPr>
            <w:tcW w:w="109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珍贵用材树种</w:t>
            </w:r>
          </w:p>
        </w:tc>
        <w:tc>
          <w:tcPr>
            <w:tcW w:w="7578" w:type="dxa"/>
            <w:tcBorders>
              <w:top w:val="nil"/>
              <w:left w:val="nil"/>
              <w:bottom w:val="single" w:color="auto" w:sz="4" w:space="0"/>
              <w:right w:val="single" w:color="auto" w:sz="4" w:space="0"/>
            </w:tcBorders>
            <w:shd w:val="clear" w:color="auto" w:fill="auto"/>
            <w:vAlign w:val="center"/>
          </w:tcPr>
          <w:p>
            <w:pPr>
              <w:widowControl/>
              <w:jc w:val="left"/>
              <w:rPr>
                <w:kern w:val="0"/>
                <w:sz w:val="21"/>
                <w:szCs w:val="21"/>
              </w:rPr>
            </w:pPr>
            <w:r>
              <w:rPr>
                <w:kern w:val="0"/>
                <w:sz w:val="21"/>
                <w:szCs w:val="21"/>
              </w:rPr>
              <w:t>闽楠、黄樟、沉水樟、赤皮青冈、福建青冈、钩锥、水青冈、亮叶水青冈、大叶桂樱、贵州石楠、榉树、榔榆、黄檀、栓皮栎、麻栎、尖叶栎等</w:t>
            </w:r>
          </w:p>
        </w:tc>
      </w:tr>
      <w:tr>
        <w:tblPrEx>
          <w:tblLayout w:type="fixed"/>
          <w:tblCellMar>
            <w:top w:w="0" w:type="dxa"/>
            <w:left w:w="28" w:type="dxa"/>
            <w:bottom w:w="0" w:type="dxa"/>
            <w:right w:w="28" w:type="dxa"/>
          </w:tblCellMar>
        </w:tblPrEx>
        <w:trPr>
          <w:trHeight w:val="26" w:hRule="atLeast"/>
        </w:trPr>
        <w:tc>
          <w:tcPr>
            <w:tcW w:w="109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景观树种</w:t>
            </w:r>
          </w:p>
        </w:tc>
        <w:tc>
          <w:tcPr>
            <w:tcW w:w="7578" w:type="dxa"/>
            <w:tcBorders>
              <w:top w:val="nil"/>
              <w:left w:val="nil"/>
              <w:bottom w:val="single" w:color="auto" w:sz="4" w:space="0"/>
              <w:right w:val="single" w:color="auto" w:sz="4" w:space="0"/>
            </w:tcBorders>
            <w:shd w:val="clear" w:color="auto" w:fill="auto"/>
            <w:vAlign w:val="center"/>
          </w:tcPr>
          <w:p>
            <w:pPr>
              <w:widowControl/>
              <w:jc w:val="left"/>
              <w:rPr>
                <w:kern w:val="0"/>
                <w:sz w:val="21"/>
                <w:szCs w:val="21"/>
              </w:rPr>
            </w:pPr>
            <w:r>
              <w:rPr>
                <w:kern w:val="0"/>
                <w:sz w:val="21"/>
                <w:szCs w:val="21"/>
              </w:rPr>
              <w:t>银杏、鹅掌楸、榉树、山乌桕、川黔紫薇、枫香、榔榆、朴树、蓝果树、南酸枣等</w:t>
            </w:r>
          </w:p>
        </w:tc>
      </w:tr>
    </w:tbl>
    <w:p>
      <w:pPr>
        <w:pStyle w:val="4"/>
        <w:numPr>
          <w:ilvl w:val="2"/>
          <w:numId w:val="1"/>
        </w:numPr>
        <w:spacing w:before="0" w:after="0" w:line="360" w:lineRule="auto"/>
        <w:ind w:left="567" w:hanging="567"/>
        <w:rPr>
          <w:rFonts w:eastAsia="黑体"/>
          <w:b w:val="0"/>
          <w:sz w:val="24"/>
          <w:szCs w:val="24"/>
        </w:rPr>
      </w:pPr>
      <w:bookmarkStart w:id="175" w:name="_Toc16358"/>
      <w:bookmarkStart w:id="176" w:name="_Toc18987"/>
      <w:r>
        <w:rPr>
          <w:rFonts w:eastAsia="黑体"/>
          <w:b w:val="0"/>
          <w:sz w:val="24"/>
          <w:szCs w:val="24"/>
        </w:rPr>
        <w:t>苗木</w:t>
      </w:r>
      <w:bookmarkEnd w:id="175"/>
      <w:bookmarkEnd w:id="176"/>
    </w:p>
    <w:p>
      <w:pPr>
        <w:pStyle w:val="24"/>
        <w:widowControl/>
        <w:spacing w:line="360" w:lineRule="auto"/>
        <w:ind w:firstLine="480"/>
        <w:jc w:val="left"/>
        <w:rPr>
          <w:kern w:val="0"/>
          <w:szCs w:val="24"/>
        </w:rPr>
      </w:pPr>
      <w:r>
        <w:rPr>
          <w:kern w:val="0"/>
          <w:szCs w:val="24"/>
        </w:rPr>
        <w:t>补植苗木选择良种基地生产的种子或优良单株种子培育的壮苗，以及优良材料无性繁殖培育的苗木，严禁使用低产林分种子培育的苗木；补植苗木宜采用1.5米高以上容器大苗或带土球富根大苗；采用生根粉、修枝、扶杆等措施，提高补植苗木成活率。苗木其它指标执行DB43/094主要造林树种苗木质量分级相关规定。</w:t>
      </w:r>
    </w:p>
    <w:p>
      <w:pPr>
        <w:pStyle w:val="3"/>
        <w:numPr>
          <w:ilvl w:val="1"/>
          <w:numId w:val="1"/>
        </w:numPr>
        <w:spacing w:before="0" w:after="0" w:line="360" w:lineRule="auto"/>
        <w:rPr>
          <w:rFonts w:ascii="Times New Roman" w:hAnsi="Times New Roman" w:eastAsia="黑体" w:cs="Times New Roman"/>
          <w:b w:val="0"/>
          <w:sz w:val="24"/>
          <w:szCs w:val="24"/>
        </w:rPr>
      </w:pPr>
      <w:bookmarkStart w:id="177" w:name="_Toc23356"/>
      <w:bookmarkStart w:id="178" w:name="_Toc14409"/>
      <w:bookmarkStart w:id="179" w:name="_Toc29376"/>
      <w:bookmarkStart w:id="180" w:name="_Toc20968"/>
      <w:bookmarkStart w:id="181" w:name="_Toc7273"/>
      <w:r>
        <w:rPr>
          <w:rFonts w:ascii="Times New Roman" w:hAnsi="Times New Roman" w:eastAsia="黑体" w:cs="Times New Roman"/>
          <w:b w:val="0"/>
          <w:sz w:val="24"/>
          <w:szCs w:val="24"/>
        </w:rPr>
        <w:t>培蔸抚育</w:t>
      </w:r>
      <w:bookmarkEnd w:id="177"/>
      <w:bookmarkEnd w:id="178"/>
      <w:bookmarkEnd w:id="179"/>
      <w:bookmarkEnd w:id="180"/>
      <w:bookmarkEnd w:id="181"/>
    </w:p>
    <w:p>
      <w:pPr>
        <w:pStyle w:val="4"/>
        <w:numPr>
          <w:ilvl w:val="2"/>
          <w:numId w:val="1"/>
        </w:numPr>
        <w:spacing w:before="0" w:after="0" w:line="360" w:lineRule="auto"/>
        <w:ind w:left="567" w:hanging="567"/>
        <w:rPr>
          <w:rFonts w:eastAsia="黑体"/>
          <w:b w:val="0"/>
          <w:sz w:val="24"/>
          <w:szCs w:val="24"/>
        </w:rPr>
      </w:pPr>
      <w:bookmarkStart w:id="182" w:name="_Toc9452"/>
      <w:bookmarkStart w:id="183" w:name="_Toc8409"/>
      <w:r>
        <w:rPr>
          <w:rFonts w:eastAsia="黑体"/>
          <w:b w:val="0"/>
          <w:sz w:val="24"/>
          <w:szCs w:val="24"/>
        </w:rPr>
        <w:t>培蔸抚育对象</w:t>
      </w:r>
      <w:bookmarkEnd w:id="182"/>
      <w:bookmarkEnd w:id="183"/>
    </w:p>
    <w:p>
      <w:pPr>
        <w:widowControl/>
        <w:spacing w:line="360" w:lineRule="auto"/>
        <w:ind w:firstLine="480" w:firstLineChars="200"/>
        <w:jc w:val="left"/>
        <w:rPr>
          <w:kern w:val="0"/>
          <w:szCs w:val="24"/>
        </w:rPr>
      </w:pPr>
      <w:r>
        <w:rPr>
          <w:kern w:val="0"/>
          <w:szCs w:val="24"/>
        </w:rPr>
        <w:t>林分内补植和保留的幼树幼苗。</w:t>
      </w:r>
    </w:p>
    <w:p>
      <w:pPr>
        <w:pStyle w:val="4"/>
        <w:numPr>
          <w:ilvl w:val="2"/>
          <w:numId w:val="1"/>
        </w:numPr>
        <w:spacing w:before="0" w:after="0" w:line="360" w:lineRule="auto"/>
        <w:ind w:left="567" w:hanging="567"/>
        <w:rPr>
          <w:rFonts w:eastAsia="黑体"/>
          <w:b w:val="0"/>
          <w:sz w:val="24"/>
          <w:szCs w:val="24"/>
        </w:rPr>
      </w:pPr>
      <w:bookmarkStart w:id="184" w:name="_Toc11533"/>
      <w:bookmarkStart w:id="185" w:name="_Toc19650"/>
      <w:r>
        <w:rPr>
          <w:rFonts w:eastAsia="黑体"/>
          <w:b w:val="0"/>
          <w:sz w:val="24"/>
          <w:szCs w:val="24"/>
        </w:rPr>
        <w:t>培蔸抚育要求</w:t>
      </w:r>
      <w:bookmarkEnd w:id="184"/>
      <w:bookmarkEnd w:id="185"/>
    </w:p>
    <w:p>
      <w:pPr>
        <w:widowControl/>
        <w:spacing w:line="360" w:lineRule="auto"/>
        <w:ind w:firstLine="480" w:firstLineChars="200"/>
        <w:jc w:val="left"/>
        <w:rPr>
          <w:kern w:val="0"/>
          <w:szCs w:val="24"/>
        </w:rPr>
      </w:pPr>
      <w:r>
        <w:rPr>
          <w:kern w:val="0"/>
          <w:szCs w:val="24"/>
        </w:rPr>
        <w:t>(1)连续进行三年培蔸抚育。</w:t>
      </w:r>
    </w:p>
    <w:p>
      <w:pPr>
        <w:widowControl/>
        <w:spacing w:line="360" w:lineRule="auto"/>
        <w:ind w:firstLine="480" w:firstLineChars="200"/>
        <w:jc w:val="left"/>
        <w:rPr>
          <w:kern w:val="0"/>
          <w:szCs w:val="24"/>
        </w:rPr>
      </w:pPr>
      <w:r>
        <w:rPr>
          <w:kern w:val="0"/>
          <w:szCs w:val="24"/>
        </w:rPr>
        <w:t>(2)培蔸抚育时以植株为中心，清除1m范围内的杂草杂灌，培蔸除萌，杂草覆盖保墒，并清除后期天然更新过多的幼树。</w:t>
      </w:r>
    </w:p>
    <w:p>
      <w:pPr>
        <w:widowControl/>
        <w:spacing w:line="360" w:lineRule="auto"/>
        <w:ind w:firstLine="480" w:firstLineChars="200"/>
        <w:jc w:val="left"/>
        <w:rPr>
          <w:kern w:val="0"/>
          <w:szCs w:val="24"/>
        </w:rPr>
      </w:pPr>
      <w:r>
        <w:rPr>
          <w:kern w:val="0"/>
          <w:szCs w:val="24"/>
        </w:rPr>
        <w:t>(3)培蔸抚育时间为每年的6月、9月。</w:t>
      </w:r>
    </w:p>
    <w:p>
      <w:pPr>
        <w:pStyle w:val="3"/>
        <w:numPr>
          <w:ilvl w:val="1"/>
          <w:numId w:val="1"/>
        </w:numPr>
        <w:spacing w:before="0" w:after="0" w:line="360" w:lineRule="auto"/>
        <w:rPr>
          <w:rFonts w:ascii="Times New Roman" w:hAnsi="Times New Roman" w:eastAsia="黑体" w:cs="Times New Roman"/>
          <w:b w:val="0"/>
          <w:sz w:val="24"/>
          <w:szCs w:val="24"/>
        </w:rPr>
      </w:pPr>
      <w:bookmarkStart w:id="186" w:name="_Toc26651"/>
      <w:bookmarkStart w:id="187" w:name="_Toc31809"/>
      <w:bookmarkStart w:id="188" w:name="_Toc5202"/>
      <w:bookmarkStart w:id="189" w:name="_Toc16963"/>
      <w:bookmarkStart w:id="190" w:name="_Toc23865"/>
      <w:r>
        <w:rPr>
          <w:rFonts w:ascii="Times New Roman" w:hAnsi="Times New Roman" w:eastAsia="黑体" w:cs="Times New Roman"/>
          <w:b w:val="0"/>
          <w:sz w:val="24"/>
          <w:szCs w:val="24"/>
        </w:rPr>
        <w:t>配套基础设施建设</w:t>
      </w:r>
      <w:bookmarkEnd w:id="186"/>
      <w:bookmarkEnd w:id="187"/>
      <w:bookmarkEnd w:id="188"/>
      <w:bookmarkEnd w:id="189"/>
      <w:bookmarkEnd w:id="190"/>
    </w:p>
    <w:p>
      <w:pPr>
        <w:widowControl/>
        <w:spacing w:line="360" w:lineRule="auto"/>
        <w:ind w:firstLine="480" w:firstLineChars="200"/>
        <w:jc w:val="left"/>
        <w:rPr>
          <w:kern w:val="0"/>
          <w:szCs w:val="24"/>
        </w:rPr>
      </w:pPr>
      <w:r>
        <w:rPr>
          <w:kern w:val="0"/>
          <w:szCs w:val="24"/>
        </w:rPr>
        <w:t>根据需要，建设必要的林道、作业道、集材道、蓄水池、临时楞场、临时工棚等配套基础设施。</w:t>
      </w:r>
    </w:p>
    <w:p>
      <w:pPr>
        <w:pStyle w:val="3"/>
        <w:numPr>
          <w:ilvl w:val="1"/>
          <w:numId w:val="1"/>
        </w:numPr>
        <w:spacing w:before="0" w:after="0" w:line="360" w:lineRule="auto"/>
        <w:rPr>
          <w:rFonts w:ascii="Times New Roman" w:hAnsi="Times New Roman" w:eastAsia="黑体" w:cs="Times New Roman"/>
          <w:b w:val="0"/>
          <w:sz w:val="24"/>
          <w:szCs w:val="24"/>
        </w:rPr>
      </w:pPr>
      <w:bookmarkStart w:id="191" w:name="_Toc10967"/>
      <w:bookmarkStart w:id="192" w:name="_Toc8914"/>
      <w:bookmarkStart w:id="193" w:name="_Toc17534"/>
      <w:bookmarkStart w:id="194" w:name="_Toc28278"/>
      <w:bookmarkStart w:id="195" w:name="_Toc4083"/>
      <w:r>
        <w:rPr>
          <w:rFonts w:ascii="Times New Roman" w:hAnsi="Times New Roman" w:eastAsia="黑体" w:cs="Times New Roman"/>
          <w:b w:val="0"/>
          <w:sz w:val="24"/>
          <w:szCs w:val="24"/>
        </w:rPr>
        <w:t>典型模式应用</w:t>
      </w:r>
      <w:bookmarkEnd w:id="191"/>
      <w:bookmarkEnd w:id="192"/>
      <w:bookmarkEnd w:id="193"/>
      <w:bookmarkEnd w:id="194"/>
      <w:bookmarkEnd w:id="195"/>
    </w:p>
    <w:p>
      <w:pPr>
        <w:widowControl/>
        <w:spacing w:line="360" w:lineRule="auto"/>
        <w:ind w:firstLine="480" w:firstLineChars="200"/>
        <w:jc w:val="left"/>
        <w:rPr>
          <w:kern w:val="0"/>
          <w:szCs w:val="24"/>
        </w:rPr>
      </w:pPr>
      <w:r>
        <w:rPr>
          <w:kern w:val="0"/>
          <w:szCs w:val="24"/>
        </w:rPr>
        <w:t>按照《森林抚育规程》（GB/T 15781），以过疏过密亟待抚育的中幼龄或处于竞争和质量生长阶段的林分为主要对象，根据立地条件和培育目标，建立典型森林抚育技术模式（见附录4）。针对性采取透光伐、疏伐、生长伐、卫生伐、修枝、补植、割灌除草等措施，间密留疏、间针补阔，改善林内光照条件，促进林木生长。</w:t>
      </w:r>
    </w:p>
    <w:bookmarkEnd w:id="148"/>
    <w:bookmarkEnd w:id="149"/>
    <w:p>
      <w:pPr>
        <w:pStyle w:val="3"/>
        <w:numPr>
          <w:ilvl w:val="1"/>
          <w:numId w:val="1"/>
        </w:numPr>
        <w:spacing w:before="0" w:after="0" w:line="360" w:lineRule="auto"/>
        <w:rPr>
          <w:rFonts w:ascii="Times New Roman" w:hAnsi="Times New Roman" w:eastAsia="黑体" w:cs="Times New Roman"/>
          <w:b w:val="0"/>
          <w:sz w:val="24"/>
          <w:szCs w:val="24"/>
        </w:rPr>
      </w:pPr>
      <w:bookmarkStart w:id="196" w:name="_Toc27354"/>
      <w:bookmarkStart w:id="197" w:name="_Toc20932"/>
      <w:bookmarkStart w:id="198" w:name="_Toc30128"/>
      <w:bookmarkStart w:id="199" w:name="_Toc27866"/>
      <w:bookmarkStart w:id="200" w:name="_Toc10583"/>
      <w:bookmarkStart w:id="201" w:name="_Toc7339316"/>
      <w:bookmarkStart w:id="202" w:name="_Toc7339315"/>
      <w:r>
        <w:rPr>
          <w:rFonts w:ascii="Times New Roman" w:hAnsi="Times New Roman" w:eastAsia="黑体" w:cs="Times New Roman"/>
          <w:b w:val="0"/>
          <w:sz w:val="24"/>
          <w:szCs w:val="24"/>
        </w:rPr>
        <w:t>森林保护</w:t>
      </w:r>
      <w:bookmarkEnd w:id="196"/>
      <w:bookmarkEnd w:id="197"/>
      <w:bookmarkEnd w:id="198"/>
      <w:bookmarkEnd w:id="199"/>
      <w:bookmarkEnd w:id="200"/>
    </w:p>
    <w:p>
      <w:pPr>
        <w:pStyle w:val="4"/>
        <w:numPr>
          <w:ilvl w:val="2"/>
          <w:numId w:val="1"/>
        </w:numPr>
        <w:spacing w:before="0" w:after="0" w:line="360" w:lineRule="auto"/>
        <w:ind w:left="567" w:hanging="567"/>
        <w:rPr>
          <w:rFonts w:eastAsia="黑体"/>
          <w:b w:val="0"/>
          <w:sz w:val="24"/>
          <w:szCs w:val="24"/>
        </w:rPr>
      </w:pPr>
      <w:bookmarkStart w:id="203" w:name="_Toc32621"/>
      <w:bookmarkStart w:id="204" w:name="_Toc28321"/>
      <w:r>
        <w:rPr>
          <w:rFonts w:eastAsia="黑体"/>
          <w:b w:val="0"/>
          <w:sz w:val="24"/>
          <w:szCs w:val="24"/>
        </w:rPr>
        <w:t>管护机制</w:t>
      </w:r>
      <w:bookmarkEnd w:id="203"/>
      <w:bookmarkEnd w:id="204"/>
    </w:p>
    <w:p>
      <w:pPr>
        <w:widowControl/>
        <w:spacing w:line="360" w:lineRule="auto"/>
        <w:ind w:firstLine="480" w:firstLineChars="200"/>
        <w:jc w:val="left"/>
        <w:rPr>
          <w:kern w:val="0"/>
          <w:szCs w:val="24"/>
        </w:rPr>
      </w:pPr>
      <w:r>
        <w:rPr>
          <w:kern w:val="0"/>
          <w:szCs w:val="24"/>
        </w:rPr>
        <w:t>建立管护长效机制，推行专业队伍管护、承包管护和家庭管护等管护模式，确保森林质量提升建设成效。</w:t>
      </w:r>
    </w:p>
    <w:p>
      <w:pPr>
        <w:pStyle w:val="4"/>
        <w:numPr>
          <w:ilvl w:val="2"/>
          <w:numId w:val="1"/>
        </w:numPr>
        <w:spacing w:before="0" w:after="0" w:line="360" w:lineRule="auto"/>
        <w:ind w:left="567" w:hanging="567"/>
        <w:rPr>
          <w:rFonts w:eastAsia="黑体"/>
          <w:b w:val="0"/>
          <w:sz w:val="24"/>
          <w:szCs w:val="24"/>
        </w:rPr>
      </w:pPr>
      <w:bookmarkStart w:id="205" w:name="_Toc8103"/>
      <w:bookmarkStart w:id="206" w:name="_Toc14291"/>
      <w:r>
        <w:rPr>
          <w:rFonts w:eastAsia="黑体"/>
          <w:b w:val="0"/>
          <w:sz w:val="24"/>
          <w:szCs w:val="24"/>
        </w:rPr>
        <w:t>林业有害生物防治</w:t>
      </w:r>
      <w:bookmarkEnd w:id="205"/>
      <w:bookmarkEnd w:id="206"/>
    </w:p>
    <w:p>
      <w:pPr>
        <w:widowControl/>
        <w:spacing w:line="360" w:lineRule="auto"/>
        <w:ind w:firstLine="480" w:firstLineChars="200"/>
        <w:jc w:val="left"/>
        <w:rPr>
          <w:kern w:val="0"/>
          <w:szCs w:val="24"/>
        </w:rPr>
      </w:pPr>
      <w:r>
        <w:rPr>
          <w:kern w:val="0"/>
          <w:szCs w:val="24"/>
        </w:rPr>
        <w:t>积极贯彻“预防为主，科学治理，依法监管，强化责任”的有害生物防治方针，采取营林措施、物理防治、生物防治、综合控制等相结合的综合防治办法，搞好有害生物防治，维持森林生态系统的平衡和生物多样性。</w:t>
      </w:r>
    </w:p>
    <w:p>
      <w:pPr>
        <w:pStyle w:val="4"/>
        <w:numPr>
          <w:ilvl w:val="2"/>
          <w:numId w:val="1"/>
        </w:numPr>
        <w:spacing w:before="0" w:after="0" w:line="360" w:lineRule="auto"/>
        <w:ind w:left="567" w:hanging="567"/>
        <w:rPr>
          <w:rFonts w:eastAsia="黑体"/>
          <w:b w:val="0"/>
          <w:sz w:val="24"/>
          <w:szCs w:val="24"/>
        </w:rPr>
      </w:pPr>
      <w:bookmarkStart w:id="207" w:name="_Toc26808"/>
      <w:bookmarkStart w:id="208" w:name="_Toc31051"/>
      <w:r>
        <w:rPr>
          <w:rFonts w:eastAsia="黑体"/>
          <w:b w:val="0"/>
          <w:sz w:val="24"/>
          <w:szCs w:val="24"/>
        </w:rPr>
        <w:t>森林防火</w:t>
      </w:r>
      <w:bookmarkEnd w:id="207"/>
      <w:bookmarkEnd w:id="208"/>
    </w:p>
    <w:p>
      <w:pPr>
        <w:widowControl/>
        <w:spacing w:line="360" w:lineRule="auto"/>
        <w:ind w:firstLine="480" w:firstLineChars="200"/>
        <w:jc w:val="left"/>
        <w:rPr>
          <w:kern w:val="0"/>
          <w:szCs w:val="24"/>
        </w:rPr>
      </w:pPr>
      <w:r>
        <w:rPr>
          <w:kern w:val="0"/>
          <w:szCs w:val="24"/>
        </w:rPr>
        <w:t>牢固树立“隐患险于明火，防范胜于救灾，责任重于泰山“的消防意识，加强对施工人员、林农及周边居民的宣传教育，严格控制生产活动造成森林火灾的可能性，杜绝森林火灾的发生。根据森林防火需要，在项目建设范围内的山脊、林缘、沟壑、道路、河流、人为活动频繁等区域，科学布设以生物防火林带为重点的林火阻隔系统，在主要路口设置森林防火标识牌。林火阻隔系统建设按《林火阻隔系统建设标准》（LY/T 5007）执行，与森林质量提升项目建设同步设计、同步施工、同步验收。</w:t>
      </w:r>
    </w:p>
    <w:p>
      <w:pPr>
        <w:widowControl/>
        <w:spacing w:line="360" w:lineRule="auto"/>
        <w:ind w:firstLine="480" w:firstLineChars="200"/>
        <w:jc w:val="left"/>
        <w:rPr>
          <w:kern w:val="0"/>
          <w:szCs w:val="24"/>
        </w:rPr>
      </w:pPr>
      <w:r>
        <w:rPr>
          <w:kern w:val="0"/>
          <w:szCs w:val="24"/>
        </w:rPr>
        <w:t>其它参照《造林技术规程》（GB/T 15776）、《生态公益林建设技术规程》（GB/T 18337.3）、《低效林改造技术规程》（LY/T 1690）、《退化防护林修复技术规程》（LY/T 3179）执行。</w:t>
      </w:r>
    </w:p>
    <w:p>
      <w:pPr>
        <w:pStyle w:val="24"/>
        <w:numPr>
          <w:ilvl w:val="0"/>
          <w:numId w:val="1"/>
        </w:numPr>
        <w:ind w:left="284" w:hanging="284" w:firstLineChars="0"/>
        <w:outlineLvl w:val="0"/>
        <w:rPr>
          <w:rFonts w:eastAsia="黑体"/>
          <w:sz w:val="28"/>
          <w:szCs w:val="28"/>
        </w:rPr>
      </w:pPr>
      <w:bookmarkStart w:id="209" w:name="_Toc25881"/>
      <w:bookmarkStart w:id="210" w:name="_Toc23449"/>
      <w:bookmarkStart w:id="211" w:name="_Toc25901"/>
      <w:bookmarkStart w:id="212" w:name="_Toc12066"/>
      <w:bookmarkStart w:id="213" w:name="_Toc27020"/>
      <w:r>
        <w:rPr>
          <w:rFonts w:eastAsia="黑体"/>
          <w:sz w:val="28"/>
          <w:szCs w:val="28"/>
        </w:rPr>
        <w:t>标识标牌</w:t>
      </w:r>
      <w:bookmarkEnd w:id="209"/>
      <w:bookmarkEnd w:id="210"/>
      <w:bookmarkEnd w:id="211"/>
      <w:bookmarkEnd w:id="212"/>
      <w:bookmarkEnd w:id="213"/>
    </w:p>
    <w:p>
      <w:pPr>
        <w:pStyle w:val="3"/>
        <w:numPr>
          <w:ilvl w:val="1"/>
          <w:numId w:val="1"/>
        </w:numPr>
        <w:spacing w:before="0" w:after="0" w:line="360" w:lineRule="auto"/>
        <w:rPr>
          <w:rFonts w:ascii="Times New Roman" w:hAnsi="Times New Roman" w:eastAsia="黑体" w:cs="Times New Roman"/>
          <w:b w:val="0"/>
          <w:sz w:val="24"/>
          <w:szCs w:val="24"/>
        </w:rPr>
      </w:pPr>
      <w:bookmarkStart w:id="214" w:name="_Toc29933"/>
      <w:bookmarkStart w:id="215" w:name="_Toc7329"/>
      <w:bookmarkStart w:id="216" w:name="_Toc16821"/>
      <w:bookmarkStart w:id="217" w:name="_Toc19565"/>
      <w:bookmarkStart w:id="218" w:name="_Toc3764"/>
      <w:r>
        <w:rPr>
          <w:rFonts w:ascii="Times New Roman" w:hAnsi="Times New Roman" w:eastAsia="黑体" w:cs="Times New Roman"/>
          <w:b w:val="0"/>
          <w:sz w:val="24"/>
          <w:szCs w:val="24"/>
        </w:rPr>
        <w:t>临时标识牌</w:t>
      </w:r>
      <w:bookmarkEnd w:id="214"/>
      <w:bookmarkEnd w:id="215"/>
      <w:bookmarkEnd w:id="216"/>
      <w:bookmarkEnd w:id="217"/>
      <w:bookmarkEnd w:id="218"/>
    </w:p>
    <w:p>
      <w:pPr>
        <w:widowControl/>
        <w:spacing w:line="360" w:lineRule="auto"/>
        <w:ind w:firstLine="480" w:firstLineChars="200"/>
        <w:jc w:val="left"/>
        <w:rPr>
          <w:kern w:val="0"/>
          <w:szCs w:val="24"/>
        </w:rPr>
      </w:pPr>
      <w:r>
        <w:rPr>
          <w:kern w:val="0"/>
          <w:szCs w:val="24"/>
        </w:rPr>
        <w:t>施工期，施工区域要设置防火标识、禁止标识、注意标识、指令标识和提醒标识等临时标识牌，提醒人们已经进入施工区域，要根据相关要求约束自己的行为。临时标识牌规格：900*200mm。</w:t>
      </w:r>
    </w:p>
    <w:p>
      <w:pPr>
        <w:pStyle w:val="3"/>
        <w:numPr>
          <w:ilvl w:val="1"/>
          <w:numId w:val="1"/>
        </w:numPr>
        <w:spacing w:before="0" w:after="0" w:line="360" w:lineRule="auto"/>
        <w:rPr>
          <w:rFonts w:ascii="Times New Roman" w:hAnsi="Times New Roman" w:eastAsia="黑体" w:cs="Times New Roman"/>
          <w:b w:val="0"/>
          <w:sz w:val="24"/>
          <w:szCs w:val="24"/>
        </w:rPr>
      </w:pPr>
      <w:bookmarkStart w:id="219" w:name="_Toc10683"/>
      <w:bookmarkStart w:id="220" w:name="_Toc12560"/>
      <w:bookmarkStart w:id="221" w:name="_Toc13497"/>
      <w:bookmarkStart w:id="222" w:name="_Toc16993"/>
      <w:bookmarkStart w:id="223" w:name="_Toc13133"/>
      <w:r>
        <w:rPr>
          <w:rFonts w:ascii="Times New Roman" w:hAnsi="Times New Roman" w:eastAsia="黑体" w:cs="Times New Roman"/>
          <w:b w:val="0"/>
          <w:sz w:val="24"/>
          <w:szCs w:val="24"/>
        </w:rPr>
        <w:t>永久标识牌</w:t>
      </w:r>
      <w:bookmarkEnd w:id="219"/>
      <w:bookmarkEnd w:id="220"/>
      <w:bookmarkEnd w:id="221"/>
      <w:bookmarkEnd w:id="222"/>
      <w:bookmarkEnd w:id="223"/>
    </w:p>
    <w:p>
      <w:pPr>
        <w:widowControl/>
        <w:spacing w:line="360" w:lineRule="auto"/>
        <w:ind w:firstLine="480" w:firstLineChars="200"/>
        <w:jc w:val="left"/>
        <w:rPr>
          <w:kern w:val="0"/>
          <w:szCs w:val="24"/>
        </w:rPr>
      </w:pPr>
      <w:r>
        <w:rPr>
          <w:kern w:val="0"/>
          <w:szCs w:val="24"/>
        </w:rPr>
        <w:t>项目区要设置永久标识牌，用以介绍项目的批准文号、建设时间、建设规模、施工单位、主管单位、技术支撑单位、技术措施、预期目标等具体信息。永久标识牌规格：1500*400mm。</w:t>
      </w:r>
    </w:p>
    <w:bookmarkEnd w:id="201"/>
    <w:bookmarkEnd w:id="202"/>
    <w:p>
      <w:pPr>
        <w:pStyle w:val="24"/>
        <w:numPr>
          <w:ilvl w:val="0"/>
          <w:numId w:val="1"/>
        </w:numPr>
        <w:ind w:left="284" w:hanging="284" w:firstLineChars="0"/>
        <w:outlineLvl w:val="0"/>
        <w:rPr>
          <w:rFonts w:eastAsia="黑体"/>
          <w:sz w:val="28"/>
          <w:szCs w:val="28"/>
        </w:rPr>
      </w:pPr>
      <w:bookmarkStart w:id="224" w:name="_Toc35528113"/>
      <w:bookmarkStart w:id="225" w:name="_Toc24280"/>
      <w:bookmarkStart w:id="226" w:name="_Toc12071"/>
      <w:bookmarkStart w:id="227" w:name="_Toc19233"/>
      <w:bookmarkStart w:id="228" w:name="_Toc6184"/>
      <w:bookmarkStart w:id="229" w:name="_Toc25081"/>
      <w:r>
        <w:rPr>
          <w:rFonts w:eastAsia="黑体"/>
          <w:sz w:val="28"/>
          <w:szCs w:val="28"/>
        </w:rPr>
        <w:t>档案管理</w:t>
      </w:r>
      <w:bookmarkEnd w:id="224"/>
      <w:bookmarkEnd w:id="225"/>
      <w:bookmarkEnd w:id="226"/>
      <w:bookmarkEnd w:id="227"/>
      <w:bookmarkEnd w:id="228"/>
      <w:bookmarkEnd w:id="229"/>
    </w:p>
    <w:p>
      <w:pPr>
        <w:pStyle w:val="3"/>
        <w:numPr>
          <w:ilvl w:val="1"/>
          <w:numId w:val="1"/>
        </w:numPr>
        <w:spacing w:before="0" w:after="0" w:line="360" w:lineRule="auto"/>
        <w:rPr>
          <w:rFonts w:ascii="Times New Roman" w:hAnsi="Times New Roman" w:eastAsia="黑体" w:cs="Times New Roman"/>
          <w:b w:val="0"/>
          <w:sz w:val="24"/>
          <w:szCs w:val="24"/>
        </w:rPr>
      </w:pPr>
      <w:bookmarkStart w:id="230" w:name="_Toc35528114"/>
      <w:bookmarkStart w:id="231" w:name="_Toc31715"/>
      <w:bookmarkStart w:id="232" w:name="_Toc19496"/>
      <w:bookmarkStart w:id="233" w:name="_Toc23989"/>
      <w:bookmarkStart w:id="234" w:name="_Toc32030"/>
      <w:bookmarkStart w:id="235" w:name="_Toc16000"/>
      <w:r>
        <w:rPr>
          <w:rFonts w:ascii="Times New Roman" w:hAnsi="Times New Roman" w:eastAsia="黑体" w:cs="Times New Roman"/>
          <w:b w:val="0"/>
          <w:sz w:val="24"/>
          <w:szCs w:val="24"/>
        </w:rPr>
        <w:t>管理机构及职责</w:t>
      </w:r>
      <w:bookmarkEnd w:id="230"/>
      <w:bookmarkEnd w:id="231"/>
      <w:bookmarkEnd w:id="232"/>
      <w:bookmarkEnd w:id="233"/>
      <w:bookmarkEnd w:id="234"/>
      <w:bookmarkEnd w:id="235"/>
    </w:p>
    <w:p>
      <w:pPr>
        <w:widowControl/>
        <w:spacing w:line="360" w:lineRule="auto"/>
        <w:ind w:firstLine="480" w:firstLineChars="200"/>
        <w:jc w:val="left"/>
        <w:rPr>
          <w:kern w:val="0"/>
          <w:szCs w:val="24"/>
        </w:rPr>
      </w:pPr>
      <w:r>
        <w:rPr>
          <w:kern w:val="0"/>
          <w:szCs w:val="24"/>
        </w:rPr>
        <w:t>按照国家档案管理的有关规定配备相应的管理人员，负责档案资料的接收、收集、整理、保管和提供利用。</w:t>
      </w:r>
    </w:p>
    <w:p>
      <w:pPr>
        <w:pStyle w:val="3"/>
        <w:numPr>
          <w:ilvl w:val="1"/>
          <w:numId w:val="1"/>
        </w:numPr>
        <w:spacing w:before="0" w:after="0" w:line="360" w:lineRule="auto"/>
        <w:rPr>
          <w:rFonts w:ascii="Times New Roman" w:hAnsi="Times New Roman" w:eastAsia="黑体" w:cs="Times New Roman"/>
          <w:b w:val="0"/>
          <w:sz w:val="24"/>
          <w:szCs w:val="24"/>
        </w:rPr>
      </w:pPr>
      <w:bookmarkStart w:id="236" w:name="_Toc35528115"/>
      <w:bookmarkStart w:id="237" w:name="_Toc9172"/>
      <w:bookmarkStart w:id="238" w:name="_Toc4870"/>
      <w:bookmarkStart w:id="239" w:name="_Toc24325"/>
      <w:bookmarkStart w:id="240" w:name="_Toc13257"/>
      <w:bookmarkStart w:id="241" w:name="_Toc30071"/>
      <w:r>
        <w:rPr>
          <w:rFonts w:ascii="Times New Roman" w:hAnsi="Times New Roman" w:eastAsia="黑体" w:cs="Times New Roman"/>
          <w:b w:val="0"/>
          <w:sz w:val="24"/>
          <w:szCs w:val="24"/>
        </w:rPr>
        <w:t>档案资料</w:t>
      </w:r>
      <w:bookmarkEnd w:id="236"/>
      <w:bookmarkEnd w:id="237"/>
      <w:bookmarkEnd w:id="238"/>
      <w:bookmarkEnd w:id="239"/>
      <w:bookmarkEnd w:id="240"/>
      <w:bookmarkEnd w:id="241"/>
    </w:p>
    <w:p>
      <w:pPr>
        <w:widowControl/>
        <w:spacing w:line="360" w:lineRule="auto"/>
        <w:ind w:firstLine="480" w:firstLineChars="200"/>
        <w:jc w:val="left"/>
        <w:rPr>
          <w:kern w:val="0"/>
          <w:szCs w:val="24"/>
        </w:rPr>
      </w:pPr>
      <w:r>
        <w:rPr>
          <w:kern w:val="0"/>
          <w:szCs w:val="24"/>
        </w:rPr>
        <w:t>包括审批文件、实施方案、作业设计、合同、财物凭证、施工文件、会议纪要、设计变更、成效评价资料等。</w:t>
      </w:r>
    </w:p>
    <w:p>
      <w:pPr>
        <w:pStyle w:val="3"/>
        <w:numPr>
          <w:ilvl w:val="1"/>
          <w:numId w:val="1"/>
        </w:numPr>
        <w:spacing w:before="0" w:after="0" w:line="360" w:lineRule="auto"/>
        <w:rPr>
          <w:rFonts w:ascii="Times New Roman" w:hAnsi="Times New Roman" w:eastAsia="黑体" w:cs="Times New Roman"/>
          <w:b w:val="0"/>
          <w:sz w:val="24"/>
          <w:szCs w:val="24"/>
        </w:rPr>
      </w:pPr>
      <w:bookmarkStart w:id="242" w:name="_Toc35528116"/>
      <w:bookmarkStart w:id="243" w:name="_Toc21050"/>
      <w:bookmarkStart w:id="244" w:name="_Toc31161"/>
      <w:bookmarkStart w:id="245" w:name="_Toc16543"/>
      <w:bookmarkStart w:id="246" w:name="_Toc21967"/>
      <w:bookmarkStart w:id="247" w:name="_Toc6236"/>
      <w:r>
        <w:rPr>
          <w:rFonts w:ascii="Times New Roman" w:hAnsi="Times New Roman" w:eastAsia="黑体" w:cs="Times New Roman"/>
          <w:b w:val="0"/>
          <w:sz w:val="24"/>
          <w:szCs w:val="24"/>
        </w:rPr>
        <w:t>档案入库</w:t>
      </w:r>
      <w:bookmarkEnd w:id="242"/>
      <w:bookmarkEnd w:id="243"/>
      <w:bookmarkEnd w:id="244"/>
      <w:bookmarkEnd w:id="245"/>
      <w:bookmarkEnd w:id="246"/>
      <w:bookmarkEnd w:id="247"/>
    </w:p>
    <w:p>
      <w:pPr>
        <w:widowControl/>
        <w:spacing w:line="360" w:lineRule="auto"/>
        <w:ind w:firstLine="480" w:firstLineChars="200"/>
        <w:jc w:val="left"/>
        <w:rPr>
          <w:kern w:val="0"/>
          <w:szCs w:val="24"/>
        </w:rPr>
      </w:pPr>
      <w:r>
        <w:rPr>
          <w:kern w:val="0"/>
          <w:szCs w:val="24"/>
        </w:rPr>
        <w:t>按相关规定要求，将档案资料进行整理归类、装订成册，有序存档。</w:t>
      </w:r>
    </w:p>
    <w:p>
      <w:pPr>
        <w:pStyle w:val="3"/>
        <w:numPr>
          <w:ilvl w:val="1"/>
          <w:numId w:val="1"/>
        </w:numPr>
        <w:spacing w:before="0" w:after="0" w:line="360" w:lineRule="auto"/>
        <w:rPr>
          <w:rFonts w:ascii="Times New Roman" w:hAnsi="Times New Roman" w:eastAsia="黑体" w:cs="Times New Roman"/>
          <w:b w:val="0"/>
          <w:sz w:val="24"/>
          <w:szCs w:val="24"/>
        </w:rPr>
      </w:pPr>
      <w:bookmarkStart w:id="248" w:name="_Toc35528117"/>
      <w:bookmarkStart w:id="249" w:name="_Toc10762"/>
      <w:bookmarkStart w:id="250" w:name="_Toc5349"/>
      <w:bookmarkStart w:id="251" w:name="_Toc31007"/>
      <w:bookmarkStart w:id="252" w:name="_Toc31132"/>
      <w:bookmarkStart w:id="253" w:name="_Toc4096"/>
      <w:r>
        <w:rPr>
          <w:rFonts w:ascii="Times New Roman" w:hAnsi="Times New Roman" w:eastAsia="黑体" w:cs="Times New Roman"/>
          <w:b w:val="0"/>
          <w:sz w:val="24"/>
          <w:szCs w:val="24"/>
        </w:rPr>
        <w:t>档案保存形式</w:t>
      </w:r>
      <w:bookmarkEnd w:id="248"/>
      <w:bookmarkEnd w:id="249"/>
      <w:bookmarkEnd w:id="250"/>
      <w:bookmarkEnd w:id="251"/>
      <w:bookmarkEnd w:id="252"/>
      <w:bookmarkEnd w:id="253"/>
    </w:p>
    <w:p>
      <w:pPr>
        <w:widowControl/>
        <w:spacing w:line="360" w:lineRule="auto"/>
        <w:ind w:firstLine="480" w:firstLineChars="200"/>
        <w:jc w:val="left"/>
        <w:rPr>
          <w:kern w:val="0"/>
          <w:szCs w:val="24"/>
        </w:rPr>
      </w:pPr>
      <w:r>
        <w:rPr>
          <w:kern w:val="0"/>
          <w:szCs w:val="24"/>
        </w:rPr>
        <w:t>档案资料应有纸质和电子文档，纸质文档字迹清晰，电子文档应有备份。</w:t>
      </w:r>
    </w:p>
    <w:p>
      <w:pPr>
        <w:pStyle w:val="3"/>
        <w:numPr>
          <w:ilvl w:val="1"/>
          <w:numId w:val="1"/>
        </w:numPr>
        <w:spacing w:before="0" w:after="0" w:line="360" w:lineRule="auto"/>
        <w:rPr>
          <w:rFonts w:ascii="Times New Roman" w:hAnsi="Times New Roman" w:eastAsia="黑体" w:cs="Times New Roman"/>
          <w:b w:val="0"/>
          <w:sz w:val="24"/>
          <w:szCs w:val="24"/>
        </w:rPr>
      </w:pPr>
      <w:bookmarkStart w:id="254" w:name="_Toc35528118"/>
      <w:bookmarkStart w:id="255" w:name="_Toc14467"/>
      <w:bookmarkStart w:id="256" w:name="_Toc4613"/>
      <w:bookmarkStart w:id="257" w:name="_Toc19936"/>
      <w:bookmarkStart w:id="258" w:name="_Toc7372"/>
      <w:bookmarkStart w:id="259" w:name="_Toc8464"/>
      <w:r>
        <w:rPr>
          <w:rFonts w:ascii="Times New Roman" w:hAnsi="Times New Roman" w:eastAsia="黑体" w:cs="Times New Roman"/>
          <w:b w:val="0"/>
          <w:sz w:val="24"/>
          <w:szCs w:val="24"/>
        </w:rPr>
        <w:t>档案管理</w:t>
      </w:r>
      <w:bookmarkEnd w:id="254"/>
      <w:bookmarkEnd w:id="255"/>
      <w:bookmarkEnd w:id="256"/>
      <w:bookmarkEnd w:id="257"/>
      <w:bookmarkEnd w:id="258"/>
      <w:bookmarkEnd w:id="259"/>
    </w:p>
    <w:p>
      <w:pPr>
        <w:widowControl/>
        <w:spacing w:line="360" w:lineRule="auto"/>
        <w:ind w:firstLine="480" w:firstLineChars="200"/>
        <w:jc w:val="left"/>
        <w:rPr>
          <w:kern w:val="0"/>
          <w:szCs w:val="24"/>
        </w:rPr>
      </w:pPr>
      <w:r>
        <w:rPr>
          <w:kern w:val="0"/>
          <w:szCs w:val="24"/>
        </w:rPr>
        <w:t>作业单位应建立健全档案管理制度，对档案的收集、整理、归档、保管和利用情况进行准确统计，档案管理人员更换时应办理移交工作。</w:t>
      </w:r>
    </w:p>
    <w:p>
      <w:pPr>
        <w:widowControl/>
        <w:spacing w:line="360" w:lineRule="auto"/>
        <w:ind w:firstLine="480" w:firstLineChars="200"/>
        <w:jc w:val="left"/>
        <w:rPr>
          <w:kern w:val="0"/>
          <w:szCs w:val="24"/>
        </w:rPr>
      </w:pPr>
      <w:r>
        <w:rPr>
          <w:kern w:val="0"/>
          <w:szCs w:val="24"/>
        </w:rPr>
        <w:t>其它可参照《建设项目档案管理规范》（DA／T 28）的相关规定执行。</w:t>
      </w:r>
    </w:p>
    <w:p>
      <w:pPr>
        <w:widowControl/>
        <w:spacing w:line="360" w:lineRule="auto"/>
        <w:ind w:firstLine="480" w:firstLineChars="200"/>
        <w:jc w:val="left"/>
        <w:rPr>
          <w:kern w:val="0"/>
          <w:szCs w:val="24"/>
        </w:rPr>
      </w:pPr>
    </w:p>
    <w:p>
      <w:pPr>
        <w:widowControl/>
        <w:spacing w:line="360" w:lineRule="auto"/>
        <w:ind w:firstLine="480" w:firstLineChars="200"/>
        <w:jc w:val="left"/>
        <w:rPr>
          <w:kern w:val="0"/>
          <w:szCs w:val="24"/>
        </w:rPr>
        <w:sectPr>
          <w:footerReference r:id="rId5" w:type="default"/>
          <w:pgSz w:w="11906" w:h="16838"/>
          <w:pgMar w:top="1440" w:right="1800" w:bottom="1440" w:left="1800" w:header="851" w:footer="992" w:gutter="0"/>
          <w:pgNumType w:start="1"/>
          <w:cols w:space="425" w:num="1"/>
          <w:docGrid w:type="lines" w:linePitch="326" w:charSpace="0"/>
        </w:sectPr>
      </w:pPr>
    </w:p>
    <w:p>
      <w:pPr>
        <w:outlineLvl w:val="0"/>
        <w:rPr>
          <w:rFonts w:eastAsia="黑体"/>
          <w:sz w:val="28"/>
          <w:szCs w:val="28"/>
        </w:rPr>
      </w:pPr>
      <w:bookmarkStart w:id="260" w:name="_Toc21068"/>
      <w:bookmarkStart w:id="261" w:name="_Toc20114"/>
      <w:bookmarkStart w:id="262" w:name="_Toc31517"/>
      <w:bookmarkStart w:id="263" w:name="_Toc17122"/>
      <w:r>
        <w:rPr>
          <w:rFonts w:eastAsia="黑体"/>
          <w:sz w:val="28"/>
          <w:szCs w:val="28"/>
        </w:rPr>
        <w:t>附录1：</w:t>
      </w:r>
      <w:bookmarkEnd w:id="260"/>
      <w:bookmarkEnd w:id="261"/>
      <w:bookmarkEnd w:id="262"/>
      <w:bookmarkEnd w:id="263"/>
    </w:p>
    <w:p>
      <w:pPr>
        <w:rPr>
          <w:sz w:val="28"/>
          <w:szCs w:val="28"/>
        </w:rPr>
      </w:pPr>
    </w:p>
    <w:p>
      <w:pPr>
        <w:jc w:val="center"/>
        <w:rPr>
          <w:b/>
          <w:sz w:val="48"/>
          <w:szCs w:val="48"/>
        </w:rPr>
      </w:pPr>
      <w:r>
        <w:rPr>
          <w:b/>
          <w:sz w:val="48"/>
          <w:szCs w:val="48"/>
        </w:rPr>
        <w:t>湖南省XX县XX林场（乡镇）</w:t>
      </w:r>
    </w:p>
    <w:p>
      <w:pPr>
        <w:jc w:val="center"/>
        <w:rPr>
          <w:b/>
          <w:sz w:val="48"/>
          <w:szCs w:val="48"/>
        </w:rPr>
      </w:pPr>
      <w:r>
        <w:rPr>
          <w:b/>
          <w:sz w:val="48"/>
          <w:szCs w:val="48"/>
        </w:rPr>
        <w:t>XX年度森林质量精准提升工程</w:t>
      </w:r>
    </w:p>
    <w:p>
      <w:pPr>
        <w:spacing w:afterLines="100"/>
        <w:jc w:val="center"/>
        <w:rPr>
          <w:rFonts w:eastAsia="楷体"/>
          <w:b/>
          <w:sz w:val="96"/>
          <w:szCs w:val="84"/>
        </w:rPr>
      </w:pPr>
      <w:r>
        <w:rPr>
          <w:b/>
          <w:sz w:val="72"/>
          <w:szCs w:val="72"/>
        </w:rPr>
        <w:t>实施方案</w:t>
      </w: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b/>
          <w:spacing w:val="110"/>
          <w:sz w:val="36"/>
          <w:szCs w:val="36"/>
        </w:rPr>
      </w:pPr>
    </w:p>
    <w:p>
      <w:pPr>
        <w:jc w:val="center"/>
        <w:rPr>
          <w:b/>
          <w:spacing w:val="110"/>
          <w:sz w:val="36"/>
          <w:szCs w:val="36"/>
        </w:rPr>
      </w:pPr>
    </w:p>
    <w:p>
      <w:pPr>
        <w:jc w:val="center"/>
        <w:rPr>
          <w:b/>
          <w:spacing w:val="110"/>
          <w:sz w:val="36"/>
          <w:szCs w:val="36"/>
        </w:rPr>
      </w:pPr>
    </w:p>
    <w:p>
      <w:pPr>
        <w:jc w:val="center"/>
        <w:rPr>
          <w:b/>
          <w:spacing w:val="110"/>
          <w:sz w:val="36"/>
          <w:szCs w:val="36"/>
        </w:rPr>
      </w:pPr>
    </w:p>
    <w:p>
      <w:pPr>
        <w:jc w:val="center"/>
        <w:rPr>
          <w:b/>
          <w:spacing w:val="110"/>
          <w:sz w:val="36"/>
          <w:szCs w:val="36"/>
        </w:rPr>
      </w:pPr>
    </w:p>
    <w:p>
      <w:pPr>
        <w:jc w:val="center"/>
        <w:rPr>
          <w:b/>
          <w:spacing w:val="110"/>
          <w:sz w:val="36"/>
          <w:szCs w:val="36"/>
        </w:rPr>
      </w:pPr>
    </w:p>
    <w:p>
      <w:pPr>
        <w:jc w:val="center"/>
        <w:rPr>
          <w:b/>
          <w:spacing w:val="110"/>
          <w:sz w:val="36"/>
          <w:szCs w:val="36"/>
        </w:rPr>
      </w:pPr>
    </w:p>
    <w:p>
      <w:pPr>
        <w:jc w:val="center"/>
        <w:rPr>
          <w:b/>
          <w:spacing w:val="110"/>
          <w:sz w:val="36"/>
          <w:szCs w:val="36"/>
        </w:rPr>
      </w:pPr>
    </w:p>
    <w:p>
      <w:pPr>
        <w:jc w:val="center"/>
        <w:rPr>
          <w:b/>
          <w:sz w:val="36"/>
          <w:szCs w:val="36"/>
        </w:rPr>
      </w:pPr>
      <w:r>
        <w:rPr>
          <w:b/>
          <w:sz w:val="36"/>
          <w:szCs w:val="36"/>
        </w:rPr>
        <w:t xml:space="preserve"> XXX(编制单位)</w:t>
      </w:r>
    </w:p>
    <w:p>
      <w:pPr>
        <w:jc w:val="center"/>
        <w:rPr>
          <w:b/>
          <w:sz w:val="36"/>
          <w:szCs w:val="36"/>
        </w:rPr>
      </w:pPr>
      <w:r>
        <w:rPr>
          <w:b/>
          <w:sz w:val="36"/>
          <w:szCs w:val="36"/>
        </w:rPr>
        <w:t>年月</w:t>
      </w:r>
    </w:p>
    <w:p>
      <w:pPr>
        <w:jc w:val="center"/>
        <w:rPr>
          <w:b/>
          <w:sz w:val="36"/>
          <w:szCs w:val="36"/>
        </w:rPr>
      </w:pPr>
    </w:p>
    <w:p>
      <w:pPr>
        <w:jc w:val="center"/>
        <w:rPr>
          <w:b/>
          <w:sz w:val="36"/>
          <w:szCs w:val="36"/>
        </w:rPr>
      </w:pPr>
    </w:p>
    <w:p>
      <w:pPr>
        <w:jc w:val="center"/>
        <w:rPr>
          <w:b/>
          <w:sz w:val="36"/>
          <w:szCs w:val="36"/>
        </w:rPr>
      </w:pPr>
      <w:r>
        <w:rPr>
          <w:rFonts w:eastAsia="黑体"/>
          <w:sz w:val="32"/>
          <w:szCs w:val="32"/>
        </w:rPr>
        <w:t>实施方案审批表</w:t>
      </w:r>
      <w:r>
        <w:rPr>
          <w:b/>
          <w:sz w:val="36"/>
          <w:szCs w:val="36"/>
        </w:rPr>
        <w:t>（实施工程项目）</w:t>
      </w:r>
    </w:p>
    <w:tbl>
      <w:tblPr>
        <w:tblStyle w:val="18"/>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6" w:hRule="exact"/>
          <w:jc w:val="center"/>
        </w:trPr>
        <w:tc>
          <w:tcPr>
            <w:tcW w:w="8516" w:type="dxa"/>
          </w:tcPr>
          <w:p>
            <w:pPr>
              <w:spacing w:line="480" w:lineRule="auto"/>
              <w:jc w:val="left"/>
              <w:rPr>
                <w:sz w:val="28"/>
              </w:rPr>
            </w:pPr>
            <w:r>
              <w:rPr>
                <w:sz w:val="28"/>
              </w:rPr>
              <w:t>1、项目实施方案编制单位：</w:t>
            </w:r>
          </w:p>
          <w:p>
            <w:pPr>
              <w:spacing w:line="480" w:lineRule="auto"/>
              <w:ind w:firstLine="560" w:firstLineChars="200"/>
              <w:jc w:val="right"/>
              <w:rPr>
                <w:sz w:val="28"/>
              </w:rPr>
            </w:pPr>
          </w:p>
          <w:p>
            <w:pPr>
              <w:spacing w:line="480" w:lineRule="auto"/>
              <w:ind w:firstLine="560" w:firstLineChars="200"/>
              <w:jc w:val="right"/>
              <w:rPr>
                <w:sz w:val="28"/>
              </w:rPr>
            </w:pPr>
            <w:r>
              <w:rPr>
                <w:sz w:val="28"/>
              </w:rPr>
              <w:t>年   月   日（盖章）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6" w:hRule="exact"/>
          <w:jc w:val="center"/>
        </w:trPr>
        <w:tc>
          <w:tcPr>
            <w:tcW w:w="8516" w:type="dxa"/>
          </w:tcPr>
          <w:p>
            <w:pPr>
              <w:spacing w:line="480" w:lineRule="auto"/>
              <w:jc w:val="left"/>
              <w:rPr>
                <w:sz w:val="28"/>
              </w:rPr>
            </w:pPr>
            <w:r>
              <w:rPr>
                <w:sz w:val="28"/>
              </w:rPr>
              <w:t>2、县林业局申报意见：</w:t>
            </w:r>
          </w:p>
          <w:p>
            <w:pPr>
              <w:spacing w:line="480" w:lineRule="auto"/>
              <w:ind w:firstLine="560" w:firstLineChars="200"/>
              <w:jc w:val="right"/>
              <w:rPr>
                <w:sz w:val="28"/>
              </w:rPr>
            </w:pPr>
          </w:p>
          <w:p>
            <w:pPr>
              <w:spacing w:line="480" w:lineRule="auto"/>
              <w:ind w:firstLine="560" w:firstLineChars="200"/>
              <w:jc w:val="right"/>
              <w:rPr>
                <w:sz w:val="28"/>
              </w:rPr>
            </w:pPr>
            <w:r>
              <w:rPr>
                <w:sz w:val="28"/>
              </w:rPr>
              <w:t>年   月   日（盖章）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6" w:hRule="exact"/>
          <w:jc w:val="center"/>
        </w:trPr>
        <w:tc>
          <w:tcPr>
            <w:tcW w:w="8516" w:type="dxa"/>
          </w:tcPr>
          <w:p>
            <w:pPr>
              <w:spacing w:line="480" w:lineRule="auto"/>
              <w:jc w:val="left"/>
              <w:rPr>
                <w:sz w:val="28"/>
              </w:rPr>
            </w:pPr>
            <w:r>
              <w:rPr>
                <w:sz w:val="28"/>
              </w:rPr>
              <w:t>3、县发改局审核意见：</w:t>
            </w:r>
          </w:p>
          <w:p>
            <w:pPr>
              <w:spacing w:line="480" w:lineRule="auto"/>
              <w:ind w:firstLine="560" w:firstLineChars="200"/>
              <w:jc w:val="right"/>
              <w:rPr>
                <w:sz w:val="28"/>
              </w:rPr>
            </w:pPr>
          </w:p>
          <w:p>
            <w:pPr>
              <w:spacing w:line="480" w:lineRule="auto"/>
              <w:ind w:firstLine="560" w:firstLineChars="200"/>
              <w:jc w:val="right"/>
              <w:rPr>
                <w:sz w:val="28"/>
              </w:rPr>
            </w:pPr>
            <w:r>
              <w:rPr>
                <w:sz w:val="28"/>
              </w:rPr>
              <w:t>年   月   日（盖章）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6" w:hRule="exact"/>
          <w:jc w:val="center"/>
        </w:trPr>
        <w:tc>
          <w:tcPr>
            <w:tcW w:w="8516" w:type="dxa"/>
          </w:tcPr>
          <w:p>
            <w:pPr>
              <w:spacing w:line="480" w:lineRule="auto"/>
              <w:jc w:val="left"/>
              <w:rPr>
                <w:sz w:val="28"/>
              </w:rPr>
            </w:pPr>
            <w:r>
              <w:rPr>
                <w:sz w:val="28"/>
              </w:rPr>
              <w:t>4、市林业局审批意见：</w:t>
            </w:r>
          </w:p>
          <w:p>
            <w:pPr>
              <w:spacing w:line="480" w:lineRule="auto"/>
              <w:ind w:firstLine="560" w:firstLineChars="200"/>
              <w:jc w:val="right"/>
              <w:rPr>
                <w:sz w:val="28"/>
              </w:rPr>
            </w:pPr>
          </w:p>
          <w:p>
            <w:pPr>
              <w:spacing w:line="480" w:lineRule="auto"/>
              <w:ind w:firstLine="560" w:firstLineChars="200"/>
              <w:jc w:val="right"/>
              <w:rPr>
                <w:sz w:val="28"/>
              </w:rPr>
            </w:pPr>
            <w:r>
              <w:rPr>
                <w:sz w:val="28"/>
              </w:rPr>
              <w:t>年   月   日（盖章）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6" w:hRule="exact"/>
          <w:jc w:val="center"/>
        </w:trPr>
        <w:tc>
          <w:tcPr>
            <w:tcW w:w="8516" w:type="dxa"/>
          </w:tcPr>
          <w:p>
            <w:pPr>
              <w:spacing w:line="480" w:lineRule="auto"/>
              <w:jc w:val="left"/>
              <w:rPr>
                <w:sz w:val="28"/>
              </w:rPr>
            </w:pPr>
            <w:r>
              <w:rPr>
                <w:sz w:val="28"/>
              </w:rPr>
              <w:t>5、市发改委审批意见：</w:t>
            </w:r>
          </w:p>
          <w:p>
            <w:pPr>
              <w:spacing w:line="480" w:lineRule="auto"/>
              <w:ind w:firstLine="560" w:firstLineChars="200"/>
              <w:jc w:val="right"/>
              <w:rPr>
                <w:sz w:val="28"/>
              </w:rPr>
            </w:pPr>
          </w:p>
          <w:p>
            <w:pPr>
              <w:spacing w:line="480" w:lineRule="auto"/>
              <w:ind w:firstLine="560" w:firstLineChars="200"/>
              <w:jc w:val="right"/>
              <w:rPr>
                <w:sz w:val="28"/>
              </w:rPr>
            </w:pPr>
            <w:r>
              <w:rPr>
                <w:sz w:val="28"/>
              </w:rPr>
              <w:t>年   月   日（盖章）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6" w:hRule="exact"/>
          <w:jc w:val="center"/>
        </w:trPr>
        <w:tc>
          <w:tcPr>
            <w:tcW w:w="8516" w:type="dxa"/>
          </w:tcPr>
          <w:p>
            <w:pPr>
              <w:spacing w:line="480" w:lineRule="auto"/>
              <w:jc w:val="left"/>
              <w:rPr>
                <w:sz w:val="28"/>
              </w:rPr>
            </w:pPr>
            <w:r>
              <w:rPr>
                <w:sz w:val="28"/>
              </w:rPr>
              <w:t>6、省林业局备案意见：</w:t>
            </w:r>
          </w:p>
          <w:p>
            <w:pPr>
              <w:spacing w:line="480" w:lineRule="auto"/>
              <w:ind w:firstLine="560" w:firstLineChars="200"/>
              <w:jc w:val="right"/>
              <w:rPr>
                <w:sz w:val="28"/>
              </w:rPr>
            </w:pPr>
          </w:p>
          <w:p>
            <w:pPr>
              <w:spacing w:line="480" w:lineRule="auto"/>
              <w:ind w:firstLine="560" w:firstLineChars="200"/>
              <w:jc w:val="right"/>
              <w:rPr>
                <w:sz w:val="28"/>
              </w:rPr>
            </w:pPr>
            <w:r>
              <w:rPr>
                <w:sz w:val="28"/>
              </w:rPr>
              <w:t>年   月   日（盖章）</w:t>
            </w:r>
          </w:p>
        </w:tc>
      </w:tr>
    </w:tbl>
    <w:p>
      <w:pPr>
        <w:spacing w:line="580" w:lineRule="exact"/>
        <w:jc w:val="center"/>
        <w:rPr>
          <w:rFonts w:eastAsia="黑体"/>
          <w:bCs/>
          <w:sz w:val="36"/>
          <w:szCs w:val="36"/>
        </w:rPr>
      </w:pPr>
    </w:p>
    <w:p>
      <w:pPr>
        <w:spacing w:line="580" w:lineRule="exact"/>
        <w:jc w:val="center"/>
        <w:rPr>
          <w:rFonts w:eastAsia="黑体"/>
          <w:bCs/>
          <w:sz w:val="36"/>
          <w:szCs w:val="36"/>
        </w:rPr>
      </w:pPr>
    </w:p>
    <w:p>
      <w:pPr>
        <w:spacing w:line="580" w:lineRule="exact"/>
        <w:jc w:val="center"/>
        <w:rPr>
          <w:rFonts w:eastAsia="黑体"/>
          <w:bCs/>
          <w:sz w:val="36"/>
          <w:szCs w:val="36"/>
        </w:rPr>
      </w:pPr>
      <w:r>
        <w:rPr>
          <w:rFonts w:eastAsia="黑体"/>
          <w:bCs/>
          <w:sz w:val="36"/>
          <w:szCs w:val="36"/>
        </w:rPr>
        <w:t>湖南省XX县XX林场（乡镇）</w:t>
      </w:r>
    </w:p>
    <w:p>
      <w:pPr>
        <w:spacing w:line="580" w:lineRule="exact"/>
        <w:jc w:val="center"/>
        <w:rPr>
          <w:rFonts w:eastAsia="黑体"/>
          <w:bCs/>
          <w:sz w:val="36"/>
          <w:szCs w:val="36"/>
        </w:rPr>
      </w:pPr>
      <w:r>
        <w:rPr>
          <w:rFonts w:eastAsia="黑体"/>
          <w:bCs/>
          <w:sz w:val="36"/>
          <w:szCs w:val="36"/>
        </w:rPr>
        <w:t>XX年森林质量精准提升工程实施方案</w:t>
      </w:r>
    </w:p>
    <w:p>
      <w:pPr>
        <w:spacing w:line="580" w:lineRule="exact"/>
        <w:jc w:val="center"/>
        <w:rPr>
          <w:rFonts w:eastAsia="黑体"/>
          <w:bCs/>
          <w:sz w:val="32"/>
          <w:szCs w:val="32"/>
        </w:rPr>
      </w:pPr>
      <w:r>
        <w:rPr>
          <w:rFonts w:eastAsia="黑体"/>
          <w:bCs/>
          <w:sz w:val="36"/>
          <w:szCs w:val="36"/>
        </w:rPr>
        <w:t>编 制 人 员 名 单</w:t>
      </w:r>
    </w:p>
    <w:p>
      <w:pPr>
        <w:spacing w:line="580" w:lineRule="exact"/>
        <w:jc w:val="center"/>
        <w:rPr>
          <w:rFonts w:eastAsia="仿宋_GB2312"/>
          <w:b/>
          <w:sz w:val="32"/>
          <w:szCs w:val="32"/>
        </w:rPr>
      </w:pPr>
    </w:p>
    <w:p>
      <w:pPr>
        <w:spacing w:line="580" w:lineRule="exact"/>
        <w:ind w:firstLine="1269" w:firstLineChars="395"/>
        <w:rPr>
          <w:rFonts w:eastAsia="仿宋"/>
          <w:b/>
          <w:sz w:val="32"/>
          <w:szCs w:val="32"/>
        </w:rPr>
      </w:pPr>
    </w:p>
    <w:p>
      <w:pPr>
        <w:spacing w:line="580" w:lineRule="exact"/>
        <w:ind w:firstLine="1264" w:firstLineChars="395"/>
        <w:rPr>
          <w:sz w:val="32"/>
          <w:szCs w:val="32"/>
        </w:rPr>
      </w:pPr>
      <w:r>
        <w:rPr>
          <w:rFonts w:eastAsia="黑体"/>
          <w:sz w:val="32"/>
          <w:szCs w:val="32"/>
        </w:rPr>
        <w:t>项目负责人：</w:t>
      </w:r>
      <w:r>
        <w:rPr>
          <w:b/>
          <w:sz w:val="32"/>
          <w:szCs w:val="32"/>
        </w:rPr>
        <w:t xml:space="preserve">XXX  </w:t>
      </w:r>
    </w:p>
    <w:p>
      <w:pPr>
        <w:spacing w:line="580" w:lineRule="exact"/>
        <w:rPr>
          <w:b/>
          <w:sz w:val="32"/>
          <w:szCs w:val="32"/>
        </w:rPr>
      </w:pPr>
    </w:p>
    <w:p>
      <w:pPr>
        <w:spacing w:line="580" w:lineRule="exact"/>
        <w:rPr>
          <w:b/>
          <w:sz w:val="32"/>
          <w:szCs w:val="32"/>
        </w:rPr>
      </w:pPr>
      <w:r>
        <w:rPr>
          <w:rFonts w:eastAsia="黑体"/>
          <w:sz w:val="32"/>
          <w:szCs w:val="32"/>
        </w:rPr>
        <w:t>技术负责人：</w:t>
      </w:r>
      <w:r>
        <w:rPr>
          <w:b/>
          <w:sz w:val="32"/>
          <w:szCs w:val="32"/>
        </w:rPr>
        <w:t>XXX</w:t>
      </w:r>
    </w:p>
    <w:p>
      <w:pPr>
        <w:spacing w:line="580" w:lineRule="exact"/>
        <w:ind w:firstLine="1269" w:firstLineChars="395"/>
        <w:rPr>
          <w:b/>
          <w:sz w:val="32"/>
          <w:szCs w:val="32"/>
        </w:rPr>
      </w:pPr>
    </w:p>
    <w:p>
      <w:pPr>
        <w:spacing w:line="580" w:lineRule="exact"/>
        <w:ind w:firstLine="1264" w:firstLineChars="395"/>
        <w:rPr>
          <w:b/>
          <w:sz w:val="32"/>
          <w:szCs w:val="32"/>
        </w:rPr>
      </w:pPr>
      <w:r>
        <w:rPr>
          <w:rFonts w:eastAsia="黑体"/>
          <w:sz w:val="32"/>
          <w:szCs w:val="32"/>
        </w:rPr>
        <w:t>数据统计：</w:t>
      </w:r>
      <w:r>
        <w:rPr>
          <w:b/>
          <w:sz w:val="32"/>
          <w:szCs w:val="32"/>
        </w:rPr>
        <w:t>XXX  XXX</w:t>
      </w:r>
    </w:p>
    <w:p>
      <w:pPr>
        <w:spacing w:line="580" w:lineRule="exact"/>
        <w:jc w:val="center"/>
        <w:rPr>
          <w:b/>
          <w:sz w:val="32"/>
          <w:szCs w:val="32"/>
        </w:rPr>
      </w:pPr>
    </w:p>
    <w:p>
      <w:pPr>
        <w:spacing w:line="580" w:lineRule="exact"/>
        <w:ind w:firstLine="1264" w:firstLineChars="395"/>
        <w:rPr>
          <w:b/>
          <w:sz w:val="32"/>
          <w:szCs w:val="32"/>
        </w:rPr>
      </w:pPr>
      <w:r>
        <w:rPr>
          <w:rFonts w:eastAsia="黑体"/>
          <w:sz w:val="32"/>
          <w:szCs w:val="32"/>
        </w:rPr>
        <w:t>编制人员：</w:t>
      </w:r>
      <w:r>
        <w:rPr>
          <w:b/>
          <w:sz w:val="32"/>
          <w:szCs w:val="32"/>
        </w:rPr>
        <w:t xml:space="preserve">XXX  XXX  XXX  XXX  </w:t>
      </w:r>
    </w:p>
    <w:p>
      <w:pPr>
        <w:spacing w:line="580" w:lineRule="exact"/>
        <w:ind w:firstLine="2872" w:firstLineChars="894"/>
        <w:rPr>
          <w:b/>
          <w:sz w:val="32"/>
          <w:szCs w:val="32"/>
        </w:rPr>
      </w:pPr>
      <w:r>
        <w:rPr>
          <w:b/>
          <w:sz w:val="32"/>
          <w:szCs w:val="32"/>
        </w:rPr>
        <w:t>XXX  XXX  XXX  XXX</w:t>
      </w:r>
    </w:p>
    <w:p>
      <w:pPr>
        <w:spacing w:line="580" w:lineRule="exact"/>
        <w:ind w:firstLine="1269" w:firstLineChars="395"/>
        <w:rPr>
          <w:b/>
          <w:sz w:val="32"/>
          <w:szCs w:val="32"/>
        </w:rPr>
      </w:pPr>
    </w:p>
    <w:p>
      <w:pPr>
        <w:spacing w:line="580" w:lineRule="exact"/>
        <w:ind w:firstLine="1269" w:firstLineChars="395"/>
        <w:rPr>
          <w:b/>
          <w:sz w:val="32"/>
          <w:szCs w:val="32"/>
        </w:rPr>
      </w:pPr>
    </w:p>
    <w:p>
      <w:pPr>
        <w:spacing w:line="580" w:lineRule="exact"/>
        <w:ind w:firstLine="1269" w:firstLineChars="395"/>
        <w:rPr>
          <w:b/>
          <w:sz w:val="32"/>
          <w:szCs w:val="32"/>
        </w:rPr>
      </w:pPr>
    </w:p>
    <w:p>
      <w:pPr>
        <w:spacing w:line="800" w:lineRule="exact"/>
        <w:ind w:firstLine="1264" w:firstLineChars="395"/>
        <w:rPr>
          <w:b/>
          <w:sz w:val="32"/>
          <w:szCs w:val="32"/>
        </w:rPr>
      </w:pPr>
      <w:r>
        <w:rPr>
          <w:rFonts w:eastAsia="黑体"/>
          <w:sz w:val="32"/>
          <w:szCs w:val="32"/>
        </w:rPr>
        <w:t>执    笔：</w:t>
      </w:r>
      <w:r>
        <w:rPr>
          <w:b/>
          <w:sz w:val="32"/>
          <w:szCs w:val="32"/>
        </w:rPr>
        <w:t>XXX</w:t>
      </w:r>
    </w:p>
    <w:p>
      <w:pPr>
        <w:spacing w:line="800" w:lineRule="exact"/>
        <w:ind w:firstLine="1264" w:firstLineChars="395"/>
        <w:rPr>
          <w:b/>
          <w:sz w:val="32"/>
          <w:szCs w:val="32"/>
        </w:rPr>
      </w:pPr>
      <w:r>
        <w:rPr>
          <w:rFonts w:eastAsia="黑体"/>
          <w:sz w:val="32"/>
          <w:szCs w:val="32"/>
        </w:rPr>
        <w:t>制    图：</w:t>
      </w:r>
      <w:r>
        <w:rPr>
          <w:b/>
          <w:sz w:val="32"/>
          <w:szCs w:val="32"/>
        </w:rPr>
        <w:t>XXX</w:t>
      </w:r>
    </w:p>
    <w:p>
      <w:pPr>
        <w:spacing w:line="800" w:lineRule="exact"/>
        <w:ind w:firstLine="1264" w:firstLineChars="395"/>
        <w:rPr>
          <w:b/>
          <w:sz w:val="32"/>
          <w:szCs w:val="32"/>
        </w:rPr>
      </w:pPr>
      <w:r>
        <w:rPr>
          <w:rFonts w:eastAsia="黑体"/>
          <w:sz w:val="32"/>
          <w:szCs w:val="32"/>
        </w:rPr>
        <w:t>审    核：</w:t>
      </w:r>
      <w:r>
        <w:rPr>
          <w:b/>
          <w:sz w:val="32"/>
          <w:szCs w:val="32"/>
        </w:rPr>
        <w:t>XXX</w:t>
      </w:r>
    </w:p>
    <w:p>
      <w:pPr>
        <w:spacing w:line="800" w:lineRule="exact"/>
        <w:ind w:firstLine="1264" w:firstLineChars="395"/>
        <w:rPr>
          <w:b/>
          <w:sz w:val="32"/>
          <w:szCs w:val="32"/>
        </w:rPr>
      </w:pPr>
      <w:r>
        <w:rPr>
          <w:rFonts w:eastAsia="黑体"/>
          <w:sz w:val="32"/>
          <w:szCs w:val="32"/>
        </w:rPr>
        <w:t>审    定：</w:t>
      </w:r>
      <w:r>
        <w:rPr>
          <w:b/>
          <w:sz w:val="32"/>
          <w:szCs w:val="32"/>
        </w:rPr>
        <w:t>XXX</w:t>
      </w:r>
    </w:p>
    <w:p>
      <w:pPr>
        <w:jc w:val="center"/>
        <w:rPr>
          <w:b/>
          <w:sz w:val="36"/>
          <w:szCs w:val="36"/>
        </w:rPr>
        <w:sectPr>
          <w:footerReference r:id="rId6" w:type="default"/>
          <w:pgSz w:w="11906" w:h="16838"/>
          <w:pgMar w:top="1440" w:right="1803" w:bottom="1440" w:left="1803" w:header="851" w:footer="992" w:gutter="0"/>
          <w:pgNumType w:start="1"/>
          <w:cols w:space="0" w:num="1"/>
          <w:docGrid w:linePitch="312" w:charSpace="0"/>
        </w:sectPr>
      </w:pPr>
    </w:p>
    <w:p>
      <w:pPr>
        <w:spacing w:beforeLines="50" w:afterLines="50" w:line="360" w:lineRule="auto"/>
        <w:jc w:val="center"/>
        <w:rPr>
          <w:b/>
          <w:sz w:val="36"/>
          <w:szCs w:val="36"/>
        </w:rPr>
      </w:pPr>
      <w:r>
        <w:rPr>
          <w:b/>
          <w:sz w:val="36"/>
          <w:szCs w:val="36"/>
        </w:rPr>
        <w:t>目   录</w:t>
      </w:r>
      <w:bookmarkStart w:id="264" w:name="_Toc524966313"/>
    </w:p>
    <w:p>
      <w:pPr>
        <w:pStyle w:val="13"/>
        <w:tabs>
          <w:tab w:val="right" w:leader="dot" w:pos="8300"/>
        </w:tabs>
        <w:spacing w:line="400" w:lineRule="exact"/>
        <w:ind w:left="0" w:leftChars="0"/>
        <w:rPr>
          <w:szCs w:val="21"/>
        </w:rPr>
      </w:pPr>
      <w:r>
        <w:rPr>
          <w:bCs/>
          <w:szCs w:val="21"/>
        </w:rPr>
        <w:fldChar w:fldCharType="begin"/>
      </w:r>
      <w:r>
        <w:rPr>
          <w:bCs/>
          <w:szCs w:val="21"/>
        </w:rPr>
        <w:instrText xml:space="preserve">TOC \o "1-4" \h \u </w:instrText>
      </w:r>
      <w:r>
        <w:rPr>
          <w:bCs/>
          <w:szCs w:val="21"/>
        </w:rPr>
        <w:fldChar w:fldCharType="separate"/>
      </w:r>
      <w:r>
        <w:fldChar w:fldCharType="begin"/>
      </w:r>
      <w:r>
        <w:instrText xml:space="preserve"> HYPERLINK \l "_Toc12121" </w:instrText>
      </w:r>
      <w:r>
        <w:fldChar w:fldCharType="separate"/>
      </w:r>
      <w:r>
        <w:rPr>
          <w:rFonts w:eastAsia="黑体"/>
          <w:kern w:val="0"/>
          <w:szCs w:val="21"/>
        </w:rPr>
        <w:t>第一章 总 论</w:t>
      </w:r>
      <w:r>
        <w:rPr>
          <w:szCs w:val="21"/>
        </w:rPr>
        <w:tab/>
      </w:r>
      <w:r>
        <w:rPr>
          <w:szCs w:val="21"/>
        </w:rPr>
        <w:fldChar w:fldCharType="begin"/>
      </w:r>
      <w:r>
        <w:rPr>
          <w:szCs w:val="21"/>
        </w:rPr>
        <w:instrText xml:space="preserve"> PAGEREF _Toc12121 \h </w:instrText>
      </w:r>
      <w:r>
        <w:rPr>
          <w:szCs w:val="21"/>
        </w:rPr>
        <w:fldChar w:fldCharType="separate"/>
      </w:r>
      <w:r>
        <w:rPr>
          <w:szCs w:val="21"/>
        </w:rPr>
        <w:t>1</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"_Toc25786" </w:instrText>
      </w:r>
      <w:r>
        <w:fldChar w:fldCharType="separate"/>
      </w:r>
      <w:r>
        <w:rPr>
          <w:rFonts w:eastAsia="黑体"/>
          <w:kern w:val="0"/>
          <w:sz w:val="21"/>
          <w:szCs w:val="21"/>
        </w:rPr>
        <w:t>1.1 项目名称</w:t>
      </w:r>
      <w:r>
        <w:rPr>
          <w:sz w:val="21"/>
          <w:szCs w:val="21"/>
        </w:rPr>
        <w:tab/>
      </w:r>
      <w:r>
        <w:rPr>
          <w:sz w:val="21"/>
          <w:szCs w:val="21"/>
        </w:rPr>
        <w:fldChar w:fldCharType="begin"/>
      </w:r>
      <w:r>
        <w:rPr>
          <w:sz w:val="21"/>
          <w:szCs w:val="21"/>
        </w:rPr>
        <w:instrText xml:space="preserve"> PAGEREF _Toc25786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"_Toc20346" </w:instrText>
      </w:r>
      <w:r>
        <w:fldChar w:fldCharType="separate"/>
      </w:r>
      <w:r>
        <w:rPr>
          <w:rFonts w:eastAsia="黑体"/>
          <w:kern w:val="0"/>
          <w:sz w:val="21"/>
          <w:szCs w:val="21"/>
        </w:rPr>
        <w:t>1.2 项目建设实施单位及实施地点</w:t>
      </w:r>
      <w:r>
        <w:rPr>
          <w:sz w:val="21"/>
          <w:szCs w:val="21"/>
        </w:rPr>
        <w:tab/>
      </w:r>
      <w:r>
        <w:rPr>
          <w:sz w:val="21"/>
          <w:szCs w:val="21"/>
        </w:rPr>
        <w:fldChar w:fldCharType="begin"/>
      </w:r>
      <w:r>
        <w:rPr>
          <w:sz w:val="21"/>
          <w:szCs w:val="21"/>
        </w:rPr>
        <w:instrText xml:space="preserve"> PAGEREF _Toc20346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"_Toc15622" </w:instrText>
      </w:r>
      <w:r>
        <w:fldChar w:fldCharType="separate"/>
      </w:r>
      <w:r>
        <w:rPr>
          <w:rFonts w:eastAsia="黑体"/>
          <w:kern w:val="0"/>
          <w:sz w:val="21"/>
          <w:szCs w:val="21"/>
        </w:rPr>
        <w:t>1.3 编制目的</w:t>
      </w:r>
      <w:r>
        <w:rPr>
          <w:sz w:val="21"/>
          <w:szCs w:val="21"/>
        </w:rPr>
        <w:tab/>
      </w:r>
      <w:r>
        <w:rPr>
          <w:sz w:val="21"/>
          <w:szCs w:val="21"/>
        </w:rPr>
        <w:fldChar w:fldCharType="begin"/>
      </w:r>
      <w:r>
        <w:rPr>
          <w:sz w:val="21"/>
          <w:szCs w:val="21"/>
        </w:rPr>
        <w:instrText xml:space="preserve"> PAGEREF _Toc15622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"_Toc16297" </w:instrText>
      </w:r>
      <w:r>
        <w:fldChar w:fldCharType="separate"/>
      </w:r>
      <w:r>
        <w:rPr>
          <w:rFonts w:eastAsia="黑体"/>
          <w:kern w:val="0"/>
          <w:sz w:val="21"/>
          <w:szCs w:val="21"/>
        </w:rPr>
        <w:t>1.4 建设规模与主要建设内容</w:t>
      </w:r>
      <w:r>
        <w:rPr>
          <w:sz w:val="21"/>
          <w:szCs w:val="21"/>
        </w:rPr>
        <w:tab/>
      </w:r>
      <w:r>
        <w:rPr>
          <w:sz w:val="21"/>
          <w:szCs w:val="21"/>
        </w:rPr>
        <w:fldChar w:fldCharType="begin"/>
      </w:r>
      <w:r>
        <w:rPr>
          <w:sz w:val="21"/>
          <w:szCs w:val="21"/>
        </w:rPr>
        <w:instrText xml:space="preserve"> PAGEREF _Toc16297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"_Toc6106" </w:instrText>
      </w:r>
      <w:r>
        <w:fldChar w:fldCharType="separate"/>
      </w:r>
      <w:r>
        <w:rPr>
          <w:rFonts w:eastAsia="黑体"/>
          <w:kern w:val="0"/>
          <w:sz w:val="21"/>
          <w:szCs w:val="21"/>
        </w:rPr>
        <w:t>1.5 项目建设期</w:t>
      </w:r>
      <w:r>
        <w:rPr>
          <w:sz w:val="21"/>
          <w:szCs w:val="21"/>
        </w:rPr>
        <w:tab/>
      </w:r>
      <w:r>
        <w:rPr>
          <w:sz w:val="21"/>
          <w:szCs w:val="21"/>
        </w:rPr>
        <w:fldChar w:fldCharType="begin"/>
      </w:r>
      <w:r>
        <w:rPr>
          <w:sz w:val="21"/>
          <w:szCs w:val="21"/>
        </w:rPr>
        <w:instrText xml:space="preserve"> PAGEREF _Toc6106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"_Toc26925" </w:instrText>
      </w:r>
      <w:r>
        <w:fldChar w:fldCharType="separate"/>
      </w:r>
      <w:r>
        <w:rPr>
          <w:rFonts w:eastAsia="黑体"/>
          <w:kern w:val="0"/>
          <w:sz w:val="21"/>
          <w:szCs w:val="21"/>
        </w:rPr>
        <w:t>1.6投资估算与资金筹措</w:t>
      </w:r>
      <w:r>
        <w:rPr>
          <w:sz w:val="21"/>
          <w:szCs w:val="21"/>
        </w:rPr>
        <w:tab/>
      </w:r>
      <w:r>
        <w:rPr>
          <w:sz w:val="21"/>
          <w:szCs w:val="21"/>
        </w:rPr>
        <w:fldChar w:fldCharType="begin"/>
      </w:r>
      <w:r>
        <w:rPr>
          <w:sz w:val="21"/>
          <w:szCs w:val="21"/>
        </w:rPr>
        <w:instrText xml:space="preserve"> PAGEREF _Toc26925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"_Toc14577" </w:instrText>
      </w:r>
      <w:r>
        <w:fldChar w:fldCharType="separate"/>
      </w:r>
      <w:r>
        <w:rPr>
          <w:rFonts w:eastAsia="黑体"/>
          <w:kern w:val="0"/>
          <w:sz w:val="21"/>
          <w:szCs w:val="21"/>
        </w:rPr>
        <w:t>1.7 效益分析</w:t>
      </w:r>
      <w:r>
        <w:rPr>
          <w:sz w:val="21"/>
          <w:szCs w:val="21"/>
        </w:rPr>
        <w:tab/>
      </w:r>
      <w:r>
        <w:rPr>
          <w:sz w:val="21"/>
          <w:szCs w:val="21"/>
        </w:rPr>
        <w:fldChar w:fldCharType="begin"/>
      </w:r>
      <w:r>
        <w:rPr>
          <w:sz w:val="21"/>
          <w:szCs w:val="21"/>
        </w:rPr>
        <w:instrText xml:space="preserve"> PAGEREF _Toc14577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13"/>
        <w:tabs>
          <w:tab w:val="right" w:leader="dot" w:pos="8300"/>
        </w:tabs>
        <w:spacing w:line="400" w:lineRule="exact"/>
        <w:ind w:left="0" w:leftChars="0"/>
        <w:rPr>
          <w:szCs w:val="21"/>
        </w:rPr>
      </w:pPr>
      <w:r>
        <w:fldChar w:fldCharType="begin"/>
      </w:r>
      <w:r>
        <w:instrText xml:space="preserve"> HYPERLINK \l "_Toc18967" </w:instrText>
      </w:r>
      <w:r>
        <w:fldChar w:fldCharType="separate"/>
      </w:r>
      <w:r>
        <w:rPr>
          <w:rFonts w:eastAsia="黑体"/>
          <w:kern w:val="0"/>
          <w:szCs w:val="21"/>
        </w:rPr>
        <w:t>第二章 基本情况</w:t>
      </w:r>
      <w:r>
        <w:rPr>
          <w:szCs w:val="21"/>
        </w:rPr>
        <w:tab/>
      </w:r>
      <w:r>
        <w:rPr>
          <w:szCs w:val="21"/>
        </w:rPr>
        <w:fldChar w:fldCharType="begin"/>
      </w:r>
      <w:r>
        <w:rPr>
          <w:szCs w:val="21"/>
        </w:rPr>
        <w:instrText xml:space="preserve"> PAGEREF _Toc18967 \h </w:instrText>
      </w:r>
      <w:r>
        <w:rPr>
          <w:szCs w:val="21"/>
        </w:rPr>
        <w:fldChar w:fldCharType="separate"/>
      </w:r>
      <w:r>
        <w:rPr>
          <w:szCs w:val="21"/>
        </w:rPr>
        <w:t>1</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"_Toc29246" </w:instrText>
      </w:r>
      <w:r>
        <w:fldChar w:fldCharType="separate"/>
      </w:r>
      <w:r>
        <w:rPr>
          <w:rFonts w:eastAsia="黑体"/>
          <w:kern w:val="0"/>
          <w:sz w:val="21"/>
          <w:szCs w:val="21"/>
        </w:rPr>
        <w:t>2.1 项目实施区域基本情况</w:t>
      </w:r>
      <w:r>
        <w:rPr>
          <w:sz w:val="21"/>
          <w:szCs w:val="21"/>
        </w:rPr>
        <w:tab/>
      </w:r>
      <w:r>
        <w:rPr>
          <w:sz w:val="21"/>
          <w:szCs w:val="21"/>
        </w:rPr>
        <w:fldChar w:fldCharType="begin"/>
      </w:r>
      <w:r>
        <w:rPr>
          <w:sz w:val="21"/>
          <w:szCs w:val="21"/>
        </w:rPr>
        <w:instrText xml:space="preserve"> PAGEREF _Toc29246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"_Toc9901" </w:instrText>
      </w:r>
      <w:r>
        <w:fldChar w:fldCharType="separate"/>
      </w:r>
      <w:r>
        <w:rPr>
          <w:rFonts w:eastAsia="黑体"/>
          <w:kern w:val="0"/>
          <w:sz w:val="21"/>
          <w:szCs w:val="21"/>
        </w:rPr>
        <w:t>2.2 建设单位基本情况</w:t>
      </w:r>
      <w:r>
        <w:rPr>
          <w:sz w:val="21"/>
          <w:szCs w:val="21"/>
        </w:rPr>
        <w:tab/>
      </w:r>
      <w:r>
        <w:rPr>
          <w:sz w:val="21"/>
          <w:szCs w:val="21"/>
        </w:rPr>
        <w:fldChar w:fldCharType="begin"/>
      </w:r>
      <w:r>
        <w:rPr>
          <w:sz w:val="21"/>
          <w:szCs w:val="21"/>
        </w:rPr>
        <w:instrText xml:space="preserve"> PAGEREF _Toc9901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13"/>
        <w:tabs>
          <w:tab w:val="right" w:leader="dot" w:pos="8300"/>
        </w:tabs>
        <w:spacing w:line="400" w:lineRule="exact"/>
        <w:ind w:left="0" w:leftChars="0"/>
        <w:rPr>
          <w:szCs w:val="21"/>
        </w:rPr>
      </w:pPr>
      <w:r>
        <w:fldChar w:fldCharType="begin"/>
      </w:r>
      <w:r>
        <w:instrText xml:space="preserve"> HYPERLINK \l "_Toc7395" </w:instrText>
      </w:r>
      <w:r>
        <w:fldChar w:fldCharType="separate"/>
      </w:r>
      <w:r>
        <w:rPr>
          <w:rFonts w:eastAsia="黑体"/>
          <w:kern w:val="0"/>
          <w:szCs w:val="21"/>
        </w:rPr>
        <w:t>第三章 项目实施必要性和建设条件分析</w:t>
      </w:r>
      <w:r>
        <w:rPr>
          <w:szCs w:val="21"/>
        </w:rPr>
        <w:tab/>
      </w:r>
      <w:r>
        <w:rPr>
          <w:szCs w:val="21"/>
        </w:rPr>
        <w:fldChar w:fldCharType="begin"/>
      </w:r>
      <w:r>
        <w:rPr>
          <w:szCs w:val="21"/>
        </w:rPr>
        <w:instrText xml:space="preserve"> PAGEREF _Toc7395 \h </w:instrText>
      </w:r>
      <w:r>
        <w:rPr>
          <w:szCs w:val="21"/>
        </w:rPr>
        <w:fldChar w:fldCharType="separate"/>
      </w:r>
      <w:r>
        <w:rPr>
          <w:szCs w:val="21"/>
        </w:rPr>
        <w:t>2</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"_Toc3350" </w:instrText>
      </w:r>
      <w:r>
        <w:fldChar w:fldCharType="separate"/>
      </w:r>
      <w:r>
        <w:rPr>
          <w:rFonts w:eastAsia="黑体"/>
          <w:kern w:val="0"/>
          <w:sz w:val="21"/>
          <w:szCs w:val="21"/>
        </w:rPr>
        <w:t>3.1 项目实施的必要性</w:t>
      </w:r>
      <w:r>
        <w:rPr>
          <w:sz w:val="21"/>
          <w:szCs w:val="21"/>
        </w:rPr>
        <w:tab/>
      </w:r>
      <w:r>
        <w:rPr>
          <w:sz w:val="21"/>
          <w:szCs w:val="21"/>
        </w:rPr>
        <w:fldChar w:fldCharType="begin"/>
      </w:r>
      <w:r>
        <w:rPr>
          <w:sz w:val="21"/>
          <w:szCs w:val="21"/>
        </w:rPr>
        <w:instrText xml:space="preserve"> PAGEREF _Toc3350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"_Toc25495" </w:instrText>
      </w:r>
      <w:r>
        <w:fldChar w:fldCharType="separate"/>
      </w:r>
      <w:r>
        <w:rPr>
          <w:rFonts w:eastAsia="黑体"/>
          <w:kern w:val="0"/>
          <w:sz w:val="21"/>
          <w:szCs w:val="21"/>
        </w:rPr>
        <w:t>3.2 项目实施的有利条件</w:t>
      </w:r>
      <w:r>
        <w:rPr>
          <w:sz w:val="21"/>
          <w:szCs w:val="21"/>
        </w:rPr>
        <w:tab/>
      </w:r>
      <w:r>
        <w:rPr>
          <w:sz w:val="21"/>
          <w:szCs w:val="21"/>
        </w:rPr>
        <w:fldChar w:fldCharType="begin"/>
      </w:r>
      <w:r>
        <w:rPr>
          <w:sz w:val="21"/>
          <w:szCs w:val="21"/>
        </w:rPr>
        <w:instrText xml:space="preserve"> PAGEREF _Toc25495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"_Toc14516" </w:instrText>
      </w:r>
      <w:r>
        <w:fldChar w:fldCharType="separate"/>
      </w:r>
      <w:r>
        <w:rPr>
          <w:rFonts w:eastAsia="黑体"/>
          <w:kern w:val="0"/>
          <w:sz w:val="21"/>
          <w:szCs w:val="21"/>
        </w:rPr>
        <w:t>3.3 项目实施的制约因素</w:t>
      </w:r>
      <w:r>
        <w:rPr>
          <w:sz w:val="21"/>
          <w:szCs w:val="21"/>
        </w:rPr>
        <w:tab/>
      </w:r>
      <w:r>
        <w:rPr>
          <w:sz w:val="21"/>
          <w:szCs w:val="21"/>
        </w:rPr>
        <w:fldChar w:fldCharType="begin"/>
      </w:r>
      <w:r>
        <w:rPr>
          <w:sz w:val="21"/>
          <w:szCs w:val="21"/>
        </w:rPr>
        <w:instrText xml:space="preserve"> PAGEREF _Toc14516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13"/>
        <w:tabs>
          <w:tab w:val="right" w:leader="dot" w:pos="8300"/>
        </w:tabs>
        <w:spacing w:line="400" w:lineRule="exact"/>
        <w:ind w:left="0" w:leftChars="0"/>
        <w:rPr>
          <w:szCs w:val="21"/>
        </w:rPr>
      </w:pPr>
      <w:r>
        <w:fldChar w:fldCharType="begin"/>
      </w:r>
      <w:r>
        <w:instrText xml:space="preserve"> HYPERLINK \l "_Toc1455" </w:instrText>
      </w:r>
      <w:r>
        <w:fldChar w:fldCharType="separate"/>
      </w:r>
      <w:r>
        <w:rPr>
          <w:rFonts w:eastAsia="黑体"/>
          <w:kern w:val="0"/>
          <w:szCs w:val="21"/>
        </w:rPr>
        <w:t>第四章 指导思想、原则、编制依据与建设目标</w:t>
      </w:r>
      <w:r>
        <w:rPr>
          <w:szCs w:val="21"/>
        </w:rPr>
        <w:tab/>
      </w:r>
      <w:r>
        <w:rPr>
          <w:szCs w:val="21"/>
        </w:rPr>
        <w:fldChar w:fldCharType="begin"/>
      </w:r>
      <w:r>
        <w:rPr>
          <w:szCs w:val="21"/>
        </w:rPr>
        <w:instrText xml:space="preserve"> PAGEREF _Toc1455 \h </w:instrText>
      </w:r>
      <w:r>
        <w:rPr>
          <w:szCs w:val="21"/>
        </w:rPr>
        <w:fldChar w:fldCharType="separate"/>
      </w:r>
      <w:r>
        <w:rPr>
          <w:szCs w:val="21"/>
        </w:rPr>
        <w:t>2</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"_Toc30522" </w:instrText>
      </w:r>
      <w:r>
        <w:fldChar w:fldCharType="separate"/>
      </w:r>
      <w:r>
        <w:rPr>
          <w:rFonts w:eastAsia="黑体"/>
          <w:kern w:val="0"/>
          <w:sz w:val="21"/>
          <w:szCs w:val="21"/>
        </w:rPr>
        <w:t>4.1 指导思想</w:t>
      </w:r>
      <w:r>
        <w:rPr>
          <w:sz w:val="21"/>
          <w:szCs w:val="21"/>
        </w:rPr>
        <w:tab/>
      </w:r>
      <w:r>
        <w:rPr>
          <w:sz w:val="21"/>
          <w:szCs w:val="21"/>
        </w:rPr>
        <w:fldChar w:fldCharType="begin"/>
      </w:r>
      <w:r>
        <w:rPr>
          <w:sz w:val="21"/>
          <w:szCs w:val="21"/>
        </w:rPr>
        <w:instrText xml:space="preserve"> PAGEREF _Toc30522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"_Toc8399" </w:instrText>
      </w:r>
      <w:r>
        <w:fldChar w:fldCharType="separate"/>
      </w:r>
      <w:r>
        <w:rPr>
          <w:rFonts w:eastAsia="黑体"/>
          <w:kern w:val="0"/>
          <w:sz w:val="21"/>
          <w:szCs w:val="21"/>
        </w:rPr>
        <w:t>4.2 基本原则</w:t>
      </w:r>
      <w:r>
        <w:rPr>
          <w:sz w:val="21"/>
          <w:szCs w:val="21"/>
        </w:rPr>
        <w:tab/>
      </w:r>
      <w:r>
        <w:rPr>
          <w:sz w:val="21"/>
          <w:szCs w:val="21"/>
        </w:rPr>
        <w:fldChar w:fldCharType="begin"/>
      </w:r>
      <w:r>
        <w:rPr>
          <w:sz w:val="21"/>
          <w:szCs w:val="21"/>
        </w:rPr>
        <w:instrText xml:space="preserve"> PAGEREF _Toc8399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"_Toc21087" </w:instrText>
      </w:r>
      <w:r>
        <w:fldChar w:fldCharType="separate"/>
      </w:r>
      <w:r>
        <w:rPr>
          <w:rFonts w:eastAsia="黑体"/>
          <w:kern w:val="0"/>
          <w:sz w:val="21"/>
          <w:szCs w:val="21"/>
        </w:rPr>
        <w:t>4.3 编制依据</w:t>
      </w:r>
      <w:r>
        <w:rPr>
          <w:sz w:val="21"/>
          <w:szCs w:val="21"/>
        </w:rPr>
        <w:tab/>
      </w:r>
      <w:r>
        <w:rPr>
          <w:sz w:val="21"/>
          <w:szCs w:val="21"/>
        </w:rPr>
        <w:fldChar w:fldCharType="begin"/>
      </w:r>
      <w:r>
        <w:rPr>
          <w:sz w:val="21"/>
          <w:szCs w:val="21"/>
        </w:rPr>
        <w:instrText xml:space="preserve"> PAGEREF _Toc21087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"_Toc30706" </w:instrText>
      </w:r>
      <w:r>
        <w:fldChar w:fldCharType="separate"/>
      </w:r>
      <w:r>
        <w:rPr>
          <w:rFonts w:eastAsia="黑体"/>
          <w:kern w:val="0"/>
          <w:sz w:val="21"/>
          <w:szCs w:val="21"/>
        </w:rPr>
        <w:t>4.4 项目建设目标</w:t>
      </w:r>
      <w:r>
        <w:rPr>
          <w:sz w:val="21"/>
          <w:szCs w:val="21"/>
        </w:rPr>
        <w:tab/>
      </w:r>
      <w:r>
        <w:rPr>
          <w:sz w:val="21"/>
          <w:szCs w:val="21"/>
        </w:rPr>
        <w:fldChar w:fldCharType="begin"/>
      </w:r>
      <w:r>
        <w:rPr>
          <w:sz w:val="21"/>
          <w:szCs w:val="21"/>
        </w:rPr>
        <w:instrText xml:space="preserve"> PAGEREF _Toc30706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13"/>
        <w:tabs>
          <w:tab w:val="right" w:leader="dot" w:pos="8300"/>
        </w:tabs>
        <w:spacing w:line="400" w:lineRule="exact"/>
        <w:ind w:left="0" w:leftChars="0"/>
        <w:rPr>
          <w:szCs w:val="21"/>
        </w:rPr>
      </w:pPr>
      <w:r>
        <w:fldChar w:fldCharType="begin"/>
      </w:r>
      <w:r>
        <w:instrText xml:space="preserve"> HYPERLINK \l "_Toc18661" </w:instrText>
      </w:r>
      <w:r>
        <w:fldChar w:fldCharType="separate"/>
      </w:r>
      <w:r>
        <w:rPr>
          <w:rFonts w:eastAsia="黑体"/>
          <w:kern w:val="0"/>
          <w:szCs w:val="21"/>
        </w:rPr>
        <w:t>第五章 实施森林质量精准提升林分现状</w:t>
      </w:r>
      <w:r>
        <w:rPr>
          <w:szCs w:val="21"/>
        </w:rPr>
        <w:tab/>
      </w:r>
      <w:r>
        <w:rPr>
          <w:szCs w:val="21"/>
        </w:rPr>
        <w:fldChar w:fldCharType="begin"/>
      </w:r>
      <w:r>
        <w:rPr>
          <w:szCs w:val="21"/>
        </w:rPr>
        <w:instrText xml:space="preserve"> PAGEREF _Toc18661 \h </w:instrText>
      </w:r>
      <w:r>
        <w:rPr>
          <w:szCs w:val="21"/>
        </w:rPr>
        <w:fldChar w:fldCharType="separate"/>
      </w:r>
      <w:r>
        <w:rPr>
          <w:szCs w:val="21"/>
        </w:rPr>
        <w:t>2</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"_Toc32695" </w:instrText>
      </w:r>
      <w:r>
        <w:fldChar w:fldCharType="separate"/>
      </w:r>
      <w:r>
        <w:rPr>
          <w:rFonts w:eastAsia="黑体"/>
          <w:kern w:val="0"/>
          <w:sz w:val="21"/>
          <w:szCs w:val="21"/>
        </w:rPr>
        <w:t>5.1 林分基本情况</w:t>
      </w:r>
      <w:r>
        <w:rPr>
          <w:sz w:val="21"/>
          <w:szCs w:val="21"/>
        </w:rPr>
        <w:tab/>
      </w:r>
      <w:r>
        <w:rPr>
          <w:sz w:val="21"/>
          <w:szCs w:val="21"/>
        </w:rPr>
        <w:fldChar w:fldCharType="begin"/>
      </w:r>
      <w:r>
        <w:rPr>
          <w:sz w:val="21"/>
          <w:szCs w:val="21"/>
        </w:rPr>
        <w:instrText xml:space="preserve"> PAGEREF _Toc32695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"_Toc21038" </w:instrText>
      </w:r>
      <w:r>
        <w:fldChar w:fldCharType="separate"/>
      </w:r>
      <w:r>
        <w:rPr>
          <w:rFonts w:eastAsia="黑体"/>
          <w:kern w:val="0"/>
          <w:sz w:val="21"/>
          <w:szCs w:val="21"/>
        </w:rPr>
        <w:t>5.2 林分经营历史</w:t>
      </w:r>
      <w:r>
        <w:rPr>
          <w:sz w:val="21"/>
          <w:szCs w:val="21"/>
        </w:rPr>
        <w:tab/>
      </w:r>
      <w:r>
        <w:rPr>
          <w:sz w:val="21"/>
          <w:szCs w:val="21"/>
        </w:rPr>
        <w:fldChar w:fldCharType="begin"/>
      </w:r>
      <w:r>
        <w:rPr>
          <w:sz w:val="21"/>
          <w:szCs w:val="21"/>
        </w:rPr>
        <w:instrText xml:space="preserve"> PAGEREF _Toc21038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"_Toc23094" </w:instrText>
      </w:r>
      <w:r>
        <w:fldChar w:fldCharType="separate"/>
      </w:r>
      <w:r>
        <w:rPr>
          <w:rFonts w:eastAsia="黑体"/>
          <w:kern w:val="0"/>
          <w:sz w:val="21"/>
          <w:szCs w:val="21"/>
        </w:rPr>
        <w:t>5.3 林分存在主要问题</w:t>
      </w:r>
      <w:r>
        <w:rPr>
          <w:sz w:val="21"/>
          <w:szCs w:val="21"/>
        </w:rPr>
        <w:tab/>
      </w:r>
      <w:r>
        <w:rPr>
          <w:sz w:val="21"/>
          <w:szCs w:val="21"/>
        </w:rPr>
        <w:fldChar w:fldCharType="begin"/>
      </w:r>
      <w:r>
        <w:rPr>
          <w:sz w:val="21"/>
          <w:szCs w:val="21"/>
        </w:rPr>
        <w:instrText xml:space="preserve"> PAGEREF _Toc23094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"_Toc22340" </w:instrText>
      </w:r>
      <w:r>
        <w:fldChar w:fldCharType="separate"/>
      </w:r>
      <w:r>
        <w:rPr>
          <w:rFonts w:eastAsia="黑体"/>
          <w:kern w:val="0"/>
          <w:sz w:val="21"/>
          <w:szCs w:val="21"/>
        </w:rPr>
        <w:t>5.4主要制约因素</w:t>
      </w:r>
      <w:r>
        <w:rPr>
          <w:sz w:val="21"/>
          <w:szCs w:val="21"/>
        </w:rPr>
        <w:tab/>
      </w:r>
      <w:r>
        <w:rPr>
          <w:sz w:val="21"/>
          <w:szCs w:val="21"/>
        </w:rPr>
        <w:fldChar w:fldCharType="begin"/>
      </w:r>
      <w:r>
        <w:rPr>
          <w:sz w:val="21"/>
          <w:szCs w:val="21"/>
        </w:rPr>
        <w:instrText xml:space="preserve"> PAGEREF _Toc22340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13"/>
        <w:tabs>
          <w:tab w:val="right" w:leader="dot" w:pos="8300"/>
        </w:tabs>
        <w:spacing w:line="400" w:lineRule="exact"/>
        <w:ind w:left="0" w:leftChars="0"/>
        <w:rPr>
          <w:szCs w:val="21"/>
        </w:rPr>
      </w:pPr>
      <w:r>
        <w:fldChar w:fldCharType="begin"/>
      </w:r>
      <w:r>
        <w:instrText xml:space="preserve"> HYPERLINK \l "_Toc9817" </w:instrText>
      </w:r>
      <w:r>
        <w:fldChar w:fldCharType="separate"/>
      </w:r>
      <w:r>
        <w:rPr>
          <w:rFonts w:eastAsia="黑体"/>
          <w:kern w:val="0"/>
          <w:szCs w:val="21"/>
        </w:rPr>
        <w:t>第六章 建设方案</w:t>
      </w:r>
      <w:r>
        <w:rPr>
          <w:szCs w:val="21"/>
        </w:rPr>
        <w:tab/>
      </w:r>
      <w:r>
        <w:rPr>
          <w:szCs w:val="21"/>
        </w:rPr>
        <w:fldChar w:fldCharType="begin"/>
      </w:r>
      <w:r>
        <w:rPr>
          <w:szCs w:val="21"/>
        </w:rPr>
        <w:instrText xml:space="preserve"> PAGEREF _Toc9817 \h </w:instrText>
      </w:r>
      <w:r>
        <w:rPr>
          <w:szCs w:val="21"/>
        </w:rPr>
        <w:fldChar w:fldCharType="separate"/>
      </w:r>
      <w:r>
        <w:rPr>
          <w:szCs w:val="21"/>
        </w:rPr>
        <w:t>3</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"_Toc5454" </w:instrText>
      </w:r>
      <w:r>
        <w:fldChar w:fldCharType="separate"/>
      </w:r>
      <w:r>
        <w:rPr>
          <w:rFonts w:eastAsia="黑体"/>
          <w:kern w:val="0"/>
          <w:sz w:val="21"/>
          <w:szCs w:val="21"/>
        </w:rPr>
        <w:t>6.1项目建设布局</w:t>
      </w:r>
      <w:r>
        <w:rPr>
          <w:sz w:val="21"/>
          <w:szCs w:val="21"/>
        </w:rPr>
        <w:tab/>
      </w:r>
      <w:r>
        <w:rPr>
          <w:sz w:val="21"/>
          <w:szCs w:val="21"/>
        </w:rPr>
        <w:fldChar w:fldCharType="begin"/>
      </w:r>
      <w:r>
        <w:rPr>
          <w:sz w:val="21"/>
          <w:szCs w:val="21"/>
        </w:rPr>
        <w:instrText xml:space="preserve"> PAGEREF _Toc5454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"_Toc26372" </w:instrText>
      </w:r>
      <w:r>
        <w:fldChar w:fldCharType="separate"/>
      </w:r>
      <w:r>
        <w:rPr>
          <w:rFonts w:eastAsia="黑体"/>
          <w:kern w:val="0"/>
          <w:sz w:val="21"/>
          <w:szCs w:val="21"/>
        </w:rPr>
        <w:t>6.2经营模式、培育目标和作业法</w:t>
      </w:r>
      <w:r>
        <w:rPr>
          <w:sz w:val="21"/>
          <w:szCs w:val="21"/>
        </w:rPr>
        <w:tab/>
      </w:r>
      <w:r>
        <w:rPr>
          <w:sz w:val="21"/>
          <w:szCs w:val="21"/>
        </w:rPr>
        <w:fldChar w:fldCharType="begin"/>
      </w:r>
      <w:r>
        <w:rPr>
          <w:sz w:val="21"/>
          <w:szCs w:val="21"/>
        </w:rPr>
        <w:instrText xml:space="preserve"> PAGEREF _Toc26372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"_Toc15502" </w:instrText>
      </w:r>
      <w:r>
        <w:fldChar w:fldCharType="separate"/>
      </w:r>
      <w:r>
        <w:rPr>
          <w:rFonts w:eastAsia="黑体"/>
          <w:kern w:val="0"/>
          <w:sz w:val="21"/>
          <w:szCs w:val="21"/>
        </w:rPr>
        <w:t>6.3主要技术措施</w:t>
      </w:r>
      <w:r>
        <w:rPr>
          <w:sz w:val="21"/>
          <w:szCs w:val="21"/>
        </w:rPr>
        <w:tab/>
      </w:r>
      <w:r>
        <w:rPr>
          <w:sz w:val="21"/>
          <w:szCs w:val="21"/>
        </w:rPr>
        <w:fldChar w:fldCharType="begin"/>
      </w:r>
      <w:r>
        <w:rPr>
          <w:sz w:val="21"/>
          <w:szCs w:val="21"/>
        </w:rPr>
        <w:instrText xml:space="preserve"> PAGEREF _Toc15502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"_Toc10399" </w:instrText>
      </w:r>
      <w:r>
        <w:fldChar w:fldCharType="separate"/>
      </w:r>
      <w:r>
        <w:rPr>
          <w:rFonts w:eastAsia="黑体"/>
          <w:kern w:val="0"/>
          <w:sz w:val="21"/>
          <w:szCs w:val="21"/>
        </w:rPr>
        <w:t>6.4项目实施进度安排</w:t>
      </w:r>
      <w:r>
        <w:rPr>
          <w:sz w:val="21"/>
          <w:szCs w:val="21"/>
        </w:rPr>
        <w:tab/>
      </w:r>
      <w:r>
        <w:rPr>
          <w:sz w:val="21"/>
          <w:szCs w:val="21"/>
        </w:rPr>
        <w:fldChar w:fldCharType="begin"/>
      </w:r>
      <w:r>
        <w:rPr>
          <w:sz w:val="21"/>
          <w:szCs w:val="21"/>
        </w:rPr>
        <w:instrText xml:space="preserve"> PAGEREF _Toc10399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13"/>
        <w:tabs>
          <w:tab w:val="right" w:leader="dot" w:pos="8300"/>
        </w:tabs>
        <w:spacing w:line="400" w:lineRule="exact"/>
        <w:ind w:left="0" w:leftChars="0"/>
        <w:rPr>
          <w:szCs w:val="21"/>
        </w:rPr>
      </w:pPr>
      <w:r>
        <w:fldChar w:fldCharType="begin"/>
      </w:r>
      <w:r>
        <w:instrText xml:space="preserve"> HYPERLINK \l "_Toc30802" </w:instrText>
      </w:r>
      <w:r>
        <w:fldChar w:fldCharType="separate"/>
      </w:r>
      <w:r>
        <w:rPr>
          <w:rFonts w:eastAsia="黑体"/>
          <w:kern w:val="0"/>
          <w:szCs w:val="21"/>
        </w:rPr>
        <w:t>第七章 投资估算与资金筹措</w:t>
      </w:r>
      <w:r>
        <w:rPr>
          <w:szCs w:val="21"/>
        </w:rPr>
        <w:tab/>
      </w:r>
      <w:r>
        <w:rPr>
          <w:szCs w:val="21"/>
        </w:rPr>
        <w:fldChar w:fldCharType="begin"/>
      </w:r>
      <w:r>
        <w:rPr>
          <w:szCs w:val="21"/>
        </w:rPr>
        <w:instrText xml:space="preserve"> PAGEREF _Toc30802 \h </w:instrText>
      </w:r>
      <w:r>
        <w:rPr>
          <w:szCs w:val="21"/>
        </w:rPr>
        <w:fldChar w:fldCharType="separate"/>
      </w:r>
      <w:r>
        <w:rPr>
          <w:szCs w:val="21"/>
        </w:rPr>
        <w:t>4</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"_Toc32693" </w:instrText>
      </w:r>
      <w:r>
        <w:fldChar w:fldCharType="separate"/>
      </w:r>
      <w:r>
        <w:rPr>
          <w:rFonts w:eastAsia="黑体"/>
          <w:kern w:val="0"/>
          <w:sz w:val="21"/>
          <w:szCs w:val="21"/>
        </w:rPr>
        <w:t>7.1 投资估算依据</w:t>
      </w:r>
      <w:r>
        <w:rPr>
          <w:sz w:val="21"/>
          <w:szCs w:val="21"/>
        </w:rPr>
        <w:tab/>
      </w:r>
      <w:r>
        <w:rPr>
          <w:sz w:val="21"/>
          <w:szCs w:val="21"/>
        </w:rPr>
        <w:fldChar w:fldCharType="begin"/>
      </w:r>
      <w:r>
        <w:rPr>
          <w:sz w:val="21"/>
          <w:szCs w:val="21"/>
        </w:rPr>
        <w:instrText xml:space="preserve"> PAGEREF _Toc32693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"_Toc12169" </w:instrText>
      </w:r>
      <w:r>
        <w:fldChar w:fldCharType="separate"/>
      </w:r>
      <w:r>
        <w:rPr>
          <w:rFonts w:eastAsia="黑体"/>
          <w:kern w:val="0"/>
          <w:sz w:val="21"/>
          <w:szCs w:val="21"/>
        </w:rPr>
        <w:t>7.2 投资估算范围</w:t>
      </w:r>
      <w:r>
        <w:rPr>
          <w:sz w:val="21"/>
          <w:szCs w:val="21"/>
        </w:rPr>
        <w:tab/>
      </w:r>
      <w:r>
        <w:rPr>
          <w:sz w:val="21"/>
          <w:szCs w:val="21"/>
        </w:rPr>
        <w:fldChar w:fldCharType="begin"/>
      </w:r>
      <w:r>
        <w:rPr>
          <w:sz w:val="21"/>
          <w:szCs w:val="21"/>
        </w:rPr>
        <w:instrText xml:space="preserve"> PAGEREF _Toc12169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"_Toc4550" </w:instrText>
      </w:r>
      <w:r>
        <w:fldChar w:fldCharType="separate"/>
      </w:r>
      <w:r>
        <w:rPr>
          <w:rFonts w:eastAsia="黑体"/>
          <w:kern w:val="0"/>
          <w:sz w:val="21"/>
          <w:szCs w:val="21"/>
        </w:rPr>
        <w:t>7.3 主要指标</w:t>
      </w:r>
      <w:r>
        <w:rPr>
          <w:sz w:val="21"/>
          <w:szCs w:val="21"/>
        </w:rPr>
        <w:tab/>
      </w:r>
      <w:r>
        <w:rPr>
          <w:sz w:val="21"/>
          <w:szCs w:val="21"/>
        </w:rPr>
        <w:fldChar w:fldCharType="begin"/>
      </w:r>
      <w:r>
        <w:rPr>
          <w:sz w:val="21"/>
          <w:szCs w:val="21"/>
        </w:rPr>
        <w:instrText xml:space="preserve"> PAGEREF _Toc4550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"_Toc9824" </w:instrText>
      </w:r>
      <w:r>
        <w:fldChar w:fldCharType="separate"/>
      </w:r>
      <w:r>
        <w:rPr>
          <w:rFonts w:eastAsia="黑体"/>
          <w:kern w:val="0"/>
          <w:sz w:val="21"/>
          <w:szCs w:val="21"/>
        </w:rPr>
        <w:t>7.4 投资估算</w:t>
      </w:r>
      <w:r>
        <w:rPr>
          <w:sz w:val="21"/>
          <w:szCs w:val="21"/>
        </w:rPr>
        <w:tab/>
      </w:r>
      <w:r>
        <w:rPr>
          <w:sz w:val="21"/>
          <w:szCs w:val="21"/>
        </w:rPr>
        <w:fldChar w:fldCharType="begin"/>
      </w:r>
      <w:r>
        <w:rPr>
          <w:sz w:val="21"/>
          <w:szCs w:val="21"/>
        </w:rPr>
        <w:instrText xml:space="preserve"> PAGEREF _Toc9824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"_Toc12521" </w:instrText>
      </w:r>
      <w:r>
        <w:fldChar w:fldCharType="separate"/>
      </w:r>
      <w:r>
        <w:rPr>
          <w:rFonts w:eastAsia="黑体"/>
          <w:kern w:val="0"/>
          <w:sz w:val="21"/>
          <w:szCs w:val="21"/>
        </w:rPr>
        <w:t>7.5 资金筹措</w:t>
      </w:r>
      <w:r>
        <w:rPr>
          <w:sz w:val="21"/>
          <w:szCs w:val="21"/>
        </w:rPr>
        <w:tab/>
      </w:r>
      <w:r>
        <w:rPr>
          <w:sz w:val="21"/>
          <w:szCs w:val="21"/>
        </w:rPr>
        <w:fldChar w:fldCharType="begin"/>
      </w:r>
      <w:r>
        <w:rPr>
          <w:sz w:val="21"/>
          <w:szCs w:val="21"/>
        </w:rPr>
        <w:instrText xml:space="preserve"> PAGEREF _Toc12521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13"/>
        <w:tabs>
          <w:tab w:val="right" w:leader="dot" w:pos="8300"/>
        </w:tabs>
        <w:spacing w:line="400" w:lineRule="exact"/>
        <w:ind w:left="0" w:leftChars="0"/>
        <w:rPr>
          <w:szCs w:val="21"/>
        </w:rPr>
      </w:pPr>
      <w:r>
        <w:fldChar w:fldCharType="begin"/>
      </w:r>
      <w:r>
        <w:instrText xml:space="preserve"> HYPERLINK \l "_Toc19026" </w:instrText>
      </w:r>
      <w:r>
        <w:fldChar w:fldCharType="separate"/>
      </w:r>
      <w:r>
        <w:rPr>
          <w:rFonts w:eastAsia="黑体"/>
          <w:kern w:val="0"/>
          <w:szCs w:val="21"/>
        </w:rPr>
        <w:t>第八章 效益分析</w:t>
      </w:r>
      <w:r>
        <w:rPr>
          <w:szCs w:val="21"/>
        </w:rPr>
        <w:tab/>
      </w:r>
      <w:r>
        <w:rPr>
          <w:szCs w:val="21"/>
        </w:rPr>
        <w:fldChar w:fldCharType="begin"/>
      </w:r>
      <w:r>
        <w:rPr>
          <w:szCs w:val="21"/>
        </w:rPr>
        <w:instrText xml:space="preserve"> PAGEREF _Toc19026 \h </w:instrText>
      </w:r>
      <w:r>
        <w:rPr>
          <w:szCs w:val="21"/>
        </w:rPr>
        <w:fldChar w:fldCharType="separate"/>
      </w:r>
      <w:r>
        <w:rPr>
          <w:szCs w:val="21"/>
        </w:rPr>
        <w:t>5</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"_Toc5305" </w:instrText>
      </w:r>
      <w:r>
        <w:fldChar w:fldCharType="separate"/>
      </w:r>
      <w:r>
        <w:rPr>
          <w:rFonts w:eastAsia="黑体"/>
          <w:kern w:val="0"/>
          <w:sz w:val="21"/>
          <w:szCs w:val="21"/>
        </w:rPr>
        <w:t>8.1 生态效益</w:t>
      </w:r>
      <w:r>
        <w:rPr>
          <w:sz w:val="21"/>
          <w:szCs w:val="21"/>
        </w:rPr>
        <w:tab/>
      </w:r>
      <w:r>
        <w:rPr>
          <w:sz w:val="21"/>
          <w:szCs w:val="21"/>
        </w:rPr>
        <w:fldChar w:fldCharType="begin"/>
      </w:r>
      <w:r>
        <w:rPr>
          <w:sz w:val="21"/>
          <w:szCs w:val="21"/>
        </w:rPr>
        <w:instrText xml:space="preserve"> PAGEREF _Toc5305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"_Toc27790" </w:instrText>
      </w:r>
      <w:r>
        <w:fldChar w:fldCharType="separate"/>
      </w:r>
      <w:r>
        <w:rPr>
          <w:rFonts w:eastAsia="黑体"/>
          <w:kern w:val="0"/>
          <w:sz w:val="21"/>
          <w:szCs w:val="21"/>
        </w:rPr>
        <w:t>8.2 社会效益</w:t>
      </w:r>
      <w:r>
        <w:rPr>
          <w:sz w:val="21"/>
          <w:szCs w:val="21"/>
        </w:rPr>
        <w:tab/>
      </w:r>
      <w:r>
        <w:rPr>
          <w:sz w:val="21"/>
          <w:szCs w:val="21"/>
        </w:rPr>
        <w:fldChar w:fldCharType="begin"/>
      </w:r>
      <w:r>
        <w:rPr>
          <w:sz w:val="21"/>
          <w:szCs w:val="21"/>
        </w:rPr>
        <w:instrText xml:space="preserve"> PAGEREF _Toc27790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"_Toc3875" </w:instrText>
      </w:r>
      <w:r>
        <w:fldChar w:fldCharType="separate"/>
      </w:r>
      <w:r>
        <w:rPr>
          <w:rFonts w:eastAsia="黑体"/>
          <w:kern w:val="0"/>
          <w:sz w:val="21"/>
          <w:szCs w:val="21"/>
        </w:rPr>
        <w:t>8.3 经济效益</w:t>
      </w:r>
      <w:r>
        <w:rPr>
          <w:sz w:val="21"/>
          <w:szCs w:val="21"/>
        </w:rPr>
        <w:tab/>
      </w:r>
      <w:r>
        <w:rPr>
          <w:sz w:val="21"/>
          <w:szCs w:val="21"/>
        </w:rPr>
        <w:fldChar w:fldCharType="begin"/>
      </w:r>
      <w:r>
        <w:rPr>
          <w:sz w:val="21"/>
          <w:szCs w:val="21"/>
        </w:rPr>
        <w:instrText xml:space="preserve"> PAGEREF _Toc3875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13"/>
        <w:tabs>
          <w:tab w:val="right" w:leader="dot" w:pos="8300"/>
        </w:tabs>
        <w:spacing w:line="400" w:lineRule="exact"/>
        <w:ind w:left="0" w:leftChars="0"/>
        <w:rPr>
          <w:szCs w:val="21"/>
        </w:rPr>
      </w:pPr>
      <w:r>
        <w:fldChar w:fldCharType="begin"/>
      </w:r>
      <w:r>
        <w:instrText xml:space="preserve"> HYPERLINK \l "_Toc31646" </w:instrText>
      </w:r>
      <w:r>
        <w:fldChar w:fldCharType="separate"/>
      </w:r>
      <w:r>
        <w:rPr>
          <w:rFonts w:eastAsia="黑体"/>
          <w:kern w:val="0"/>
          <w:szCs w:val="21"/>
        </w:rPr>
        <w:t>第九章 保障措施</w:t>
      </w:r>
      <w:r>
        <w:rPr>
          <w:szCs w:val="21"/>
        </w:rPr>
        <w:tab/>
      </w:r>
      <w:r>
        <w:rPr>
          <w:szCs w:val="21"/>
        </w:rPr>
        <w:fldChar w:fldCharType="begin"/>
      </w:r>
      <w:r>
        <w:rPr>
          <w:szCs w:val="21"/>
        </w:rPr>
        <w:instrText xml:space="preserve"> PAGEREF _Toc31646 \h </w:instrText>
      </w:r>
      <w:r>
        <w:rPr>
          <w:szCs w:val="21"/>
        </w:rPr>
        <w:fldChar w:fldCharType="separate"/>
      </w:r>
      <w:r>
        <w:rPr>
          <w:szCs w:val="21"/>
        </w:rPr>
        <w:t>5</w:t>
      </w:r>
      <w:r>
        <w:rPr>
          <w:szCs w:val="21"/>
        </w:rPr>
        <w:fldChar w:fldCharType="end"/>
      </w:r>
      <w:r>
        <w:rPr>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"_Toc557" </w:instrText>
      </w:r>
      <w:r>
        <w:fldChar w:fldCharType="separate"/>
      </w:r>
      <w:r>
        <w:rPr>
          <w:rFonts w:eastAsia="黑体"/>
          <w:kern w:val="0"/>
          <w:sz w:val="21"/>
          <w:szCs w:val="21"/>
        </w:rPr>
        <w:t>9.1 组织保障</w:t>
      </w:r>
      <w:r>
        <w:rPr>
          <w:sz w:val="21"/>
          <w:szCs w:val="21"/>
        </w:rPr>
        <w:tab/>
      </w:r>
      <w:r>
        <w:rPr>
          <w:sz w:val="21"/>
          <w:szCs w:val="21"/>
        </w:rPr>
        <w:fldChar w:fldCharType="begin"/>
      </w:r>
      <w:r>
        <w:rPr>
          <w:sz w:val="21"/>
          <w:szCs w:val="21"/>
        </w:rPr>
        <w:instrText xml:space="preserve"> PAGEREF _Toc557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"_Toc28781" </w:instrText>
      </w:r>
      <w:r>
        <w:fldChar w:fldCharType="separate"/>
      </w:r>
      <w:r>
        <w:rPr>
          <w:rFonts w:eastAsia="黑体"/>
          <w:kern w:val="0"/>
          <w:sz w:val="21"/>
          <w:szCs w:val="21"/>
        </w:rPr>
        <w:t>9.2 政策保障</w:t>
      </w:r>
      <w:r>
        <w:rPr>
          <w:sz w:val="21"/>
          <w:szCs w:val="21"/>
        </w:rPr>
        <w:tab/>
      </w:r>
      <w:r>
        <w:rPr>
          <w:sz w:val="21"/>
          <w:szCs w:val="21"/>
        </w:rPr>
        <w:fldChar w:fldCharType="begin"/>
      </w:r>
      <w:r>
        <w:rPr>
          <w:sz w:val="21"/>
          <w:szCs w:val="21"/>
        </w:rPr>
        <w:instrText xml:space="preserve"> PAGEREF _Toc28781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"_Toc11795" </w:instrText>
      </w:r>
      <w:r>
        <w:fldChar w:fldCharType="separate"/>
      </w:r>
      <w:r>
        <w:rPr>
          <w:rFonts w:eastAsia="黑体"/>
          <w:kern w:val="0"/>
          <w:sz w:val="21"/>
          <w:szCs w:val="21"/>
        </w:rPr>
        <w:t>9.3 资金保障</w:t>
      </w:r>
      <w:r>
        <w:rPr>
          <w:sz w:val="21"/>
          <w:szCs w:val="21"/>
        </w:rPr>
        <w:tab/>
      </w:r>
      <w:r>
        <w:rPr>
          <w:sz w:val="21"/>
          <w:szCs w:val="21"/>
        </w:rPr>
        <w:fldChar w:fldCharType="begin"/>
      </w:r>
      <w:r>
        <w:rPr>
          <w:sz w:val="21"/>
          <w:szCs w:val="21"/>
        </w:rPr>
        <w:instrText xml:space="preserve"> PAGEREF _Toc11795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"_Toc29022" </w:instrText>
      </w:r>
      <w:r>
        <w:fldChar w:fldCharType="separate"/>
      </w:r>
      <w:r>
        <w:rPr>
          <w:rFonts w:eastAsia="黑体"/>
          <w:kern w:val="0"/>
          <w:sz w:val="21"/>
          <w:szCs w:val="21"/>
        </w:rPr>
        <w:t>9.4 技术保障</w:t>
      </w:r>
      <w:r>
        <w:rPr>
          <w:sz w:val="21"/>
          <w:szCs w:val="21"/>
        </w:rPr>
        <w:tab/>
      </w:r>
      <w:r>
        <w:rPr>
          <w:sz w:val="21"/>
          <w:szCs w:val="21"/>
        </w:rPr>
        <w:fldChar w:fldCharType="begin"/>
      </w:r>
      <w:r>
        <w:rPr>
          <w:sz w:val="21"/>
          <w:szCs w:val="21"/>
        </w:rPr>
        <w:instrText xml:space="preserve"> PAGEREF _Toc29022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7"/>
        <w:tabs>
          <w:tab w:val="right" w:leader="dot" w:pos="8300"/>
        </w:tabs>
        <w:spacing w:line="400" w:lineRule="exact"/>
        <w:ind w:left="0" w:leftChars="0" w:firstLine="480" w:firstLineChars="200"/>
        <w:rPr>
          <w:sz w:val="21"/>
          <w:szCs w:val="21"/>
        </w:rPr>
      </w:pPr>
      <w:r>
        <w:fldChar w:fldCharType="begin"/>
      </w:r>
      <w:r>
        <w:instrText xml:space="preserve"> HYPERLINK \l "_Toc12920" </w:instrText>
      </w:r>
      <w:r>
        <w:fldChar w:fldCharType="separate"/>
      </w:r>
      <w:r>
        <w:rPr>
          <w:rFonts w:eastAsia="黑体"/>
          <w:kern w:val="0"/>
          <w:sz w:val="21"/>
          <w:szCs w:val="21"/>
        </w:rPr>
        <w:t>9.5 质量保障</w:t>
      </w:r>
      <w:r>
        <w:rPr>
          <w:sz w:val="21"/>
          <w:szCs w:val="21"/>
        </w:rPr>
        <w:tab/>
      </w:r>
      <w:r>
        <w:rPr>
          <w:sz w:val="21"/>
          <w:szCs w:val="21"/>
        </w:rPr>
        <w:fldChar w:fldCharType="begin"/>
      </w:r>
      <w:r>
        <w:rPr>
          <w:sz w:val="21"/>
          <w:szCs w:val="21"/>
        </w:rPr>
        <w:instrText xml:space="preserve"> PAGEREF _Toc12920 \h </w:instrText>
      </w:r>
      <w:r>
        <w:rPr>
          <w:sz w:val="21"/>
          <w:szCs w:val="21"/>
        </w:rPr>
        <w:fldChar w:fldCharType="separate"/>
      </w:r>
      <w:r>
        <w:rPr>
          <w:sz w:val="21"/>
          <w:szCs w:val="21"/>
        </w:rPr>
        <w:t>5</w:t>
      </w:r>
      <w:r>
        <w:rPr>
          <w:sz w:val="21"/>
          <w:szCs w:val="21"/>
        </w:rPr>
        <w:fldChar w:fldCharType="end"/>
      </w:r>
      <w:r>
        <w:rPr>
          <w:sz w:val="21"/>
          <w:szCs w:val="21"/>
        </w:rPr>
        <w:fldChar w:fldCharType="end"/>
      </w:r>
    </w:p>
    <w:p>
      <w:pPr>
        <w:spacing w:line="400" w:lineRule="exact"/>
        <w:jc w:val="left"/>
        <w:rPr>
          <w:bCs/>
          <w:sz w:val="21"/>
          <w:szCs w:val="21"/>
        </w:rPr>
      </w:pPr>
      <w:r>
        <w:rPr>
          <w:bCs/>
          <w:sz w:val="21"/>
          <w:szCs w:val="21"/>
        </w:rPr>
        <w:fldChar w:fldCharType="end"/>
      </w:r>
    </w:p>
    <w:p>
      <w:pPr>
        <w:spacing w:line="400" w:lineRule="exact"/>
        <w:jc w:val="left"/>
        <w:rPr>
          <w:rFonts w:eastAsia="黑体"/>
          <w:sz w:val="21"/>
          <w:szCs w:val="21"/>
        </w:rPr>
      </w:pPr>
      <w:r>
        <w:rPr>
          <w:rFonts w:eastAsia="黑体"/>
          <w:sz w:val="21"/>
          <w:szCs w:val="21"/>
        </w:rPr>
        <w:t>附表：</w:t>
      </w:r>
    </w:p>
    <w:p>
      <w:pPr>
        <w:spacing w:line="400" w:lineRule="exact"/>
        <w:ind w:left="480" w:leftChars="200"/>
        <w:rPr>
          <w:rFonts w:eastAsia="黑体"/>
          <w:sz w:val="21"/>
          <w:szCs w:val="21"/>
        </w:rPr>
      </w:pPr>
      <w:r>
        <w:rPr>
          <w:rFonts w:eastAsia="黑体"/>
          <w:sz w:val="21"/>
          <w:szCs w:val="21"/>
        </w:rPr>
        <w:t>附表1：湖南省XX县XX林场（乡镇）XX年森林质量精准提升工程小班现状一览表</w:t>
      </w:r>
    </w:p>
    <w:p>
      <w:pPr>
        <w:spacing w:line="400" w:lineRule="exact"/>
        <w:ind w:left="480" w:leftChars="200"/>
        <w:rPr>
          <w:rFonts w:eastAsia="黑体"/>
          <w:sz w:val="21"/>
          <w:szCs w:val="21"/>
        </w:rPr>
      </w:pPr>
      <w:r>
        <w:rPr>
          <w:rFonts w:eastAsia="黑体"/>
          <w:sz w:val="21"/>
          <w:szCs w:val="21"/>
        </w:rPr>
        <w:t>附表2：湖南省XX县XX林场（乡镇）XX年森林质量精准提升工程统计表</w:t>
      </w:r>
    </w:p>
    <w:p>
      <w:pPr>
        <w:spacing w:line="400" w:lineRule="exact"/>
        <w:ind w:left="480" w:leftChars="200"/>
        <w:rPr>
          <w:rFonts w:eastAsia="黑体"/>
          <w:sz w:val="21"/>
          <w:szCs w:val="21"/>
        </w:rPr>
      </w:pPr>
      <w:r>
        <w:rPr>
          <w:rFonts w:eastAsia="黑体"/>
          <w:sz w:val="21"/>
          <w:szCs w:val="21"/>
        </w:rPr>
        <w:t>附表3：湖南省XX县XX林场（乡镇）XX年森林质量精准提升工程投资估算表</w:t>
      </w:r>
    </w:p>
    <w:p>
      <w:pPr>
        <w:spacing w:line="400" w:lineRule="exact"/>
        <w:ind w:left="480" w:leftChars="200"/>
        <w:rPr>
          <w:rFonts w:eastAsia="黑体"/>
          <w:sz w:val="21"/>
          <w:szCs w:val="21"/>
        </w:rPr>
      </w:pPr>
      <w:r>
        <w:rPr>
          <w:rFonts w:eastAsia="黑体"/>
          <w:sz w:val="21"/>
          <w:szCs w:val="21"/>
        </w:rPr>
        <w:t>附表4：湖南省XX县XX林场（乡镇）XX年森林质量精准提升工程资金筹措表</w:t>
      </w:r>
    </w:p>
    <w:p>
      <w:pPr>
        <w:autoSpaceDE w:val="0"/>
        <w:autoSpaceDN w:val="0"/>
        <w:adjustRightInd w:val="0"/>
        <w:spacing w:line="400" w:lineRule="exact"/>
        <w:ind w:firstLine="420" w:firstLineChars="200"/>
        <w:jc w:val="left"/>
        <w:rPr>
          <w:rFonts w:eastAsia="黑体"/>
          <w:i/>
          <w:kern w:val="0"/>
          <w:sz w:val="21"/>
          <w:szCs w:val="21"/>
        </w:rPr>
      </w:pPr>
      <w:r>
        <w:rPr>
          <w:rFonts w:eastAsia="黑体"/>
          <w:i/>
          <w:kern w:val="0"/>
          <w:sz w:val="21"/>
          <w:szCs w:val="21"/>
        </w:rPr>
        <w:t>（文本与附表中的公顷、厘米、米、立方米、百分比等单位保留1位小数。苗木以“株”为单位的保留整数，苗木以“万株”为单位的保留2位小数。元保留一位小数，万元保留两位小数。）</w:t>
      </w:r>
    </w:p>
    <w:p>
      <w:pPr>
        <w:spacing w:line="400" w:lineRule="exact"/>
        <w:ind w:left="480" w:leftChars="200"/>
        <w:rPr>
          <w:sz w:val="28"/>
          <w:szCs w:val="28"/>
        </w:rPr>
      </w:pPr>
    </w:p>
    <w:p>
      <w:pPr>
        <w:spacing w:line="400" w:lineRule="exact"/>
        <w:jc w:val="left"/>
        <w:rPr>
          <w:rFonts w:eastAsia="黑体"/>
          <w:sz w:val="21"/>
          <w:szCs w:val="21"/>
        </w:rPr>
      </w:pPr>
      <w:r>
        <w:rPr>
          <w:rFonts w:eastAsia="黑体"/>
          <w:sz w:val="21"/>
          <w:szCs w:val="21"/>
        </w:rPr>
        <w:t>附图：</w:t>
      </w:r>
    </w:p>
    <w:bookmarkEnd w:id="264"/>
    <w:p>
      <w:pPr>
        <w:spacing w:line="400" w:lineRule="exact"/>
        <w:ind w:left="480" w:leftChars="200"/>
        <w:rPr>
          <w:rFonts w:eastAsia="黑体"/>
          <w:sz w:val="21"/>
          <w:szCs w:val="21"/>
        </w:rPr>
      </w:pPr>
      <w:bookmarkStart w:id="265" w:name="_Toc524966316"/>
      <w:r>
        <w:rPr>
          <w:rFonts w:eastAsia="黑体"/>
          <w:sz w:val="21"/>
          <w:szCs w:val="21"/>
        </w:rPr>
        <w:t>1、湖南省XX县XX林场（乡镇）XX年森林质量精准提升工程位置图</w:t>
      </w:r>
    </w:p>
    <w:p>
      <w:pPr>
        <w:spacing w:line="400" w:lineRule="exact"/>
        <w:ind w:left="480" w:leftChars="200"/>
        <w:rPr>
          <w:rFonts w:eastAsia="黑体"/>
          <w:sz w:val="21"/>
          <w:szCs w:val="21"/>
        </w:rPr>
      </w:pPr>
      <w:r>
        <w:rPr>
          <w:rFonts w:eastAsia="黑体"/>
          <w:sz w:val="21"/>
          <w:szCs w:val="21"/>
        </w:rPr>
        <w:t>2、湖南省XX县XX林场（乡镇）XX年森林质量精准提升工程小班规划图</w:t>
      </w:r>
      <w:bookmarkEnd w:id="265"/>
    </w:p>
    <w:p>
      <w:pPr>
        <w:spacing w:line="400" w:lineRule="exact"/>
        <w:jc w:val="left"/>
        <w:rPr>
          <w:rFonts w:eastAsia="黑体"/>
          <w:sz w:val="21"/>
          <w:szCs w:val="21"/>
        </w:rPr>
      </w:pPr>
      <w:bookmarkStart w:id="266" w:name="_Toc524966319"/>
      <w:r>
        <w:rPr>
          <w:rFonts w:eastAsia="黑体"/>
          <w:sz w:val="21"/>
          <w:szCs w:val="21"/>
        </w:rPr>
        <w:t>附件：</w:t>
      </w:r>
    </w:p>
    <w:p>
      <w:pPr>
        <w:spacing w:line="400" w:lineRule="exact"/>
        <w:ind w:left="480" w:leftChars="200"/>
        <w:rPr>
          <w:rFonts w:eastAsia="黑体"/>
          <w:sz w:val="21"/>
          <w:szCs w:val="21"/>
        </w:rPr>
      </w:pPr>
      <w:r>
        <w:rPr>
          <w:rFonts w:eastAsia="黑体"/>
          <w:sz w:val="21"/>
          <w:szCs w:val="21"/>
        </w:rPr>
        <w:t>相关文件</w:t>
      </w:r>
      <w:bookmarkEnd w:id="266"/>
    </w:p>
    <w:p>
      <w:pPr>
        <w:spacing w:beforeLines="50" w:line="400" w:lineRule="exact"/>
        <w:jc w:val="center"/>
        <w:rPr>
          <w:rFonts w:eastAsia="黑体"/>
          <w:bCs/>
          <w:sz w:val="21"/>
          <w:szCs w:val="21"/>
        </w:rPr>
        <w:sectPr>
          <w:footerReference r:id="rId7" w:type="default"/>
          <w:pgSz w:w="11906" w:h="16838"/>
          <w:pgMar w:top="1440" w:right="1803" w:bottom="1440" w:left="1803" w:header="851" w:footer="992" w:gutter="0"/>
          <w:pgNumType w:start="1"/>
          <w:cols w:space="0" w:num="1"/>
          <w:docGrid w:type="lines" w:linePitch="312" w:charSpace="0"/>
        </w:sectPr>
      </w:pPr>
      <w:bookmarkStart w:id="267" w:name="_Toc23514"/>
    </w:p>
    <w:bookmarkEnd w:id="267"/>
    <w:p>
      <w:pPr>
        <w:spacing w:line="360" w:lineRule="auto"/>
        <w:jc w:val="center"/>
        <w:outlineLvl w:val="1"/>
        <w:rPr>
          <w:rFonts w:eastAsia="黑体"/>
          <w:kern w:val="0"/>
          <w:sz w:val="30"/>
          <w:szCs w:val="30"/>
        </w:rPr>
      </w:pPr>
      <w:bookmarkStart w:id="268" w:name="_Toc9645"/>
      <w:bookmarkStart w:id="269" w:name="_Toc12121"/>
      <w:bookmarkStart w:id="270" w:name="_Toc1197"/>
      <w:bookmarkStart w:id="271" w:name="_Toc32354"/>
      <w:bookmarkStart w:id="272" w:name="_Toc374002351"/>
      <w:bookmarkStart w:id="273" w:name="_Toc436658101"/>
      <w:bookmarkStart w:id="274" w:name="_Toc436676883"/>
      <w:bookmarkStart w:id="275" w:name="_Toc436671233"/>
      <w:r>
        <w:rPr>
          <w:rFonts w:eastAsia="黑体"/>
          <w:kern w:val="0"/>
          <w:sz w:val="30"/>
          <w:szCs w:val="30"/>
        </w:rPr>
        <w:t>第一章 总 论</w:t>
      </w:r>
      <w:bookmarkEnd w:id="268"/>
      <w:bookmarkEnd w:id="269"/>
      <w:bookmarkEnd w:id="270"/>
      <w:bookmarkEnd w:id="271"/>
    </w:p>
    <w:p>
      <w:pPr>
        <w:spacing w:line="360" w:lineRule="auto"/>
        <w:outlineLvl w:val="2"/>
        <w:rPr>
          <w:rFonts w:eastAsia="黑体"/>
          <w:kern w:val="0"/>
          <w:sz w:val="28"/>
          <w:szCs w:val="28"/>
        </w:rPr>
      </w:pPr>
      <w:bookmarkStart w:id="276" w:name="_Toc25786"/>
      <w:bookmarkStart w:id="277" w:name="_Toc13732"/>
      <w:r>
        <w:rPr>
          <w:rFonts w:eastAsia="黑体"/>
          <w:kern w:val="0"/>
          <w:sz w:val="28"/>
          <w:szCs w:val="28"/>
        </w:rPr>
        <w:t>1.1 项目名称</w:t>
      </w:r>
      <w:bookmarkEnd w:id="276"/>
      <w:bookmarkEnd w:id="277"/>
    </w:p>
    <w:p>
      <w:pPr>
        <w:spacing w:line="360" w:lineRule="auto"/>
        <w:ind w:firstLine="480" w:firstLineChars="200"/>
        <w:rPr>
          <w:szCs w:val="24"/>
        </w:rPr>
      </w:pPr>
      <w:r>
        <w:rPr>
          <w:szCs w:val="24"/>
        </w:rPr>
        <w:t>湖南省XX县XX林场（乡镇）XX年森林质量精准提升工程项目。</w:t>
      </w:r>
    </w:p>
    <w:p>
      <w:pPr>
        <w:spacing w:line="360" w:lineRule="auto"/>
        <w:outlineLvl w:val="2"/>
        <w:rPr>
          <w:rFonts w:eastAsia="黑体"/>
          <w:kern w:val="0"/>
          <w:sz w:val="28"/>
          <w:szCs w:val="28"/>
        </w:rPr>
      </w:pPr>
      <w:bookmarkStart w:id="278" w:name="_Toc9659"/>
      <w:bookmarkStart w:id="279" w:name="_Toc20346"/>
      <w:r>
        <w:rPr>
          <w:rFonts w:eastAsia="黑体"/>
          <w:kern w:val="0"/>
          <w:sz w:val="28"/>
          <w:szCs w:val="28"/>
        </w:rPr>
        <w:t>1.2 项目建设实施单位及实施地点</w:t>
      </w:r>
      <w:bookmarkEnd w:id="278"/>
      <w:bookmarkEnd w:id="279"/>
    </w:p>
    <w:p>
      <w:pPr>
        <w:spacing w:line="360" w:lineRule="auto"/>
        <w:ind w:firstLine="480" w:firstLineChars="200"/>
        <w:rPr>
          <w:szCs w:val="24"/>
        </w:rPr>
      </w:pPr>
      <w:r>
        <w:rPr>
          <w:szCs w:val="24"/>
        </w:rPr>
        <w:t>项目建设实施单位为XX县XX林场（乡镇），实施地点位于XX县XX林场XXX工区。</w:t>
      </w:r>
    </w:p>
    <w:p>
      <w:pPr>
        <w:spacing w:line="360" w:lineRule="auto"/>
        <w:outlineLvl w:val="2"/>
        <w:rPr>
          <w:rFonts w:eastAsia="黑体"/>
          <w:kern w:val="0"/>
          <w:sz w:val="28"/>
          <w:szCs w:val="28"/>
        </w:rPr>
      </w:pPr>
      <w:bookmarkStart w:id="280" w:name="_Toc15622"/>
      <w:bookmarkStart w:id="281" w:name="_Toc5653"/>
      <w:r>
        <w:rPr>
          <w:rFonts w:eastAsia="黑体"/>
          <w:kern w:val="0"/>
          <w:sz w:val="28"/>
          <w:szCs w:val="28"/>
        </w:rPr>
        <w:t>1.3 编制目的</w:t>
      </w:r>
      <w:bookmarkEnd w:id="280"/>
      <w:bookmarkEnd w:id="281"/>
    </w:p>
    <w:p>
      <w:pPr>
        <w:spacing w:line="360" w:lineRule="auto"/>
        <w:ind w:firstLine="480" w:firstLineChars="200"/>
        <w:rPr>
          <w:szCs w:val="24"/>
        </w:rPr>
      </w:pPr>
      <w:r>
        <w:rPr>
          <w:szCs w:val="24"/>
        </w:rPr>
        <w:t>森林质量精准提升的主要目的是解决国有林过密过纯的问题，由人工纯林向异龄复层混交林转变，由单一的木材生产经营向森林多功能近自然经营转变，有效遏制人工林退化，恢复增强生态屏障防护功能，全面提升森林质量，达到可持续经营与利用。</w:t>
      </w:r>
    </w:p>
    <w:p>
      <w:pPr>
        <w:spacing w:line="360" w:lineRule="auto"/>
        <w:outlineLvl w:val="2"/>
        <w:rPr>
          <w:rFonts w:eastAsia="黑体"/>
          <w:kern w:val="0"/>
          <w:sz w:val="28"/>
          <w:szCs w:val="28"/>
        </w:rPr>
      </w:pPr>
      <w:bookmarkStart w:id="282" w:name="_Toc16297"/>
      <w:bookmarkStart w:id="283" w:name="_Toc15511"/>
      <w:r>
        <w:rPr>
          <w:rFonts w:eastAsia="黑体"/>
          <w:kern w:val="0"/>
          <w:sz w:val="28"/>
          <w:szCs w:val="28"/>
        </w:rPr>
        <w:t>1.4 建设规模与主要建设内容</w:t>
      </w:r>
      <w:bookmarkEnd w:id="282"/>
      <w:bookmarkEnd w:id="283"/>
    </w:p>
    <w:p>
      <w:pPr>
        <w:spacing w:line="360" w:lineRule="auto"/>
        <w:ind w:firstLine="480" w:firstLineChars="200"/>
        <w:rPr>
          <w:szCs w:val="24"/>
        </w:rPr>
      </w:pPr>
      <w:r>
        <w:rPr>
          <w:szCs w:val="24"/>
        </w:rPr>
        <w:t>建设规模：项目建设规模为XXXX亩。</w:t>
      </w:r>
    </w:p>
    <w:p>
      <w:pPr>
        <w:spacing w:line="360" w:lineRule="auto"/>
        <w:ind w:firstLine="480" w:firstLineChars="200"/>
        <w:rPr>
          <w:szCs w:val="24"/>
        </w:rPr>
      </w:pPr>
      <w:r>
        <w:rPr>
          <w:szCs w:val="24"/>
        </w:rPr>
        <w:t>建设内容：包括林地清理、间伐抚育、补植补造、培蔸抚育…等。</w:t>
      </w:r>
    </w:p>
    <w:p>
      <w:pPr>
        <w:spacing w:line="360" w:lineRule="auto"/>
        <w:outlineLvl w:val="2"/>
        <w:rPr>
          <w:rFonts w:eastAsia="黑体"/>
          <w:kern w:val="0"/>
          <w:sz w:val="28"/>
          <w:szCs w:val="28"/>
        </w:rPr>
      </w:pPr>
      <w:bookmarkStart w:id="284" w:name="_Toc30222"/>
      <w:bookmarkStart w:id="285" w:name="_Toc6106"/>
      <w:r>
        <w:rPr>
          <w:rFonts w:eastAsia="黑体"/>
          <w:kern w:val="0"/>
          <w:sz w:val="28"/>
          <w:szCs w:val="28"/>
        </w:rPr>
        <w:t>1.5 项目建设期</w:t>
      </w:r>
      <w:bookmarkEnd w:id="284"/>
      <w:bookmarkEnd w:id="285"/>
    </w:p>
    <w:p>
      <w:pPr>
        <w:spacing w:line="360" w:lineRule="auto"/>
        <w:ind w:firstLine="480" w:firstLineChars="200"/>
        <w:rPr>
          <w:szCs w:val="24"/>
        </w:rPr>
      </w:pPr>
      <w:r>
        <w:rPr>
          <w:szCs w:val="24"/>
        </w:rPr>
        <w:t>湖南省XX县XX林场（乡镇）XX年森林质量精准提升项目建设期为1年，即XX年。</w:t>
      </w:r>
    </w:p>
    <w:p>
      <w:pPr>
        <w:spacing w:line="360" w:lineRule="auto"/>
        <w:outlineLvl w:val="2"/>
        <w:rPr>
          <w:rFonts w:eastAsia="黑体"/>
          <w:kern w:val="0"/>
          <w:sz w:val="28"/>
          <w:szCs w:val="28"/>
        </w:rPr>
      </w:pPr>
      <w:bookmarkStart w:id="286" w:name="_Toc26925"/>
      <w:bookmarkStart w:id="287" w:name="_Toc18339"/>
      <w:r>
        <w:rPr>
          <w:rFonts w:eastAsia="黑体"/>
          <w:kern w:val="0"/>
          <w:sz w:val="28"/>
          <w:szCs w:val="28"/>
        </w:rPr>
        <w:t>1.6投资估算与资金筹措</w:t>
      </w:r>
      <w:bookmarkEnd w:id="286"/>
      <w:bookmarkEnd w:id="287"/>
    </w:p>
    <w:p>
      <w:pPr>
        <w:spacing w:line="360" w:lineRule="auto"/>
        <w:ind w:firstLine="480" w:firstLineChars="200"/>
        <w:rPr>
          <w:szCs w:val="24"/>
        </w:rPr>
      </w:pPr>
      <w:r>
        <w:rPr>
          <w:szCs w:val="24"/>
        </w:rPr>
        <w:t>(1)投资估算</w:t>
      </w:r>
    </w:p>
    <w:p>
      <w:pPr>
        <w:spacing w:line="360" w:lineRule="auto"/>
        <w:ind w:firstLine="480" w:firstLineChars="200"/>
        <w:rPr>
          <w:szCs w:val="24"/>
        </w:rPr>
      </w:pPr>
      <w:r>
        <w:rPr>
          <w:szCs w:val="24"/>
        </w:rPr>
        <w:t>(2)资金来源</w:t>
      </w:r>
    </w:p>
    <w:p>
      <w:pPr>
        <w:spacing w:line="360" w:lineRule="auto"/>
        <w:outlineLvl w:val="2"/>
        <w:rPr>
          <w:rFonts w:eastAsia="黑体"/>
          <w:kern w:val="0"/>
          <w:sz w:val="28"/>
          <w:szCs w:val="28"/>
        </w:rPr>
      </w:pPr>
      <w:bookmarkStart w:id="288" w:name="_Toc2597"/>
      <w:bookmarkStart w:id="289" w:name="_Toc14577"/>
      <w:r>
        <w:rPr>
          <w:rFonts w:eastAsia="黑体"/>
          <w:kern w:val="0"/>
          <w:sz w:val="28"/>
          <w:szCs w:val="28"/>
        </w:rPr>
        <w:t>1.7 效益分析</w:t>
      </w:r>
      <w:bookmarkEnd w:id="288"/>
      <w:bookmarkEnd w:id="289"/>
    </w:p>
    <w:p>
      <w:pPr>
        <w:spacing w:line="360" w:lineRule="auto"/>
        <w:ind w:firstLine="480" w:firstLineChars="200"/>
        <w:rPr>
          <w:szCs w:val="24"/>
        </w:rPr>
      </w:pPr>
      <w:r>
        <w:rPr>
          <w:szCs w:val="24"/>
        </w:rPr>
        <w:t>(1)生态效益</w:t>
      </w:r>
    </w:p>
    <w:p>
      <w:pPr>
        <w:spacing w:line="360" w:lineRule="auto"/>
        <w:ind w:firstLine="480" w:firstLineChars="200"/>
        <w:rPr>
          <w:szCs w:val="24"/>
        </w:rPr>
      </w:pPr>
      <w:r>
        <w:rPr>
          <w:szCs w:val="24"/>
        </w:rPr>
        <w:t>(2)社会效益</w:t>
      </w:r>
    </w:p>
    <w:p>
      <w:pPr>
        <w:spacing w:line="360" w:lineRule="auto"/>
        <w:ind w:firstLine="480" w:firstLineChars="200"/>
        <w:rPr>
          <w:szCs w:val="24"/>
        </w:rPr>
      </w:pPr>
      <w:r>
        <w:rPr>
          <w:szCs w:val="24"/>
        </w:rPr>
        <w:t>(3)经济效益</w:t>
      </w:r>
    </w:p>
    <w:p>
      <w:pPr>
        <w:spacing w:line="360" w:lineRule="auto"/>
        <w:jc w:val="center"/>
        <w:outlineLvl w:val="1"/>
        <w:rPr>
          <w:rFonts w:eastAsia="黑体"/>
          <w:kern w:val="0"/>
          <w:sz w:val="30"/>
          <w:szCs w:val="30"/>
        </w:rPr>
      </w:pPr>
      <w:bookmarkStart w:id="290" w:name="_Toc18967"/>
      <w:bookmarkStart w:id="291" w:name="_Toc6788"/>
      <w:bookmarkStart w:id="292" w:name="_Toc18766"/>
      <w:bookmarkStart w:id="293" w:name="_Toc6027"/>
      <w:r>
        <w:rPr>
          <w:rFonts w:eastAsia="黑体"/>
          <w:kern w:val="0"/>
          <w:sz w:val="30"/>
          <w:szCs w:val="30"/>
        </w:rPr>
        <w:t>第二章 基本情况</w:t>
      </w:r>
      <w:bookmarkEnd w:id="290"/>
      <w:bookmarkEnd w:id="291"/>
      <w:bookmarkEnd w:id="292"/>
      <w:bookmarkEnd w:id="293"/>
    </w:p>
    <w:p>
      <w:pPr>
        <w:spacing w:line="360" w:lineRule="auto"/>
        <w:outlineLvl w:val="2"/>
        <w:rPr>
          <w:rFonts w:eastAsia="黑体"/>
          <w:kern w:val="0"/>
          <w:sz w:val="28"/>
          <w:szCs w:val="28"/>
        </w:rPr>
      </w:pPr>
      <w:bookmarkStart w:id="294" w:name="_Toc12919"/>
      <w:bookmarkStart w:id="295" w:name="_Toc29246"/>
      <w:r>
        <w:rPr>
          <w:rFonts w:eastAsia="黑体"/>
          <w:kern w:val="0"/>
          <w:sz w:val="28"/>
          <w:szCs w:val="28"/>
        </w:rPr>
        <w:t>2.1 项目实施区域基本情况</w:t>
      </w:r>
      <w:bookmarkEnd w:id="294"/>
      <w:bookmarkEnd w:id="295"/>
    </w:p>
    <w:p>
      <w:pPr>
        <w:spacing w:line="360" w:lineRule="auto"/>
        <w:outlineLvl w:val="3"/>
        <w:rPr>
          <w:rFonts w:eastAsia="黑体"/>
          <w:kern w:val="0"/>
          <w:szCs w:val="24"/>
        </w:rPr>
      </w:pPr>
      <w:bookmarkStart w:id="296" w:name="_Toc4864"/>
      <w:bookmarkStart w:id="297" w:name="_Toc4145"/>
      <w:r>
        <w:rPr>
          <w:rFonts w:eastAsia="黑体"/>
          <w:kern w:val="0"/>
          <w:szCs w:val="24"/>
        </w:rPr>
        <w:t>2.1.1 地理位置</w:t>
      </w:r>
      <w:bookmarkEnd w:id="296"/>
      <w:bookmarkEnd w:id="297"/>
    </w:p>
    <w:p>
      <w:pPr>
        <w:spacing w:line="360" w:lineRule="auto"/>
        <w:outlineLvl w:val="3"/>
        <w:rPr>
          <w:rFonts w:eastAsia="黑体"/>
          <w:kern w:val="0"/>
          <w:szCs w:val="24"/>
        </w:rPr>
      </w:pPr>
      <w:bookmarkStart w:id="298" w:name="_Toc14228"/>
      <w:bookmarkStart w:id="299" w:name="_Toc11651"/>
      <w:r>
        <w:rPr>
          <w:rFonts w:eastAsia="黑体"/>
          <w:kern w:val="0"/>
          <w:szCs w:val="24"/>
        </w:rPr>
        <w:t>2.1.2 地形地貌</w:t>
      </w:r>
      <w:bookmarkEnd w:id="298"/>
      <w:bookmarkEnd w:id="299"/>
    </w:p>
    <w:p>
      <w:pPr>
        <w:spacing w:line="360" w:lineRule="auto"/>
        <w:outlineLvl w:val="3"/>
        <w:rPr>
          <w:rFonts w:eastAsia="黑体"/>
          <w:kern w:val="0"/>
          <w:szCs w:val="24"/>
        </w:rPr>
      </w:pPr>
      <w:bookmarkStart w:id="300" w:name="_Toc12389"/>
      <w:bookmarkStart w:id="301" w:name="_Toc14611"/>
      <w:r>
        <w:rPr>
          <w:rFonts w:eastAsia="黑体"/>
          <w:kern w:val="0"/>
          <w:szCs w:val="24"/>
        </w:rPr>
        <w:t>2.1.3 气候条件</w:t>
      </w:r>
      <w:bookmarkEnd w:id="300"/>
      <w:bookmarkEnd w:id="301"/>
    </w:p>
    <w:p>
      <w:pPr>
        <w:spacing w:line="360" w:lineRule="auto"/>
        <w:outlineLvl w:val="3"/>
        <w:rPr>
          <w:rFonts w:eastAsia="黑体"/>
          <w:kern w:val="0"/>
          <w:szCs w:val="24"/>
        </w:rPr>
      </w:pPr>
      <w:bookmarkStart w:id="302" w:name="_Toc24821"/>
      <w:bookmarkStart w:id="303" w:name="_Toc5832"/>
      <w:r>
        <w:rPr>
          <w:rFonts w:eastAsia="黑体"/>
          <w:kern w:val="0"/>
          <w:szCs w:val="24"/>
        </w:rPr>
        <w:t>2.1.4 水文条件</w:t>
      </w:r>
      <w:bookmarkEnd w:id="302"/>
      <w:bookmarkEnd w:id="303"/>
    </w:p>
    <w:p>
      <w:pPr>
        <w:spacing w:line="360" w:lineRule="auto"/>
        <w:outlineLvl w:val="3"/>
        <w:rPr>
          <w:rFonts w:eastAsia="黑体"/>
          <w:kern w:val="0"/>
          <w:szCs w:val="24"/>
        </w:rPr>
      </w:pPr>
      <w:bookmarkStart w:id="304" w:name="_Toc1641"/>
      <w:bookmarkStart w:id="305" w:name="_Toc1897"/>
      <w:r>
        <w:rPr>
          <w:rFonts w:eastAsia="黑体"/>
          <w:kern w:val="0"/>
          <w:szCs w:val="24"/>
        </w:rPr>
        <w:t>2.1.5 母质母岩及土壤</w:t>
      </w:r>
      <w:bookmarkEnd w:id="304"/>
      <w:bookmarkEnd w:id="305"/>
    </w:p>
    <w:p>
      <w:pPr>
        <w:spacing w:line="360" w:lineRule="auto"/>
        <w:outlineLvl w:val="3"/>
        <w:rPr>
          <w:rFonts w:eastAsia="黑体"/>
          <w:kern w:val="0"/>
          <w:szCs w:val="24"/>
        </w:rPr>
      </w:pPr>
      <w:bookmarkStart w:id="306" w:name="_Toc6165"/>
      <w:bookmarkStart w:id="307" w:name="_Toc14204"/>
      <w:r>
        <w:rPr>
          <w:rFonts w:eastAsia="黑体"/>
          <w:kern w:val="0"/>
          <w:szCs w:val="24"/>
        </w:rPr>
        <w:t>2.1.6 森林资源</w:t>
      </w:r>
      <w:bookmarkEnd w:id="306"/>
      <w:bookmarkEnd w:id="307"/>
    </w:p>
    <w:p>
      <w:pPr>
        <w:spacing w:line="360" w:lineRule="auto"/>
        <w:outlineLvl w:val="2"/>
        <w:rPr>
          <w:rFonts w:eastAsia="黑体"/>
          <w:kern w:val="0"/>
          <w:sz w:val="28"/>
          <w:szCs w:val="28"/>
        </w:rPr>
      </w:pPr>
      <w:bookmarkStart w:id="308" w:name="_Toc6857"/>
      <w:bookmarkStart w:id="309" w:name="_Toc24015126"/>
      <w:bookmarkStart w:id="310" w:name="_Toc2379"/>
      <w:bookmarkStart w:id="311" w:name="_Toc9901"/>
      <w:bookmarkStart w:id="312" w:name="_Toc977"/>
      <w:r>
        <w:rPr>
          <w:rFonts w:eastAsia="黑体"/>
          <w:kern w:val="0"/>
          <w:sz w:val="28"/>
          <w:szCs w:val="28"/>
        </w:rPr>
        <w:t>2.2 建设单位基本情况</w:t>
      </w:r>
      <w:bookmarkEnd w:id="272"/>
      <w:bookmarkEnd w:id="273"/>
      <w:bookmarkEnd w:id="274"/>
      <w:bookmarkEnd w:id="275"/>
      <w:bookmarkEnd w:id="308"/>
      <w:bookmarkEnd w:id="309"/>
      <w:bookmarkEnd w:id="310"/>
      <w:bookmarkEnd w:id="311"/>
      <w:bookmarkEnd w:id="312"/>
      <w:bookmarkStart w:id="313" w:name="_Toc22411"/>
    </w:p>
    <w:p>
      <w:pPr>
        <w:spacing w:line="360" w:lineRule="auto"/>
        <w:ind w:firstLine="480" w:firstLineChars="200"/>
        <w:rPr>
          <w:szCs w:val="24"/>
        </w:rPr>
      </w:pPr>
      <w:r>
        <w:rPr>
          <w:szCs w:val="24"/>
        </w:rPr>
        <w:t>建设单位机构设置、现有职工、其中工程技术人员、交通、护林防火设施、森林经营概况、年收入情况等。</w:t>
      </w:r>
    </w:p>
    <w:p>
      <w:pPr>
        <w:spacing w:line="360" w:lineRule="auto"/>
        <w:jc w:val="center"/>
        <w:outlineLvl w:val="1"/>
        <w:rPr>
          <w:rFonts w:eastAsia="黑体"/>
          <w:kern w:val="0"/>
          <w:sz w:val="30"/>
          <w:szCs w:val="30"/>
        </w:rPr>
      </w:pPr>
      <w:bookmarkStart w:id="314" w:name="_Toc15815"/>
      <w:bookmarkStart w:id="315" w:name="_Toc8662"/>
      <w:bookmarkStart w:id="316" w:name="_Toc26146"/>
      <w:bookmarkStart w:id="317" w:name="_Toc7395"/>
      <w:bookmarkStart w:id="318" w:name="_Toc16984"/>
      <w:bookmarkStart w:id="319" w:name="_Toc24015127"/>
      <w:r>
        <w:rPr>
          <w:rFonts w:eastAsia="黑体"/>
          <w:kern w:val="0"/>
          <w:sz w:val="30"/>
          <w:szCs w:val="30"/>
        </w:rPr>
        <w:t>第三章 项目实施必要性和建设条件分析</w:t>
      </w:r>
      <w:bookmarkEnd w:id="314"/>
      <w:r>
        <w:rPr>
          <w:rFonts w:eastAsia="黑体"/>
          <w:kern w:val="0"/>
          <w:sz w:val="30"/>
          <w:szCs w:val="30"/>
        </w:rPr>
        <w:t>（有可研不需要）</w:t>
      </w:r>
      <w:bookmarkEnd w:id="315"/>
      <w:bookmarkEnd w:id="316"/>
      <w:bookmarkEnd w:id="317"/>
      <w:bookmarkEnd w:id="318"/>
    </w:p>
    <w:p>
      <w:pPr>
        <w:spacing w:line="360" w:lineRule="auto"/>
        <w:outlineLvl w:val="2"/>
        <w:rPr>
          <w:rFonts w:eastAsia="黑体"/>
          <w:kern w:val="0"/>
          <w:sz w:val="28"/>
          <w:szCs w:val="28"/>
        </w:rPr>
      </w:pPr>
      <w:bookmarkStart w:id="320" w:name="_Toc3771"/>
      <w:bookmarkStart w:id="321" w:name="_Toc13480"/>
      <w:bookmarkStart w:id="322" w:name="_Toc3350"/>
      <w:r>
        <w:rPr>
          <w:rFonts w:eastAsia="黑体"/>
          <w:kern w:val="0"/>
          <w:sz w:val="28"/>
          <w:szCs w:val="28"/>
        </w:rPr>
        <w:t>3.1 项目实施的必要性</w:t>
      </w:r>
      <w:bookmarkEnd w:id="320"/>
      <w:bookmarkEnd w:id="321"/>
      <w:bookmarkEnd w:id="322"/>
    </w:p>
    <w:p>
      <w:pPr>
        <w:spacing w:line="360" w:lineRule="auto"/>
        <w:outlineLvl w:val="2"/>
        <w:rPr>
          <w:rFonts w:eastAsia="黑体"/>
          <w:kern w:val="0"/>
          <w:sz w:val="28"/>
          <w:szCs w:val="28"/>
        </w:rPr>
      </w:pPr>
      <w:bookmarkStart w:id="323" w:name="_Toc19082"/>
      <w:bookmarkStart w:id="324" w:name="_Toc5053"/>
      <w:bookmarkStart w:id="325" w:name="_Toc25495"/>
      <w:r>
        <w:rPr>
          <w:rFonts w:eastAsia="黑体"/>
          <w:kern w:val="0"/>
          <w:sz w:val="28"/>
          <w:szCs w:val="28"/>
        </w:rPr>
        <w:t>3.2 项目实施的有利条件</w:t>
      </w:r>
      <w:bookmarkEnd w:id="323"/>
      <w:bookmarkEnd w:id="324"/>
      <w:bookmarkEnd w:id="325"/>
    </w:p>
    <w:p>
      <w:pPr>
        <w:spacing w:line="360" w:lineRule="auto"/>
        <w:outlineLvl w:val="2"/>
        <w:rPr>
          <w:rFonts w:eastAsia="黑体"/>
          <w:kern w:val="0"/>
          <w:sz w:val="28"/>
          <w:szCs w:val="28"/>
        </w:rPr>
      </w:pPr>
      <w:bookmarkStart w:id="326" w:name="_Toc13772"/>
      <w:bookmarkStart w:id="327" w:name="_Toc21838"/>
      <w:bookmarkStart w:id="328" w:name="_Toc14516"/>
      <w:r>
        <w:rPr>
          <w:rFonts w:eastAsia="黑体"/>
          <w:kern w:val="0"/>
          <w:sz w:val="28"/>
          <w:szCs w:val="28"/>
        </w:rPr>
        <w:t>3.3 项目实施的制约因素</w:t>
      </w:r>
      <w:bookmarkEnd w:id="326"/>
      <w:bookmarkEnd w:id="327"/>
      <w:bookmarkEnd w:id="328"/>
    </w:p>
    <w:p>
      <w:pPr>
        <w:spacing w:line="360" w:lineRule="auto"/>
        <w:jc w:val="center"/>
        <w:outlineLvl w:val="1"/>
        <w:rPr>
          <w:rFonts w:eastAsia="黑体"/>
          <w:kern w:val="0"/>
          <w:sz w:val="30"/>
          <w:szCs w:val="30"/>
        </w:rPr>
      </w:pPr>
      <w:bookmarkStart w:id="329" w:name="_Toc22504"/>
      <w:bookmarkStart w:id="330" w:name="_Toc17372"/>
      <w:bookmarkStart w:id="331" w:name="_Toc5432"/>
      <w:bookmarkStart w:id="332" w:name="_Toc1455"/>
      <w:bookmarkStart w:id="333" w:name="_Toc19460"/>
      <w:r>
        <w:rPr>
          <w:rFonts w:eastAsia="黑体"/>
          <w:kern w:val="0"/>
          <w:sz w:val="30"/>
          <w:szCs w:val="30"/>
        </w:rPr>
        <w:t>第四章 指导思想、原则、编制依据与建设目标</w:t>
      </w:r>
      <w:bookmarkEnd w:id="329"/>
      <w:bookmarkEnd w:id="330"/>
      <w:bookmarkEnd w:id="331"/>
      <w:bookmarkEnd w:id="332"/>
      <w:bookmarkEnd w:id="333"/>
    </w:p>
    <w:p>
      <w:pPr>
        <w:spacing w:line="360" w:lineRule="auto"/>
        <w:outlineLvl w:val="2"/>
        <w:rPr>
          <w:rFonts w:eastAsia="黑体"/>
          <w:kern w:val="0"/>
          <w:sz w:val="28"/>
          <w:szCs w:val="28"/>
        </w:rPr>
      </w:pPr>
      <w:bookmarkStart w:id="334" w:name="_Toc27337"/>
      <w:bookmarkStart w:id="335" w:name="_Toc24015133"/>
      <w:bookmarkStart w:id="336" w:name="_Toc17949"/>
      <w:bookmarkStart w:id="337" w:name="_Toc5225"/>
      <w:bookmarkStart w:id="338" w:name="_Toc30522"/>
      <w:r>
        <w:rPr>
          <w:rFonts w:eastAsia="黑体"/>
          <w:kern w:val="0"/>
          <w:sz w:val="28"/>
          <w:szCs w:val="28"/>
        </w:rPr>
        <w:t>4.1 指导思想</w:t>
      </w:r>
      <w:bookmarkEnd w:id="334"/>
      <w:bookmarkEnd w:id="335"/>
      <w:bookmarkEnd w:id="336"/>
      <w:bookmarkEnd w:id="337"/>
      <w:bookmarkEnd w:id="338"/>
    </w:p>
    <w:p>
      <w:pPr>
        <w:spacing w:line="360" w:lineRule="auto"/>
        <w:outlineLvl w:val="2"/>
        <w:rPr>
          <w:rFonts w:eastAsia="黑体"/>
          <w:kern w:val="0"/>
          <w:sz w:val="28"/>
          <w:szCs w:val="28"/>
        </w:rPr>
      </w:pPr>
      <w:bookmarkStart w:id="339" w:name="_Toc3938"/>
      <w:bookmarkStart w:id="340" w:name="_Toc15698"/>
      <w:bookmarkStart w:id="341" w:name="_Toc24015134"/>
      <w:bookmarkStart w:id="342" w:name="_Toc18165"/>
      <w:bookmarkStart w:id="343" w:name="_Toc8399"/>
      <w:r>
        <w:rPr>
          <w:rFonts w:eastAsia="黑体"/>
          <w:kern w:val="0"/>
          <w:sz w:val="28"/>
          <w:szCs w:val="28"/>
        </w:rPr>
        <w:t>4.2 基本原则</w:t>
      </w:r>
      <w:bookmarkEnd w:id="339"/>
      <w:bookmarkEnd w:id="340"/>
      <w:bookmarkEnd w:id="341"/>
      <w:bookmarkEnd w:id="342"/>
      <w:bookmarkEnd w:id="343"/>
    </w:p>
    <w:p>
      <w:pPr>
        <w:spacing w:line="360" w:lineRule="auto"/>
        <w:outlineLvl w:val="2"/>
        <w:rPr>
          <w:rFonts w:eastAsia="黑体"/>
          <w:kern w:val="0"/>
          <w:sz w:val="28"/>
          <w:szCs w:val="28"/>
        </w:rPr>
      </w:pPr>
      <w:bookmarkStart w:id="344" w:name="_Toc25945"/>
      <w:bookmarkStart w:id="345" w:name="_Toc24015135"/>
      <w:bookmarkStart w:id="346" w:name="_Toc5093"/>
      <w:bookmarkStart w:id="347" w:name="_Toc16680"/>
      <w:bookmarkStart w:id="348" w:name="_Toc21087"/>
      <w:r>
        <w:rPr>
          <w:rFonts w:eastAsia="黑体"/>
          <w:kern w:val="0"/>
          <w:sz w:val="28"/>
          <w:szCs w:val="28"/>
        </w:rPr>
        <w:t>4.3 编制依据</w:t>
      </w:r>
      <w:bookmarkEnd w:id="344"/>
      <w:bookmarkEnd w:id="345"/>
      <w:bookmarkEnd w:id="346"/>
      <w:bookmarkEnd w:id="347"/>
      <w:bookmarkEnd w:id="348"/>
    </w:p>
    <w:p>
      <w:pPr>
        <w:spacing w:line="360" w:lineRule="auto"/>
        <w:ind w:firstLine="480" w:firstLineChars="200"/>
        <w:rPr>
          <w:szCs w:val="24"/>
        </w:rPr>
      </w:pPr>
      <w:r>
        <w:rPr>
          <w:szCs w:val="24"/>
        </w:rPr>
        <w:t>包括与项目相关的政策文件、规程规范、相关规划等。</w:t>
      </w:r>
    </w:p>
    <w:p>
      <w:pPr>
        <w:spacing w:line="360" w:lineRule="auto"/>
        <w:outlineLvl w:val="2"/>
        <w:rPr>
          <w:rFonts w:eastAsia="黑体"/>
          <w:kern w:val="0"/>
          <w:sz w:val="28"/>
          <w:szCs w:val="28"/>
        </w:rPr>
      </w:pPr>
      <w:bookmarkStart w:id="349" w:name="_Toc5766"/>
      <w:bookmarkStart w:id="350" w:name="_Toc14588"/>
      <w:bookmarkStart w:id="351" w:name="_Toc30706"/>
      <w:r>
        <w:rPr>
          <w:rFonts w:eastAsia="黑体"/>
          <w:kern w:val="0"/>
          <w:sz w:val="28"/>
          <w:szCs w:val="28"/>
        </w:rPr>
        <w:t>4.4 项目建设目标</w:t>
      </w:r>
      <w:bookmarkEnd w:id="349"/>
      <w:bookmarkEnd w:id="350"/>
      <w:bookmarkEnd w:id="351"/>
    </w:p>
    <w:p>
      <w:pPr>
        <w:spacing w:line="360" w:lineRule="auto"/>
        <w:ind w:firstLine="480" w:firstLineChars="200"/>
        <w:rPr>
          <w:szCs w:val="24"/>
        </w:rPr>
      </w:pPr>
      <w:r>
        <w:rPr>
          <w:szCs w:val="24"/>
        </w:rPr>
        <w:t>包括目标林相、目标株数、目标胸径、目标蓄积等质量目标；以及固碳释氧、蓄水固土、净化空气等生态目标和经济目标。</w:t>
      </w:r>
    </w:p>
    <w:p>
      <w:pPr>
        <w:spacing w:line="360" w:lineRule="auto"/>
        <w:ind w:firstLine="480" w:firstLineChars="200"/>
        <w:rPr>
          <w:szCs w:val="24"/>
        </w:rPr>
      </w:pPr>
    </w:p>
    <w:p>
      <w:pPr>
        <w:spacing w:line="360" w:lineRule="auto"/>
        <w:jc w:val="center"/>
        <w:outlineLvl w:val="1"/>
        <w:rPr>
          <w:rFonts w:eastAsia="黑体"/>
          <w:kern w:val="0"/>
          <w:sz w:val="30"/>
          <w:szCs w:val="30"/>
        </w:rPr>
      </w:pPr>
      <w:bookmarkStart w:id="352" w:name="_Toc2756"/>
      <w:bookmarkStart w:id="353" w:name="_Toc2665"/>
      <w:bookmarkStart w:id="354" w:name="_Toc26130"/>
      <w:bookmarkStart w:id="355" w:name="_Toc18661"/>
      <w:bookmarkStart w:id="356" w:name="_Toc12018"/>
      <w:r>
        <w:rPr>
          <w:rFonts w:eastAsia="黑体"/>
          <w:kern w:val="0"/>
          <w:sz w:val="30"/>
          <w:szCs w:val="30"/>
        </w:rPr>
        <w:t>第五章 实施森林质量精准提升林分现状</w:t>
      </w:r>
      <w:bookmarkEnd w:id="352"/>
      <w:bookmarkEnd w:id="353"/>
      <w:bookmarkEnd w:id="354"/>
      <w:bookmarkEnd w:id="355"/>
      <w:bookmarkEnd w:id="356"/>
    </w:p>
    <w:bookmarkEnd w:id="313"/>
    <w:bookmarkEnd w:id="319"/>
    <w:p>
      <w:pPr>
        <w:spacing w:line="360" w:lineRule="auto"/>
        <w:outlineLvl w:val="2"/>
        <w:rPr>
          <w:rFonts w:eastAsia="黑体"/>
          <w:kern w:val="0"/>
          <w:sz w:val="28"/>
          <w:szCs w:val="28"/>
        </w:rPr>
      </w:pPr>
      <w:bookmarkStart w:id="357" w:name="_Toc32127"/>
      <w:bookmarkStart w:id="358" w:name="_Toc24015128"/>
      <w:bookmarkStart w:id="359" w:name="_Toc19478"/>
      <w:bookmarkStart w:id="360" w:name="_Toc26328"/>
      <w:bookmarkStart w:id="361" w:name="_Toc32695"/>
      <w:r>
        <w:rPr>
          <w:rFonts w:eastAsia="黑体"/>
          <w:kern w:val="0"/>
          <w:sz w:val="28"/>
          <w:szCs w:val="28"/>
        </w:rPr>
        <w:t xml:space="preserve">5.1 </w:t>
      </w:r>
      <w:bookmarkEnd w:id="357"/>
      <w:r>
        <w:rPr>
          <w:rFonts w:eastAsia="黑体"/>
          <w:kern w:val="0"/>
          <w:sz w:val="28"/>
          <w:szCs w:val="28"/>
        </w:rPr>
        <w:t>林分</w:t>
      </w:r>
      <w:bookmarkEnd w:id="358"/>
      <w:r>
        <w:rPr>
          <w:rFonts w:eastAsia="黑体"/>
          <w:kern w:val="0"/>
          <w:sz w:val="28"/>
          <w:szCs w:val="28"/>
        </w:rPr>
        <w:t>基本情况</w:t>
      </w:r>
      <w:bookmarkEnd w:id="359"/>
      <w:bookmarkEnd w:id="360"/>
      <w:bookmarkEnd w:id="361"/>
    </w:p>
    <w:p>
      <w:pPr>
        <w:spacing w:line="360" w:lineRule="auto"/>
        <w:outlineLvl w:val="2"/>
        <w:rPr>
          <w:rFonts w:eastAsia="黑体"/>
          <w:kern w:val="0"/>
          <w:sz w:val="28"/>
          <w:szCs w:val="28"/>
        </w:rPr>
      </w:pPr>
      <w:bookmarkStart w:id="362" w:name="_Toc13999"/>
      <w:bookmarkStart w:id="363" w:name="_Toc17977"/>
      <w:bookmarkStart w:id="364" w:name="_Toc24015129"/>
      <w:bookmarkStart w:id="365" w:name="_Toc11540"/>
      <w:bookmarkStart w:id="366" w:name="_Toc21038"/>
      <w:r>
        <w:rPr>
          <w:rFonts w:eastAsia="黑体"/>
          <w:kern w:val="0"/>
          <w:sz w:val="28"/>
          <w:szCs w:val="28"/>
        </w:rPr>
        <w:t>5.2 林分经营历史</w:t>
      </w:r>
      <w:bookmarkEnd w:id="362"/>
      <w:bookmarkEnd w:id="363"/>
      <w:bookmarkEnd w:id="364"/>
      <w:bookmarkEnd w:id="365"/>
      <w:bookmarkEnd w:id="366"/>
    </w:p>
    <w:p>
      <w:pPr>
        <w:spacing w:line="360" w:lineRule="auto"/>
        <w:outlineLvl w:val="2"/>
        <w:rPr>
          <w:rFonts w:eastAsia="黑体"/>
          <w:kern w:val="0"/>
          <w:sz w:val="28"/>
          <w:szCs w:val="28"/>
        </w:rPr>
      </w:pPr>
      <w:bookmarkStart w:id="367" w:name="_Toc13881"/>
      <w:bookmarkStart w:id="368" w:name="_Toc4386"/>
      <w:bookmarkStart w:id="369" w:name="_Toc24015130"/>
      <w:bookmarkStart w:id="370" w:name="_Toc7861"/>
      <w:bookmarkStart w:id="371" w:name="_Toc23094"/>
      <w:r>
        <w:rPr>
          <w:rFonts w:eastAsia="黑体"/>
          <w:kern w:val="0"/>
          <w:sz w:val="28"/>
          <w:szCs w:val="28"/>
        </w:rPr>
        <w:t xml:space="preserve">5.3 </w:t>
      </w:r>
      <w:bookmarkEnd w:id="367"/>
      <w:r>
        <w:rPr>
          <w:rFonts w:eastAsia="黑体"/>
          <w:kern w:val="0"/>
          <w:sz w:val="28"/>
          <w:szCs w:val="28"/>
        </w:rPr>
        <w:t>林分存在主要问题</w:t>
      </w:r>
      <w:bookmarkEnd w:id="368"/>
      <w:bookmarkEnd w:id="369"/>
      <w:bookmarkEnd w:id="370"/>
      <w:bookmarkEnd w:id="371"/>
    </w:p>
    <w:p>
      <w:pPr>
        <w:spacing w:line="360" w:lineRule="auto"/>
        <w:outlineLvl w:val="2"/>
        <w:rPr>
          <w:rFonts w:eastAsia="黑体"/>
          <w:kern w:val="0"/>
          <w:sz w:val="28"/>
          <w:szCs w:val="28"/>
        </w:rPr>
      </w:pPr>
      <w:bookmarkStart w:id="372" w:name="_Toc23005"/>
      <w:bookmarkStart w:id="373" w:name="_Toc320"/>
      <w:bookmarkStart w:id="374" w:name="_Toc24015131"/>
      <w:bookmarkStart w:id="375" w:name="_Toc14340"/>
      <w:bookmarkStart w:id="376" w:name="_Toc22340"/>
      <w:r>
        <w:rPr>
          <w:rFonts w:eastAsia="黑体"/>
          <w:kern w:val="0"/>
          <w:sz w:val="28"/>
          <w:szCs w:val="28"/>
        </w:rPr>
        <w:t>5.4主要制约因素</w:t>
      </w:r>
      <w:bookmarkEnd w:id="372"/>
      <w:bookmarkEnd w:id="373"/>
      <w:bookmarkEnd w:id="374"/>
      <w:bookmarkEnd w:id="375"/>
      <w:bookmarkEnd w:id="376"/>
    </w:p>
    <w:p>
      <w:pPr>
        <w:spacing w:line="360" w:lineRule="auto"/>
        <w:jc w:val="center"/>
        <w:outlineLvl w:val="1"/>
        <w:rPr>
          <w:rFonts w:eastAsia="黑体"/>
          <w:kern w:val="0"/>
          <w:sz w:val="30"/>
          <w:szCs w:val="30"/>
        </w:rPr>
      </w:pPr>
      <w:bookmarkStart w:id="377" w:name="_Toc2034"/>
      <w:bookmarkStart w:id="378" w:name="_Toc12277"/>
      <w:bookmarkStart w:id="379" w:name="_Toc3359"/>
      <w:bookmarkStart w:id="380" w:name="_Toc9817"/>
      <w:bookmarkStart w:id="381" w:name="_Toc15365"/>
      <w:bookmarkStart w:id="382" w:name="_Toc24015136"/>
      <w:r>
        <w:rPr>
          <w:rFonts w:eastAsia="黑体"/>
          <w:kern w:val="0"/>
          <w:sz w:val="30"/>
          <w:szCs w:val="30"/>
        </w:rPr>
        <w:t>第六章 建设方案</w:t>
      </w:r>
      <w:bookmarkEnd w:id="377"/>
      <w:bookmarkEnd w:id="378"/>
      <w:bookmarkEnd w:id="379"/>
      <w:bookmarkEnd w:id="380"/>
      <w:bookmarkEnd w:id="381"/>
    </w:p>
    <w:bookmarkEnd w:id="382"/>
    <w:p>
      <w:pPr>
        <w:spacing w:line="360" w:lineRule="auto"/>
        <w:outlineLvl w:val="2"/>
        <w:rPr>
          <w:rFonts w:eastAsia="黑体"/>
          <w:kern w:val="0"/>
          <w:sz w:val="28"/>
          <w:szCs w:val="28"/>
        </w:rPr>
      </w:pPr>
      <w:bookmarkStart w:id="383" w:name="_Toc11880"/>
      <w:bookmarkStart w:id="384" w:name="_Toc24015137"/>
      <w:bookmarkStart w:id="385" w:name="_Toc4408"/>
      <w:bookmarkStart w:id="386" w:name="_Toc5454"/>
      <w:r>
        <w:rPr>
          <w:rFonts w:eastAsia="黑体"/>
          <w:kern w:val="0"/>
          <w:sz w:val="28"/>
          <w:szCs w:val="28"/>
        </w:rPr>
        <w:t>6.1项目建设布局</w:t>
      </w:r>
      <w:bookmarkEnd w:id="383"/>
      <w:bookmarkEnd w:id="384"/>
      <w:bookmarkEnd w:id="385"/>
      <w:bookmarkEnd w:id="386"/>
    </w:p>
    <w:p>
      <w:pPr>
        <w:spacing w:line="360" w:lineRule="auto"/>
        <w:ind w:firstLine="480" w:firstLineChars="200"/>
        <w:rPr>
          <w:szCs w:val="24"/>
        </w:rPr>
      </w:pPr>
      <w:r>
        <w:rPr>
          <w:i/>
          <w:iCs/>
          <w:szCs w:val="24"/>
        </w:rPr>
        <w:t>（重点说明林分布局在什么地方及规模，如果是自然保护地内的林分，要说明在什么保护地的什么功能区，是否符合要求等）</w:t>
      </w:r>
    </w:p>
    <w:tbl>
      <w:tblPr>
        <w:tblStyle w:val="18"/>
        <w:tblW w:w="8330" w:type="dxa"/>
        <w:jc w:val="center"/>
        <w:tblInd w:w="0" w:type="dxa"/>
        <w:tblLayout w:type="fixed"/>
        <w:tblCellMar>
          <w:top w:w="0" w:type="dxa"/>
          <w:left w:w="0" w:type="dxa"/>
          <w:bottom w:w="0" w:type="dxa"/>
          <w:right w:w="0" w:type="dxa"/>
        </w:tblCellMar>
      </w:tblPr>
      <w:tblGrid>
        <w:gridCol w:w="1663"/>
        <w:gridCol w:w="1664"/>
        <w:gridCol w:w="1666"/>
        <w:gridCol w:w="1666"/>
        <w:gridCol w:w="1671"/>
      </w:tblGrid>
      <w:tr>
        <w:tblPrEx>
          <w:tblLayout w:type="fixed"/>
          <w:tblCellMar>
            <w:top w:w="0" w:type="dxa"/>
            <w:left w:w="0" w:type="dxa"/>
            <w:bottom w:w="0" w:type="dxa"/>
            <w:right w:w="0" w:type="dxa"/>
          </w:tblCellMar>
        </w:tblPrEx>
        <w:trPr>
          <w:trHeight w:val="375" w:hRule="atLeast"/>
          <w:jc w:val="center"/>
        </w:trPr>
        <w:tc>
          <w:tcPr>
            <w:tcW w:w="8330" w:type="dxa"/>
            <w:gridSpan w:val="5"/>
            <w:tcBorders>
              <w:top w:val="nil"/>
              <w:left w:val="nil"/>
              <w:bottom w:val="nil"/>
              <w:right w:val="nil"/>
            </w:tcBorders>
            <w:tcMar>
              <w:top w:w="15" w:type="dxa"/>
              <w:left w:w="15" w:type="dxa"/>
              <w:right w:w="15" w:type="dxa"/>
            </w:tcMar>
            <w:vAlign w:val="center"/>
          </w:tcPr>
          <w:p>
            <w:pPr>
              <w:widowControl/>
              <w:jc w:val="center"/>
              <w:textAlignment w:val="center"/>
              <w:rPr>
                <w:rFonts w:eastAsia="黑体"/>
                <w:szCs w:val="24"/>
              </w:rPr>
            </w:pPr>
            <w:r>
              <w:rPr>
                <w:szCs w:val="24"/>
              </w:rPr>
              <w:t>XX县XX林场（乡镇）XX</w:t>
            </w:r>
            <w:r>
              <w:rPr>
                <w:rStyle w:val="28"/>
                <w:rFonts w:hint="default" w:ascii="Times New Roman" w:hAnsi="Times New Roman" w:cs="Times New Roman"/>
                <w:color w:val="auto"/>
                <w:sz w:val="24"/>
                <w:szCs w:val="24"/>
              </w:rPr>
              <w:t>年森林质量精准提升工程布局表</w:t>
            </w:r>
          </w:p>
        </w:tc>
      </w:tr>
      <w:tr>
        <w:tblPrEx>
          <w:tblLayout w:type="fixed"/>
          <w:tblCellMar>
            <w:top w:w="0" w:type="dxa"/>
            <w:left w:w="0" w:type="dxa"/>
            <w:bottom w:w="0" w:type="dxa"/>
            <w:right w:w="0" w:type="dxa"/>
          </w:tblCellMar>
        </w:tblPrEx>
        <w:trPr>
          <w:trHeight w:val="283" w:hRule="atLeast"/>
          <w:jc w:val="center"/>
        </w:trPr>
        <w:tc>
          <w:tcPr>
            <w:tcW w:w="1663" w:type="dxa"/>
            <w:tcBorders>
              <w:top w:val="nil"/>
              <w:left w:val="nil"/>
              <w:bottom w:val="single" w:color="auto" w:sz="12" w:space="0"/>
              <w:right w:val="nil"/>
            </w:tcBorders>
            <w:tcMar>
              <w:top w:w="15" w:type="dxa"/>
              <w:left w:w="15" w:type="dxa"/>
              <w:right w:w="15" w:type="dxa"/>
            </w:tcMar>
            <w:vAlign w:val="center"/>
          </w:tcPr>
          <w:p>
            <w:pPr>
              <w:widowControl/>
              <w:jc w:val="left"/>
              <w:textAlignment w:val="center"/>
              <w:rPr>
                <w:sz w:val="21"/>
                <w:szCs w:val="21"/>
              </w:rPr>
            </w:pPr>
            <w:r>
              <w:rPr>
                <w:kern w:val="0"/>
                <w:sz w:val="21"/>
                <w:szCs w:val="21"/>
              </w:rPr>
              <w:t>表6-1</w:t>
            </w:r>
          </w:p>
        </w:tc>
        <w:tc>
          <w:tcPr>
            <w:tcW w:w="1664" w:type="dxa"/>
            <w:tcBorders>
              <w:top w:val="nil"/>
              <w:left w:val="nil"/>
              <w:bottom w:val="single" w:color="auto" w:sz="12" w:space="0"/>
              <w:right w:val="nil"/>
            </w:tcBorders>
            <w:tcMar>
              <w:top w:w="15" w:type="dxa"/>
              <w:left w:w="15" w:type="dxa"/>
              <w:right w:w="15" w:type="dxa"/>
            </w:tcMar>
            <w:vAlign w:val="center"/>
          </w:tcPr>
          <w:p>
            <w:pPr>
              <w:jc w:val="center"/>
              <w:rPr>
                <w:rFonts w:eastAsia="黑体"/>
                <w:sz w:val="21"/>
                <w:szCs w:val="21"/>
              </w:rPr>
            </w:pPr>
          </w:p>
        </w:tc>
        <w:tc>
          <w:tcPr>
            <w:tcW w:w="1666" w:type="dxa"/>
            <w:tcBorders>
              <w:top w:val="nil"/>
              <w:left w:val="nil"/>
              <w:bottom w:val="single" w:color="auto" w:sz="12" w:space="0"/>
              <w:right w:val="nil"/>
            </w:tcBorders>
            <w:tcMar>
              <w:top w:w="15" w:type="dxa"/>
              <w:left w:w="15" w:type="dxa"/>
              <w:right w:w="15" w:type="dxa"/>
            </w:tcMar>
            <w:vAlign w:val="center"/>
          </w:tcPr>
          <w:p>
            <w:pPr>
              <w:jc w:val="center"/>
              <w:rPr>
                <w:rFonts w:eastAsia="黑体"/>
                <w:sz w:val="21"/>
                <w:szCs w:val="21"/>
              </w:rPr>
            </w:pPr>
          </w:p>
        </w:tc>
        <w:tc>
          <w:tcPr>
            <w:tcW w:w="1666" w:type="dxa"/>
            <w:tcBorders>
              <w:top w:val="nil"/>
              <w:left w:val="nil"/>
              <w:bottom w:val="single" w:color="auto" w:sz="12" w:space="0"/>
              <w:right w:val="nil"/>
            </w:tcBorders>
            <w:tcMar>
              <w:top w:w="15" w:type="dxa"/>
              <w:left w:w="15" w:type="dxa"/>
              <w:right w:w="15" w:type="dxa"/>
            </w:tcMar>
            <w:vAlign w:val="center"/>
          </w:tcPr>
          <w:p>
            <w:pPr>
              <w:jc w:val="center"/>
              <w:rPr>
                <w:rFonts w:eastAsia="黑体"/>
                <w:sz w:val="21"/>
                <w:szCs w:val="21"/>
              </w:rPr>
            </w:pPr>
          </w:p>
        </w:tc>
        <w:tc>
          <w:tcPr>
            <w:tcW w:w="1671" w:type="dxa"/>
            <w:tcBorders>
              <w:top w:val="nil"/>
              <w:left w:val="nil"/>
              <w:bottom w:val="single" w:color="auto" w:sz="12" w:space="0"/>
              <w:right w:val="nil"/>
            </w:tcBorders>
            <w:tcMar>
              <w:top w:w="15" w:type="dxa"/>
              <w:left w:w="15" w:type="dxa"/>
              <w:right w:w="15" w:type="dxa"/>
            </w:tcMar>
            <w:vAlign w:val="center"/>
          </w:tcPr>
          <w:p>
            <w:pPr>
              <w:jc w:val="center"/>
              <w:rPr>
                <w:rFonts w:eastAsia="黑体"/>
                <w:sz w:val="21"/>
                <w:szCs w:val="21"/>
              </w:rPr>
            </w:pP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12"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b/>
                <w:sz w:val="21"/>
                <w:szCs w:val="21"/>
              </w:rPr>
            </w:pPr>
            <w:r>
              <w:rPr>
                <w:b/>
                <w:kern w:val="0"/>
                <w:sz w:val="21"/>
                <w:szCs w:val="21"/>
              </w:rPr>
              <w:t>实施单位</w:t>
            </w:r>
          </w:p>
        </w:tc>
        <w:tc>
          <w:tcPr>
            <w:tcW w:w="1664" w:type="dxa"/>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b/>
                <w:sz w:val="21"/>
                <w:szCs w:val="21"/>
              </w:rPr>
            </w:pPr>
            <w:r>
              <w:rPr>
                <w:b/>
                <w:kern w:val="0"/>
                <w:sz w:val="21"/>
                <w:szCs w:val="21"/>
              </w:rPr>
              <w:t>工 区（林班）</w:t>
            </w:r>
          </w:p>
        </w:tc>
        <w:tc>
          <w:tcPr>
            <w:tcW w:w="1666" w:type="dxa"/>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b/>
                <w:sz w:val="21"/>
                <w:szCs w:val="21"/>
              </w:rPr>
            </w:pPr>
            <w:r>
              <w:rPr>
                <w:b/>
                <w:kern w:val="0"/>
                <w:sz w:val="21"/>
                <w:szCs w:val="21"/>
              </w:rPr>
              <w:t>小班号</w:t>
            </w:r>
          </w:p>
        </w:tc>
        <w:tc>
          <w:tcPr>
            <w:tcW w:w="1666" w:type="dxa"/>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b/>
                <w:sz w:val="21"/>
                <w:szCs w:val="21"/>
              </w:rPr>
            </w:pPr>
            <w:r>
              <w:rPr>
                <w:b/>
                <w:kern w:val="0"/>
                <w:sz w:val="21"/>
                <w:szCs w:val="21"/>
              </w:rPr>
              <w:t>小班面积</w:t>
            </w:r>
          </w:p>
        </w:tc>
        <w:tc>
          <w:tcPr>
            <w:tcW w:w="1671" w:type="dxa"/>
            <w:tcBorders>
              <w:top w:val="single" w:color="auto" w:sz="12"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b/>
                <w:sz w:val="21"/>
                <w:szCs w:val="21"/>
              </w:rPr>
            </w:pPr>
            <w:r>
              <w:rPr>
                <w:b/>
                <w:kern w:val="0"/>
                <w:sz w:val="21"/>
                <w:szCs w:val="21"/>
              </w:rPr>
              <w:t>备 注</w:t>
            </w: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b/>
                <w:sz w:val="21"/>
                <w:szCs w:val="21"/>
              </w:rPr>
            </w:pPr>
            <w:r>
              <w:rPr>
                <w:b/>
                <w:kern w:val="0"/>
                <w:sz w:val="21"/>
                <w:szCs w:val="21"/>
              </w:rPr>
              <w:t>合 计</w:t>
            </w: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b/>
                <w:sz w:val="21"/>
                <w:szCs w:val="21"/>
              </w:rPr>
            </w:pPr>
            <w:r>
              <w:rPr>
                <w:b/>
                <w:kern w:val="0"/>
                <w:sz w:val="21"/>
                <w:szCs w:val="21"/>
              </w:rPr>
              <w:t>　</w:t>
            </w: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b/>
                <w:sz w:val="21"/>
                <w:szCs w:val="21"/>
              </w:rPr>
            </w:pPr>
            <w:r>
              <w:rPr>
                <w:b/>
                <w:kern w:val="0"/>
                <w:sz w:val="21"/>
                <w:szCs w:val="21"/>
              </w:rPr>
              <w:t>　</w:t>
            </w: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b/>
                <w:sz w:val="21"/>
                <w:szCs w:val="21"/>
              </w:rPr>
            </w:pPr>
            <w:r>
              <w:rPr>
                <w:b/>
                <w:kern w:val="0"/>
                <w:sz w:val="21"/>
                <w:szCs w:val="21"/>
              </w:rPr>
              <w:t>　</w:t>
            </w: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b/>
                <w:sz w:val="21"/>
                <w:szCs w:val="21"/>
              </w:rPr>
            </w:pPr>
            <w:r>
              <w:rPr>
                <w:b/>
                <w:kern w:val="0"/>
                <w:sz w:val="21"/>
                <w:szCs w:val="21"/>
              </w:rPr>
              <w:t>　</w:t>
            </w: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21"/>
                <w:szCs w:val="21"/>
              </w:rPr>
            </w:pPr>
            <w:r>
              <w:rPr>
                <w:kern w:val="0"/>
                <w:sz w:val="21"/>
                <w:szCs w:val="21"/>
              </w:rPr>
              <w:t>　</w:t>
            </w: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21"/>
                <w:szCs w:val="21"/>
              </w:rPr>
            </w:pPr>
            <w:r>
              <w:rPr>
                <w:kern w:val="0"/>
                <w:sz w:val="21"/>
                <w:szCs w:val="21"/>
              </w:rPr>
              <w:t>　</w:t>
            </w: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21"/>
                <w:szCs w:val="21"/>
              </w:rPr>
            </w:pPr>
            <w:r>
              <w:rPr>
                <w:kern w:val="0"/>
                <w:sz w:val="21"/>
                <w:szCs w:val="21"/>
              </w:rPr>
              <w:t>　</w:t>
            </w: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21"/>
                <w:szCs w:val="21"/>
              </w:rPr>
            </w:pPr>
            <w:r>
              <w:rPr>
                <w:kern w:val="0"/>
                <w:sz w:val="21"/>
                <w:szCs w:val="21"/>
              </w:rPr>
              <w:t>　</w:t>
            </w: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sz w:val="21"/>
                <w:szCs w:val="21"/>
              </w:rPr>
            </w:pPr>
            <w:r>
              <w:rPr>
                <w:kern w:val="0"/>
                <w:sz w:val="21"/>
                <w:szCs w:val="21"/>
              </w:rPr>
              <w:t>　</w:t>
            </w: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21"/>
                <w:szCs w:val="21"/>
              </w:rPr>
            </w:pPr>
            <w:r>
              <w:rPr>
                <w:kern w:val="0"/>
                <w:sz w:val="21"/>
                <w:szCs w:val="21"/>
              </w:rPr>
              <w:t>　</w:t>
            </w: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21"/>
                <w:szCs w:val="21"/>
              </w:rPr>
            </w:pPr>
            <w:r>
              <w:rPr>
                <w:kern w:val="0"/>
                <w:sz w:val="21"/>
                <w:szCs w:val="21"/>
              </w:rPr>
              <w:t>　</w:t>
            </w: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21"/>
                <w:szCs w:val="21"/>
              </w:rPr>
            </w:pPr>
            <w:r>
              <w:rPr>
                <w:kern w:val="0"/>
                <w:sz w:val="21"/>
                <w:szCs w:val="21"/>
              </w:rPr>
              <w:t>　</w:t>
            </w: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21"/>
                <w:szCs w:val="21"/>
              </w:rPr>
            </w:pPr>
            <w:r>
              <w:rPr>
                <w:kern w:val="0"/>
                <w:sz w:val="21"/>
                <w:szCs w:val="21"/>
              </w:rPr>
              <w:t>　</w:t>
            </w: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sz w:val="21"/>
                <w:szCs w:val="21"/>
              </w:rPr>
            </w:pPr>
            <w:r>
              <w:rPr>
                <w:kern w:val="0"/>
                <w:sz w:val="21"/>
                <w:szCs w:val="21"/>
              </w:rPr>
              <w:t>　</w:t>
            </w: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pPr>
            <w:r>
              <w:rPr>
                <w:kern w:val="0"/>
              </w:rPr>
              <w:t>　</w:t>
            </w: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pPr>
            <w:r>
              <w:rPr>
                <w:kern w:val="0"/>
              </w:rPr>
              <w:t>　</w:t>
            </w: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pPr>
            <w:r>
              <w:rPr>
                <w:kern w:val="0"/>
              </w:rPr>
              <w:t>　</w:t>
            </w: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pPr>
            <w:r>
              <w:rPr>
                <w:kern w:val="0"/>
              </w:rPr>
              <w:t>　</w:t>
            </w: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sz w:val="22"/>
                <w:szCs w:val="22"/>
              </w:rPr>
            </w:pPr>
            <w:r>
              <w:rPr>
                <w:kern w:val="0"/>
                <w:sz w:val="22"/>
                <w:szCs w:val="22"/>
              </w:rPr>
              <w:t>　</w:t>
            </w: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kern w:val="0"/>
                <w:sz w:val="22"/>
                <w:szCs w:val="22"/>
              </w:rPr>
            </w:pP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kern w:val="0"/>
                <w:sz w:val="22"/>
                <w:szCs w:val="22"/>
              </w:rPr>
            </w:pP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kern w:val="0"/>
                <w:sz w:val="22"/>
                <w:szCs w:val="22"/>
              </w:rPr>
            </w:pP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kern w:val="0"/>
                <w:sz w:val="22"/>
                <w:szCs w:val="22"/>
              </w:rPr>
            </w:pP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kern w:val="0"/>
                <w:sz w:val="22"/>
                <w:szCs w:val="22"/>
              </w:rPr>
            </w:pP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kern w:val="0"/>
              </w:rPr>
            </w:pPr>
          </w:p>
        </w:tc>
        <w:tc>
          <w:tcPr>
            <w:tcW w:w="1671"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left"/>
              <w:textAlignment w:val="center"/>
              <w:rPr>
                <w:kern w:val="0"/>
                <w:sz w:val="22"/>
                <w:szCs w:val="22"/>
              </w:rPr>
            </w:pPr>
          </w:p>
        </w:tc>
      </w:tr>
      <w:tr>
        <w:tblPrEx>
          <w:tblLayout w:type="fixed"/>
          <w:tblCellMar>
            <w:top w:w="0" w:type="dxa"/>
            <w:left w:w="0" w:type="dxa"/>
            <w:bottom w:w="0" w:type="dxa"/>
            <w:right w:w="0" w:type="dxa"/>
          </w:tblCellMar>
        </w:tblPrEx>
        <w:trPr>
          <w:trHeight w:val="346" w:hRule="exact"/>
          <w:jc w:val="center"/>
        </w:trPr>
        <w:tc>
          <w:tcPr>
            <w:tcW w:w="1663" w:type="dxa"/>
            <w:tcBorders>
              <w:top w:val="single" w:color="auto" w:sz="4" w:space="0"/>
              <w:left w:val="single" w:color="auto" w:sz="12" w:space="0"/>
              <w:bottom w:val="single" w:color="auto" w:sz="12" w:space="0"/>
              <w:right w:val="single" w:color="auto" w:sz="4" w:space="0"/>
            </w:tcBorders>
            <w:tcMar>
              <w:top w:w="15" w:type="dxa"/>
              <w:left w:w="15" w:type="dxa"/>
              <w:right w:w="15" w:type="dxa"/>
            </w:tcMar>
            <w:vAlign w:val="center"/>
          </w:tcPr>
          <w:p>
            <w:pPr>
              <w:widowControl/>
              <w:jc w:val="center"/>
              <w:textAlignment w:val="center"/>
              <w:rPr>
                <w:kern w:val="0"/>
              </w:rPr>
            </w:pPr>
          </w:p>
        </w:tc>
        <w:tc>
          <w:tcPr>
            <w:tcW w:w="1664"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kern w:val="0"/>
              </w:rPr>
            </w:pPr>
          </w:p>
        </w:tc>
        <w:tc>
          <w:tcPr>
            <w:tcW w:w="1666"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kern w:val="0"/>
              </w:rPr>
            </w:pPr>
          </w:p>
        </w:tc>
        <w:tc>
          <w:tcPr>
            <w:tcW w:w="1671" w:type="dxa"/>
            <w:tcBorders>
              <w:top w:val="single" w:color="auto" w:sz="4" w:space="0"/>
              <w:left w:val="single" w:color="auto" w:sz="4" w:space="0"/>
              <w:bottom w:val="single" w:color="auto" w:sz="12" w:space="0"/>
              <w:right w:val="single" w:color="auto" w:sz="12" w:space="0"/>
            </w:tcBorders>
            <w:tcMar>
              <w:top w:w="15" w:type="dxa"/>
              <w:left w:w="15" w:type="dxa"/>
              <w:right w:w="15" w:type="dxa"/>
            </w:tcMar>
            <w:vAlign w:val="center"/>
          </w:tcPr>
          <w:p>
            <w:pPr>
              <w:widowControl/>
              <w:jc w:val="left"/>
              <w:textAlignment w:val="center"/>
              <w:rPr>
                <w:kern w:val="0"/>
                <w:sz w:val="22"/>
                <w:szCs w:val="22"/>
              </w:rPr>
            </w:pPr>
          </w:p>
        </w:tc>
      </w:tr>
    </w:tbl>
    <w:p>
      <w:pPr>
        <w:spacing w:line="360" w:lineRule="auto"/>
        <w:outlineLvl w:val="2"/>
        <w:rPr>
          <w:rFonts w:eastAsia="黑体"/>
          <w:kern w:val="0"/>
          <w:sz w:val="28"/>
          <w:szCs w:val="28"/>
        </w:rPr>
      </w:pPr>
      <w:bookmarkStart w:id="387" w:name="_Toc26372"/>
      <w:bookmarkStart w:id="388" w:name="_Toc5144"/>
      <w:bookmarkStart w:id="389" w:name="_Toc24015138"/>
      <w:bookmarkStart w:id="390" w:name="_Toc3156"/>
      <w:r>
        <w:rPr>
          <w:rFonts w:eastAsia="黑体"/>
          <w:kern w:val="0"/>
          <w:sz w:val="28"/>
          <w:szCs w:val="28"/>
        </w:rPr>
        <w:t>6.2经营模式、培育目标和作业法</w:t>
      </w:r>
      <w:bookmarkEnd w:id="387"/>
      <w:bookmarkEnd w:id="388"/>
      <w:bookmarkEnd w:id="389"/>
      <w:bookmarkEnd w:id="390"/>
    </w:p>
    <w:p>
      <w:pPr>
        <w:spacing w:line="360" w:lineRule="auto"/>
        <w:ind w:firstLine="480" w:firstLineChars="200"/>
        <w:rPr>
          <w:szCs w:val="24"/>
        </w:rPr>
      </w:pPr>
      <w:r>
        <w:rPr>
          <w:szCs w:val="24"/>
        </w:rPr>
        <w:t>分林种、树种说明经营模式、培育目标（包括目标林相主要技术指标）和采用的作业法</w:t>
      </w:r>
    </w:p>
    <w:p>
      <w:pPr>
        <w:spacing w:line="360" w:lineRule="auto"/>
        <w:outlineLvl w:val="2"/>
        <w:rPr>
          <w:rFonts w:eastAsia="黑体"/>
          <w:kern w:val="0"/>
          <w:sz w:val="28"/>
          <w:szCs w:val="28"/>
        </w:rPr>
      </w:pPr>
      <w:bookmarkStart w:id="391" w:name="_Toc15502"/>
      <w:bookmarkStart w:id="392" w:name="_Toc20911"/>
      <w:bookmarkStart w:id="393" w:name="_Toc15320"/>
      <w:bookmarkStart w:id="394" w:name="_Toc24015139"/>
      <w:r>
        <w:rPr>
          <w:rFonts w:eastAsia="黑体"/>
          <w:kern w:val="0"/>
          <w:sz w:val="28"/>
          <w:szCs w:val="28"/>
        </w:rPr>
        <w:t>6.3主要技术措施</w:t>
      </w:r>
      <w:bookmarkEnd w:id="391"/>
      <w:bookmarkEnd w:id="392"/>
      <w:bookmarkEnd w:id="393"/>
      <w:bookmarkEnd w:id="394"/>
    </w:p>
    <w:p>
      <w:pPr>
        <w:spacing w:line="360" w:lineRule="auto"/>
        <w:ind w:firstLine="480" w:firstLineChars="200"/>
        <w:rPr>
          <w:szCs w:val="24"/>
        </w:rPr>
      </w:pPr>
      <w:r>
        <w:rPr>
          <w:szCs w:val="24"/>
        </w:rPr>
        <w:t>包括林地清理、抚育间伐、修枝整形、补植、培蔸抚育、辅助设施、环境保护、环境影响评价、安全等。</w:t>
      </w:r>
    </w:p>
    <w:p>
      <w:pPr>
        <w:spacing w:line="360" w:lineRule="auto"/>
        <w:outlineLvl w:val="2"/>
        <w:rPr>
          <w:rFonts w:eastAsia="黑体"/>
          <w:kern w:val="0"/>
          <w:sz w:val="28"/>
          <w:szCs w:val="28"/>
        </w:rPr>
      </w:pPr>
      <w:bookmarkStart w:id="395" w:name="_Toc10399"/>
      <w:bookmarkStart w:id="396" w:name="_Toc22456"/>
      <w:bookmarkStart w:id="397" w:name="_Toc23012"/>
      <w:bookmarkStart w:id="398" w:name="_Toc24015140"/>
      <w:r>
        <w:rPr>
          <w:rFonts w:eastAsia="黑体"/>
          <w:kern w:val="0"/>
          <w:sz w:val="28"/>
          <w:szCs w:val="28"/>
        </w:rPr>
        <w:t>6.4项目实施进度安排</w:t>
      </w:r>
      <w:bookmarkEnd w:id="395"/>
      <w:bookmarkEnd w:id="396"/>
      <w:bookmarkEnd w:id="397"/>
      <w:bookmarkEnd w:id="398"/>
    </w:p>
    <w:p>
      <w:pPr>
        <w:spacing w:line="360" w:lineRule="auto"/>
        <w:ind w:firstLine="480" w:firstLineChars="200"/>
        <w:rPr>
          <w:szCs w:val="24"/>
        </w:rPr>
      </w:pPr>
      <w:r>
        <w:rPr>
          <w:szCs w:val="24"/>
        </w:rPr>
        <w:t>详见表6-2：××县××林场（乡镇）××年森林质量精准提升工程实施进度安排表。</w:t>
      </w:r>
    </w:p>
    <w:tbl>
      <w:tblPr>
        <w:tblStyle w:val="18"/>
        <w:tblW w:w="8330" w:type="dxa"/>
        <w:jc w:val="center"/>
        <w:tblInd w:w="0" w:type="dxa"/>
        <w:tblLayout w:type="fixed"/>
        <w:tblCellMar>
          <w:top w:w="0" w:type="dxa"/>
          <w:left w:w="0" w:type="dxa"/>
          <w:bottom w:w="0" w:type="dxa"/>
          <w:right w:w="0" w:type="dxa"/>
        </w:tblCellMar>
      </w:tblPr>
      <w:tblGrid>
        <w:gridCol w:w="308"/>
        <w:gridCol w:w="864"/>
        <w:gridCol w:w="418"/>
        <w:gridCol w:w="418"/>
        <w:gridCol w:w="418"/>
        <w:gridCol w:w="418"/>
        <w:gridCol w:w="428"/>
        <w:gridCol w:w="418"/>
        <w:gridCol w:w="418"/>
        <w:gridCol w:w="418"/>
        <w:gridCol w:w="418"/>
        <w:gridCol w:w="418"/>
        <w:gridCol w:w="418"/>
        <w:gridCol w:w="418"/>
        <w:gridCol w:w="418"/>
        <w:gridCol w:w="418"/>
        <w:gridCol w:w="418"/>
        <w:gridCol w:w="418"/>
        <w:gridCol w:w="460"/>
      </w:tblGrid>
      <w:tr>
        <w:tblPrEx>
          <w:tblLayout w:type="fixed"/>
          <w:tblCellMar>
            <w:top w:w="0" w:type="dxa"/>
            <w:left w:w="0" w:type="dxa"/>
            <w:bottom w:w="0" w:type="dxa"/>
            <w:right w:w="0" w:type="dxa"/>
          </w:tblCellMar>
        </w:tblPrEx>
        <w:trPr>
          <w:trHeight w:val="375" w:hRule="atLeast"/>
          <w:jc w:val="center"/>
        </w:trPr>
        <w:tc>
          <w:tcPr>
            <w:tcW w:w="8330" w:type="dxa"/>
            <w:gridSpan w:val="19"/>
            <w:tcBorders>
              <w:top w:val="nil"/>
              <w:left w:val="nil"/>
              <w:bottom w:val="nil"/>
              <w:right w:val="nil"/>
            </w:tcBorders>
            <w:tcMar>
              <w:top w:w="15" w:type="dxa"/>
              <w:left w:w="15" w:type="dxa"/>
              <w:right w:w="15" w:type="dxa"/>
            </w:tcMar>
            <w:vAlign w:val="center"/>
          </w:tcPr>
          <w:p>
            <w:pPr>
              <w:widowControl/>
              <w:jc w:val="center"/>
              <w:textAlignment w:val="center"/>
              <w:rPr>
                <w:rFonts w:eastAsia="黑体"/>
                <w:sz w:val="28"/>
                <w:szCs w:val="28"/>
              </w:rPr>
            </w:pPr>
            <w:r>
              <w:rPr>
                <w:szCs w:val="24"/>
              </w:rPr>
              <w:t>XX县XX林场（乡镇）XX年森林质量精准提升工程实施进度安排表</w:t>
            </w:r>
          </w:p>
        </w:tc>
      </w:tr>
      <w:tr>
        <w:tblPrEx>
          <w:tblLayout w:type="fixed"/>
          <w:tblCellMar>
            <w:top w:w="0" w:type="dxa"/>
            <w:left w:w="0" w:type="dxa"/>
            <w:bottom w:w="0" w:type="dxa"/>
            <w:right w:w="0" w:type="dxa"/>
          </w:tblCellMar>
        </w:tblPrEx>
        <w:trPr>
          <w:trHeight w:val="270" w:hRule="atLeast"/>
          <w:jc w:val="center"/>
        </w:trPr>
        <w:tc>
          <w:tcPr>
            <w:tcW w:w="1172" w:type="dxa"/>
            <w:gridSpan w:val="2"/>
            <w:tcBorders>
              <w:top w:val="nil"/>
              <w:left w:val="nil"/>
              <w:bottom w:val="single" w:color="auto" w:sz="12" w:space="0"/>
              <w:right w:val="nil"/>
            </w:tcBorders>
            <w:tcMar>
              <w:top w:w="15" w:type="dxa"/>
              <w:left w:w="15" w:type="dxa"/>
              <w:right w:w="15" w:type="dxa"/>
            </w:tcMar>
            <w:vAlign w:val="center"/>
          </w:tcPr>
          <w:p>
            <w:pPr>
              <w:rPr>
                <w:sz w:val="22"/>
                <w:szCs w:val="22"/>
              </w:rPr>
            </w:pPr>
            <w:r>
              <w:rPr>
                <w:rStyle w:val="29"/>
                <w:rFonts w:hint="default" w:ascii="Times New Roman" w:hAnsi="Times New Roman" w:cs="Times New Roman"/>
                <w:color w:val="auto"/>
              </w:rPr>
              <w:t>表</w:t>
            </w:r>
            <w:r>
              <w:rPr>
                <w:rStyle w:val="30"/>
                <w:color w:val="auto"/>
              </w:rPr>
              <w:t>6-2</w:t>
            </w: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2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18" w:type="dxa"/>
            <w:tcBorders>
              <w:top w:val="nil"/>
              <w:left w:val="nil"/>
              <w:bottom w:val="single" w:color="auto" w:sz="12" w:space="0"/>
              <w:right w:val="nil"/>
            </w:tcBorders>
            <w:tcMar>
              <w:top w:w="15" w:type="dxa"/>
              <w:left w:w="15" w:type="dxa"/>
              <w:right w:w="15" w:type="dxa"/>
            </w:tcMar>
            <w:vAlign w:val="center"/>
          </w:tcPr>
          <w:p>
            <w:pPr>
              <w:rPr>
                <w:sz w:val="22"/>
                <w:szCs w:val="22"/>
              </w:rPr>
            </w:pPr>
          </w:p>
        </w:tc>
        <w:tc>
          <w:tcPr>
            <w:tcW w:w="460" w:type="dxa"/>
            <w:tcBorders>
              <w:top w:val="nil"/>
              <w:left w:val="nil"/>
              <w:bottom w:val="single" w:color="auto" w:sz="12" w:space="0"/>
              <w:right w:val="nil"/>
            </w:tcBorders>
            <w:tcMar>
              <w:top w:w="15" w:type="dxa"/>
              <w:left w:w="15" w:type="dxa"/>
              <w:right w:w="15" w:type="dxa"/>
            </w:tcMar>
            <w:vAlign w:val="center"/>
          </w:tcPr>
          <w:p>
            <w:pPr>
              <w:rPr>
                <w:sz w:val="22"/>
                <w:szCs w:val="22"/>
              </w:rPr>
            </w:pPr>
          </w:p>
        </w:tc>
      </w:tr>
      <w:tr>
        <w:tblPrEx>
          <w:tblLayout w:type="fixed"/>
          <w:tblCellMar>
            <w:top w:w="0" w:type="dxa"/>
            <w:left w:w="0" w:type="dxa"/>
            <w:bottom w:w="0" w:type="dxa"/>
            <w:right w:w="0" w:type="dxa"/>
          </w:tblCellMar>
        </w:tblPrEx>
        <w:trPr>
          <w:trHeight w:val="340" w:hRule="atLeast"/>
          <w:jc w:val="center"/>
        </w:trPr>
        <w:tc>
          <w:tcPr>
            <w:tcW w:w="308" w:type="dxa"/>
            <w:vMerge w:val="restart"/>
            <w:tcBorders>
              <w:top w:val="single" w:color="auto" w:sz="12"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序号</w:t>
            </w:r>
          </w:p>
        </w:tc>
        <w:tc>
          <w:tcPr>
            <w:tcW w:w="864" w:type="dxa"/>
            <w:vMerge w:val="restart"/>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项目</w:t>
            </w:r>
          </w:p>
        </w:tc>
        <w:tc>
          <w:tcPr>
            <w:tcW w:w="2100" w:type="dxa"/>
            <w:gridSpan w:val="5"/>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××年</w:t>
            </w:r>
          </w:p>
        </w:tc>
        <w:tc>
          <w:tcPr>
            <w:tcW w:w="5058" w:type="dxa"/>
            <w:gridSpan w:val="12"/>
            <w:tcBorders>
              <w:top w:val="single" w:color="auto" w:sz="12"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sz w:val="18"/>
                <w:szCs w:val="18"/>
              </w:rPr>
            </w:pPr>
            <w:r>
              <w:rPr>
                <w:kern w:val="0"/>
                <w:sz w:val="18"/>
                <w:szCs w:val="18"/>
              </w:rPr>
              <w:t>××年</w:t>
            </w:r>
          </w:p>
        </w:tc>
      </w:tr>
      <w:tr>
        <w:tblPrEx>
          <w:tblLayout w:type="fixed"/>
          <w:tblCellMar>
            <w:top w:w="0" w:type="dxa"/>
            <w:left w:w="0" w:type="dxa"/>
            <w:bottom w:w="0" w:type="dxa"/>
            <w:right w:w="0" w:type="dxa"/>
          </w:tblCellMar>
        </w:tblPrEx>
        <w:trPr>
          <w:trHeight w:val="340" w:hRule="atLeast"/>
          <w:jc w:val="center"/>
        </w:trPr>
        <w:tc>
          <w:tcPr>
            <w:tcW w:w="308" w:type="dxa"/>
            <w:vMerge w:val="continue"/>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jc w:val="center"/>
              <w:rPr>
                <w:sz w:val="18"/>
                <w:szCs w:val="18"/>
              </w:rPr>
            </w:pPr>
          </w:p>
        </w:tc>
        <w:tc>
          <w:tcPr>
            <w:tcW w:w="86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sz w:val="18"/>
                <w:szCs w:val="18"/>
              </w:rPr>
            </w:pP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8</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9</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10</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11</w:t>
            </w:r>
            <w:r>
              <w:rPr>
                <w:rStyle w:val="31"/>
                <w:rFonts w:hint="default" w:ascii="Times New Roman" w:hAnsi="Times New Roman" w:cs="Times New Roman"/>
                <w:color w:val="auto"/>
                <w:sz w:val="18"/>
                <w:szCs w:val="18"/>
              </w:rPr>
              <w:t>月</w:t>
            </w:r>
          </w:p>
        </w:tc>
        <w:tc>
          <w:tcPr>
            <w:tcW w:w="4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12</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1</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2</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3</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4</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5</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6</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7</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8</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9</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10</w:t>
            </w:r>
            <w:r>
              <w:rPr>
                <w:rStyle w:val="31"/>
                <w:rFonts w:hint="default" w:ascii="Times New Roman" w:hAnsi="Times New Roman" w:cs="Times New Roman"/>
                <w:color w:val="auto"/>
                <w:sz w:val="18"/>
                <w:szCs w:val="18"/>
              </w:rPr>
              <w:t>月</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11</w:t>
            </w:r>
            <w:r>
              <w:rPr>
                <w:rStyle w:val="31"/>
                <w:rFonts w:hint="default" w:ascii="Times New Roman" w:hAnsi="Times New Roman" w:cs="Times New Roman"/>
                <w:color w:val="auto"/>
                <w:sz w:val="18"/>
                <w:szCs w:val="18"/>
              </w:rPr>
              <w:t>月</w:t>
            </w:r>
          </w:p>
        </w:tc>
        <w:tc>
          <w:tcPr>
            <w:tcW w:w="460"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sz w:val="18"/>
                <w:szCs w:val="18"/>
              </w:rPr>
            </w:pPr>
            <w:r>
              <w:rPr>
                <w:kern w:val="0"/>
                <w:sz w:val="18"/>
                <w:szCs w:val="18"/>
              </w:rPr>
              <w:t>12</w:t>
            </w:r>
            <w:r>
              <w:rPr>
                <w:rStyle w:val="31"/>
                <w:rFonts w:hint="default" w:ascii="Times New Roman" w:hAnsi="Times New Roman" w:cs="Times New Roman"/>
                <w:color w:val="auto"/>
                <w:sz w:val="18"/>
                <w:szCs w:val="18"/>
              </w:rPr>
              <w:t>月</w:t>
            </w:r>
          </w:p>
        </w:tc>
      </w:tr>
      <w:tr>
        <w:tblPrEx>
          <w:tblLayout w:type="fixed"/>
          <w:tblCellMar>
            <w:top w:w="0" w:type="dxa"/>
            <w:left w:w="0" w:type="dxa"/>
            <w:bottom w:w="0" w:type="dxa"/>
            <w:right w:w="0" w:type="dxa"/>
          </w:tblCellMar>
        </w:tblPrEx>
        <w:trPr>
          <w:trHeight w:val="340" w:hRule="atLeast"/>
          <w:jc w:val="center"/>
        </w:trPr>
        <w:tc>
          <w:tcPr>
            <w:tcW w:w="308"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1</w:t>
            </w:r>
          </w:p>
        </w:tc>
        <w:tc>
          <w:tcPr>
            <w:tcW w:w="8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作业设计</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60"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r>
      <w:tr>
        <w:tblPrEx>
          <w:tblLayout w:type="fixed"/>
          <w:tblCellMar>
            <w:top w:w="0" w:type="dxa"/>
            <w:left w:w="0" w:type="dxa"/>
            <w:bottom w:w="0" w:type="dxa"/>
            <w:right w:w="0" w:type="dxa"/>
          </w:tblCellMar>
        </w:tblPrEx>
        <w:trPr>
          <w:trHeight w:val="340" w:hRule="atLeast"/>
          <w:jc w:val="center"/>
        </w:trPr>
        <w:tc>
          <w:tcPr>
            <w:tcW w:w="308"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2</w:t>
            </w:r>
          </w:p>
        </w:tc>
        <w:tc>
          <w:tcPr>
            <w:tcW w:w="8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林地清理</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60"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r>
      <w:tr>
        <w:tblPrEx>
          <w:tblLayout w:type="fixed"/>
          <w:tblCellMar>
            <w:top w:w="0" w:type="dxa"/>
            <w:left w:w="0" w:type="dxa"/>
            <w:bottom w:w="0" w:type="dxa"/>
            <w:right w:w="0" w:type="dxa"/>
          </w:tblCellMar>
        </w:tblPrEx>
        <w:trPr>
          <w:trHeight w:val="340" w:hRule="atLeast"/>
          <w:jc w:val="center"/>
        </w:trPr>
        <w:tc>
          <w:tcPr>
            <w:tcW w:w="308"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3</w:t>
            </w:r>
          </w:p>
        </w:tc>
        <w:tc>
          <w:tcPr>
            <w:tcW w:w="8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间伐抚育</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60"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r>
      <w:tr>
        <w:tblPrEx>
          <w:tblLayout w:type="fixed"/>
          <w:tblCellMar>
            <w:top w:w="0" w:type="dxa"/>
            <w:left w:w="0" w:type="dxa"/>
            <w:bottom w:w="0" w:type="dxa"/>
            <w:right w:w="0" w:type="dxa"/>
          </w:tblCellMar>
        </w:tblPrEx>
        <w:trPr>
          <w:trHeight w:val="340" w:hRule="atLeast"/>
          <w:jc w:val="center"/>
        </w:trPr>
        <w:tc>
          <w:tcPr>
            <w:tcW w:w="308"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4</w:t>
            </w:r>
          </w:p>
        </w:tc>
        <w:tc>
          <w:tcPr>
            <w:tcW w:w="8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补植补造</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60"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r>
      <w:tr>
        <w:tblPrEx>
          <w:tblLayout w:type="fixed"/>
          <w:tblCellMar>
            <w:top w:w="0" w:type="dxa"/>
            <w:left w:w="0" w:type="dxa"/>
            <w:bottom w:w="0" w:type="dxa"/>
            <w:right w:w="0" w:type="dxa"/>
          </w:tblCellMar>
        </w:tblPrEx>
        <w:trPr>
          <w:trHeight w:val="340" w:hRule="atLeast"/>
          <w:jc w:val="center"/>
        </w:trPr>
        <w:tc>
          <w:tcPr>
            <w:tcW w:w="308"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5</w:t>
            </w:r>
          </w:p>
        </w:tc>
        <w:tc>
          <w:tcPr>
            <w:tcW w:w="8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培蔸抚育</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60"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r>
      <w:tr>
        <w:tblPrEx>
          <w:tblLayout w:type="fixed"/>
          <w:tblCellMar>
            <w:top w:w="0" w:type="dxa"/>
            <w:left w:w="0" w:type="dxa"/>
            <w:bottom w:w="0" w:type="dxa"/>
            <w:right w:w="0" w:type="dxa"/>
          </w:tblCellMar>
        </w:tblPrEx>
        <w:trPr>
          <w:trHeight w:val="340" w:hRule="atLeast"/>
          <w:jc w:val="center"/>
        </w:trPr>
        <w:tc>
          <w:tcPr>
            <w:tcW w:w="308" w:type="dxa"/>
            <w:tcBorders>
              <w:top w:val="single" w:color="auto" w:sz="4" w:space="0"/>
              <w:left w:val="single" w:color="auto" w:sz="12"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6</w:t>
            </w:r>
          </w:p>
        </w:tc>
        <w:tc>
          <w:tcPr>
            <w:tcW w:w="86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管理</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60" w:type="dxa"/>
            <w:tcBorders>
              <w:top w:val="single" w:color="auto" w:sz="4" w:space="0"/>
              <w:left w:val="single" w:color="auto" w:sz="4" w:space="0"/>
              <w:bottom w:val="single" w:color="auto" w:sz="4" w:space="0"/>
              <w:right w:val="single" w:color="auto" w:sz="12"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r>
      <w:tr>
        <w:tblPrEx>
          <w:tblLayout w:type="fixed"/>
          <w:tblCellMar>
            <w:top w:w="0" w:type="dxa"/>
            <w:left w:w="0" w:type="dxa"/>
            <w:bottom w:w="0" w:type="dxa"/>
            <w:right w:w="0" w:type="dxa"/>
          </w:tblCellMar>
        </w:tblPrEx>
        <w:trPr>
          <w:trHeight w:val="340" w:hRule="atLeast"/>
          <w:jc w:val="center"/>
        </w:trPr>
        <w:tc>
          <w:tcPr>
            <w:tcW w:w="308" w:type="dxa"/>
            <w:tcBorders>
              <w:top w:val="single" w:color="auto" w:sz="4" w:space="0"/>
              <w:left w:val="single" w:color="auto" w:sz="12"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7</w:t>
            </w:r>
          </w:p>
        </w:tc>
        <w:tc>
          <w:tcPr>
            <w:tcW w:w="864"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验收</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2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　</w:t>
            </w:r>
          </w:p>
        </w:tc>
        <w:tc>
          <w:tcPr>
            <w:tcW w:w="418"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widowControl/>
              <w:jc w:val="center"/>
              <w:textAlignment w:val="center"/>
              <w:rPr>
                <w:sz w:val="18"/>
                <w:szCs w:val="18"/>
              </w:rPr>
            </w:pPr>
            <w:r>
              <w:rPr>
                <w:kern w:val="0"/>
                <w:sz w:val="18"/>
                <w:szCs w:val="18"/>
              </w:rPr>
              <w:t>—</w:t>
            </w:r>
          </w:p>
        </w:tc>
        <w:tc>
          <w:tcPr>
            <w:tcW w:w="460" w:type="dxa"/>
            <w:tcBorders>
              <w:top w:val="single" w:color="auto" w:sz="4" w:space="0"/>
              <w:left w:val="single" w:color="auto" w:sz="4" w:space="0"/>
              <w:bottom w:val="single" w:color="auto" w:sz="12" w:space="0"/>
              <w:right w:val="single" w:color="auto" w:sz="12" w:space="0"/>
            </w:tcBorders>
            <w:tcMar>
              <w:top w:w="15" w:type="dxa"/>
              <w:left w:w="15" w:type="dxa"/>
              <w:right w:w="15" w:type="dxa"/>
            </w:tcMar>
            <w:vAlign w:val="center"/>
          </w:tcPr>
          <w:p>
            <w:pPr>
              <w:widowControl/>
              <w:jc w:val="left"/>
              <w:textAlignment w:val="center"/>
              <w:rPr>
                <w:sz w:val="18"/>
                <w:szCs w:val="18"/>
              </w:rPr>
            </w:pPr>
            <w:r>
              <w:rPr>
                <w:kern w:val="0"/>
                <w:sz w:val="18"/>
                <w:szCs w:val="18"/>
              </w:rPr>
              <w:t>　</w:t>
            </w:r>
          </w:p>
        </w:tc>
      </w:tr>
    </w:tbl>
    <w:p>
      <w:pPr>
        <w:spacing w:line="360" w:lineRule="auto"/>
        <w:jc w:val="center"/>
        <w:outlineLvl w:val="1"/>
        <w:rPr>
          <w:rFonts w:eastAsia="黑体"/>
          <w:kern w:val="0"/>
          <w:sz w:val="30"/>
          <w:szCs w:val="30"/>
        </w:rPr>
      </w:pPr>
      <w:bookmarkStart w:id="399" w:name="_Toc4651"/>
      <w:bookmarkStart w:id="400" w:name="_Toc30802"/>
      <w:bookmarkStart w:id="401" w:name="_Toc28503"/>
      <w:bookmarkStart w:id="402" w:name="_Toc5342"/>
      <w:bookmarkStart w:id="403" w:name="_Toc8355"/>
      <w:r>
        <w:rPr>
          <w:rFonts w:eastAsia="黑体"/>
          <w:kern w:val="0"/>
          <w:sz w:val="30"/>
          <w:szCs w:val="30"/>
        </w:rPr>
        <w:t>第七章 投资估算与资金筹措</w:t>
      </w:r>
      <w:bookmarkEnd w:id="399"/>
      <w:bookmarkEnd w:id="400"/>
      <w:bookmarkEnd w:id="401"/>
      <w:bookmarkEnd w:id="402"/>
      <w:bookmarkEnd w:id="403"/>
    </w:p>
    <w:p>
      <w:pPr>
        <w:spacing w:line="360" w:lineRule="auto"/>
        <w:outlineLvl w:val="2"/>
        <w:rPr>
          <w:rFonts w:eastAsia="黑体"/>
          <w:kern w:val="0"/>
          <w:sz w:val="28"/>
          <w:szCs w:val="28"/>
        </w:rPr>
      </w:pPr>
      <w:bookmarkStart w:id="404" w:name="_Toc24015142"/>
      <w:bookmarkStart w:id="405" w:name="_Toc32693"/>
      <w:bookmarkStart w:id="406" w:name="_Toc3222"/>
      <w:bookmarkStart w:id="407" w:name="_Toc380067442"/>
      <w:bookmarkStart w:id="408" w:name="_Toc378680504"/>
      <w:bookmarkStart w:id="409" w:name="_Toc13745"/>
      <w:bookmarkStart w:id="410" w:name="_Toc10946"/>
      <w:bookmarkStart w:id="411" w:name="_Toc378430374"/>
      <w:bookmarkStart w:id="412" w:name="_Toc479598682"/>
      <w:bookmarkStart w:id="413" w:name="_Toc408989486"/>
      <w:r>
        <w:rPr>
          <w:rFonts w:eastAsia="黑体"/>
          <w:kern w:val="0"/>
          <w:sz w:val="28"/>
          <w:szCs w:val="28"/>
        </w:rPr>
        <w:t>7.1 投资估算依据</w:t>
      </w:r>
      <w:bookmarkEnd w:id="404"/>
      <w:bookmarkEnd w:id="405"/>
      <w:bookmarkEnd w:id="406"/>
      <w:bookmarkEnd w:id="407"/>
      <w:bookmarkEnd w:id="408"/>
      <w:bookmarkEnd w:id="409"/>
      <w:bookmarkEnd w:id="410"/>
      <w:bookmarkEnd w:id="411"/>
      <w:bookmarkEnd w:id="412"/>
      <w:bookmarkEnd w:id="413"/>
    </w:p>
    <w:p>
      <w:pPr>
        <w:spacing w:line="360" w:lineRule="auto"/>
        <w:ind w:firstLine="480" w:firstLineChars="200"/>
        <w:rPr>
          <w:szCs w:val="24"/>
        </w:rPr>
      </w:pPr>
      <w:r>
        <w:rPr>
          <w:szCs w:val="24"/>
        </w:rPr>
        <w:t>(1)国家和地方的相应法律、法规、政策；</w:t>
      </w:r>
    </w:p>
    <w:p>
      <w:pPr>
        <w:spacing w:line="360" w:lineRule="auto"/>
        <w:ind w:firstLine="480" w:firstLineChars="200"/>
        <w:rPr>
          <w:szCs w:val="24"/>
        </w:rPr>
      </w:pPr>
      <w:r>
        <w:rPr>
          <w:szCs w:val="24"/>
        </w:rPr>
        <w:t>(2)XX县近3年的有关技术经济指标；</w:t>
      </w:r>
    </w:p>
    <w:p>
      <w:pPr>
        <w:spacing w:line="360" w:lineRule="auto"/>
        <w:ind w:firstLine="480" w:firstLineChars="200"/>
        <w:rPr>
          <w:szCs w:val="24"/>
        </w:rPr>
      </w:pPr>
      <w:r>
        <w:rPr>
          <w:szCs w:val="24"/>
        </w:rPr>
        <w:t>(3)XX县各类林业项目及国有林场、森工企业的人工造林、森林抚育投入情况及近年来XX县社会民工工资水平；</w:t>
      </w:r>
    </w:p>
    <w:p>
      <w:pPr>
        <w:spacing w:line="360" w:lineRule="auto"/>
        <w:ind w:firstLine="480" w:firstLineChars="200"/>
        <w:rPr>
          <w:szCs w:val="24"/>
        </w:rPr>
      </w:pPr>
      <w:r>
        <w:rPr>
          <w:szCs w:val="24"/>
        </w:rPr>
        <w:t>(4)苗木等费用根据项目建设要求按现行市场价格估算；</w:t>
      </w:r>
    </w:p>
    <w:p>
      <w:pPr>
        <w:spacing w:line="360" w:lineRule="auto"/>
        <w:ind w:firstLine="480" w:firstLineChars="200"/>
        <w:rPr>
          <w:szCs w:val="24"/>
        </w:rPr>
      </w:pPr>
      <w:r>
        <w:rPr>
          <w:szCs w:val="24"/>
        </w:rPr>
        <w:t>(5)勘察设计、工程监理等费用参照“林产工业规划概算编制办法”计算。</w:t>
      </w:r>
    </w:p>
    <w:p>
      <w:pPr>
        <w:spacing w:line="360" w:lineRule="auto"/>
        <w:outlineLvl w:val="2"/>
        <w:rPr>
          <w:rFonts w:eastAsia="黑体"/>
          <w:kern w:val="0"/>
          <w:sz w:val="28"/>
          <w:szCs w:val="28"/>
        </w:rPr>
      </w:pPr>
      <w:bookmarkStart w:id="414" w:name="_Toc391233002"/>
      <w:bookmarkStart w:id="415" w:name="_Toc12169"/>
      <w:bookmarkStart w:id="416" w:name="_Toc294"/>
      <w:bookmarkStart w:id="417" w:name="_Toc122749465"/>
      <w:bookmarkStart w:id="418" w:name="_Toc37497643"/>
      <w:bookmarkStart w:id="419" w:name="_Toc22859"/>
      <w:bookmarkStart w:id="420" w:name="_Toc24015143"/>
      <w:bookmarkStart w:id="421" w:name="_Toc245175178"/>
      <w:bookmarkStart w:id="422" w:name="_Toc21927062"/>
      <w:bookmarkStart w:id="423" w:name="_Toc37495235"/>
      <w:bookmarkStart w:id="424" w:name="_Toc5850"/>
      <w:bookmarkStart w:id="425" w:name="_Toc266374969"/>
      <w:bookmarkStart w:id="426" w:name="_Toc189038519"/>
      <w:bookmarkStart w:id="427" w:name="_Toc30352271"/>
      <w:r>
        <w:rPr>
          <w:rFonts w:eastAsia="黑体"/>
          <w:kern w:val="0"/>
          <w:sz w:val="28"/>
          <w:szCs w:val="28"/>
        </w:rPr>
        <w:t>7.2 投资估算范围</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spacing w:line="360" w:lineRule="auto"/>
        <w:ind w:firstLine="480" w:firstLineChars="200"/>
        <w:rPr>
          <w:szCs w:val="24"/>
        </w:rPr>
      </w:pPr>
      <w:r>
        <w:rPr>
          <w:szCs w:val="24"/>
        </w:rPr>
        <w:t>项目投资估算范围包括工程建设的直接费用和间接费用。</w:t>
      </w:r>
    </w:p>
    <w:p>
      <w:pPr>
        <w:spacing w:line="360" w:lineRule="auto"/>
        <w:outlineLvl w:val="2"/>
        <w:rPr>
          <w:rFonts w:eastAsia="黑体"/>
          <w:kern w:val="0"/>
          <w:sz w:val="28"/>
          <w:szCs w:val="28"/>
        </w:rPr>
      </w:pPr>
      <w:bookmarkStart w:id="428" w:name="_Toc5314"/>
      <w:bookmarkStart w:id="429" w:name="_Toc4550"/>
      <w:bookmarkStart w:id="430" w:name="_Toc15827"/>
      <w:r>
        <w:rPr>
          <w:rFonts w:eastAsia="黑体"/>
          <w:kern w:val="0"/>
          <w:sz w:val="28"/>
          <w:szCs w:val="28"/>
        </w:rPr>
        <w:t>7.3 主要指标</w:t>
      </w:r>
      <w:bookmarkEnd w:id="428"/>
      <w:bookmarkEnd w:id="429"/>
      <w:bookmarkEnd w:id="430"/>
    </w:p>
    <w:p>
      <w:pPr>
        <w:spacing w:line="360" w:lineRule="auto"/>
        <w:outlineLvl w:val="3"/>
        <w:rPr>
          <w:rFonts w:eastAsia="黑体"/>
          <w:kern w:val="0"/>
          <w:szCs w:val="24"/>
        </w:rPr>
      </w:pPr>
      <w:bookmarkStart w:id="431" w:name="_Toc8581"/>
      <w:bookmarkStart w:id="432" w:name="_Toc14518"/>
      <w:bookmarkStart w:id="433" w:name="_Toc24015144"/>
      <w:bookmarkStart w:id="434" w:name="_Toc5267"/>
      <w:r>
        <w:rPr>
          <w:rFonts w:eastAsia="黑体"/>
          <w:kern w:val="0"/>
          <w:szCs w:val="24"/>
        </w:rPr>
        <w:t>7.3.1 工程建设直接费</w:t>
      </w:r>
      <w:bookmarkEnd w:id="431"/>
      <w:bookmarkEnd w:id="432"/>
      <w:bookmarkEnd w:id="433"/>
      <w:bookmarkEnd w:id="434"/>
    </w:p>
    <w:p>
      <w:pPr>
        <w:spacing w:line="360" w:lineRule="auto"/>
        <w:ind w:firstLine="480" w:firstLineChars="200"/>
        <w:rPr>
          <w:szCs w:val="24"/>
        </w:rPr>
      </w:pPr>
      <w:r>
        <w:rPr>
          <w:szCs w:val="24"/>
        </w:rPr>
        <w:t>(1)劳务费包括：林地清理和抚育间伐工资（含机械设备、油料、剩余物清理工资、林木分级），以及补植补造和培蔸抚育工资。</w:t>
      </w:r>
    </w:p>
    <w:p>
      <w:pPr>
        <w:spacing w:line="360" w:lineRule="auto"/>
        <w:ind w:firstLine="480" w:firstLineChars="200"/>
        <w:rPr>
          <w:szCs w:val="24"/>
        </w:rPr>
      </w:pPr>
      <w:r>
        <w:rPr>
          <w:szCs w:val="24"/>
        </w:rPr>
        <w:t>(2)种苗费包括补植补造所需的苗木费。</w:t>
      </w:r>
    </w:p>
    <w:p>
      <w:pPr>
        <w:spacing w:line="360" w:lineRule="auto"/>
        <w:outlineLvl w:val="3"/>
        <w:rPr>
          <w:rFonts w:eastAsia="黑体"/>
          <w:kern w:val="0"/>
          <w:szCs w:val="24"/>
        </w:rPr>
      </w:pPr>
      <w:bookmarkStart w:id="435" w:name="_Toc29775"/>
      <w:bookmarkStart w:id="436" w:name="_Toc22638"/>
      <w:bookmarkStart w:id="437" w:name="_Toc24015145"/>
      <w:bookmarkStart w:id="438" w:name="_Toc25332"/>
      <w:r>
        <w:rPr>
          <w:rFonts w:eastAsia="黑体"/>
          <w:kern w:val="0"/>
          <w:szCs w:val="24"/>
        </w:rPr>
        <w:t>7.3.2 工程建设其它费</w:t>
      </w:r>
      <w:bookmarkEnd w:id="435"/>
      <w:bookmarkEnd w:id="436"/>
      <w:bookmarkEnd w:id="437"/>
      <w:bookmarkEnd w:id="438"/>
    </w:p>
    <w:p>
      <w:pPr>
        <w:spacing w:line="360" w:lineRule="auto"/>
        <w:ind w:firstLine="480" w:firstLineChars="200"/>
        <w:rPr>
          <w:szCs w:val="24"/>
        </w:rPr>
      </w:pPr>
      <w:r>
        <w:rPr>
          <w:szCs w:val="24"/>
        </w:rPr>
        <w:t>建设单位管理费为工程建设费的1.5%、规划设计费为工程建设费的2.5%、工程监理费为工程建设费的1%。</w:t>
      </w:r>
    </w:p>
    <w:p>
      <w:pPr>
        <w:spacing w:line="360" w:lineRule="auto"/>
        <w:outlineLvl w:val="3"/>
        <w:rPr>
          <w:rFonts w:eastAsia="黑体"/>
          <w:kern w:val="0"/>
          <w:szCs w:val="24"/>
        </w:rPr>
      </w:pPr>
      <w:bookmarkStart w:id="439" w:name="_Toc7867"/>
      <w:bookmarkStart w:id="440" w:name="_Toc8720"/>
      <w:bookmarkStart w:id="441" w:name="_Toc24015146"/>
      <w:r>
        <w:rPr>
          <w:rFonts w:eastAsia="黑体"/>
          <w:kern w:val="0"/>
          <w:szCs w:val="24"/>
        </w:rPr>
        <w:t>7.3.3基本预备费</w:t>
      </w:r>
      <w:bookmarkEnd w:id="439"/>
      <w:bookmarkEnd w:id="440"/>
      <w:bookmarkEnd w:id="441"/>
    </w:p>
    <w:p>
      <w:pPr>
        <w:spacing w:line="360" w:lineRule="auto"/>
        <w:ind w:firstLine="480" w:firstLineChars="200"/>
        <w:rPr>
          <w:szCs w:val="24"/>
        </w:rPr>
      </w:pPr>
      <w:r>
        <w:rPr>
          <w:szCs w:val="24"/>
        </w:rPr>
        <w:t>基本预备费为工程建设费与工程建设其它费之和的3%。</w:t>
      </w:r>
    </w:p>
    <w:p>
      <w:pPr>
        <w:spacing w:line="360" w:lineRule="auto"/>
        <w:outlineLvl w:val="2"/>
        <w:rPr>
          <w:rFonts w:eastAsia="黑体"/>
          <w:kern w:val="0"/>
          <w:sz w:val="28"/>
          <w:szCs w:val="28"/>
        </w:rPr>
      </w:pPr>
      <w:bookmarkStart w:id="442" w:name="_Toc24015148"/>
      <w:bookmarkStart w:id="443" w:name="_Toc380067444"/>
      <w:bookmarkStart w:id="444" w:name="_Toc479598684"/>
      <w:bookmarkStart w:id="445" w:name="_Toc408989488"/>
      <w:bookmarkStart w:id="446" w:name="_Toc25603"/>
      <w:bookmarkStart w:id="447" w:name="_Toc9824"/>
      <w:bookmarkStart w:id="448" w:name="_Toc17129"/>
      <w:bookmarkStart w:id="449" w:name="_Toc10044"/>
      <w:r>
        <w:rPr>
          <w:rFonts w:eastAsia="黑体"/>
          <w:kern w:val="0"/>
          <w:sz w:val="28"/>
          <w:szCs w:val="28"/>
        </w:rPr>
        <w:t>7.4 投资</w:t>
      </w:r>
      <w:bookmarkEnd w:id="442"/>
      <w:bookmarkEnd w:id="443"/>
      <w:bookmarkEnd w:id="444"/>
      <w:bookmarkEnd w:id="445"/>
      <w:bookmarkEnd w:id="446"/>
      <w:r>
        <w:rPr>
          <w:rFonts w:eastAsia="黑体"/>
          <w:kern w:val="0"/>
          <w:sz w:val="28"/>
          <w:szCs w:val="28"/>
        </w:rPr>
        <w:t>估算</w:t>
      </w:r>
      <w:bookmarkEnd w:id="447"/>
      <w:bookmarkEnd w:id="448"/>
      <w:bookmarkEnd w:id="449"/>
    </w:p>
    <w:p>
      <w:pPr>
        <w:spacing w:line="360" w:lineRule="auto"/>
        <w:ind w:firstLine="480" w:firstLineChars="200"/>
        <w:rPr>
          <w:szCs w:val="24"/>
        </w:rPr>
      </w:pPr>
      <w:r>
        <w:rPr>
          <w:szCs w:val="24"/>
        </w:rPr>
        <w:t>经估算，湖南省XX县XX林场（乡镇）XX年森林质量精准提升工程总投资为XX万元，其中工程直接费XX万元、占总投资的XX%，工程间接费XX万元(工程建设其它费用XX万元、基本预备费XX万元)、占总投资的XX%。</w:t>
      </w:r>
    </w:p>
    <w:p>
      <w:pPr>
        <w:spacing w:line="360" w:lineRule="auto"/>
        <w:outlineLvl w:val="2"/>
        <w:rPr>
          <w:rFonts w:eastAsia="黑体"/>
          <w:kern w:val="0"/>
          <w:sz w:val="28"/>
          <w:szCs w:val="28"/>
        </w:rPr>
      </w:pPr>
      <w:bookmarkStart w:id="450" w:name="_Toc408989489"/>
      <w:bookmarkStart w:id="451" w:name="_Toc378430377"/>
      <w:bookmarkStart w:id="452" w:name="_Toc479598685"/>
      <w:bookmarkStart w:id="453" w:name="_Toc336355339"/>
      <w:bookmarkStart w:id="454" w:name="_Toc378680507"/>
      <w:bookmarkStart w:id="455" w:name="_Toc380067445"/>
      <w:bookmarkStart w:id="456" w:name="_Toc24015149"/>
      <w:bookmarkStart w:id="457" w:name="_Toc14585"/>
      <w:bookmarkStart w:id="458" w:name="_Toc22257"/>
      <w:bookmarkStart w:id="459" w:name="_Toc31436"/>
      <w:bookmarkStart w:id="460" w:name="_Toc12521"/>
      <w:r>
        <w:rPr>
          <w:rFonts w:eastAsia="黑体"/>
          <w:kern w:val="0"/>
          <w:sz w:val="28"/>
          <w:szCs w:val="28"/>
        </w:rPr>
        <w:t>7.5 资金</w:t>
      </w:r>
      <w:bookmarkEnd w:id="450"/>
      <w:bookmarkEnd w:id="451"/>
      <w:bookmarkEnd w:id="452"/>
      <w:bookmarkEnd w:id="453"/>
      <w:bookmarkEnd w:id="454"/>
      <w:bookmarkEnd w:id="455"/>
      <w:r>
        <w:rPr>
          <w:rFonts w:eastAsia="黑体"/>
          <w:kern w:val="0"/>
          <w:sz w:val="28"/>
          <w:szCs w:val="28"/>
        </w:rPr>
        <w:t>筹措</w:t>
      </w:r>
      <w:bookmarkEnd w:id="456"/>
      <w:bookmarkEnd w:id="457"/>
      <w:bookmarkEnd w:id="458"/>
      <w:bookmarkEnd w:id="459"/>
      <w:bookmarkEnd w:id="460"/>
    </w:p>
    <w:p>
      <w:pPr>
        <w:spacing w:line="360" w:lineRule="auto"/>
        <w:ind w:firstLine="480" w:firstLineChars="200"/>
        <w:rPr>
          <w:szCs w:val="24"/>
        </w:rPr>
      </w:pPr>
      <w:r>
        <w:rPr>
          <w:szCs w:val="24"/>
        </w:rPr>
        <w:t>湖南省XX县XX林场（乡镇）XX年森林质量精准提升工程总投资为XX万元，建设资金来源由中央投资、地方配套和单位自筹三部分组成。申请中央预算内投资XXX万元，占总投资的XX.XX%；地方配套XX万元，占总投资的XX.XX%；单位自筹（职工投工折资）XX万元，占总投资的XX.XX%。</w:t>
      </w:r>
    </w:p>
    <w:p>
      <w:pPr>
        <w:spacing w:line="360" w:lineRule="auto"/>
        <w:jc w:val="center"/>
        <w:outlineLvl w:val="1"/>
        <w:rPr>
          <w:rFonts w:eastAsia="黑体"/>
          <w:kern w:val="0"/>
          <w:sz w:val="30"/>
          <w:szCs w:val="30"/>
        </w:rPr>
      </w:pPr>
      <w:bookmarkStart w:id="461" w:name="_Toc12079"/>
      <w:bookmarkStart w:id="462" w:name="_Toc2256"/>
      <w:bookmarkStart w:id="463" w:name="_Toc5636"/>
      <w:bookmarkStart w:id="464" w:name="_Toc31434"/>
      <w:bookmarkStart w:id="465" w:name="_Toc19026"/>
      <w:r>
        <w:rPr>
          <w:rFonts w:eastAsia="黑体"/>
          <w:kern w:val="0"/>
          <w:sz w:val="30"/>
          <w:szCs w:val="30"/>
        </w:rPr>
        <w:t>第八章 效益分析</w:t>
      </w:r>
      <w:bookmarkEnd w:id="461"/>
      <w:bookmarkEnd w:id="462"/>
      <w:bookmarkEnd w:id="463"/>
      <w:bookmarkEnd w:id="464"/>
      <w:bookmarkEnd w:id="465"/>
    </w:p>
    <w:p>
      <w:pPr>
        <w:spacing w:line="360" w:lineRule="auto"/>
        <w:outlineLvl w:val="2"/>
        <w:rPr>
          <w:rFonts w:eastAsia="黑体"/>
          <w:kern w:val="0"/>
          <w:sz w:val="28"/>
          <w:szCs w:val="28"/>
        </w:rPr>
      </w:pPr>
      <w:bookmarkStart w:id="466" w:name="_Toc5305"/>
      <w:bookmarkStart w:id="467" w:name="_Toc5358"/>
      <w:bookmarkStart w:id="468" w:name="_Toc11984"/>
      <w:bookmarkStart w:id="469" w:name="_Toc12131"/>
      <w:bookmarkStart w:id="470" w:name="_Toc24015151"/>
      <w:r>
        <w:rPr>
          <w:rFonts w:eastAsia="黑体"/>
          <w:kern w:val="0"/>
          <w:sz w:val="28"/>
          <w:szCs w:val="28"/>
        </w:rPr>
        <w:t>8.1 生态效益</w:t>
      </w:r>
      <w:bookmarkEnd w:id="466"/>
      <w:bookmarkEnd w:id="467"/>
      <w:bookmarkEnd w:id="468"/>
      <w:bookmarkEnd w:id="469"/>
      <w:bookmarkEnd w:id="470"/>
    </w:p>
    <w:p>
      <w:pPr>
        <w:spacing w:line="360" w:lineRule="auto"/>
        <w:outlineLvl w:val="2"/>
        <w:rPr>
          <w:rFonts w:eastAsia="黑体"/>
          <w:kern w:val="0"/>
          <w:sz w:val="28"/>
          <w:szCs w:val="28"/>
        </w:rPr>
      </w:pPr>
      <w:bookmarkStart w:id="471" w:name="_Toc7057"/>
      <w:bookmarkStart w:id="472" w:name="_Toc24015152"/>
      <w:bookmarkStart w:id="473" w:name="_Toc88"/>
      <w:bookmarkStart w:id="474" w:name="_Toc2176"/>
      <w:bookmarkStart w:id="475" w:name="_Toc27790"/>
      <w:r>
        <w:rPr>
          <w:rFonts w:eastAsia="黑体"/>
          <w:kern w:val="0"/>
          <w:sz w:val="28"/>
          <w:szCs w:val="28"/>
        </w:rPr>
        <w:t>8.2 社会效益</w:t>
      </w:r>
      <w:bookmarkEnd w:id="471"/>
      <w:bookmarkEnd w:id="472"/>
      <w:bookmarkEnd w:id="473"/>
      <w:bookmarkEnd w:id="474"/>
      <w:bookmarkEnd w:id="475"/>
    </w:p>
    <w:p>
      <w:pPr>
        <w:spacing w:line="360" w:lineRule="auto"/>
        <w:outlineLvl w:val="2"/>
        <w:rPr>
          <w:rFonts w:eastAsia="黑体"/>
          <w:kern w:val="0"/>
          <w:sz w:val="28"/>
          <w:szCs w:val="28"/>
        </w:rPr>
      </w:pPr>
      <w:bookmarkStart w:id="476" w:name="_Toc24015153"/>
      <w:bookmarkStart w:id="477" w:name="_Toc27255"/>
      <w:bookmarkStart w:id="478" w:name="_Toc17490"/>
      <w:bookmarkStart w:id="479" w:name="_Toc30390"/>
      <w:bookmarkStart w:id="480" w:name="_Toc3875"/>
      <w:r>
        <w:rPr>
          <w:rFonts w:eastAsia="黑体"/>
          <w:kern w:val="0"/>
          <w:sz w:val="28"/>
          <w:szCs w:val="28"/>
        </w:rPr>
        <w:t>8.3 经济效益</w:t>
      </w:r>
      <w:bookmarkEnd w:id="476"/>
      <w:bookmarkEnd w:id="477"/>
      <w:bookmarkEnd w:id="478"/>
      <w:bookmarkEnd w:id="479"/>
      <w:bookmarkEnd w:id="480"/>
    </w:p>
    <w:p>
      <w:pPr>
        <w:spacing w:line="360" w:lineRule="auto"/>
        <w:jc w:val="center"/>
        <w:outlineLvl w:val="1"/>
        <w:rPr>
          <w:rFonts w:eastAsia="黑体"/>
          <w:kern w:val="0"/>
          <w:sz w:val="30"/>
          <w:szCs w:val="30"/>
        </w:rPr>
      </w:pPr>
      <w:bookmarkStart w:id="481" w:name="_Toc10034"/>
      <w:bookmarkStart w:id="482" w:name="_Toc24386"/>
      <w:bookmarkStart w:id="483" w:name="_Toc32684"/>
      <w:bookmarkStart w:id="484" w:name="_Toc31646"/>
      <w:bookmarkStart w:id="485" w:name="_Toc5668"/>
      <w:bookmarkStart w:id="486" w:name="_Toc8020"/>
      <w:bookmarkStart w:id="487" w:name="_Toc24015154"/>
      <w:r>
        <w:rPr>
          <w:rFonts w:eastAsia="黑体"/>
          <w:kern w:val="0"/>
          <w:sz w:val="30"/>
          <w:szCs w:val="30"/>
        </w:rPr>
        <w:t>第九章 保障措施</w:t>
      </w:r>
      <w:bookmarkEnd w:id="481"/>
      <w:bookmarkEnd w:id="482"/>
      <w:bookmarkEnd w:id="483"/>
      <w:bookmarkEnd w:id="484"/>
      <w:bookmarkEnd w:id="485"/>
    </w:p>
    <w:bookmarkEnd w:id="486"/>
    <w:bookmarkEnd w:id="487"/>
    <w:p>
      <w:pPr>
        <w:spacing w:line="360" w:lineRule="auto"/>
        <w:outlineLvl w:val="2"/>
        <w:rPr>
          <w:rFonts w:eastAsia="黑体"/>
          <w:kern w:val="0"/>
          <w:sz w:val="28"/>
          <w:szCs w:val="28"/>
        </w:rPr>
      </w:pPr>
      <w:bookmarkStart w:id="488" w:name="_Toc24015155"/>
      <w:bookmarkStart w:id="489" w:name="_Toc10395"/>
      <w:bookmarkStart w:id="490" w:name="_Toc18560"/>
      <w:bookmarkStart w:id="491" w:name="_Toc479598687"/>
      <w:bookmarkStart w:id="492" w:name="_Toc8767"/>
      <w:bookmarkStart w:id="493" w:name="_Toc557"/>
      <w:r>
        <w:rPr>
          <w:rFonts w:eastAsia="黑体"/>
          <w:kern w:val="0"/>
          <w:sz w:val="28"/>
          <w:szCs w:val="28"/>
        </w:rPr>
        <w:t>9.1 组织保障</w:t>
      </w:r>
      <w:bookmarkEnd w:id="488"/>
      <w:bookmarkEnd w:id="489"/>
      <w:bookmarkEnd w:id="490"/>
      <w:bookmarkEnd w:id="491"/>
      <w:bookmarkEnd w:id="492"/>
      <w:bookmarkEnd w:id="493"/>
    </w:p>
    <w:p>
      <w:pPr>
        <w:spacing w:line="360" w:lineRule="auto"/>
        <w:outlineLvl w:val="2"/>
        <w:rPr>
          <w:rFonts w:eastAsia="黑体"/>
          <w:kern w:val="0"/>
          <w:sz w:val="28"/>
          <w:szCs w:val="28"/>
        </w:rPr>
      </w:pPr>
      <w:bookmarkStart w:id="494" w:name="_Toc8687"/>
      <w:bookmarkStart w:id="495" w:name="_Toc24792"/>
      <w:bookmarkStart w:id="496" w:name="_Toc28781"/>
      <w:bookmarkStart w:id="497" w:name="_Toc20833"/>
      <w:bookmarkStart w:id="498" w:name="_Toc24015156"/>
      <w:bookmarkStart w:id="499" w:name="_Toc375122896"/>
      <w:bookmarkStart w:id="500" w:name="_Toc352854092"/>
      <w:bookmarkStart w:id="501" w:name="_Toc375122839"/>
      <w:r>
        <w:rPr>
          <w:rFonts w:eastAsia="黑体"/>
          <w:kern w:val="0"/>
          <w:sz w:val="28"/>
          <w:szCs w:val="28"/>
        </w:rPr>
        <w:t>9.2 政策保障</w:t>
      </w:r>
      <w:bookmarkEnd w:id="494"/>
      <w:bookmarkEnd w:id="495"/>
      <w:bookmarkEnd w:id="496"/>
    </w:p>
    <w:p>
      <w:pPr>
        <w:spacing w:line="360" w:lineRule="auto"/>
        <w:outlineLvl w:val="2"/>
        <w:rPr>
          <w:rFonts w:eastAsia="黑体"/>
          <w:kern w:val="0"/>
          <w:sz w:val="28"/>
          <w:szCs w:val="28"/>
        </w:rPr>
      </w:pPr>
      <w:bookmarkStart w:id="502" w:name="_Toc2615"/>
      <w:bookmarkStart w:id="503" w:name="_Toc22034"/>
      <w:bookmarkStart w:id="504" w:name="_Toc11795"/>
      <w:r>
        <w:rPr>
          <w:rFonts w:eastAsia="黑体"/>
          <w:kern w:val="0"/>
          <w:sz w:val="28"/>
          <w:szCs w:val="28"/>
        </w:rPr>
        <w:t>9.3 资金保障</w:t>
      </w:r>
      <w:bookmarkEnd w:id="497"/>
      <w:bookmarkEnd w:id="498"/>
      <w:bookmarkEnd w:id="502"/>
      <w:bookmarkEnd w:id="503"/>
      <w:bookmarkEnd w:id="504"/>
    </w:p>
    <w:bookmarkEnd w:id="499"/>
    <w:bookmarkEnd w:id="500"/>
    <w:bookmarkEnd w:id="501"/>
    <w:p>
      <w:pPr>
        <w:spacing w:line="360" w:lineRule="auto"/>
        <w:outlineLvl w:val="2"/>
        <w:rPr>
          <w:rFonts w:eastAsia="黑体"/>
          <w:kern w:val="0"/>
          <w:sz w:val="28"/>
          <w:szCs w:val="28"/>
        </w:rPr>
      </w:pPr>
      <w:bookmarkStart w:id="505" w:name="_Toc24015157"/>
      <w:bookmarkStart w:id="506" w:name="_Toc22139"/>
      <w:bookmarkStart w:id="507" w:name="_Toc479598688"/>
      <w:bookmarkStart w:id="508" w:name="_Toc11715"/>
      <w:bookmarkStart w:id="509" w:name="_Toc19524"/>
      <w:bookmarkStart w:id="510" w:name="_Toc29022"/>
      <w:r>
        <w:rPr>
          <w:rFonts w:eastAsia="黑体"/>
          <w:kern w:val="0"/>
          <w:sz w:val="28"/>
          <w:szCs w:val="28"/>
        </w:rPr>
        <w:t>9.4 技术保障</w:t>
      </w:r>
      <w:bookmarkEnd w:id="505"/>
      <w:bookmarkEnd w:id="506"/>
      <w:bookmarkEnd w:id="507"/>
      <w:bookmarkEnd w:id="508"/>
      <w:bookmarkEnd w:id="509"/>
      <w:bookmarkEnd w:id="510"/>
    </w:p>
    <w:p>
      <w:pPr>
        <w:spacing w:line="360" w:lineRule="auto"/>
        <w:outlineLvl w:val="2"/>
        <w:rPr>
          <w:rFonts w:eastAsia="黑体"/>
          <w:kern w:val="0"/>
          <w:sz w:val="28"/>
          <w:szCs w:val="28"/>
        </w:rPr>
      </w:pPr>
      <w:bookmarkStart w:id="511" w:name="_Toc24015158"/>
      <w:bookmarkStart w:id="512" w:name="_Toc479598689"/>
      <w:bookmarkStart w:id="513" w:name="_Toc25193"/>
      <w:bookmarkStart w:id="514" w:name="_Toc8487"/>
      <w:bookmarkStart w:id="515" w:name="_Toc27968"/>
      <w:bookmarkStart w:id="516" w:name="_Toc12920"/>
      <w:r>
        <w:rPr>
          <w:rFonts w:eastAsia="黑体"/>
          <w:kern w:val="0"/>
          <w:sz w:val="28"/>
          <w:szCs w:val="28"/>
        </w:rPr>
        <w:t>9.5 质量保障</w:t>
      </w:r>
      <w:bookmarkEnd w:id="511"/>
      <w:bookmarkEnd w:id="512"/>
      <w:bookmarkEnd w:id="513"/>
      <w:bookmarkEnd w:id="514"/>
      <w:bookmarkEnd w:id="515"/>
      <w:bookmarkEnd w:id="516"/>
    </w:p>
    <w:p>
      <w:pPr>
        <w:rPr>
          <w:rFonts w:eastAsia="黑体"/>
          <w:b/>
          <w:bCs/>
          <w:sz w:val="30"/>
          <w:szCs w:val="30"/>
        </w:rPr>
      </w:pPr>
    </w:p>
    <w:p>
      <w:pPr>
        <w:rPr>
          <w:rFonts w:eastAsia="黑体"/>
          <w:b/>
          <w:bCs/>
          <w:sz w:val="30"/>
          <w:szCs w:val="30"/>
        </w:rPr>
        <w:sectPr>
          <w:footerReference r:id="rId8" w:type="default"/>
          <w:pgSz w:w="11906" w:h="16838"/>
          <w:pgMar w:top="1440" w:right="1803" w:bottom="1440" w:left="1803" w:header="851" w:footer="992" w:gutter="0"/>
          <w:pgNumType w:start="1"/>
          <w:cols w:space="0" w:num="1"/>
          <w:docGrid w:type="lines" w:linePitch="312" w:charSpace="0"/>
        </w:sectPr>
      </w:pPr>
    </w:p>
    <w:tbl>
      <w:tblPr>
        <w:tblStyle w:val="18"/>
        <w:tblW w:w="14220" w:type="dxa"/>
        <w:jc w:val="center"/>
        <w:tblInd w:w="0" w:type="dxa"/>
        <w:tblLayout w:type="fixed"/>
        <w:tblCellMar>
          <w:top w:w="0" w:type="dxa"/>
          <w:left w:w="108" w:type="dxa"/>
          <w:bottom w:w="0" w:type="dxa"/>
          <w:right w:w="108" w:type="dxa"/>
        </w:tblCellMar>
      </w:tblPr>
      <w:tblGrid>
        <w:gridCol w:w="1582"/>
        <w:gridCol w:w="1582"/>
        <w:gridCol w:w="1581"/>
        <w:gridCol w:w="1581"/>
        <w:gridCol w:w="1581"/>
        <w:gridCol w:w="1581"/>
        <w:gridCol w:w="1581"/>
        <w:gridCol w:w="1581"/>
        <w:gridCol w:w="1570"/>
      </w:tblGrid>
      <w:tr>
        <w:tblPrEx>
          <w:tblLayout w:type="fixed"/>
          <w:tblCellMar>
            <w:top w:w="0" w:type="dxa"/>
            <w:left w:w="108" w:type="dxa"/>
            <w:bottom w:w="0" w:type="dxa"/>
            <w:right w:w="108" w:type="dxa"/>
          </w:tblCellMar>
        </w:tblPrEx>
        <w:trPr>
          <w:trHeight w:val="439" w:hRule="atLeast"/>
          <w:jc w:val="center"/>
        </w:trPr>
        <w:tc>
          <w:tcPr>
            <w:tcW w:w="14220" w:type="dxa"/>
            <w:gridSpan w:val="9"/>
            <w:tcBorders>
              <w:top w:val="nil"/>
              <w:left w:val="nil"/>
              <w:bottom w:val="nil"/>
              <w:right w:val="nil"/>
            </w:tcBorders>
            <w:vAlign w:val="center"/>
          </w:tcPr>
          <w:p>
            <w:pPr>
              <w:widowControl/>
              <w:jc w:val="center"/>
              <w:rPr>
                <w:kern w:val="0"/>
                <w:szCs w:val="24"/>
              </w:rPr>
            </w:pPr>
            <w:bookmarkStart w:id="517" w:name="RANGE!A1:I23"/>
            <w:r>
              <w:rPr>
                <w:kern w:val="0"/>
                <w:szCs w:val="24"/>
              </w:rPr>
              <w:t>湖南省XX</w:t>
            </w:r>
            <w:r>
              <w:rPr>
                <w:rFonts w:eastAsia="黑体"/>
                <w:kern w:val="0"/>
                <w:szCs w:val="24"/>
              </w:rPr>
              <w:t>县</w:t>
            </w:r>
            <w:r>
              <w:rPr>
                <w:kern w:val="0"/>
                <w:szCs w:val="24"/>
              </w:rPr>
              <w:t>XX</w:t>
            </w:r>
            <w:r>
              <w:rPr>
                <w:rFonts w:eastAsia="黑体"/>
                <w:kern w:val="0"/>
                <w:szCs w:val="24"/>
              </w:rPr>
              <w:t>林场（乡镇）</w:t>
            </w:r>
            <w:r>
              <w:rPr>
                <w:kern w:val="0"/>
                <w:szCs w:val="24"/>
              </w:rPr>
              <w:t>XX</w:t>
            </w:r>
            <w:r>
              <w:rPr>
                <w:rFonts w:eastAsia="黑体"/>
                <w:kern w:val="0"/>
                <w:szCs w:val="24"/>
              </w:rPr>
              <w:t>年森林质量精准提升工程小班现状一览表</w:t>
            </w:r>
            <w:bookmarkEnd w:id="517"/>
          </w:p>
        </w:tc>
      </w:tr>
      <w:tr>
        <w:tblPrEx>
          <w:tblLayout w:type="fixed"/>
          <w:tblCellMar>
            <w:top w:w="0" w:type="dxa"/>
            <w:left w:w="108" w:type="dxa"/>
            <w:bottom w:w="0" w:type="dxa"/>
            <w:right w:w="108" w:type="dxa"/>
          </w:tblCellMar>
        </w:tblPrEx>
        <w:trPr>
          <w:trHeight w:val="300" w:hRule="atLeast"/>
          <w:jc w:val="center"/>
        </w:trPr>
        <w:tc>
          <w:tcPr>
            <w:tcW w:w="14220" w:type="dxa"/>
            <w:gridSpan w:val="9"/>
            <w:tcBorders>
              <w:top w:val="nil"/>
              <w:left w:val="nil"/>
              <w:bottom w:val="nil"/>
              <w:right w:val="nil"/>
            </w:tcBorders>
            <w:vAlign w:val="center"/>
          </w:tcPr>
          <w:p>
            <w:pPr>
              <w:widowControl/>
              <w:jc w:val="left"/>
              <w:rPr>
                <w:kern w:val="0"/>
                <w:sz w:val="18"/>
                <w:szCs w:val="18"/>
              </w:rPr>
            </w:pPr>
            <w:r>
              <w:rPr>
                <w:kern w:val="0"/>
                <w:sz w:val="18"/>
                <w:szCs w:val="18"/>
              </w:rPr>
              <w:t>附表1</w:t>
            </w:r>
          </w:p>
        </w:tc>
      </w:tr>
      <w:tr>
        <w:tblPrEx>
          <w:tblLayout w:type="fixed"/>
          <w:tblCellMar>
            <w:top w:w="0" w:type="dxa"/>
            <w:left w:w="108" w:type="dxa"/>
            <w:bottom w:w="0" w:type="dxa"/>
            <w:right w:w="108" w:type="dxa"/>
          </w:tblCellMar>
        </w:tblPrEx>
        <w:trPr>
          <w:trHeight w:val="522" w:hRule="atLeast"/>
          <w:jc w:val="center"/>
        </w:trPr>
        <w:tc>
          <w:tcPr>
            <w:tcW w:w="1582" w:type="dxa"/>
            <w:tcBorders>
              <w:top w:val="single" w:color="auto" w:sz="4" w:space="0"/>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林班或工区</w:t>
            </w:r>
          </w:p>
        </w:tc>
        <w:tc>
          <w:tcPr>
            <w:tcW w:w="1582" w:type="dxa"/>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小班号</w:t>
            </w:r>
          </w:p>
        </w:tc>
        <w:tc>
          <w:tcPr>
            <w:tcW w:w="1581" w:type="dxa"/>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小地名</w:t>
            </w:r>
          </w:p>
        </w:tc>
        <w:tc>
          <w:tcPr>
            <w:tcW w:w="1581" w:type="dxa"/>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面积（公顷）</w:t>
            </w:r>
          </w:p>
        </w:tc>
        <w:tc>
          <w:tcPr>
            <w:tcW w:w="1581" w:type="dxa"/>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立地指数</w:t>
            </w:r>
          </w:p>
        </w:tc>
        <w:tc>
          <w:tcPr>
            <w:tcW w:w="1581" w:type="dxa"/>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起源</w:t>
            </w:r>
          </w:p>
        </w:tc>
        <w:tc>
          <w:tcPr>
            <w:tcW w:w="1581" w:type="dxa"/>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林种</w:t>
            </w:r>
          </w:p>
        </w:tc>
        <w:tc>
          <w:tcPr>
            <w:tcW w:w="1581" w:type="dxa"/>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树种组成</w:t>
            </w:r>
          </w:p>
        </w:tc>
        <w:tc>
          <w:tcPr>
            <w:tcW w:w="1570" w:type="dxa"/>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郁闭度</w:t>
            </w:r>
          </w:p>
        </w:tc>
      </w:tr>
      <w:tr>
        <w:tblPrEx>
          <w:tblLayout w:type="fixed"/>
          <w:tblCellMar>
            <w:top w:w="0" w:type="dxa"/>
            <w:left w:w="108" w:type="dxa"/>
            <w:bottom w:w="0" w:type="dxa"/>
            <w:right w:w="108" w:type="dxa"/>
          </w:tblCellMar>
        </w:tblPrEx>
        <w:trPr>
          <w:trHeight w:val="439"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1</w:t>
            </w:r>
          </w:p>
        </w:tc>
        <w:tc>
          <w:tcPr>
            <w:tcW w:w="1582"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2</w:t>
            </w:r>
          </w:p>
        </w:tc>
        <w:tc>
          <w:tcPr>
            <w:tcW w:w="1581"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3</w:t>
            </w:r>
          </w:p>
        </w:tc>
        <w:tc>
          <w:tcPr>
            <w:tcW w:w="1581"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4</w:t>
            </w:r>
          </w:p>
        </w:tc>
        <w:tc>
          <w:tcPr>
            <w:tcW w:w="1581"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5</w:t>
            </w:r>
          </w:p>
        </w:tc>
        <w:tc>
          <w:tcPr>
            <w:tcW w:w="1581"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6</w:t>
            </w:r>
          </w:p>
        </w:tc>
        <w:tc>
          <w:tcPr>
            <w:tcW w:w="1581"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8</w:t>
            </w:r>
          </w:p>
        </w:tc>
        <w:tc>
          <w:tcPr>
            <w:tcW w:w="1581"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9</w:t>
            </w:r>
          </w:p>
        </w:tc>
        <w:tc>
          <w:tcPr>
            <w:tcW w:w="1570"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10</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合计</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02" w:hRule="atLeast"/>
          <w:jc w:val="center"/>
        </w:trPr>
        <w:tc>
          <w:tcPr>
            <w:tcW w:w="1582" w:type="dxa"/>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81"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bl>
    <w:p>
      <w:pPr>
        <w:rPr>
          <w:rFonts w:eastAsia="黑体"/>
          <w:b/>
          <w:bCs/>
          <w:sz w:val="30"/>
          <w:szCs w:val="30"/>
        </w:rPr>
      </w:pPr>
    </w:p>
    <w:tbl>
      <w:tblPr>
        <w:tblStyle w:val="18"/>
        <w:tblW w:w="14220" w:type="dxa"/>
        <w:jc w:val="center"/>
        <w:tblInd w:w="0" w:type="dxa"/>
        <w:tblLayout w:type="fixed"/>
        <w:tblCellMar>
          <w:top w:w="0" w:type="dxa"/>
          <w:left w:w="108" w:type="dxa"/>
          <w:bottom w:w="0" w:type="dxa"/>
          <w:right w:w="108" w:type="dxa"/>
        </w:tblCellMar>
      </w:tblPr>
      <w:tblGrid>
        <w:gridCol w:w="837"/>
        <w:gridCol w:w="837"/>
        <w:gridCol w:w="836"/>
        <w:gridCol w:w="836"/>
        <w:gridCol w:w="836"/>
        <w:gridCol w:w="836"/>
        <w:gridCol w:w="839"/>
        <w:gridCol w:w="836"/>
        <w:gridCol w:w="836"/>
        <w:gridCol w:w="836"/>
        <w:gridCol w:w="836"/>
        <w:gridCol w:w="836"/>
        <w:gridCol w:w="836"/>
        <w:gridCol w:w="836"/>
        <w:gridCol w:w="839"/>
        <w:gridCol w:w="836"/>
        <w:gridCol w:w="836"/>
      </w:tblGrid>
      <w:tr>
        <w:tblPrEx>
          <w:tblLayout w:type="fixed"/>
          <w:tblCellMar>
            <w:top w:w="0" w:type="dxa"/>
            <w:left w:w="108" w:type="dxa"/>
            <w:bottom w:w="0" w:type="dxa"/>
            <w:right w:w="108" w:type="dxa"/>
          </w:tblCellMar>
        </w:tblPrEx>
        <w:trPr>
          <w:trHeight w:val="495" w:hRule="atLeast"/>
          <w:jc w:val="center"/>
        </w:trPr>
        <w:tc>
          <w:tcPr>
            <w:tcW w:w="14220" w:type="dxa"/>
            <w:gridSpan w:val="17"/>
            <w:tcBorders>
              <w:top w:val="nil"/>
              <w:left w:val="nil"/>
              <w:bottom w:val="nil"/>
              <w:right w:val="nil"/>
            </w:tcBorders>
            <w:vAlign w:val="center"/>
          </w:tcPr>
          <w:p>
            <w:pPr>
              <w:widowControl/>
              <w:jc w:val="center"/>
              <w:rPr>
                <w:kern w:val="0"/>
                <w:szCs w:val="24"/>
              </w:rPr>
            </w:pPr>
            <w:r>
              <w:rPr>
                <w:kern w:val="0"/>
                <w:szCs w:val="24"/>
              </w:rPr>
              <w:t>湖南省XX</w:t>
            </w:r>
            <w:r>
              <w:rPr>
                <w:rFonts w:eastAsia="黑体"/>
                <w:kern w:val="0"/>
                <w:szCs w:val="24"/>
              </w:rPr>
              <w:t>县</w:t>
            </w:r>
            <w:r>
              <w:rPr>
                <w:kern w:val="0"/>
                <w:szCs w:val="24"/>
              </w:rPr>
              <w:t>XX</w:t>
            </w:r>
            <w:r>
              <w:rPr>
                <w:rFonts w:eastAsia="黑体"/>
                <w:kern w:val="0"/>
                <w:szCs w:val="24"/>
              </w:rPr>
              <w:t>林场（乡镇）</w:t>
            </w:r>
            <w:r>
              <w:rPr>
                <w:kern w:val="0"/>
                <w:szCs w:val="24"/>
              </w:rPr>
              <w:t>XX</w:t>
            </w:r>
            <w:r>
              <w:rPr>
                <w:rFonts w:eastAsia="黑体"/>
                <w:kern w:val="0"/>
                <w:szCs w:val="24"/>
              </w:rPr>
              <w:t>年森林质量精准提升工程统计表</w:t>
            </w:r>
          </w:p>
        </w:tc>
      </w:tr>
      <w:tr>
        <w:tblPrEx>
          <w:tblLayout w:type="fixed"/>
          <w:tblCellMar>
            <w:top w:w="0" w:type="dxa"/>
            <w:left w:w="108" w:type="dxa"/>
            <w:bottom w:w="0" w:type="dxa"/>
            <w:right w:w="108" w:type="dxa"/>
          </w:tblCellMar>
        </w:tblPrEx>
        <w:trPr>
          <w:trHeight w:val="420" w:hRule="atLeast"/>
          <w:jc w:val="center"/>
        </w:trPr>
        <w:tc>
          <w:tcPr>
            <w:tcW w:w="12548" w:type="dxa"/>
            <w:gridSpan w:val="15"/>
            <w:tcBorders>
              <w:top w:val="nil"/>
              <w:left w:val="nil"/>
              <w:bottom w:val="single" w:color="auto" w:sz="4" w:space="0"/>
              <w:right w:val="nil"/>
            </w:tcBorders>
            <w:vAlign w:val="center"/>
          </w:tcPr>
          <w:p>
            <w:pPr>
              <w:widowControl/>
              <w:jc w:val="left"/>
              <w:rPr>
                <w:kern w:val="0"/>
                <w:sz w:val="18"/>
                <w:szCs w:val="18"/>
              </w:rPr>
            </w:pPr>
            <w:r>
              <w:rPr>
                <w:kern w:val="0"/>
                <w:sz w:val="18"/>
                <w:szCs w:val="18"/>
              </w:rPr>
              <w:t>附表2</w:t>
            </w:r>
          </w:p>
        </w:tc>
        <w:tc>
          <w:tcPr>
            <w:tcW w:w="836" w:type="dxa"/>
            <w:tcBorders>
              <w:top w:val="nil"/>
              <w:left w:val="nil"/>
              <w:bottom w:val="nil"/>
              <w:right w:val="nil"/>
            </w:tcBorders>
            <w:vAlign w:val="center"/>
          </w:tcPr>
          <w:p>
            <w:pPr>
              <w:widowControl/>
              <w:jc w:val="center"/>
              <w:rPr>
                <w:kern w:val="0"/>
                <w:sz w:val="20"/>
              </w:rPr>
            </w:pPr>
          </w:p>
        </w:tc>
        <w:tc>
          <w:tcPr>
            <w:tcW w:w="836" w:type="dxa"/>
            <w:tcBorders>
              <w:top w:val="nil"/>
              <w:left w:val="nil"/>
              <w:bottom w:val="nil"/>
              <w:right w:val="nil"/>
            </w:tcBorders>
            <w:vAlign w:val="center"/>
          </w:tcPr>
          <w:p>
            <w:pPr>
              <w:widowControl/>
              <w:jc w:val="center"/>
              <w:rPr>
                <w:kern w:val="0"/>
                <w:sz w:val="20"/>
              </w:rPr>
            </w:pPr>
          </w:p>
        </w:tc>
      </w:tr>
      <w:tr>
        <w:tblPrEx>
          <w:tblLayout w:type="fixed"/>
          <w:tblCellMar>
            <w:top w:w="0" w:type="dxa"/>
            <w:left w:w="108" w:type="dxa"/>
            <w:bottom w:w="0" w:type="dxa"/>
            <w:right w:w="108" w:type="dxa"/>
          </w:tblCellMar>
        </w:tblPrEx>
        <w:trPr>
          <w:trHeight w:val="582" w:hRule="atLeast"/>
          <w:jc w:val="center"/>
        </w:trPr>
        <w:tc>
          <w:tcPr>
            <w:tcW w:w="837" w:type="dxa"/>
            <w:vMerge w:val="restart"/>
            <w:tcBorders>
              <w:top w:val="nil"/>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林班或工区</w:t>
            </w:r>
          </w:p>
        </w:tc>
        <w:tc>
          <w:tcPr>
            <w:tcW w:w="5020" w:type="dxa"/>
            <w:gridSpan w:val="6"/>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按目标树种统计（个、公顷）</w:t>
            </w:r>
          </w:p>
        </w:tc>
        <w:tc>
          <w:tcPr>
            <w:tcW w:w="6691" w:type="dxa"/>
            <w:gridSpan w:val="8"/>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按林种统计                                                            （个、公顷）</w:t>
            </w:r>
          </w:p>
        </w:tc>
        <w:tc>
          <w:tcPr>
            <w:tcW w:w="1672" w:type="dxa"/>
            <w:gridSpan w:val="2"/>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辅助设施</w:t>
            </w:r>
          </w:p>
        </w:tc>
      </w:tr>
      <w:tr>
        <w:tblPrEx>
          <w:tblLayout w:type="fixed"/>
          <w:tblCellMar>
            <w:top w:w="0" w:type="dxa"/>
            <w:left w:w="108" w:type="dxa"/>
            <w:bottom w:w="0" w:type="dxa"/>
            <w:right w:w="108" w:type="dxa"/>
          </w:tblCellMar>
        </w:tblPrEx>
        <w:trPr>
          <w:trHeight w:val="499" w:hRule="atLeast"/>
          <w:jc w:val="center"/>
        </w:trPr>
        <w:tc>
          <w:tcPr>
            <w:tcW w:w="837" w:type="dxa"/>
            <w:vMerge w:val="continue"/>
            <w:tcBorders>
              <w:top w:val="nil"/>
              <w:left w:val="single" w:color="auto" w:sz="4" w:space="0"/>
              <w:bottom w:val="single" w:color="auto" w:sz="4" w:space="0"/>
              <w:right w:val="single" w:color="auto" w:sz="4" w:space="0"/>
            </w:tcBorders>
            <w:vAlign w:val="center"/>
          </w:tcPr>
          <w:p>
            <w:pPr>
              <w:widowControl/>
              <w:jc w:val="left"/>
              <w:rPr>
                <w:b/>
                <w:bCs/>
                <w:kern w:val="0"/>
                <w:sz w:val="18"/>
                <w:szCs w:val="18"/>
              </w:rPr>
            </w:pPr>
          </w:p>
        </w:tc>
        <w:tc>
          <w:tcPr>
            <w:tcW w:w="1673" w:type="dxa"/>
            <w:gridSpan w:val="2"/>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小计</w:t>
            </w:r>
          </w:p>
        </w:tc>
        <w:tc>
          <w:tcPr>
            <w:tcW w:w="1672" w:type="dxa"/>
            <w:gridSpan w:val="2"/>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树种1</w:t>
            </w:r>
          </w:p>
        </w:tc>
        <w:tc>
          <w:tcPr>
            <w:tcW w:w="1675" w:type="dxa"/>
            <w:gridSpan w:val="2"/>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树种2</w:t>
            </w:r>
          </w:p>
        </w:tc>
        <w:tc>
          <w:tcPr>
            <w:tcW w:w="1672" w:type="dxa"/>
            <w:gridSpan w:val="2"/>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小计</w:t>
            </w:r>
          </w:p>
        </w:tc>
        <w:tc>
          <w:tcPr>
            <w:tcW w:w="1672" w:type="dxa"/>
            <w:gridSpan w:val="2"/>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用材林</w:t>
            </w:r>
          </w:p>
        </w:tc>
        <w:tc>
          <w:tcPr>
            <w:tcW w:w="1672" w:type="dxa"/>
            <w:gridSpan w:val="2"/>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防护林</w:t>
            </w:r>
          </w:p>
        </w:tc>
        <w:tc>
          <w:tcPr>
            <w:tcW w:w="1675" w:type="dxa"/>
            <w:gridSpan w:val="2"/>
            <w:tcBorders>
              <w:top w:val="single" w:color="auto" w:sz="4" w:space="0"/>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特种用途林</w:t>
            </w:r>
          </w:p>
        </w:tc>
        <w:tc>
          <w:tcPr>
            <w:tcW w:w="836" w:type="dxa"/>
            <w:vMerge w:val="restart"/>
            <w:tcBorders>
              <w:top w:val="nil"/>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作业道（千米）</w:t>
            </w:r>
          </w:p>
        </w:tc>
        <w:tc>
          <w:tcPr>
            <w:tcW w:w="836" w:type="dxa"/>
            <w:vMerge w:val="restart"/>
            <w:tcBorders>
              <w:top w:val="nil"/>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w:t>
            </w:r>
          </w:p>
        </w:tc>
      </w:tr>
      <w:tr>
        <w:tblPrEx>
          <w:tblLayout w:type="fixed"/>
          <w:tblCellMar>
            <w:top w:w="0" w:type="dxa"/>
            <w:left w:w="108" w:type="dxa"/>
            <w:bottom w:w="0" w:type="dxa"/>
            <w:right w:w="108" w:type="dxa"/>
          </w:tblCellMar>
        </w:tblPrEx>
        <w:trPr>
          <w:trHeight w:val="540" w:hRule="atLeast"/>
          <w:jc w:val="center"/>
        </w:trPr>
        <w:tc>
          <w:tcPr>
            <w:tcW w:w="837" w:type="dxa"/>
            <w:vMerge w:val="continue"/>
            <w:tcBorders>
              <w:top w:val="nil"/>
              <w:left w:val="single" w:color="auto" w:sz="4" w:space="0"/>
              <w:bottom w:val="single" w:color="auto" w:sz="4" w:space="0"/>
              <w:right w:val="single" w:color="auto" w:sz="4" w:space="0"/>
            </w:tcBorders>
            <w:vAlign w:val="center"/>
          </w:tcPr>
          <w:p>
            <w:pPr>
              <w:widowControl/>
              <w:jc w:val="left"/>
              <w:rPr>
                <w:b/>
                <w:bCs/>
                <w:kern w:val="0"/>
                <w:sz w:val="18"/>
                <w:szCs w:val="18"/>
              </w:rPr>
            </w:pPr>
          </w:p>
        </w:tc>
        <w:tc>
          <w:tcPr>
            <w:tcW w:w="837"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小班</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面积</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小班</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面积</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小班</w:t>
            </w:r>
          </w:p>
        </w:tc>
        <w:tc>
          <w:tcPr>
            <w:tcW w:w="839"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面积</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小班</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面积</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小班</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面积</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小班</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面积</w:t>
            </w:r>
          </w:p>
        </w:tc>
        <w:tc>
          <w:tcPr>
            <w:tcW w:w="83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小班</w:t>
            </w:r>
          </w:p>
        </w:tc>
        <w:tc>
          <w:tcPr>
            <w:tcW w:w="839"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面积</w:t>
            </w:r>
          </w:p>
        </w:tc>
        <w:tc>
          <w:tcPr>
            <w:tcW w:w="836" w:type="dxa"/>
            <w:vMerge w:val="continue"/>
            <w:tcBorders>
              <w:top w:val="nil"/>
              <w:left w:val="single" w:color="auto" w:sz="4" w:space="0"/>
              <w:bottom w:val="single" w:color="auto" w:sz="4" w:space="0"/>
              <w:right w:val="single" w:color="auto" w:sz="4" w:space="0"/>
            </w:tcBorders>
            <w:vAlign w:val="center"/>
          </w:tcPr>
          <w:p>
            <w:pPr>
              <w:widowControl/>
              <w:jc w:val="left"/>
              <w:rPr>
                <w:b/>
                <w:bCs/>
                <w:kern w:val="0"/>
                <w:sz w:val="18"/>
                <w:szCs w:val="18"/>
              </w:rPr>
            </w:pPr>
          </w:p>
        </w:tc>
        <w:tc>
          <w:tcPr>
            <w:tcW w:w="836" w:type="dxa"/>
            <w:vMerge w:val="continue"/>
            <w:tcBorders>
              <w:top w:val="nil"/>
              <w:left w:val="single" w:color="auto" w:sz="4" w:space="0"/>
              <w:bottom w:val="single" w:color="auto" w:sz="4" w:space="0"/>
              <w:right w:val="single" w:color="auto" w:sz="4" w:space="0"/>
            </w:tcBorders>
            <w:vAlign w:val="center"/>
          </w:tcPr>
          <w:p>
            <w:pPr>
              <w:widowControl/>
              <w:jc w:val="left"/>
              <w:rPr>
                <w:b/>
                <w:bCs/>
                <w:kern w:val="0"/>
                <w:sz w:val="18"/>
                <w:szCs w:val="18"/>
              </w:rPr>
            </w:pPr>
          </w:p>
        </w:tc>
      </w:tr>
      <w:tr>
        <w:tblPrEx>
          <w:tblLayout w:type="fixed"/>
          <w:tblCellMar>
            <w:top w:w="0" w:type="dxa"/>
            <w:left w:w="108" w:type="dxa"/>
            <w:bottom w:w="0" w:type="dxa"/>
            <w:right w:w="108" w:type="dxa"/>
          </w:tblCellMar>
        </w:tblPrEx>
        <w:trPr>
          <w:trHeight w:val="360"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1</w:t>
            </w:r>
          </w:p>
        </w:tc>
        <w:tc>
          <w:tcPr>
            <w:tcW w:w="837"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2</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3</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4</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5</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6</w:t>
            </w:r>
          </w:p>
        </w:tc>
        <w:tc>
          <w:tcPr>
            <w:tcW w:w="839"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7</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8</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9</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10</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11</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12</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13</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14</w:t>
            </w:r>
          </w:p>
        </w:tc>
        <w:tc>
          <w:tcPr>
            <w:tcW w:w="839"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15</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16</w:t>
            </w:r>
          </w:p>
        </w:tc>
        <w:tc>
          <w:tcPr>
            <w:tcW w:w="836"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17</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402" w:hRule="atLeast"/>
          <w:jc w:val="center"/>
        </w:trPr>
        <w:tc>
          <w:tcPr>
            <w:tcW w:w="837" w:type="dxa"/>
            <w:tcBorders>
              <w:top w:val="nil"/>
              <w:left w:val="single" w:color="auto" w:sz="4" w:space="0"/>
              <w:bottom w:val="single" w:color="auto" w:sz="4" w:space="0"/>
              <w:right w:val="single" w:color="auto" w:sz="4" w:space="0"/>
            </w:tcBorders>
            <w:vAlign w:val="center"/>
          </w:tcPr>
          <w:p>
            <w:pPr>
              <w:widowControl/>
              <w:jc w:val="center"/>
              <w:rPr>
                <w:kern w:val="0"/>
                <w:sz w:val="20"/>
              </w:rPr>
            </w:pPr>
            <w:r>
              <w:rPr>
                <w:kern w:val="0"/>
                <w:sz w:val="20"/>
              </w:rPr>
              <w:t>　</w:t>
            </w:r>
          </w:p>
        </w:tc>
        <w:tc>
          <w:tcPr>
            <w:tcW w:w="837"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9"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c>
          <w:tcPr>
            <w:tcW w:w="83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　</w:t>
            </w:r>
          </w:p>
        </w:tc>
      </w:tr>
      <w:tr>
        <w:tblPrEx>
          <w:tblLayout w:type="fixed"/>
          <w:tblCellMar>
            <w:top w:w="0" w:type="dxa"/>
            <w:left w:w="108" w:type="dxa"/>
            <w:bottom w:w="0" w:type="dxa"/>
            <w:right w:w="108" w:type="dxa"/>
          </w:tblCellMar>
        </w:tblPrEx>
        <w:trPr>
          <w:trHeight w:val="330" w:hRule="atLeast"/>
          <w:jc w:val="center"/>
        </w:trPr>
        <w:tc>
          <w:tcPr>
            <w:tcW w:w="14220" w:type="dxa"/>
            <w:gridSpan w:val="17"/>
            <w:tcBorders>
              <w:top w:val="single" w:color="auto" w:sz="4" w:space="0"/>
              <w:left w:val="nil"/>
              <w:bottom w:val="nil"/>
              <w:right w:val="nil"/>
            </w:tcBorders>
            <w:vAlign w:val="center"/>
          </w:tcPr>
          <w:p>
            <w:pPr>
              <w:widowControl/>
              <w:jc w:val="left"/>
              <w:rPr>
                <w:kern w:val="0"/>
                <w:sz w:val="20"/>
              </w:rPr>
            </w:pPr>
            <w:r>
              <w:rPr>
                <w:kern w:val="0"/>
                <w:sz w:val="20"/>
              </w:rPr>
              <w:t>填表人：复核人；填表时间：</w:t>
            </w:r>
          </w:p>
        </w:tc>
      </w:tr>
    </w:tbl>
    <w:p>
      <w:pPr>
        <w:rPr>
          <w:rFonts w:eastAsia="黑体"/>
          <w:b/>
          <w:bCs/>
          <w:sz w:val="30"/>
          <w:szCs w:val="30"/>
        </w:rPr>
      </w:pPr>
    </w:p>
    <w:tbl>
      <w:tblPr>
        <w:tblStyle w:val="18"/>
        <w:tblW w:w="13609" w:type="dxa"/>
        <w:jc w:val="center"/>
        <w:tblInd w:w="0" w:type="dxa"/>
        <w:tblLayout w:type="fixed"/>
        <w:tblCellMar>
          <w:top w:w="0" w:type="dxa"/>
          <w:left w:w="108" w:type="dxa"/>
          <w:bottom w:w="0" w:type="dxa"/>
          <w:right w:w="108" w:type="dxa"/>
        </w:tblCellMar>
      </w:tblPr>
      <w:tblGrid>
        <w:gridCol w:w="1047"/>
        <w:gridCol w:w="2538"/>
        <w:gridCol w:w="1250"/>
        <w:gridCol w:w="718"/>
        <w:gridCol w:w="1383"/>
        <w:gridCol w:w="718"/>
        <w:gridCol w:w="1516"/>
        <w:gridCol w:w="718"/>
        <w:gridCol w:w="984"/>
        <w:gridCol w:w="1301"/>
        <w:gridCol w:w="718"/>
        <w:gridCol w:w="718"/>
      </w:tblGrid>
      <w:tr>
        <w:tblPrEx>
          <w:tblLayout w:type="fixed"/>
          <w:tblCellMar>
            <w:top w:w="0" w:type="dxa"/>
            <w:left w:w="108" w:type="dxa"/>
            <w:bottom w:w="0" w:type="dxa"/>
            <w:right w:w="108" w:type="dxa"/>
          </w:tblCellMar>
        </w:tblPrEx>
        <w:trPr>
          <w:trHeight w:val="439" w:hRule="atLeast"/>
          <w:tblHeader/>
          <w:jc w:val="center"/>
        </w:trPr>
        <w:tc>
          <w:tcPr>
            <w:tcW w:w="13609" w:type="dxa"/>
            <w:gridSpan w:val="12"/>
            <w:tcBorders>
              <w:top w:val="nil"/>
              <w:left w:val="nil"/>
              <w:bottom w:val="nil"/>
              <w:right w:val="nil"/>
            </w:tcBorders>
            <w:vAlign w:val="center"/>
          </w:tcPr>
          <w:p>
            <w:pPr>
              <w:widowControl/>
              <w:jc w:val="center"/>
              <w:rPr>
                <w:rFonts w:eastAsia="黑体"/>
                <w:kern w:val="0"/>
                <w:szCs w:val="24"/>
              </w:rPr>
            </w:pPr>
            <w:r>
              <w:rPr>
                <w:rFonts w:eastAsia="黑体"/>
                <w:kern w:val="0"/>
                <w:szCs w:val="24"/>
              </w:rPr>
              <w:t>湖南省XX县XX林场（乡镇）XX年森林质量精准提升工程投资估算表（工程建设内容及费用指标根据实际情况填写与增减）</w:t>
            </w:r>
          </w:p>
        </w:tc>
      </w:tr>
      <w:tr>
        <w:tblPrEx>
          <w:tblLayout w:type="fixed"/>
          <w:tblCellMar>
            <w:top w:w="0" w:type="dxa"/>
            <w:left w:w="108" w:type="dxa"/>
            <w:bottom w:w="0" w:type="dxa"/>
            <w:right w:w="108" w:type="dxa"/>
          </w:tblCellMar>
        </w:tblPrEx>
        <w:trPr>
          <w:trHeight w:val="285" w:hRule="atLeast"/>
          <w:tblHeader/>
          <w:jc w:val="center"/>
        </w:trPr>
        <w:tc>
          <w:tcPr>
            <w:tcW w:w="1047" w:type="dxa"/>
            <w:tcBorders>
              <w:top w:val="nil"/>
              <w:left w:val="nil"/>
              <w:bottom w:val="single" w:color="auto" w:sz="4" w:space="0"/>
              <w:right w:val="nil"/>
            </w:tcBorders>
            <w:vAlign w:val="center"/>
          </w:tcPr>
          <w:p>
            <w:pPr>
              <w:widowControl/>
              <w:jc w:val="left"/>
              <w:rPr>
                <w:kern w:val="0"/>
                <w:sz w:val="18"/>
                <w:szCs w:val="18"/>
              </w:rPr>
            </w:pPr>
            <w:r>
              <w:rPr>
                <w:kern w:val="0"/>
                <w:sz w:val="18"/>
                <w:szCs w:val="18"/>
              </w:rPr>
              <w:t>附表3</w:t>
            </w:r>
          </w:p>
        </w:tc>
        <w:tc>
          <w:tcPr>
            <w:tcW w:w="2538"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1250"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1383"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1516"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85" w:hRule="atLeast"/>
          <w:tblHeader/>
          <w:jc w:val="center"/>
        </w:trPr>
        <w:tc>
          <w:tcPr>
            <w:tcW w:w="104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序号</w:t>
            </w:r>
          </w:p>
        </w:tc>
        <w:tc>
          <w:tcPr>
            <w:tcW w:w="253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项目</w:t>
            </w:r>
          </w:p>
        </w:tc>
        <w:tc>
          <w:tcPr>
            <w:tcW w:w="12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规格、型号</w:t>
            </w:r>
          </w:p>
        </w:tc>
        <w:tc>
          <w:tcPr>
            <w:tcW w:w="71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单位</w:t>
            </w:r>
          </w:p>
        </w:tc>
        <w:tc>
          <w:tcPr>
            <w:tcW w:w="138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单价（元）</w:t>
            </w:r>
          </w:p>
        </w:tc>
        <w:tc>
          <w:tcPr>
            <w:tcW w:w="718"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数量</w:t>
            </w:r>
          </w:p>
        </w:tc>
        <w:tc>
          <w:tcPr>
            <w:tcW w:w="151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投资  （万元）</w:t>
            </w:r>
          </w:p>
        </w:tc>
        <w:tc>
          <w:tcPr>
            <w:tcW w:w="3721" w:type="dxa"/>
            <w:gridSpan w:val="4"/>
            <w:tcBorders>
              <w:top w:val="single" w:color="auto" w:sz="4" w:space="0"/>
              <w:left w:val="nil"/>
              <w:bottom w:val="single" w:color="auto" w:sz="4" w:space="0"/>
              <w:right w:val="single" w:color="000000" w:sz="4" w:space="0"/>
            </w:tcBorders>
            <w:shd w:val="clear" w:color="000000" w:fill="FFFFFF"/>
            <w:vAlign w:val="center"/>
          </w:tcPr>
          <w:p>
            <w:pPr>
              <w:widowControl/>
              <w:jc w:val="center"/>
              <w:rPr>
                <w:b/>
                <w:bCs/>
                <w:kern w:val="0"/>
                <w:sz w:val="18"/>
                <w:szCs w:val="18"/>
              </w:rPr>
            </w:pPr>
            <w:r>
              <w:rPr>
                <w:b/>
                <w:bCs/>
                <w:kern w:val="0"/>
                <w:sz w:val="18"/>
                <w:szCs w:val="18"/>
              </w:rPr>
              <w:t>投资构成（万元）</w:t>
            </w:r>
          </w:p>
        </w:tc>
        <w:tc>
          <w:tcPr>
            <w:tcW w:w="718" w:type="dxa"/>
            <w:vMerge w:val="restart"/>
            <w:tcBorders>
              <w:top w:val="nil"/>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备注</w:t>
            </w:r>
          </w:p>
        </w:tc>
      </w:tr>
      <w:tr>
        <w:tblPrEx>
          <w:tblLayout w:type="fixed"/>
          <w:tblCellMar>
            <w:top w:w="0" w:type="dxa"/>
            <w:left w:w="108" w:type="dxa"/>
            <w:bottom w:w="0" w:type="dxa"/>
            <w:right w:w="108" w:type="dxa"/>
          </w:tblCellMar>
        </w:tblPrEx>
        <w:trPr>
          <w:trHeight w:val="298" w:hRule="atLeast"/>
          <w:tblHeader/>
          <w:jc w:val="center"/>
        </w:trPr>
        <w:tc>
          <w:tcPr>
            <w:tcW w:w="104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253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125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71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13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71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151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合计</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建安工程</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材料设备购置</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其他</w:t>
            </w:r>
          </w:p>
        </w:tc>
        <w:tc>
          <w:tcPr>
            <w:tcW w:w="718" w:type="dxa"/>
            <w:vMerge w:val="continue"/>
            <w:tcBorders>
              <w:top w:val="nil"/>
              <w:left w:val="single" w:color="auto" w:sz="4" w:space="0"/>
              <w:bottom w:val="single" w:color="auto" w:sz="4" w:space="0"/>
              <w:right w:val="single" w:color="auto" w:sz="4" w:space="0"/>
            </w:tcBorders>
            <w:vAlign w:val="center"/>
          </w:tcPr>
          <w:p>
            <w:pPr>
              <w:widowControl/>
              <w:jc w:val="left"/>
              <w:rPr>
                <w:b/>
                <w:bCs/>
                <w:kern w:val="0"/>
                <w:sz w:val="18"/>
                <w:szCs w:val="18"/>
              </w:rPr>
            </w:pPr>
          </w:p>
        </w:tc>
      </w:tr>
      <w:tr>
        <w:tblPrEx>
          <w:tblLayout w:type="fixed"/>
          <w:tblCellMar>
            <w:top w:w="0" w:type="dxa"/>
            <w:left w:w="108" w:type="dxa"/>
            <w:bottom w:w="0" w:type="dxa"/>
            <w:right w:w="108" w:type="dxa"/>
          </w:tblCellMar>
        </w:tblPrEx>
        <w:trPr>
          <w:trHeight w:val="330" w:hRule="atLeast"/>
          <w:jc w:val="center"/>
        </w:trPr>
        <w:tc>
          <w:tcPr>
            <w:tcW w:w="1047" w:type="dxa"/>
            <w:tcBorders>
              <w:top w:val="nil"/>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1</w:t>
            </w:r>
          </w:p>
        </w:tc>
        <w:tc>
          <w:tcPr>
            <w:tcW w:w="253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2</w:t>
            </w:r>
          </w:p>
        </w:tc>
        <w:tc>
          <w:tcPr>
            <w:tcW w:w="1250"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3</w:t>
            </w:r>
          </w:p>
        </w:tc>
        <w:tc>
          <w:tcPr>
            <w:tcW w:w="71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4</w:t>
            </w:r>
          </w:p>
        </w:tc>
        <w:tc>
          <w:tcPr>
            <w:tcW w:w="1383"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5</w:t>
            </w:r>
          </w:p>
        </w:tc>
        <w:tc>
          <w:tcPr>
            <w:tcW w:w="71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6</w:t>
            </w:r>
          </w:p>
        </w:tc>
        <w:tc>
          <w:tcPr>
            <w:tcW w:w="1516"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7</w:t>
            </w:r>
          </w:p>
        </w:tc>
        <w:tc>
          <w:tcPr>
            <w:tcW w:w="71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8</w:t>
            </w:r>
          </w:p>
        </w:tc>
        <w:tc>
          <w:tcPr>
            <w:tcW w:w="984"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9</w:t>
            </w:r>
          </w:p>
        </w:tc>
        <w:tc>
          <w:tcPr>
            <w:tcW w:w="1301"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10</w:t>
            </w:r>
          </w:p>
        </w:tc>
        <w:tc>
          <w:tcPr>
            <w:tcW w:w="71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11</w:t>
            </w:r>
          </w:p>
        </w:tc>
        <w:tc>
          <w:tcPr>
            <w:tcW w:w="71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12</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r>
              <w:rPr>
                <w:b/>
                <w:bCs/>
                <w:kern w:val="0"/>
                <w:sz w:val="18"/>
                <w:szCs w:val="18"/>
              </w:rPr>
              <w:t>　</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合计</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一</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工程建设费</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1.1</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林地清理</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公顷</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1.2</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整地</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公顷</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1.3</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栽植</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公顷</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1.4</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修枝整形</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公顷</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苗木</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株</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1.5.1</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XX树种</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1.5.2</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XX树种</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1.5.3</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XX树种</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1.6</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肥料</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千克</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1.7</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培蔸抚育</w:t>
            </w:r>
          </w:p>
        </w:tc>
        <w:tc>
          <w:tcPr>
            <w:tcW w:w="1250" w:type="dxa"/>
            <w:tcBorders>
              <w:top w:val="nil"/>
              <w:left w:val="nil"/>
              <w:bottom w:val="single" w:color="auto" w:sz="4" w:space="0"/>
              <w:right w:val="single" w:color="auto" w:sz="4" w:space="0"/>
            </w:tcBorders>
            <w:shd w:val="clear" w:color="auto" w:fill="auto"/>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1.8</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附属工程</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1.8.1</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林道</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千米</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1.8.2</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管护棚</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座</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二</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工程建设其他费用</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2.1</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建设单位管理费(1.5%)</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2.2</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规划设计费(2.5%)</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2.3</w:t>
            </w:r>
          </w:p>
        </w:tc>
        <w:tc>
          <w:tcPr>
            <w:tcW w:w="2538" w:type="dxa"/>
            <w:tcBorders>
              <w:top w:val="nil"/>
              <w:left w:val="nil"/>
              <w:bottom w:val="nil"/>
              <w:right w:val="nil"/>
            </w:tcBorders>
            <w:shd w:val="clear" w:color="auto" w:fill="auto"/>
            <w:vAlign w:val="center"/>
          </w:tcPr>
          <w:p>
            <w:pPr>
              <w:widowControl/>
              <w:jc w:val="center"/>
              <w:rPr>
                <w:kern w:val="0"/>
                <w:sz w:val="18"/>
                <w:szCs w:val="18"/>
              </w:rPr>
            </w:pPr>
            <w:r>
              <w:rPr>
                <w:kern w:val="0"/>
                <w:sz w:val="18"/>
                <w:szCs w:val="18"/>
              </w:rPr>
              <w:t>工程监理费(1%)</w:t>
            </w:r>
          </w:p>
        </w:tc>
        <w:tc>
          <w:tcPr>
            <w:tcW w:w="1250"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三</w:t>
            </w:r>
          </w:p>
        </w:tc>
        <w:tc>
          <w:tcPr>
            <w:tcW w:w="2538"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基本预备费</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04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3.1</w:t>
            </w:r>
          </w:p>
        </w:tc>
        <w:tc>
          <w:tcPr>
            <w:tcW w:w="253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基本预备费(3%)</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38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16"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984"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301"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71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85" w:hRule="atLeast"/>
          <w:jc w:val="center"/>
        </w:trPr>
        <w:tc>
          <w:tcPr>
            <w:tcW w:w="13609" w:type="dxa"/>
            <w:gridSpan w:val="12"/>
            <w:tcBorders>
              <w:top w:val="single" w:color="auto" w:sz="4" w:space="0"/>
              <w:left w:val="nil"/>
              <w:bottom w:val="nil"/>
              <w:right w:val="nil"/>
            </w:tcBorders>
            <w:vAlign w:val="center"/>
          </w:tcPr>
          <w:p>
            <w:pPr>
              <w:widowControl/>
              <w:jc w:val="center"/>
              <w:rPr>
                <w:kern w:val="0"/>
                <w:sz w:val="18"/>
                <w:szCs w:val="18"/>
              </w:rPr>
            </w:pPr>
            <w:r>
              <w:rPr>
                <w:kern w:val="0"/>
                <w:sz w:val="18"/>
                <w:szCs w:val="18"/>
              </w:rPr>
              <w:t>1.建设单位管理费为工程建设费的1.5%、规划设计费为工程建设费的2.5%、工程监理费为工程建设费的1%；2.预备费为工程建设费与工程建设其它费之和的3%。</w:t>
            </w:r>
          </w:p>
        </w:tc>
      </w:tr>
    </w:tbl>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tbl>
      <w:tblPr>
        <w:tblStyle w:val="18"/>
        <w:tblW w:w="14220" w:type="dxa"/>
        <w:jc w:val="center"/>
        <w:tblInd w:w="0" w:type="dxa"/>
        <w:tblLayout w:type="fixed"/>
        <w:tblCellMar>
          <w:top w:w="0" w:type="dxa"/>
          <w:left w:w="108" w:type="dxa"/>
          <w:bottom w:w="0" w:type="dxa"/>
          <w:right w:w="108" w:type="dxa"/>
        </w:tblCellMar>
      </w:tblPr>
      <w:tblGrid>
        <w:gridCol w:w="827"/>
        <w:gridCol w:w="2415"/>
        <w:gridCol w:w="1567"/>
        <w:gridCol w:w="1567"/>
        <w:gridCol w:w="1567"/>
        <w:gridCol w:w="1573"/>
        <w:gridCol w:w="1567"/>
        <w:gridCol w:w="1567"/>
        <w:gridCol w:w="1570"/>
      </w:tblGrid>
      <w:tr>
        <w:tblPrEx>
          <w:tblLayout w:type="fixed"/>
          <w:tblCellMar>
            <w:top w:w="0" w:type="dxa"/>
            <w:left w:w="108" w:type="dxa"/>
            <w:bottom w:w="0" w:type="dxa"/>
            <w:right w:w="108" w:type="dxa"/>
          </w:tblCellMar>
        </w:tblPrEx>
        <w:trPr>
          <w:trHeight w:val="465" w:hRule="atLeast"/>
          <w:tblHeader/>
          <w:jc w:val="center"/>
        </w:trPr>
        <w:tc>
          <w:tcPr>
            <w:tcW w:w="14220" w:type="dxa"/>
            <w:gridSpan w:val="9"/>
            <w:tcBorders>
              <w:top w:val="nil"/>
              <w:left w:val="nil"/>
              <w:bottom w:val="nil"/>
              <w:right w:val="nil"/>
            </w:tcBorders>
            <w:vAlign w:val="center"/>
          </w:tcPr>
          <w:p>
            <w:pPr>
              <w:widowControl/>
              <w:jc w:val="center"/>
              <w:rPr>
                <w:rFonts w:eastAsia="黑体"/>
                <w:kern w:val="0"/>
                <w:szCs w:val="24"/>
              </w:rPr>
            </w:pPr>
            <w:r>
              <w:rPr>
                <w:rFonts w:eastAsia="黑体"/>
                <w:kern w:val="0"/>
                <w:szCs w:val="24"/>
              </w:rPr>
              <w:t>湖南省XX县XX林场（乡镇）XX年森林质量精准提升工程资金筹措表（内容可增减）</w:t>
            </w:r>
          </w:p>
        </w:tc>
      </w:tr>
      <w:tr>
        <w:tblPrEx>
          <w:tblLayout w:type="fixed"/>
          <w:tblCellMar>
            <w:top w:w="0" w:type="dxa"/>
            <w:left w:w="108" w:type="dxa"/>
            <w:bottom w:w="0" w:type="dxa"/>
            <w:right w:w="108" w:type="dxa"/>
          </w:tblCellMar>
        </w:tblPrEx>
        <w:trPr>
          <w:trHeight w:val="360" w:hRule="atLeast"/>
          <w:tblHeader/>
          <w:jc w:val="center"/>
        </w:trPr>
        <w:tc>
          <w:tcPr>
            <w:tcW w:w="9516" w:type="dxa"/>
            <w:gridSpan w:val="6"/>
            <w:tcBorders>
              <w:top w:val="nil"/>
              <w:left w:val="nil"/>
              <w:bottom w:val="single" w:color="auto" w:sz="4" w:space="0"/>
              <w:right w:val="nil"/>
            </w:tcBorders>
            <w:vAlign w:val="center"/>
          </w:tcPr>
          <w:p>
            <w:pPr>
              <w:widowControl/>
              <w:jc w:val="left"/>
              <w:rPr>
                <w:kern w:val="0"/>
                <w:sz w:val="18"/>
                <w:szCs w:val="18"/>
              </w:rPr>
            </w:pPr>
            <w:r>
              <w:rPr>
                <w:kern w:val="0"/>
                <w:sz w:val="18"/>
                <w:szCs w:val="18"/>
              </w:rPr>
              <w:t>附表4</w:t>
            </w:r>
          </w:p>
        </w:tc>
        <w:tc>
          <w:tcPr>
            <w:tcW w:w="1567"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85" w:hRule="atLeast"/>
          <w:tblHeader/>
          <w:jc w:val="center"/>
        </w:trPr>
        <w:tc>
          <w:tcPr>
            <w:tcW w:w="82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序号</w:t>
            </w:r>
          </w:p>
        </w:tc>
        <w:tc>
          <w:tcPr>
            <w:tcW w:w="241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项目</w:t>
            </w:r>
          </w:p>
        </w:tc>
        <w:tc>
          <w:tcPr>
            <w:tcW w:w="156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投资（万元）</w:t>
            </w:r>
          </w:p>
        </w:tc>
        <w:tc>
          <w:tcPr>
            <w:tcW w:w="7841" w:type="dxa"/>
            <w:gridSpan w:val="5"/>
            <w:tcBorders>
              <w:top w:val="single" w:color="auto" w:sz="4" w:space="0"/>
              <w:left w:val="nil"/>
              <w:bottom w:val="single" w:color="auto" w:sz="4" w:space="0"/>
              <w:right w:val="single" w:color="000000" w:sz="4" w:space="0"/>
            </w:tcBorders>
            <w:shd w:val="clear" w:color="000000" w:fill="FFFFFF"/>
            <w:vAlign w:val="center"/>
          </w:tcPr>
          <w:p>
            <w:pPr>
              <w:widowControl/>
              <w:jc w:val="center"/>
              <w:rPr>
                <w:b/>
                <w:bCs/>
                <w:kern w:val="0"/>
                <w:sz w:val="18"/>
                <w:szCs w:val="18"/>
              </w:rPr>
            </w:pPr>
            <w:r>
              <w:rPr>
                <w:b/>
                <w:bCs/>
                <w:kern w:val="0"/>
                <w:sz w:val="18"/>
                <w:szCs w:val="18"/>
              </w:rPr>
              <w:t>投资构成（万元）</w:t>
            </w:r>
          </w:p>
        </w:tc>
        <w:tc>
          <w:tcPr>
            <w:tcW w:w="1570" w:type="dxa"/>
            <w:vMerge w:val="restart"/>
            <w:tcBorders>
              <w:top w:val="nil"/>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备注</w:t>
            </w:r>
          </w:p>
        </w:tc>
      </w:tr>
      <w:tr>
        <w:tblPrEx>
          <w:tblLayout w:type="fixed"/>
          <w:tblCellMar>
            <w:top w:w="0" w:type="dxa"/>
            <w:left w:w="108" w:type="dxa"/>
            <w:bottom w:w="0" w:type="dxa"/>
            <w:right w:w="108" w:type="dxa"/>
          </w:tblCellMar>
        </w:tblPrEx>
        <w:trPr>
          <w:trHeight w:val="278" w:hRule="atLeast"/>
          <w:tblHeader/>
          <w:jc w:val="center"/>
        </w:trPr>
        <w:tc>
          <w:tcPr>
            <w:tcW w:w="82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2415"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156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合计</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国家投资</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地方配套</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造林单位自筹</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林农劳务折抵</w:t>
            </w:r>
          </w:p>
        </w:tc>
        <w:tc>
          <w:tcPr>
            <w:tcW w:w="1570" w:type="dxa"/>
            <w:vMerge w:val="continue"/>
            <w:tcBorders>
              <w:top w:val="nil"/>
              <w:left w:val="single" w:color="auto" w:sz="4" w:space="0"/>
              <w:bottom w:val="single" w:color="auto" w:sz="4" w:space="0"/>
              <w:right w:val="single" w:color="auto" w:sz="4" w:space="0"/>
            </w:tcBorders>
            <w:vAlign w:val="center"/>
          </w:tcPr>
          <w:p>
            <w:pPr>
              <w:widowControl/>
              <w:jc w:val="left"/>
              <w:rPr>
                <w:b/>
                <w:bCs/>
                <w:kern w:val="0"/>
                <w:sz w:val="18"/>
                <w:szCs w:val="18"/>
              </w:rPr>
            </w:pPr>
          </w:p>
        </w:tc>
      </w:tr>
      <w:tr>
        <w:tblPrEx>
          <w:tblLayout w:type="fixed"/>
          <w:tblCellMar>
            <w:top w:w="0" w:type="dxa"/>
            <w:left w:w="108" w:type="dxa"/>
            <w:bottom w:w="0" w:type="dxa"/>
            <w:right w:w="108" w:type="dxa"/>
          </w:tblCellMar>
        </w:tblPrEx>
        <w:trPr>
          <w:trHeight w:val="360" w:hRule="atLeast"/>
          <w:jc w:val="center"/>
        </w:trPr>
        <w:tc>
          <w:tcPr>
            <w:tcW w:w="827" w:type="dxa"/>
            <w:tcBorders>
              <w:top w:val="nil"/>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1</w:t>
            </w:r>
          </w:p>
        </w:tc>
        <w:tc>
          <w:tcPr>
            <w:tcW w:w="2415"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2</w:t>
            </w:r>
          </w:p>
        </w:tc>
        <w:tc>
          <w:tcPr>
            <w:tcW w:w="1567"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3</w:t>
            </w:r>
          </w:p>
        </w:tc>
        <w:tc>
          <w:tcPr>
            <w:tcW w:w="1567"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4</w:t>
            </w:r>
          </w:p>
        </w:tc>
        <w:tc>
          <w:tcPr>
            <w:tcW w:w="1567"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5</w:t>
            </w:r>
          </w:p>
        </w:tc>
        <w:tc>
          <w:tcPr>
            <w:tcW w:w="1573"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6</w:t>
            </w:r>
          </w:p>
        </w:tc>
        <w:tc>
          <w:tcPr>
            <w:tcW w:w="1567"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7</w:t>
            </w:r>
          </w:p>
        </w:tc>
        <w:tc>
          <w:tcPr>
            <w:tcW w:w="1567"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8</w:t>
            </w:r>
          </w:p>
        </w:tc>
        <w:tc>
          <w:tcPr>
            <w:tcW w:w="1570"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9</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18"/>
                <w:szCs w:val="18"/>
              </w:rPr>
            </w:pPr>
            <w:r>
              <w:rPr>
                <w:b/>
                <w:bCs/>
                <w:kern w:val="0"/>
                <w:sz w:val="18"/>
                <w:szCs w:val="18"/>
              </w:rPr>
              <w:t>　</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合计</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一</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工程建设费</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1.1</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林地清理</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1.2</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整地</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1.3</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栽植</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1.4</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修枝整形</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苗木</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1.5.1</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XX树种</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1.5.2</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XX树种</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1.5.3</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XX树种</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1.6</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肥料</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1.7</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培蔸抚育</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1.8</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附属工程</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b/>
                <w:bCs/>
                <w:kern w:val="0"/>
                <w:sz w:val="18"/>
                <w:szCs w:val="18"/>
              </w:rPr>
            </w:pPr>
            <w:r>
              <w:rPr>
                <w:b/>
                <w:bCs/>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1.8.1</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林道</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1.8.2</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管护棚</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二</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工程建设其他费用</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2.1</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建设单位管理费(1.5%)</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2.2</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规划设计费(2.5%)</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left"/>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2.3</w:t>
            </w:r>
          </w:p>
        </w:tc>
        <w:tc>
          <w:tcPr>
            <w:tcW w:w="2415" w:type="dxa"/>
            <w:tcBorders>
              <w:top w:val="nil"/>
              <w:left w:val="nil"/>
              <w:bottom w:val="nil"/>
              <w:right w:val="nil"/>
            </w:tcBorders>
            <w:shd w:val="clear" w:color="auto" w:fill="auto"/>
            <w:vAlign w:val="center"/>
          </w:tcPr>
          <w:p>
            <w:pPr>
              <w:widowControl/>
              <w:jc w:val="center"/>
              <w:rPr>
                <w:kern w:val="0"/>
                <w:sz w:val="18"/>
                <w:szCs w:val="18"/>
              </w:rPr>
            </w:pPr>
            <w:r>
              <w:rPr>
                <w:kern w:val="0"/>
                <w:sz w:val="18"/>
                <w:szCs w:val="18"/>
              </w:rPr>
              <w:t>工程监理费检查验收(1%)</w:t>
            </w:r>
          </w:p>
        </w:tc>
        <w:tc>
          <w:tcPr>
            <w:tcW w:w="1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b/>
                <w:bCs/>
                <w:kern w:val="0"/>
                <w:sz w:val="18"/>
                <w:szCs w:val="18"/>
              </w:rPr>
            </w:pPr>
            <w:r>
              <w:rPr>
                <w:b/>
                <w:bCs/>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b/>
                <w:bCs/>
                <w:kern w:val="0"/>
                <w:sz w:val="18"/>
                <w:szCs w:val="18"/>
              </w:rPr>
            </w:pPr>
            <w:r>
              <w:rPr>
                <w:b/>
                <w:bCs/>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三</w:t>
            </w:r>
          </w:p>
        </w:tc>
        <w:tc>
          <w:tcPr>
            <w:tcW w:w="2415"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预备费</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82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3.1</w:t>
            </w:r>
          </w:p>
        </w:tc>
        <w:tc>
          <w:tcPr>
            <w:tcW w:w="24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基本预备费(3%)</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3"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67" w:type="dxa"/>
            <w:tcBorders>
              <w:top w:val="nil"/>
              <w:left w:val="nil"/>
              <w:bottom w:val="single" w:color="auto" w:sz="4" w:space="0"/>
              <w:right w:val="single" w:color="auto" w:sz="4" w:space="0"/>
            </w:tcBorders>
            <w:shd w:val="clear" w:color="000000" w:fill="FFFFFF"/>
            <w:vAlign w:val="center"/>
          </w:tcPr>
          <w:p>
            <w:pPr>
              <w:widowControl/>
              <w:jc w:val="center"/>
              <w:rPr>
                <w:kern w:val="0"/>
                <w:sz w:val="18"/>
                <w:szCs w:val="18"/>
              </w:rPr>
            </w:pPr>
            <w:r>
              <w:rPr>
                <w:kern w:val="0"/>
                <w:sz w:val="18"/>
                <w:szCs w:val="18"/>
              </w:rPr>
              <w:t>　</w:t>
            </w:r>
          </w:p>
        </w:tc>
        <w:tc>
          <w:tcPr>
            <w:tcW w:w="1570"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bl>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pPr>
    </w:p>
    <w:p>
      <w:pPr>
        <w:rPr>
          <w:rFonts w:eastAsia="黑体"/>
          <w:b/>
          <w:bCs/>
          <w:sz w:val="30"/>
          <w:szCs w:val="30"/>
        </w:rPr>
        <w:sectPr>
          <w:pgSz w:w="16838" w:h="11906" w:orient="landscape"/>
          <w:pgMar w:top="1418" w:right="1417" w:bottom="1701" w:left="1417" w:header="851" w:footer="992" w:gutter="454"/>
          <w:cols w:space="720" w:num="1"/>
          <w:docGrid w:linePitch="312" w:charSpace="0"/>
        </w:sectPr>
      </w:pPr>
    </w:p>
    <w:p>
      <w:pPr>
        <w:outlineLvl w:val="0"/>
        <w:rPr>
          <w:rFonts w:eastAsia="黑体"/>
          <w:sz w:val="28"/>
          <w:szCs w:val="28"/>
        </w:rPr>
      </w:pPr>
      <w:bookmarkStart w:id="518" w:name="_Toc16672"/>
      <w:bookmarkStart w:id="519" w:name="_Toc3880"/>
      <w:bookmarkStart w:id="520" w:name="_Toc6297"/>
      <w:bookmarkStart w:id="521" w:name="_Toc12294"/>
      <w:r>
        <w:rPr>
          <w:rFonts w:eastAsia="黑体"/>
          <w:sz w:val="28"/>
          <w:szCs w:val="28"/>
        </w:rPr>
        <w:t>附录2：</w:t>
      </w:r>
      <w:bookmarkEnd w:id="518"/>
      <w:bookmarkEnd w:id="519"/>
      <w:bookmarkEnd w:id="520"/>
      <w:bookmarkEnd w:id="521"/>
    </w:p>
    <w:p>
      <w:pPr>
        <w:jc w:val="center"/>
        <w:rPr>
          <w:rFonts w:eastAsia="黑体"/>
          <w:sz w:val="52"/>
          <w:szCs w:val="52"/>
        </w:rPr>
      </w:pPr>
      <w:r>
        <w:rPr>
          <w:rFonts w:eastAsia="黑体"/>
          <w:sz w:val="52"/>
          <w:szCs w:val="52"/>
        </w:rPr>
        <w:t>湖南省XX县XX林场（乡镇）</w:t>
      </w:r>
    </w:p>
    <w:p>
      <w:pPr>
        <w:jc w:val="center"/>
        <w:rPr>
          <w:rFonts w:eastAsia="黑体"/>
          <w:sz w:val="52"/>
          <w:szCs w:val="52"/>
        </w:rPr>
      </w:pPr>
      <w:r>
        <w:rPr>
          <w:rFonts w:eastAsia="黑体"/>
          <w:sz w:val="52"/>
          <w:szCs w:val="52"/>
        </w:rPr>
        <w:t>XX年度森林质量精准提升工程</w:t>
      </w:r>
    </w:p>
    <w:p>
      <w:pPr>
        <w:spacing w:line="1000" w:lineRule="exact"/>
        <w:jc w:val="center"/>
        <w:rPr>
          <w:rFonts w:eastAsia="黑体"/>
          <w:sz w:val="52"/>
          <w:szCs w:val="52"/>
        </w:rPr>
      </w:pPr>
      <w:r>
        <w:rPr>
          <w:rFonts w:eastAsia="黑体"/>
          <w:sz w:val="52"/>
          <w:szCs w:val="52"/>
        </w:rPr>
        <w:t>作业设计</w:t>
      </w: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rFonts w:eastAsiaTheme="majorEastAsia"/>
          <w:b/>
          <w:sz w:val="44"/>
          <w:szCs w:val="44"/>
        </w:rPr>
      </w:pPr>
      <w:r>
        <w:rPr>
          <w:rFonts w:eastAsiaTheme="majorEastAsia"/>
          <w:b/>
          <w:sz w:val="44"/>
          <w:szCs w:val="44"/>
        </w:rPr>
        <w:t>XXX（编制单位）</w:t>
      </w:r>
    </w:p>
    <w:p>
      <w:pPr>
        <w:jc w:val="center"/>
        <w:rPr>
          <w:rFonts w:eastAsiaTheme="majorEastAsia"/>
          <w:b/>
          <w:sz w:val="44"/>
          <w:szCs w:val="44"/>
        </w:rPr>
      </w:pPr>
      <w:r>
        <w:rPr>
          <w:rFonts w:eastAsiaTheme="majorEastAsia"/>
          <w:b/>
          <w:sz w:val="44"/>
          <w:szCs w:val="44"/>
        </w:rPr>
        <w:t>年  月</w:t>
      </w:r>
    </w:p>
    <w:p>
      <w:pPr>
        <w:rPr>
          <w:rFonts w:eastAsia="黑体"/>
          <w:kern w:val="0"/>
          <w:sz w:val="28"/>
          <w:szCs w:val="28"/>
        </w:rPr>
      </w:pPr>
    </w:p>
    <w:p>
      <w:pPr>
        <w:rPr>
          <w:rFonts w:eastAsia="黑体"/>
          <w:kern w:val="0"/>
          <w:sz w:val="28"/>
          <w:szCs w:val="28"/>
        </w:rPr>
        <w:sectPr>
          <w:footerReference r:id="rId9" w:type="default"/>
          <w:pgSz w:w="11906" w:h="16838"/>
          <w:pgMar w:top="1440" w:right="1800" w:bottom="1440" w:left="1800" w:header="851" w:footer="992" w:gutter="0"/>
          <w:cols w:space="425" w:num="1"/>
          <w:docGrid w:type="lines" w:linePitch="312" w:charSpace="0"/>
        </w:sectPr>
      </w:pPr>
    </w:p>
    <w:p>
      <w:pPr>
        <w:jc w:val="center"/>
        <w:rPr>
          <w:b/>
          <w:bCs/>
          <w:sz w:val="32"/>
          <w:szCs w:val="32"/>
        </w:rPr>
      </w:pPr>
      <w:r>
        <w:rPr>
          <w:rFonts w:eastAsia="黑体"/>
          <w:bCs/>
          <w:sz w:val="32"/>
          <w:szCs w:val="32"/>
        </w:rPr>
        <w:t>作业设计审批表</w:t>
      </w:r>
      <w:r>
        <w:rPr>
          <w:b/>
          <w:bCs/>
          <w:sz w:val="32"/>
          <w:szCs w:val="32"/>
        </w:rPr>
        <w:t>（样式）</w:t>
      </w:r>
    </w:p>
    <w:p/>
    <w:tbl>
      <w:tblPr>
        <w:tblStyle w:val="19"/>
        <w:tblW w:w="8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9" w:hRule="atLeast"/>
        </w:trPr>
        <w:tc>
          <w:tcPr>
            <w:tcW w:w="2650" w:type="dxa"/>
            <w:vAlign w:val="center"/>
          </w:tcPr>
          <w:p>
            <w:pPr>
              <w:jc w:val="center"/>
              <w:rPr>
                <w:sz w:val="30"/>
                <w:szCs w:val="30"/>
              </w:rPr>
            </w:pPr>
            <w:r>
              <w:rPr>
                <w:sz w:val="30"/>
                <w:szCs w:val="30"/>
              </w:rPr>
              <w:t>申报单位意见</w:t>
            </w:r>
          </w:p>
        </w:tc>
        <w:tc>
          <w:tcPr>
            <w:tcW w:w="5835" w:type="dxa"/>
            <w:vAlign w:val="bottom"/>
          </w:tcPr>
          <w:p>
            <w:pPr>
              <w:jc w:val="right"/>
              <w:rPr>
                <w:sz w:val="30"/>
                <w:szCs w:val="30"/>
              </w:rPr>
            </w:pPr>
          </w:p>
          <w:p>
            <w:pPr>
              <w:jc w:val="right"/>
              <w:rPr>
                <w:sz w:val="30"/>
                <w:szCs w:val="30"/>
              </w:rPr>
            </w:pPr>
          </w:p>
          <w:p>
            <w:pPr>
              <w:jc w:val="right"/>
              <w:rPr>
                <w:sz w:val="30"/>
                <w:szCs w:val="30"/>
              </w:rPr>
            </w:pPr>
          </w:p>
          <w:p>
            <w:pPr>
              <w:jc w:val="right"/>
              <w:rPr>
                <w:sz w:val="30"/>
                <w:szCs w:val="30"/>
              </w:rPr>
            </w:pPr>
          </w:p>
          <w:p>
            <w:pPr>
              <w:ind w:right="600" w:firstLine="1500" w:firstLineChars="500"/>
              <w:jc w:val="right"/>
              <w:rPr>
                <w:sz w:val="30"/>
                <w:szCs w:val="30"/>
              </w:rPr>
            </w:pPr>
            <w:r>
              <w:rPr>
                <w:sz w:val="30"/>
                <w:szCs w:val="30"/>
              </w:rPr>
              <w:t>申报人：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6" w:hRule="atLeast"/>
        </w:trPr>
        <w:tc>
          <w:tcPr>
            <w:tcW w:w="2650" w:type="dxa"/>
            <w:vAlign w:val="center"/>
          </w:tcPr>
          <w:p>
            <w:pPr>
              <w:jc w:val="center"/>
              <w:rPr>
                <w:sz w:val="30"/>
                <w:szCs w:val="30"/>
              </w:rPr>
            </w:pPr>
            <w:r>
              <w:rPr>
                <w:sz w:val="30"/>
                <w:szCs w:val="30"/>
              </w:rPr>
              <w:t>县林业局审核意见</w:t>
            </w:r>
          </w:p>
        </w:tc>
        <w:tc>
          <w:tcPr>
            <w:tcW w:w="5835" w:type="dxa"/>
            <w:vAlign w:val="bottom"/>
          </w:tcPr>
          <w:p>
            <w:pPr>
              <w:ind w:right="600" w:firstLine="1500" w:firstLineChars="500"/>
              <w:jc w:val="right"/>
              <w:rPr>
                <w:sz w:val="30"/>
                <w:szCs w:val="30"/>
              </w:rPr>
            </w:pPr>
          </w:p>
          <w:p>
            <w:pPr>
              <w:ind w:right="600" w:firstLine="1500" w:firstLineChars="500"/>
              <w:jc w:val="right"/>
              <w:rPr>
                <w:sz w:val="30"/>
                <w:szCs w:val="30"/>
              </w:rPr>
            </w:pPr>
          </w:p>
          <w:p>
            <w:pPr>
              <w:ind w:right="600" w:firstLine="1500" w:firstLineChars="500"/>
              <w:jc w:val="right"/>
              <w:rPr>
                <w:sz w:val="30"/>
                <w:szCs w:val="30"/>
              </w:rPr>
            </w:pPr>
          </w:p>
          <w:p>
            <w:pPr>
              <w:ind w:right="600" w:firstLine="1500" w:firstLineChars="500"/>
              <w:jc w:val="right"/>
              <w:rPr>
                <w:sz w:val="30"/>
                <w:szCs w:val="30"/>
              </w:rPr>
            </w:pPr>
          </w:p>
          <w:p>
            <w:pPr>
              <w:ind w:right="600" w:firstLine="1500" w:firstLineChars="500"/>
              <w:jc w:val="right"/>
              <w:rPr>
                <w:sz w:val="30"/>
                <w:szCs w:val="30"/>
              </w:rPr>
            </w:pPr>
            <w:r>
              <w:rPr>
                <w:sz w:val="30"/>
                <w:szCs w:val="30"/>
              </w:rPr>
              <w:t>审核人：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6" w:hRule="atLeast"/>
        </w:trPr>
        <w:tc>
          <w:tcPr>
            <w:tcW w:w="2650" w:type="dxa"/>
            <w:vAlign w:val="center"/>
          </w:tcPr>
          <w:p>
            <w:pPr>
              <w:jc w:val="center"/>
              <w:rPr>
                <w:sz w:val="30"/>
                <w:szCs w:val="30"/>
              </w:rPr>
            </w:pPr>
            <w:r>
              <w:rPr>
                <w:sz w:val="30"/>
                <w:szCs w:val="30"/>
              </w:rPr>
              <w:t>市（州）林业局</w:t>
            </w:r>
          </w:p>
          <w:p>
            <w:pPr>
              <w:jc w:val="center"/>
              <w:rPr>
                <w:sz w:val="30"/>
                <w:szCs w:val="30"/>
              </w:rPr>
            </w:pPr>
            <w:r>
              <w:rPr>
                <w:sz w:val="30"/>
                <w:szCs w:val="30"/>
              </w:rPr>
              <w:t>审查意见</w:t>
            </w:r>
          </w:p>
          <w:p>
            <w:pPr>
              <w:jc w:val="center"/>
              <w:rPr>
                <w:sz w:val="30"/>
                <w:szCs w:val="30"/>
              </w:rPr>
            </w:pPr>
          </w:p>
        </w:tc>
        <w:tc>
          <w:tcPr>
            <w:tcW w:w="5835" w:type="dxa"/>
            <w:vAlign w:val="bottom"/>
          </w:tcPr>
          <w:p>
            <w:pPr>
              <w:jc w:val="right"/>
              <w:rPr>
                <w:sz w:val="30"/>
                <w:szCs w:val="30"/>
              </w:rPr>
            </w:pPr>
          </w:p>
          <w:p>
            <w:pPr>
              <w:jc w:val="right"/>
              <w:rPr>
                <w:sz w:val="30"/>
                <w:szCs w:val="30"/>
              </w:rPr>
            </w:pPr>
          </w:p>
          <w:p>
            <w:pPr>
              <w:jc w:val="right"/>
              <w:rPr>
                <w:sz w:val="30"/>
                <w:szCs w:val="30"/>
              </w:rPr>
            </w:pPr>
          </w:p>
          <w:p>
            <w:pPr>
              <w:ind w:right="600"/>
              <w:jc w:val="right"/>
              <w:rPr>
                <w:sz w:val="30"/>
                <w:szCs w:val="30"/>
              </w:rPr>
            </w:pPr>
            <w:r>
              <w:rPr>
                <w:sz w:val="30"/>
                <w:szCs w:val="30"/>
              </w:rPr>
              <w:t>审查人：      年  月  日</w:t>
            </w:r>
          </w:p>
        </w:tc>
      </w:tr>
    </w:tbl>
    <w:p>
      <w:pPr>
        <w:spacing w:line="580" w:lineRule="exact"/>
        <w:jc w:val="center"/>
        <w:rPr>
          <w:rFonts w:eastAsia="黑体"/>
          <w:bCs/>
          <w:sz w:val="36"/>
          <w:szCs w:val="36"/>
        </w:rPr>
      </w:pPr>
    </w:p>
    <w:p>
      <w:pPr>
        <w:ind w:firstLine="480" w:firstLineChars="200"/>
        <w:rPr>
          <w:i/>
          <w:szCs w:val="21"/>
        </w:rPr>
      </w:pPr>
      <w:r>
        <w:rPr>
          <w:bCs/>
          <w:i/>
          <w:szCs w:val="21"/>
        </w:rPr>
        <w:t>（</w:t>
      </w:r>
      <w:r>
        <w:rPr>
          <w:i/>
          <w:szCs w:val="21"/>
        </w:rPr>
        <w:t>作业设计以林场（乡镇）为单位，在每年八月底前完成，由所在县级林业主管部门审查后，报市、州林业行政主管部门审批，并以正式文件批准后组织实施，并报省级林业主管部门备案，作为检查验收依据。</w:t>
      </w:r>
    </w:p>
    <w:p>
      <w:pPr>
        <w:autoSpaceDE w:val="0"/>
        <w:autoSpaceDN w:val="0"/>
        <w:adjustRightInd w:val="0"/>
        <w:ind w:firstLine="480" w:firstLineChars="200"/>
        <w:jc w:val="left"/>
        <w:rPr>
          <w:i/>
          <w:kern w:val="0"/>
          <w:szCs w:val="21"/>
        </w:rPr>
      </w:pPr>
      <w:r>
        <w:rPr>
          <w:i/>
          <w:szCs w:val="21"/>
        </w:rPr>
        <w:t>作业设计一经批准，不得随意变更；确需变更的，必须由建设单位报原批准部门重新审批。没有作业设计或作业设计未经批准的，不得组织实施。）</w:t>
      </w:r>
    </w:p>
    <w:p>
      <w:pPr>
        <w:spacing w:line="580" w:lineRule="exact"/>
        <w:jc w:val="center"/>
        <w:rPr>
          <w:rFonts w:eastAsia="黑体"/>
          <w:bCs/>
          <w:sz w:val="36"/>
          <w:szCs w:val="36"/>
        </w:rPr>
      </w:pPr>
    </w:p>
    <w:p>
      <w:pPr>
        <w:spacing w:line="580" w:lineRule="exact"/>
        <w:jc w:val="center"/>
        <w:rPr>
          <w:rFonts w:eastAsia="黑体"/>
          <w:bCs/>
          <w:sz w:val="36"/>
          <w:szCs w:val="36"/>
        </w:rPr>
      </w:pPr>
    </w:p>
    <w:p>
      <w:pPr>
        <w:spacing w:line="580" w:lineRule="exact"/>
        <w:jc w:val="center"/>
        <w:rPr>
          <w:rFonts w:eastAsia="黑体"/>
          <w:bCs/>
          <w:sz w:val="36"/>
          <w:szCs w:val="36"/>
        </w:rPr>
      </w:pPr>
      <w:r>
        <w:rPr>
          <w:rFonts w:eastAsia="黑体"/>
          <w:bCs/>
          <w:sz w:val="36"/>
          <w:szCs w:val="36"/>
        </w:rPr>
        <w:t>湖南省XX县XX林场（乡镇）</w:t>
      </w:r>
    </w:p>
    <w:p>
      <w:pPr>
        <w:spacing w:line="580" w:lineRule="exact"/>
        <w:jc w:val="center"/>
        <w:rPr>
          <w:rFonts w:eastAsia="黑体"/>
          <w:bCs/>
          <w:sz w:val="36"/>
          <w:szCs w:val="36"/>
        </w:rPr>
      </w:pPr>
      <w:r>
        <w:rPr>
          <w:rFonts w:eastAsia="黑体"/>
          <w:bCs/>
          <w:sz w:val="36"/>
          <w:szCs w:val="36"/>
        </w:rPr>
        <w:t>XX年度森林质量精准提升工程作业设计</w:t>
      </w:r>
    </w:p>
    <w:p>
      <w:pPr>
        <w:spacing w:line="580" w:lineRule="exact"/>
        <w:jc w:val="center"/>
        <w:rPr>
          <w:rFonts w:eastAsia="黑体"/>
          <w:bCs/>
          <w:sz w:val="32"/>
          <w:szCs w:val="32"/>
        </w:rPr>
      </w:pPr>
      <w:r>
        <w:rPr>
          <w:rFonts w:eastAsia="黑体"/>
          <w:bCs/>
          <w:sz w:val="36"/>
          <w:szCs w:val="36"/>
        </w:rPr>
        <w:t>编制人员名单</w:t>
      </w:r>
    </w:p>
    <w:p>
      <w:pPr>
        <w:spacing w:line="580" w:lineRule="exact"/>
        <w:jc w:val="center"/>
        <w:rPr>
          <w:rFonts w:eastAsia="仿宋_GB2312"/>
          <w:b/>
          <w:sz w:val="32"/>
          <w:szCs w:val="32"/>
        </w:rPr>
      </w:pPr>
    </w:p>
    <w:p>
      <w:pPr>
        <w:spacing w:line="580" w:lineRule="exact"/>
        <w:ind w:firstLine="1269" w:firstLineChars="395"/>
        <w:rPr>
          <w:rFonts w:eastAsia="仿宋"/>
          <w:b/>
          <w:sz w:val="32"/>
          <w:szCs w:val="32"/>
        </w:rPr>
      </w:pPr>
    </w:p>
    <w:p>
      <w:pPr>
        <w:spacing w:line="580" w:lineRule="exact"/>
        <w:ind w:firstLine="1264" w:firstLineChars="395"/>
        <w:rPr>
          <w:sz w:val="32"/>
          <w:szCs w:val="32"/>
        </w:rPr>
      </w:pPr>
      <w:r>
        <w:rPr>
          <w:rFonts w:eastAsia="黑体"/>
          <w:sz w:val="32"/>
          <w:szCs w:val="32"/>
        </w:rPr>
        <w:t>项目负责人：</w:t>
      </w:r>
      <w:r>
        <w:rPr>
          <w:b/>
          <w:sz w:val="32"/>
          <w:szCs w:val="32"/>
        </w:rPr>
        <w:t xml:space="preserve">XXX  </w:t>
      </w:r>
    </w:p>
    <w:p>
      <w:pPr>
        <w:spacing w:line="580" w:lineRule="exact"/>
        <w:rPr>
          <w:b/>
          <w:sz w:val="32"/>
          <w:szCs w:val="32"/>
        </w:rPr>
      </w:pPr>
    </w:p>
    <w:p>
      <w:pPr>
        <w:spacing w:line="580" w:lineRule="exact"/>
        <w:rPr>
          <w:b/>
          <w:sz w:val="32"/>
          <w:szCs w:val="32"/>
        </w:rPr>
      </w:pPr>
      <w:r>
        <w:rPr>
          <w:rFonts w:eastAsia="黑体"/>
          <w:sz w:val="32"/>
          <w:szCs w:val="32"/>
        </w:rPr>
        <w:t>技术负责人：</w:t>
      </w:r>
      <w:r>
        <w:rPr>
          <w:b/>
          <w:sz w:val="32"/>
          <w:szCs w:val="32"/>
        </w:rPr>
        <w:t>XXX</w:t>
      </w:r>
    </w:p>
    <w:p>
      <w:pPr>
        <w:spacing w:line="580" w:lineRule="exact"/>
        <w:ind w:firstLine="1269" w:firstLineChars="395"/>
        <w:rPr>
          <w:b/>
          <w:sz w:val="32"/>
          <w:szCs w:val="32"/>
        </w:rPr>
      </w:pPr>
    </w:p>
    <w:p>
      <w:pPr>
        <w:spacing w:line="580" w:lineRule="exact"/>
        <w:ind w:firstLine="1264" w:firstLineChars="395"/>
        <w:rPr>
          <w:b/>
          <w:sz w:val="32"/>
          <w:szCs w:val="32"/>
        </w:rPr>
      </w:pPr>
      <w:r>
        <w:rPr>
          <w:rFonts w:eastAsia="黑体"/>
          <w:sz w:val="32"/>
          <w:szCs w:val="32"/>
        </w:rPr>
        <w:t>数据统计：</w:t>
      </w:r>
      <w:r>
        <w:rPr>
          <w:b/>
          <w:sz w:val="32"/>
          <w:szCs w:val="32"/>
        </w:rPr>
        <w:t>XXX  XXX</w:t>
      </w:r>
    </w:p>
    <w:p>
      <w:pPr>
        <w:spacing w:line="580" w:lineRule="exact"/>
        <w:jc w:val="center"/>
        <w:rPr>
          <w:b/>
          <w:sz w:val="32"/>
          <w:szCs w:val="32"/>
        </w:rPr>
      </w:pPr>
    </w:p>
    <w:p>
      <w:pPr>
        <w:spacing w:line="580" w:lineRule="exact"/>
        <w:ind w:firstLine="1264" w:firstLineChars="395"/>
        <w:rPr>
          <w:b/>
          <w:sz w:val="32"/>
          <w:szCs w:val="32"/>
        </w:rPr>
      </w:pPr>
      <w:r>
        <w:rPr>
          <w:rFonts w:eastAsia="黑体"/>
          <w:sz w:val="32"/>
          <w:szCs w:val="32"/>
        </w:rPr>
        <w:t>编制人员：</w:t>
      </w:r>
      <w:r>
        <w:rPr>
          <w:b/>
          <w:sz w:val="32"/>
          <w:szCs w:val="32"/>
        </w:rPr>
        <w:t xml:space="preserve">XXX  XXX  XXX  XXX  </w:t>
      </w:r>
    </w:p>
    <w:p>
      <w:pPr>
        <w:spacing w:line="580" w:lineRule="exact"/>
        <w:ind w:firstLine="2872" w:firstLineChars="894"/>
        <w:rPr>
          <w:b/>
          <w:sz w:val="32"/>
          <w:szCs w:val="32"/>
        </w:rPr>
      </w:pPr>
      <w:r>
        <w:rPr>
          <w:b/>
          <w:sz w:val="32"/>
          <w:szCs w:val="32"/>
        </w:rPr>
        <w:t>XXX  XXX  XXX  XXX</w:t>
      </w:r>
    </w:p>
    <w:p>
      <w:pPr>
        <w:spacing w:line="580" w:lineRule="exact"/>
        <w:ind w:firstLine="1269" w:firstLineChars="395"/>
        <w:rPr>
          <w:b/>
          <w:sz w:val="32"/>
          <w:szCs w:val="32"/>
        </w:rPr>
      </w:pPr>
    </w:p>
    <w:p>
      <w:pPr>
        <w:spacing w:line="580" w:lineRule="exact"/>
        <w:ind w:firstLine="1269" w:firstLineChars="395"/>
        <w:rPr>
          <w:b/>
          <w:sz w:val="32"/>
          <w:szCs w:val="32"/>
        </w:rPr>
      </w:pPr>
    </w:p>
    <w:p>
      <w:pPr>
        <w:spacing w:line="580" w:lineRule="exact"/>
        <w:ind w:firstLine="1269" w:firstLineChars="395"/>
        <w:rPr>
          <w:b/>
          <w:sz w:val="32"/>
          <w:szCs w:val="32"/>
        </w:rPr>
      </w:pPr>
    </w:p>
    <w:p>
      <w:pPr>
        <w:spacing w:line="800" w:lineRule="exact"/>
        <w:ind w:firstLine="1264" w:firstLineChars="395"/>
        <w:rPr>
          <w:b/>
          <w:sz w:val="32"/>
          <w:szCs w:val="32"/>
        </w:rPr>
      </w:pPr>
      <w:r>
        <w:rPr>
          <w:rFonts w:eastAsia="黑体"/>
          <w:sz w:val="32"/>
          <w:szCs w:val="32"/>
        </w:rPr>
        <w:t>执    笔：</w:t>
      </w:r>
      <w:r>
        <w:rPr>
          <w:b/>
          <w:sz w:val="32"/>
          <w:szCs w:val="32"/>
        </w:rPr>
        <w:t>XXX</w:t>
      </w:r>
    </w:p>
    <w:p>
      <w:pPr>
        <w:spacing w:line="800" w:lineRule="exact"/>
        <w:ind w:firstLine="1264" w:firstLineChars="395"/>
        <w:rPr>
          <w:b/>
          <w:sz w:val="32"/>
          <w:szCs w:val="32"/>
        </w:rPr>
      </w:pPr>
      <w:r>
        <w:rPr>
          <w:rFonts w:eastAsia="黑体"/>
          <w:sz w:val="32"/>
          <w:szCs w:val="32"/>
        </w:rPr>
        <w:t>制    图：</w:t>
      </w:r>
      <w:r>
        <w:rPr>
          <w:b/>
          <w:sz w:val="32"/>
          <w:szCs w:val="32"/>
        </w:rPr>
        <w:t>XXX</w:t>
      </w:r>
    </w:p>
    <w:p>
      <w:pPr>
        <w:spacing w:line="800" w:lineRule="exact"/>
        <w:ind w:firstLine="1264" w:firstLineChars="395"/>
        <w:rPr>
          <w:b/>
          <w:sz w:val="32"/>
          <w:szCs w:val="32"/>
        </w:rPr>
      </w:pPr>
      <w:r>
        <w:rPr>
          <w:rFonts w:eastAsia="黑体"/>
          <w:sz w:val="32"/>
          <w:szCs w:val="32"/>
        </w:rPr>
        <w:t>审    核：</w:t>
      </w:r>
      <w:r>
        <w:rPr>
          <w:b/>
          <w:sz w:val="32"/>
          <w:szCs w:val="32"/>
        </w:rPr>
        <w:t>XXX</w:t>
      </w:r>
    </w:p>
    <w:p>
      <w:pPr>
        <w:spacing w:line="800" w:lineRule="exact"/>
        <w:ind w:firstLine="1264" w:firstLineChars="395"/>
        <w:rPr>
          <w:b/>
          <w:sz w:val="32"/>
          <w:szCs w:val="32"/>
        </w:rPr>
      </w:pPr>
      <w:r>
        <w:rPr>
          <w:rFonts w:eastAsia="黑体"/>
          <w:sz w:val="32"/>
          <w:szCs w:val="32"/>
        </w:rPr>
        <w:t>审    定：</w:t>
      </w:r>
      <w:r>
        <w:rPr>
          <w:b/>
          <w:sz w:val="32"/>
          <w:szCs w:val="32"/>
        </w:rPr>
        <w:t>XXX</w:t>
      </w:r>
    </w:p>
    <w:p>
      <w:pPr>
        <w:spacing w:line="800" w:lineRule="exact"/>
        <w:ind w:firstLine="1269" w:firstLineChars="395"/>
        <w:rPr>
          <w:b/>
          <w:sz w:val="32"/>
          <w:szCs w:val="32"/>
        </w:rPr>
      </w:pPr>
    </w:p>
    <w:p>
      <w:pPr>
        <w:spacing w:line="800" w:lineRule="exact"/>
        <w:ind w:firstLine="4000" w:firstLineChars="1245"/>
        <w:rPr>
          <w:b/>
          <w:sz w:val="32"/>
          <w:szCs w:val="32"/>
        </w:rPr>
      </w:pPr>
      <w:r>
        <w:rPr>
          <w:b/>
          <w:sz w:val="32"/>
          <w:szCs w:val="32"/>
        </w:rPr>
        <w:t>目录</w:t>
      </w:r>
    </w:p>
    <w:p>
      <w:pPr>
        <w:pStyle w:val="11"/>
        <w:tabs>
          <w:tab w:val="right" w:leader="dot" w:pos="8306"/>
          <w:tab w:val="clear" w:pos="8296"/>
        </w:tabs>
        <w:spacing w:line="400" w:lineRule="exact"/>
        <w:rPr>
          <w:rFonts w:ascii="Times New Roman"/>
          <w:color w:val="auto"/>
          <w:szCs w:val="21"/>
        </w:rPr>
      </w:pPr>
      <w:r>
        <w:rPr>
          <w:rFonts w:ascii="Times New Roman"/>
          <w:color w:val="auto"/>
          <w:szCs w:val="21"/>
        </w:rPr>
        <w:fldChar w:fldCharType="begin"/>
      </w:r>
      <w:r>
        <w:rPr>
          <w:rFonts w:ascii="Times New Roman"/>
          <w:color w:val="auto"/>
          <w:szCs w:val="21"/>
        </w:rPr>
        <w:instrText xml:space="preserve">TOC \o "1-3" \h \u </w:instrText>
      </w:r>
      <w:r>
        <w:rPr>
          <w:rFonts w:ascii="Times New Roman"/>
          <w:color w:val="auto"/>
          <w:szCs w:val="21"/>
        </w:rPr>
        <w:fldChar w:fldCharType="separate"/>
      </w:r>
    </w:p>
    <w:p>
      <w:pPr>
        <w:pStyle w:val="13"/>
        <w:tabs>
          <w:tab w:val="right" w:leader="dot" w:pos="8306"/>
        </w:tabs>
        <w:spacing w:line="400" w:lineRule="exact"/>
        <w:ind w:left="0" w:leftChars="0"/>
        <w:rPr>
          <w:szCs w:val="21"/>
        </w:rPr>
      </w:pPr>
      <w:r>
        <w:fldChar w:fldCharType="begin"/>
      </w:r>
      <w:r>
        <w:instrText xml:space="preserve"> HYPERLINK \l "_Toc9520" </w:instrText>
      </w:r>
      <w:r>
        <w:fldChar w:fldCharType="separate"/>
      </w:r>
      <w:r>
        <w:rPr>
          <w:rFonts w:eastAsia="黑体"/>
          <w:kern w:val="0"/>
          <w:szCs w:val="21"/>
        </w:rPr>
        <w:t>第一章  项目提要</w:t>
      </w:r>
      <w:r>
        <w:rPr>
          <w:szCs w:val="21"/>
        </w:rPr>
        <w:tab/>
      </w:r>
      <w:r>
        <w:rPr>
          <w:szCs w:val="21"/>
        </w:rPr>
        <w:fldChar w:fldCharType="begin"/>
      </w:r>
      <w:r>
        <w:rPr>
          <w:szCs w:val="21"/>
        </w:rPr>
        <w:instrText xml:space="preserve"> PAGEREF _Toc9520 \h </w:instrText>
      </w:r>
      <w:r>
        <w:rPr>
          <w:szCs w:val="21"/>
        </w:rPr>
        <w:fldChar w:fldCharType="separate"/>
      </w:r>
      <w:r>
        <w:rPr>
          <w:szCs w:val="21"/>
        </w:rPr>
        <w:t>1</w:t>
      </w:r>
      <w:r>
        <w:rPr>
          <w:szCs w:val="21"/>
        </w:rPr>
        <w:fldChar w:fldCharType="end"/>
      </w:r>
      <w:r>
        <w:rPr>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"_Toc16687" </w:instrText>
      </w:r>
      <w:r>
        <w:fldChar w:fldCharType="separate"/>
      </w:r>
      <w:r>
        <w:rPr>
          <w:rFonts w:eastAsia="黑体"/>
          <w:sz w:val="21"/>
          <w:szCs w:val="21"/>
        </w:rPr>
        <w:t>1.1项目名称</w:t>
      </w:r>
      <w:r>
        <w:rPr>
          <w:sz w:val="21"/>
          <w:szCs w:val="21"/>
        </w:rPr>
        <w:tab/>
      </w:r>
      <w:r>
        <w:rPr>
          <w:sz w:val="21"/>
          <w:szCs w:val="21"/>
        </w:rPr>
        <w:fldChar w:fldCharType="begin"/>
      </w:r>
      <w:r>
        <w:rPr>
          <w:sz w:val="21"/>
          <w:szCs w:val="21"/>
        </w:rPr>
        <w:instrText xml:space="preserve"> PAGEREF _Toc16687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"_Toc7918" </w:instrText>
      </w:r>
      <w:r>
        <w:fldChar w:fldCharType="separate"/>
      </w:r>
      <w:r>
        <w:rPr>
          <w:rFonts w:eastAsia="黑体"/>
          <w:sz w:val="21"/>
          <w:szCs w:val="21"/>
        </w:rPr>
        <w:t>1.2</w:t>
      </w:r>
      <w:r>
        <w:rPr>
          <w:rFonts w:eastAsia="黑体"/>
          <w:kern w:val="0"/>
          <w:sz w:val="21"/>
          <w:szCs w:val="21"/>
        </w:rPr>
        <w:t>项目</w:t>
      </w:r>
      <w:r>
        <w:rPr>
          <w:rFonts w:eastAsia="黑体"/>
          <w:sz w:val="21"/>
          <w:szCs w:val="21"/>
        </w:rPr>
        <w:t>建设地点</w:t>
      </w:r>
      <w:r>
        <w:rPr>
          <w:sz w:val="21"/>
          <w:szCs w:val="21"/>
        </w:rPr>
        <w:tab/>
      </w:r>
      <w:r>
        <w:rPr>
          <w:sz w:val="21"/>
          <w:szCs w:val="21"/>
        </w:rPr>
        <w:fldChar w:fldCharType="begin"/>
      </w:r>
      <w:r>
        <w:rPr>
          <w:sz w:val="21"/>
          <w:szCs w:val="21"/>
        </w:rPr>
        <w:instrText xml:space="preserve"> PAGEREF _Toc7918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"_Toc17383" </w:instrText>
      </w:r>
      <w:r>
        <w:fldChar w:fldCharType="separate"/>
      </w:r>
      <w:r>
        <w:rPr>
          <w:rFonts w:eastAsia="黑体"/>
          <w:sz w:val="21"/>
          <w:szCs w:val="21"/>
        </w:rPr>
        <w:t>1.3</w:t>
      </w:r>
      <w:r>
        <w:rPr>
          <w:rFonts w:eastAsia="黑体"/>
          <w:kern w:val="0"/>
          <w:sz w:val="21"/>
          <w:szCs w:val="21"/>
        </w:rPr>
        <w:t>建设</w:t>
      </w:r>
      <w:r>
        <w:rPr>
          <w:rFonts w:eastAsia="黑体"/>
          <w:sz w:val="21"/>
          <w:szCs w:val="21"/>
        </w:rPr>
        <w:t>规模与主要内容</w:t>
      </w:r>
      <w:r>
        <w:rPr>
          <w:sz w:val="21"/>
          <w:szCs w:val="21"/>
        </w:rPr>
        <w:tab/>
      </w:r>
      <w:r>
        <w:rPr>
          <w:sz w:val="21"/>
          <w:szCs w:val="21"/>
        </w:rPr>
        <w:fldChar w:fldCharType="begin"/>
      </w:r>
      <w:r>
        <w:rPr>
          <w:sz w:val="21"/>
          <w:szCs w:val="21"/>
        </w:rPr>
        <w:instrText xml:space="preserve"> PAGEREF _Toc17383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"_Toc24587" </w:instrText>
      </w:r>
      <w:r>
        <w:fldChar w:fldCharType="separate"/>
      </w:r>
      <w:r>
        <w:rPr>
          <w:rFonts w:eastAsia="黑体"/>
          <w:sz w:val="21"/>
          <w:szCs w:val="21"/>
        </w:rPr>
        <w:t>1.4</w:t>
      </w:r>
      <w:r>
        <w:rPr>
          <w:rFonts w:eastAsia="黑体"/>
          <w:kern w:val="0"/>
          <w:sz w:val="21"/>
          <w:szCs w:val="21"/>
        </w:rPr>
        <w:t>投资</w:t>
      </w:r>
      <w:r>
        <w:rPr>
          <w:rFonts w:eastAsia="黑体"/>
          <w:sz w:val="21"/>
          <w:szCs w:val="21"/>
        </w:rPr>
        <w:t>概算</w:t>
      </w:r>
      <w:r>
        <w:rPr>
          <w:sz w:val="21"/>
          <w:szCs w:val="21"/>
        </w:rPr>
        <w:tab/>
      </w:r>
      <w:r>
        <w:rPr>
          <w:sz w:val="21"/>
          <w:szCs w:val="21"/>
        </w:rPr>
        <w:fldChar w:fldCharType="begin"/>
      </w:r>
      <w:r>
        <w:rPr>
          <w:sz w:val="21"/>
          <w:szCs w:val="21"/>
        </w:rPr>
        <w:instrText xml:space="preserve"> PAGEREF _Toc24587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"_Toc22883" </w:instrText>
      </w:r>
      <w:r>
        <w:fldChar w:fldCharType="separate"/>
      </w:r>
      <w:r>
        <w:rPr>
          <w:rFonts w:eastAsia="黑体"/>
          <w:sz w:val="21"/>
          <w:szCs w:val="21"/>
        </w:rPr>
        <w:t>1.5</w:t>
      </w:r>
      <w:r>
        <w:rPr>
          <w:rFonts w:eastAsia="黑体"/>
          <w:kern w:val="0"/>
          <w:sz w:val="21"/>
          <w:szCs w:val="21"/>
        </w:rPr>
        <w:t>项目</w:t>
      </w:r>
      <w:r>
        <w:rPr>
          <w:rFonts w:eastAsia="黑体"/>
          <w:sz w:val="21"/>
          <w:szCs w:val="21"/>
        </w:rPr>
        <w:t>建设目标</w:t>
      </w:r>
      <w:r>
        <w:rPr>
          <w:sz w:val="21"/>
          <w:szCs w:val="21"/>
        </w:rPr>
        <w:tab/>
      </w:r>
      <w:r>
        <w:rPr>
          <w:sz w:val="21"/>
          <w:szCs w:val="21"/>
        </w:rPr>
        <w:fldChar w:fldCharType="begin"/>
      </w:r>
      <w:r>
        <w:rPr>
          <w:sz w:val="21"/>
          <w:szCs w:val="21"/>
        </w:rPr>
        <w:instrText xml:space="preserve"> PAGEREF _Toc22883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13"/>
        <w:tabs>
          <w:tab w:val="right" w:leader="dot" w:pos="8306"/>
        </w:tabs>
        <w:spacing w:line="400" w:lineRule="exact"/>
        <w:ind w:left="0" w:leftChars="0"/>
        <w:rPr>
          <w:szCs w:val="21"/>
        </w:rPr>
      </w:pPr>
      <w:r>
        <w:fldChar w:fldCharType="begin"/>
      </w:r>
      <w:r>
        <w:instrText xml:space="preserve"> HYPERLINK \l "_Toc30529" </w:instrText>
      </w:r>
      <w:r>
        <w:fldChar w:fldCharType="separate"/>
      </w:r>
      <w:r>
        <w:rPr>
          <w:rFonts w:eastAsia="黑体"/>
          <w:kern w:val="0"/>
          <w:szCs w:val="21"/>
        </w:rPr>
        <w:t>第二章 项目实施区基本情况</w:t>
      </w:r>
      <w:r>
        <w:rPr>
          <w:szCs w:val="21"/>
        </w:rPr>
        <w:tab/>
      </w:r>
      <w:r>
        <w:rPr>
          <w:szCs w:val="21"/>
        </w:rPr>
        <w:fldChar w:fldCharType="begin"/>
      </w:r>
      <w:r>
        <w:rPr>
          <w:szCs w:val="21"/>
        </w:rPr>
        <w:instrText xml:space="preserve"> PAGEREF _Toc30529 \h </w:instrText>
      </w:r>
      <w:r>
        <w:rPr>
          <w:szCs w:val="21"/>
        </w:rPr>
        <w:fldChar w:fldCharType="separate"/>
      </w:r>
      <w:r>
        <w:rPr>
          <w:szCs w:val="21"/>
        </w:rPr>
        <w:t>1</w:t>
      </w:r>
      <w:r>
        <w:rPr>
          <w:szCs w:val="21"/>
        </w:rPr>
        <w:fldChar w:fldCharType="end"/>
      </w:r>
      <w:r>
        <w:rPr>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"_Toc26210" </w:instrText>
      </w:r>
      <w:r>
        <w:fldChar w:fldCharType="separate"/>
      </w:r>
      <w:r>
        <w:rPr>
          <w:rFonts w:eastAsia="黑体"/>
          <w:sz w:val="21"/>
          <w:szCs w:val="21"/>
        </w:rPr>
        <w:t>2.1</w:t>
      </w:r>
      <w:r>
        <w:rPr>
          <w:rFonts w:eastAsia="黑体"/>
          <w:kern w:val="0"/>
          <w:sz w:val="21"/>
          <w:szCs w:val="21"/>
        </w:rPr>
        <w:t>地理</w:t>
      </w:r>
      <w:r>
        <w:rPr>
          <w:rFonts w:eastAsia="黑体"/>
          <w:sz w:val="21"/>
          <w:szCs w:val="21"/>
        </w:rPr>
        <w:t>位置</w:t>
      </w:r>
      <w:r>
        <w:rPr>
          <w:sz w:val="21"/>
          <w:szCs w:val="21"/>
        </w:rPr>
        <w:tab/>
      </w:r>
      <w:r>
        <w:rPr>
          <w:sz w:val="21"/>
          <w:szCs w:val="21"/>
        </w:rPr>
        <w:fldChar w:fldCharType="begin"/>
      </w:r>
      <w:r>
        <w:rPr>
          <w:sz w:val="21"/>
          <w:szCs w:val="21"/>
        </w:rPr>
        <w:instrText xml:space="preserve"> PAGEREF _Toc26210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"_Toc19326" </w:instrText>
      </w:r>
      <w:r>
        <w:fldChar w:fldCharType="separate"/>
      </w:r>
      <w:r>
        <w:rPr>
          <w:rFonts w:eastAsia="黑体"/>
          <w:sz w:val="21"/>
          <w:szCs w:val="21"/>
        </w:rPr>
        <w:t>2.2</w:t>
      </w:r>
      <w:r>
        <w:rPr>
          <w:rFonts w:eastAsia="黑体"/>
          <w:kern w:val="0"/>
          <w:sz w:val="21"/>
          <w:szCs w:val="21"/>
        </w:rPr>
        <w:t>自然</w:t>
      </w:r>
      <w:r>
        <w:rPr>
          <w:rFonts w:eastAsia="黑体"/>
          <w:sz w:val="21"/>
          <w:szCs w:val="21"/>
        </w:rPr>
        <w:t>条件</w:t>
      </w:r>
      <w:r>
        <w:rPr>
          <w:sz w:val="21"/>
          <w:szCs w:val="21"/>
        </w:rPr>
        <w:tab/>
      </w:r>
      <w:r>
        <w:rPr>
          <w:sz w:val="21"/>
          <w:szCs w:val="21"/>
        </w:rPr>
        <w:fldChar w:fldCharType="begin"/>
      </w:r>
      <w:r>
        <w:rPr>
          <w:sz w:val="21"/>
          <w:szCs w:val="21"/>
        </w:rPr>
        <w:instrText xml:space="preserve"> PAGEREF _Toc19326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"_Toc7841" </w:instrText>
      </w:r>
      <w:r>
        <w:fldChar w:fldCharType="separate"/>
      </w:r>
      <w:r>
        <w:rPr>
          <w:rFonts w:eastAsia="黑体"/>
          <w:sz w:val="21"/>
          <w:szCs w:val="21"/>
        </w:rPr>
        <w:t>2.3</w:t>
      </w:r>
      <w:r>
        <w:rPr>
          <w:rFonts w:eastAsia="黑体"/>
          <w:kern w:val="0"/>
          <w:sz w:val="21"/>
          <w:szCs w:val="21"/>
        </w:rPr>
        <w:t>社会</w:t>
      </w:r>
      <w:r>
        <w:rPr>
          <w:rFonts w:eastAsia="黑体"/>
          <w:sz w:val="21"/>
          <w:szCs w:val="21"/>
        </w:rPr>
        <w:t>经济条件</w:t>
      </w:r>
      <w:r>
        <w:rPr>
          <w:sz w:val="21"/>
          <w:szCs w:val="21"/>
        </w:rPr>
        <w:tab/>
      </w:r>
      <w:r>
        <w:rPr>
          <w:sz w:val="21"/>
          <w:szCs w:val="21"/>
        </w:rPr>
        <w:fldChar w:fldCharType="begin"/>
      </w:r>
      <w:r>
        <w:rPr>
          <w:sz w:val="21"/>
          <w:szCs w:val="21"/>
        </w:rPr>
        <w:instrText xml:space="preserve"> PAGEREF _Toc7841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"_Toc4098" </w:instrText>
      </w:r>
      <w:r>
        <w:fldChar w:fldCharType="separate"/>
      </w:r>
      <w:r>
        <w:rPr>
          <w:rFonts w:eastAsia="黑体"/>
          <w:sz w:val="21"/>
          <w:szCs w:val="21"/>
        </w:rPr>
        <w:t>2.4</w:t>
      </w:r>
      <w:r>
        <w:rPr>
          <w:rFonts w:eastAsia="黑体"/>
          <w:kern w:val="0"/>
          <w:sz w:val="21"/>
          <w:szCs w:val="21"/>
        </w:rPr>
        <w:t>森林</w:t>
      </w:r>
      <w:r>
        <w:rPr>
          <w:rFonts w:eastAsia="黑体"/>
          <w:sz w:val="21"/>
          <w:szCs w:val="21"/>
        </w:rPr>
        <w:t>资源状况</w:t>
      </w:r>
      <w:r>
        <w:rPr>
          <w:sz w:val="21"/>
          <w:szCs w:val="21"/>
        </w:rPr>
        <w:tab/>
      </w:r>
      <w:r>
        <w:rPr>
          <w:sz w:val="21"/>
          <w:szCs w:val="21"/>
        </w:rPr>
        <w:fldChar w:fldCharType="begin"/>
      </w:r>
      <w:r>
        <w:rPr>
          <w:sz w:val="21"/>
          <w:szCs w:val="21"/>
        </w:rPr>
        <w:instrText xml:space="preserve"> PAGEREF _Toc4098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"_Toc25837" </w:instrText>
      </w:r>
      <w:r>
        <w:fldChar w:fldCharType="separate"/>
      </w:r>
      <w:r>
        <w:rPr>
          <w:rFonts w:eastAsia="黑体"/>
          <w:sz w:val="21"/>
          <w:szCs w:val="21"/>
        </w:rPr>
        <w:t>2.5</w:t>
      </w:r>
      <w:r>
        <w:rPr>
          <w:rFonts w:eastAsia="黑体"/>
          <w:kern w:val="0"/>
          <w:sz w:val="21"/>
          <w:szCs w:val="21"/>
        </w:rPr>
        <w:t>森林</w:t>
      </w:r>
      <w:r>
        <w:rPr>
          <w:rFonts w:eastAsia="黑体"/>
          <w:sz w:val="21"/>
          <w:szCs w:val="21"/>
        </w:rPr>
        <w:t>经营开展情况</w:t>
      </w:r>
      <w:r>
        <w:rPr>
          <w:sz w:val="21"/>
          <w:szCs w:val="21"/>
        </w:rPr>
        <w:tab/>
      </w:r>
      <w:r>
        <w:rPr>
          <w:sz w:val="21"/>
          <w:szCs w:val="21"/>
        </w:rPr>
        <w:fldChar w:fldCharType="begin"/>
      </w:r>
      <w:r>
        <w:rPr>
          <w:sz w:val="21"/>
          <w:szCs w:val="21"/>
        </w:rPr>
        <w:instrText xml:space="preserve"> PAGEREF _Toc25837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13"/>
        <w:tabs>
          <w:tab w:val="right" w:leader="dot" w:pos="8306"/>
        </w:tabs>
        <w:spacing w:line="400" w:lineRule="exact"/>
        <w:ind w:left="0" w:leftChars="0"/>
        <w:rPr>
          <w:szCs w:val="21"/>
        </w:rPr>
      </w:pPr>
      <w:r>
        <w:fldChar w:fldCharType="begin"/>
      </w:r>
      <w:r>
        <w:instrText xml:space="preserve"> HYPERLINK \l "_Toc28340" </w:instrText>
      </w:r>
      <w:r>
        <w:fldChar w:fldCharType="separate"/>
      </w:r>
      <w:r>
        <w:rPr>
          <w:rFonts w:eastAsia="黑体"/>
          <w:kern w:val="0"/>
          <w:szCs w:val="21"/>
        </w:rPr>
        <w:t>第三章 指导思想、设计依据与设计原则</w:t>
      </w:r>
      <w:r>
        <w:rPr>
          <w:szCs w:val="21"/>
        </w:rPr>
        <w:tab/>
      </w:r>
      <w:r>
        <w:rPr>
          <w:szCs w:val="21"/>
        </w:rPr>
        <w:fldChar w:fldCharType="begin"/>
      </w:r>
      <w:r>
        <w:rPr>
          <w:szCs w:val="21"/>
        </w:rPr>
        <w:instrText xml:space="preserve"> PAGEREF _Toc28340 \h </w:instrText>
      </w:r>
      <w:r>
        <w:rPr>
          <w:szCs w:val="21"/>
        </w:rPr>
        <w:fldChar w:fldCharType="separate"/>
      </w:r>
      <w:r>
        <w:rPr>
          <w:szCs w:val="21"/>
        </w:rPr>
        <w:t>1</w:t>
      </w:r>
      <w:r>
        <w:rPr>
          <w:szCs w:val="21"/>
        </w:rPr>
        <w:fldChar w:fldCharType="end"/>
      </w:r>
      <w:r>
        <w:rPr>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"_Toc27830" </w:instrText>
      </w:r>
      <w:r>
        <w:fldChar w:fldCharType="separate"/>
      </w:r>
      <w:r>
        <w:rPr>
          <w:rFonts w:eastAsia="黑体"/>
          <w:sz w:val="21"/>
          <w:szCs w:val="21"/>
        </w:rPr>
        <w:t>3.1</w:t>
      </w:r>
      <w:r>
        <w:rPr>
          <w:rFonts w:eastAsia="黑体"/>
          <w:kern w:val="0"/>
          <w:sz w:val="21"/>
          <w:szCs w:val="21"/>
        </w:rPr>
        <w:t>指导</w:t>
      </w:r>
      <w:r>
        <w:rPr>
          <w:rFonts w:eastAsia="黑体"/>
          <w:sz w:val="21"/>
          <w:szCs w:val="21"/>
        </w:rPr>
        <w:t>思想</w:t>
      </w:r>
      <w:r>
        <w:rPr>
          <w:sz w:val="21"/>
          <w:szCs w:val="21"/>
        </w:rPr>
        <w:tab/>
      </w:r>
      <w:r>
        <w:rPr>
          <w:sz w:val="21"/>
          <w:szCs w:val="21"/>
        </w:rPr>
        <w:fldChar w:fldCharType="begin"/>
      </w:r>
      <w:r>
        <w:rPr>
          <w:sz w:val="21"/>
          <w:szCs w:val="21"/>
        </w:rPr>
        <w:instrText xml:space="preserve"> PAGEREF _Toc27830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"_Toc16861" </w:instrText>
      </w:r>
      <w:r>
        <w:fldChar w:fldCharType="separate"/>
      </w:r>
      <w:r>
        <w:rPr>
          <w:rFonts w:eastAsia="黑体"/>
          <w:sz w:val="21"/>
          <w:szCs w:val="21"/>
        </w:rPr>
        <w:t>3.2</w:t>
      </w:r>
      <w:r>
        <w:rPr>
          <w:rFonts w:eastAsia="黑体"/>
          <w:kern w:val="0"/>
          <w:sz w:val="21"/>
          <w:szCs w:val="21"/>
        </w:rPr>
        <w:t>设计</w:t>
      </w:r>
      <w:r>
        <w:rPr>
          <w:rFonts w:eastAsia="黑体"/>
          <w:sz w:val="21"/>
          <w:szCs w:val="21"/>
        </w:rPr>
        <w:t>依据</w:t>
      </w:r>
      <w:r>
        <w:rPr>
          <w:sz w:val="21"/>
          <w:szCs w:val="21"/>
        </w:rPr>
        <w:tab/>
      </w:r>
      <w:r>
        <w:rPr>
          <w:sz w:val="21"/>
          <w:szCs w:val="21"/>
        </w:rPr>
        <w:fldChar w:fldCharType="begin"/>
      </w:r>
      <w:r>
        <w:rPr>
          <w:sz w:val="21"/>
          <w:szCs w:val="21"/>
        </w:rPr>
        <w:instrText xml:space="preserve"> PAGEREF _Toc16861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"_Toc12627" </w:instrText>
      </w:r>
      <w:r>
        <w:fldChar w:fldCharType="separate"/>
      </w:r>
      <w:r>
        <w:rPr>
          <w:rFonts w:eastAsia="黑体"/>
          <w:sz w:val="21"/>
          <w:szCs w:val="21"/>
        </w:rPr>
        <w:t>3.3</w:t>
      </w:r>
      <w:r>
        <w:rPr>
          <w:rFonts w:eastAsia="黑体"/>
          <w:kern w:val="0"/>
          <w:sz w:val="21"/>
          <w:szCs w:val="21"/>
        </w:rPr>
        <w:t>设计</w:t>
      </w:r>
      <w:r>
        <w:rPr>
          <w:rFonts w:eastAsia="黑体"/>
          <w:sz w:val="21"/>
          <w:szCs w:val="21"/>
        </w:rPr>
        <w:t>原则</w:t>
      </w:r>
      <w:r>
        <w:rPr>
          <w:sz w:val="21"/>
          <w:szCs w:val="21"/>
        </w:rPr>
        <w:tab/>
      </w:r>
      <w:r>
        <w:rPr>
          <w:sz w:val="21"/>
          <w:szCs w:val="21"/>
        </w:rPr>
        <w:fldChar w:fldCharType="begin"/>
      </w:r>
      <w:r>
        <w:rPr>
          <w:sz w:val="21"/>
          <w:szCs w:val="21"/>
        </w:rPr>
        <w:instrText xml:space="preserve"> PAGEREF _Toc12627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13"/>
        <w:tabs>
          <w:tab w:val="right" w:leader="dot" w:pos="8306"/>
        </w:tabs>
        <w:spacing w:line="400" w:lineRule="exact"/>
        <w:ind w:left="0" w:leftChars="0"/>
        <w:rPr>
          <w:szCs w:val="21"/>
        </w:rPr>
      </w:pPr>
      <w:r>
        <w:fldChar w:fldCharType="begin"/>
      </w:r>
      <w:r>
        <w:instrText xml:space="preserve"> HYPERLINK \l "_Toc16609" </w:instrText>
      </w:r>
      <w:r>
        <w:fldChar w:fldCharType="separate"/>
      </w:r>
      <w:r>
        <w:rPr>
          <w:rFonts w:eastAsia="黑体"/>
          <w:kern w:val="0"/>
          <w:szCs w:val="21"/>
        </w:rPr>
        <w:t>第四章 林分选择与外业调查</w:t>
      </w:r>
      <w:r>
        <w:rPr>
          <w:szCs w:val="21"/>
        </w:rPr>
        <w:tab/>
      </w:r>
      <w:r>
        <w:rPr>
          <w:szCs w:val="21"/>
        </w:rPr>
        <w:fldChar w:fldCharType="begin"/>
      </w:r>
      <w:r>
        <w:rPr>
          <w:szCs w:val="21"/>
        </w:rPr>
        <w:instrText xml:space="preserve"> PAGEREF _Toc16609 \h </w:instrText>
      </w:r>
      <w:r>
        <w:rPr>
          <w:szCs w:val="21"/>
        </w:rPr>
        <w:fldChar w:fldCharType="separate"/>
      </w:r>
      <w:r>
        <w:rPr>
          <w:szCs w:val="21"/>
        </w:rPr>
        <w:t>2</w:t>
      </w:r>
      <w:r>
        <w:rPr>
          <w:szCs w:val="21"/>
        </w:rPr>
        <w:fldChar w:fldCharType="end"/>
      </w:r>
      <w:r>
        <w:rPr>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"_Toc14426" </w:instrText>
      </w:r>
      <w:r>
        <w:fldChar w:fldCharType="separate"/>
      </w:r>
      <w:r>
        <w:rPr>
          <w:rFonts w:eastAsia="黑体"/>
          <w:sz w:val="21"/>
          <w:szCs w:val="21"/>
        </w:rPr>
        <w:t>4.1林分选择</w:t>
      </w:r>
      <w:r>
        <w:rPr>
          <w:sz w:val="21"/>
          <w:szCs w:val="21"/>
        </w:rPr>
        <w:tab/>
      </w:r>
      <w:r>
        <w:rPr>
          <w:sz w:val="21"/>
          <w:szCs w:val="21"/>
        </w:rPr>
        <w:fldChar w:fldCharType="begin"/>
      </w:r>
      <w:r>
        <w:rPr>
          <w:sz w:val="21"/>
          <w:szCs w:val="21"/>
        </w:rPr>
        <w:instrText xml:space="preserve"> PAGEREF _Toc14426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"_Toc24503" </w:instrText>
      </w:r>
      <w:r>
        <w:fldChar w:fldCharType="separate"/>
      </w:r>
      <w:r>
        <w:rPr>
          <w:rFonts w:eastAsia="黑体"/>
          <w:sz w:val="21"/>
          <w:szCs w:val="21"/>
        </w:rPr>
        <w:t>4.2</w:t>
      </w:r>
      <w:r>
        <w:rPr>
          <w:rFonts w:eastAsia="黑体"/>
          <w:kern w:val="0"/>
          <w:sz w:val="21"/>
          <w:szCs w:val="21"/>
        </w:rPr>
        <w:t>外业</w:t>
      </w:r>
      <w:r>
        <w:rPr>
          <w:rFonts w:eastAsia="黑体"/>
          <w:sz w:val="21"/>
          <w:szCs w:val="21"/>
        </w:rPr>
        <w:t>调查</w:t>
      </w:r>
      <w:r>
        <w:rPr>
          <w:sz w:val="21"/>
          <w:szCs w:val="21"/>
        </w:rPr>
        <w:tab/>
      </w:r>
      <w:r>
        <w:rPr>
          <w:sz w:val="21"/>
          <w:szCs w:val="21"/>
        </w:rPr>
        <w:fldChar w:fldCharType="begin"/>
      </w:r>
      <w:r>
        <w:rPr>
          <w:sz w:val="21"/>
          <w:szCs w:val="21"/>
        </w:rPr>
        <w:instrText xml:space="preserve"> PAGEREF _Toc24503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13"/>
        <w:tabs>
          <w:tab w:val="right" w:leader="dot" w:pos="8306"/>
        </w:tabs>
        <w:spacing w:line="400" w:lineRule="exact"/>
        <w:ind w:left="0" w:leftChars="0"/>
        <w:rPr>
          <w:szCs w:val="21"/>
        </w:rPr>
      </w:pPr>
      <w:r>
        <w:fldChar w:fldCharType="begin"/>
      </w:r>
      <w:r>
        <w:instrText xml:space="preserve"> HYPERLINK \l "_Toc32692" </w:instrText>
      </w:r>
      <w:r>
        <w:fldChar w:fldCharType="separate"/>
      </w:r>
      <w:r>
        <w:rPr>
          <w:rFonts w:eastAsia="黑体"/>
          <w:kern w:val="0"/>
          <w:szCs w:val="21"/>
        </w:rPr>
        <w:t>第五章  主要技术措施设计</w:t>
      </w:r>
      <w:r>
        <w:rPr>
          <w:szCs w:val="21"/>
        </w:rPr>
        <w:tab/>
      </w:r>
      <w:r>
        <w:rPr>
          <w:szCs w:val="21"/>
        </w:rPr>
        <w:fldChar w:fldCharType="begin"/>
      </w:r>
      <w:r>
        <w:rPr>
          <w:szCs w:val="21"/>
        </w:rPr>
        <w:instrText xml:space="preserve"> PAGEREF _Toc32692 \h </w:instrText>
      </w:r>
      <w:r>
        <w:rPr>
          <w:szCs w:val="21"/>
        </w:rPr>
        <w:fldChar w:fldCharType="separate"/>
      </w:r>
      <w:r>
        <w:rPr>
          <w:szCs w:val="21"/>
        </w:rPr>
        <w:t>2</w:t>
      </w:r>
      <w:r>
        <w:rPr>
          <w:szCs w:val="21"/>
        </w:rPr>
        <w:fldChar w:fldCharType="end"/>
      </w:r>
      <w:r>
        <w:rPr>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"_Toc24367" </w:instrText>
      </w:r>
      <w:r>
        <w:fldChar w:fldCharType="separate"/>
      </w:r>
      <w:r>
        <w:rPr>
          <w:rFonts w:eastAsia="黑体"/>
          <w:sz w:val="21"/>
          <w:szCs w:val="21"/>
        </w:rPr>
        <w:t>5.1</w:t>
      </w:r>
      <w:r>
        <w:rPr>
          <w:rFonts w:eastAsia="黑体"/>
          <w:kern w:val="0"/>
          <w:sz w:val="21"/>
          <w:szCs w:val="21"/>
        </w:rPr>
        <w:t>经营</w:t>
      </w:r>
      <w:r>
        <w:rPr>
          <w:rFonts w:eastAsia="黑体"/>
          <w:sz w:val="21"/>
          <w:szCs w:val="21"/>
        </w:rPr>
        <w:t>模式、培育目标和作业法</w:t>
      </w:r>
      <w:r>
        <w:rPr>
          <w:sz w:val="21"/>
          <w:szCs w:val="21"/>
        </w:rPr>
        <w:tab/>
      </w:r>
      <w:r>
        <w:rPr>
          <w:sz w:val="21"/>
          <w:szCs w:val="21"/>
        </w:rPr>
        <w:fldChar w:fldCharType="begin"/>
      </w:r>
      <w:r>
        <w:rPr>
          <w:sz w:val="21"/>
          <w:szCs w:val="21"/>
        </w:rPr>
        <w:instrText xml:space="preserve"> PAGEREF _Toc24367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"_Toc15703" </w:instrText>
      </w:r>
      <w:r>
        <w:fldChar w:fldCharType="separate"/>
      </w:r>
      <w:r>
        <w:rPr>
          <w:rFonts w:eastAsia="黑体"/>
          <w:sz w:val="21"/>
          <w:szCs w:val="21"/>
        </w:rPr>
        <w:t>5.2</w:t>
      </w:r>
      <w:r>
        <w:rPr>
          <w:rFonts w:eastAsia="黑体"/>
          <w:kern w:val="0"/>
          <w:sz w:val="21"/>
          <w:szCs w:val="21"/>
        </w:rPr>
        <w:t>林地</w:t>
      </w:r>
      <w:r>
        <w:rPr>
          <w:rFonts w:eastAsia="黑体"/>
          <w:sz w:val="21"/>
          <w:szCs w:val="21"/>
        </w:rPr>
        <w:t>清理</w:t>
      </w:r>
      <w:r>
        <w:rPr>
          <w:sz w:val="21"/>
          <w:szCs w:val="21"/>
        </w:rPr>
        <w:tab/>
      </w:r>
      <w:r>
        <w:rPr>
          <w:sz w:val="21"/>
          <w:szCs w:val="21"/>
        </w:rPr>
        <w:fldChar w:fldCharType="begin"/>
      </w:r>
      <w:r>
        <w:rPr>
          <w:sz w:val="21"/>
          <w:szCs w:val="21"/>
        </w:rPr>
        <w:instrText xml:space="preserve"> PAGEREF _Toc15703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"_Toc15426" </w:instrText>
      </w:r>
      <w:r>
        <w:fldChar w:fldCharType="separate"/>
      </w:r>
      <w:r>
        <w:rPr>
          <w:rFonts w:eastAsia="黑体"/>
          <w:sz w:val="21"/>
          <w:szCs w:val="21"/>
        </w:rPr>
        <w:t>5.3间伐</w:t>
      </w:r>
      <w:r>
        <w:rPr>
          <w:sz w:val="21"/>
          <w:szCs w:val="21"/>
        </w:rPr>
        <w:tab/>
      </w:r>
      <w:r>
        <w:rPr>
          <w:sz w:val="21"/>
          <w:szCs w:val="21"/>
        </w:rPr>
        <w:fldChar w:fldCharType="begin"/>
      </w:r>
      <w:r>
        <w:rPr>
          <w:sz w:val="21"/>
          <w:szCs w:val="21"/>
        </w:rPr>
        <w:instrText xml:space="preserve"> PAGEREF _Toc15426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"_Toc1485" </w:instrText>
      </w:r>
      <w:r>
        <w:fldChar w:fldCharType="separate"/>
      </w:r>
      <w:r>
        <w:rPr>
          <w:rFonts w:eastAsia="黑体"/>
          <w:sz w:val="21"/>
          <w:szCs w:val="21"/>
        </w:rPr>
        <w:t>5.4修枝整形</w:t>
      </w:r>
      <w:r>
        <w:rPr>
          <w:sz w:val="21"/>
          <w:szCs w:val="21"/>
        </w:rPr>
        <w:tab/>
      </w:r>
      <w:r>
        <w:rPr>
          <w:sz w:val="21"/>
          <w:szCs w:val="21"/>
        </w:rPr>
        <w:fldChar w:fldCharType="begin"/>
      </w:r>
      <w:r>
        <w:rPr>
          <w:sz w:val="21"/>
          <w:szCs w:val="21"/>
        </w:rPr>
        <w:instrText xml:space="preserve"> PAGEREF _Toc1485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"_Toc24316" </w:instrText>
      </w:r>
      <w:r>
        <w:fldChar w:fldCharType="separate"/>
      </w:r>
      <w:r>
        <w:rPr>
          <w:rFonts w:eastAsia="黑体"/>
          <w:sz w:val="21"/>
          <w:szCs w:val="21"/>
        </w:rPr>
        <w:t>5.5补植</w:t>
      </w:r>
      <w:r>
        <w:rPr>
          <w:sz w:val="21"/>
          <w:szCs w:val="21"/>
        </w:rPr>
        <w:tab/>
      </w:r>
      <w:r>
        <w:rPr>
          <w:sz w:val="21"/>
          <w:szCs w:val="21"/>
        </w:rPr>
        <w:fldChar w:fldCharType="begin"/>
      </w:r>
      <w:r>
        <w:rPr>
          <w:sz w:val="21"/>
          <w:szCs w:val="21"/>
        </w:rPr>
        <w:instrText xml:space="preserve"> PAGEREF _Toc24316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"_Toc22510" </w:instrText>
      </w:r>
      <w:r>
        <w:fldChar w:fldCharType="separate"/>
      </w:r>
      <w:r>
        <w:rPr>
          <w:rFonts w:eastAsia="黑体"/>
          <w:sz w:val="21"/>
          <w:szCs w:val="21"/>
        </w:rPr>
        <w:t>5.6培蔸</w:t>
      </w:r>
      <w:r>
        <w:rPr>
          <w:sz w:val="21"/>
          <w:szCs w:val="21"/>
        </w:rPr>
        <w:tab/>
      </w:r>
      <w:r>
        <w:rPr>
          <w:sz w:val="21"/>
          <w:szCs w:val="21"/>
        </w:rPr>
        <w:fldChar w:fldCharType="begin"/>
      </w:r>
      <w:r>
        <w:rPr>
          <w:sz w:val="21"/>
          <w:szCs w:val="21"/>
        </w:rPr>
        <w:instrText xml:space="preserve"> PAGEREF _Toc22510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"_Toc11726" </w:instrText>
      </w:r>
      <w:r>
        <w:fldChar w:fldCharType="separate"/>
      </w:r>
      <w:r>
        <w:rPr>
          <w:rFonts w:eastAsia="黑体"/>
          <w:sz w:val="21"/>
          <w:szCs w:val="21"/>
        </w:rPr>
        <w:t>5.7</w:t>
      </w:r>
      <w:r>
        <w:rPr>
          <w:rFonts w:eastAsia="黑体"/>
          <w:kern w:val="0"/>
          <w:sz w:val="21"/>
          <w:szCs w:val="21"/>
        </w:rPr>
        <w:t>辅助</w:t>
      </w:r>
      <w:r>
        <w:rPr>
          <w:rFonts w:eastAsia="黑体"/>
          <w:sz w:val="21"/>
          <w:szCs w:val="21"/>
        </w:rPr>
        <w:t>设施</w:t>
      </w:r>
      <w:r>
        <w:rPr>
          <w:sz w:val="21"/>
          <w:szCs w:val="21"/>
        </w:rPr>
        <w:tab/>
      </w:r>
      <w:r>
        <w:rPr>
          <w:sz w:val="21"/>
          <w:szCs w:val="21"/>
        </w:rPr>
        <w:fldChar w:fldCharType="begin"/>
      </w:r>
      <w:r>
        <w:rPr>
          <w:sz w:val="21"/>
          <w:szCs w:val="21"/>
        </w:rPr>
        <w:instrText xml:space="preserve"> PAGEREF _Toc11726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13"/>
        <w:tabs>
          <w:tab w:val="right" w:leader="dot" w:pos="8306"/>
        </w:tabs>
        <w:spacing w:line="400" w:lineRule="exact"/>
        <w:ind w:left="0" w:leftChars="0"/>
        <w:rPr>
          <w:szCs w:val="21"/>
        </w:rPr>
      </w:pPr>
      <w:r>
        <w:fldChar w:fldCharType="begin"/>
      </w:r>
      <w:r>
        <w:instrText xml:space="preserve"> HYPERLINK \l "_Toc16249" </w:instrText>
      </w:r>
      <w:r>
        <w:fldChar w:fldCharType="separate"/>
      </w:r>
      <w:r>
        <w:rPr>
          <w:rFonts w:eastAsia="黑体"/>
          <w:kern w:val="0"/>
          <w:szCs w:val="21"/>
        </w:rPr>
        <w:t>第六章 施工组织设计</w:t>
      </w:r>
      <w:r>
        <w:rPr>
          <w:szCs w:val="21"/>
        </w:rPr>
        <w:tab/>
      </w:r>
      <w:r>
        <w:rPr>
          <w:szCs w:val="21"/>
        </w:rPr>
        <w:fldChar w:fldCharType="begin"/>
      </w:r>
      <w:r>
        <w:rPr>
          <w:szCs w:val="21"/>
        </w:rPr>
        <w:instrText xml:space="preserve"> PAGEREF _Toc16249 \h </w:instrText>
      </w:r>
      <w:r>
        <w:rPr>
          <w:szCs w:val="21"/>
        </w:rPr>
        <w:fldChar w:fldCharType="separate"/>
      </w:r>
      <w:r>
        <w:rPr>
          <w:szCs w:val="21"/>
        </w:rPr>
        <w:t>3</w:t>
      </w:r>
      <w:r>
        <w:rPr>
          <w:szCs w:val="21"/>
        </w:rPr>
        <w:fldChar w:fldCharType="end"/>
      </w:r>
      <w:r>
        <w:rPr>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"_Toc4162" </w:instrText>
      </w:r>
      <w:r>
        <w:fldChar w:fldCharType="separate"/>
      </w:r>
      <w:r>
        <w:rPr>
          <w:rFonts w:eastAsia="黑体"/>
          <w:sz w:val="21"/>
          <w:szCs w:val="21"/>
        </w:rPr>
        <w:t>6.1</w:t>
      </w:r>
      <w:r>
        <w:rPr>
          <w:rFonts w:eastAsia="黑体"/>
          <w:kern w:val="0"/>
          <w:sz w:val="21"/>
          <w:szCs w:val="21"/>
        </w:rPr>
        <w:t>施工</w:t>
      </w:r>
      <w:r>
        <w:rPr>
          <w:rFonts w:eastAsia="黑体"/>
          <w:sz w:val="21"/>
          <w:szCs w:val="21"/>
        </w:rPr>
        <w:t>队伍组织</w:t>
      </w:r>
      <w:r>
        <w:rPr>
          <w:sz w:val="21"/>
          <w:szCs w:val="21"/>
        </w:rPr>
        <w:tab/>
      </w:r>
      <w:r>
        <w:rPr>
          <w:sz w:val="21"/>
          <w:szCs w:val="21"/>
        </w:rPr>
        <w:fldChar w:fldCharType="begin"/>
      </w:r>
      <w:r>
        <w:rPr>
          <w:sz w:val="21"/>
          <w:szCs w:val="21"/>
        </w:rPr>
        <w:instrText xml:space="preserve"> PAGEREF _Toc4162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"_Toc3446" </w:instrText>
      </w:r>
      <w:r>
        <w:fldChar w:fldCharType="separate"/>
      </w:r>
      <w:r>
        <w:rPr>
          <w:rFonts w:eastAsia="黑体"/>
          <w:sz w:val="21"/>
          <w:szCs w:val="21"/>
        </w:rPr>
        <w:t>6.2</w:t>
      </w:r>
      <w:r>
        <w:rPr>
          <w:rFonts w:eastAsia="黑体"/>
          <w:kern w:val="0"/>
          <w:sz w:val="21"/>
          <w:szCs w:val="21"/>
        </w:rPr>
        <w:t>施工</w:t>
      </w:r>
      <w:r>
        <w:rPr>
          <w:rFonts w:eastAsia="黑体"/>
          <w:sz w:val="21"/>
          <w:szCs w:val="21"/>
        </w:rPr>
        <w:t>时间和进度安排</w:t>
      </w:r>
      <w:r>
        <w:rPr>
          <w:sz w:val="21"/>
          <w:szCs w:val="21"/>
        </w:rPr>
        <w:tab/>
      </w:r>
      <w:r>
        <w:rPr>
          <w:sz w:val="21"/>
          <w:szCs w:val="21"/>
        </w:rPr>
        <w:fldChar w:fldCharType="begin"/>
      </w:r>
      <w:r>
        <w:rPr>
          <w:sz w:val="21"/>
          <w:szCs w:val="21"/>
        </w:rPr>
        <w:instrText xml:space="preserve"> PAGEREF _Toc3446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"_Toc1122" </w:instrText>
      </w:r>
      <w:r>
        <w:fldChar w:fldCharType="separate"/>
      </w:r>
      <w:r>
        <w:rPr>
          <w:rFonts w:eastAsia="黑体"/>
          <w:sz w:val="21"/>
          <w:szCs w:val="21"/>
        </w:rPr>
        <w:t>6.3</w:t>
      </w:r>
      <w:r>
        <w:rPr>
          <w:rFonts w:eastAsia="黑体"/>
          <w:kern w:val="0"/>
          <w:sz w:val="21"/>
          <w:szCs w:val="21"/>
        </w:rPr>
        <w:t>质量</w:t>
      </w:r>
      <w:r>
        <w:rPr>
          <w:rFonts w:eastAsia="黑体"/>
          <w:sz w:val="21"/>
          <w:szCs w:val="21"/>
        </w:rPr>
        <w:t>管理</w:t>
      </w:r>
      <w:r>
        <w:rPr>
          <w:sz w:val="21"/>
          <w:szCs w:val="21"/>
        </w:rPr>
        <w:tab/>
      </w:r>
      <w:r>
        <w:rPr>
          <w:sz w:val="21"/>
          <w:szCs w:val="21"/>
        </w:rPr>
        <w:fldChar w:fldCharType="begin"/>
      </w:r>
      <w:r>
        <w:rPr>
          <w:sz w:val="21"/>
          <w:szCs w:val="21"/>
        </w:rPr>
        <w:instrText xml:space="preserve"> PAGEREF _Toc1122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13"/>
        <w:tabs>
          <w:tab w:val="right" w:leader="dot" w:pos="8306"/>
        </w:tabs>
        <w:spacing w:line="400" w:lineRule="exact"/>
        <w:ind w:left="0" w:leftChars="0"/>
        <w:rPr>
          <w:szCs w:val="21"/>
        </w:rPr>
      </w:pPr>
      <w:r>
        <w:fldChar w:fldCharType="begin"/>
      </w:r>
      <w:r>
        <w:instrText xml:space="preserve"> HYPERLINK \l "_Toc23672" </w:instrText>
      </w:r>
      <w:r>
        <w:fldChar w:fldCharType="separate"/>
      </w:r>
      <w:r>
        <w:rPr>
          <w:rFonts w:eastAsia="黑体"/>
          <w:kern w:val="0"/>
          <w:szCs w:val="21"/>
        </w:rPr>
        <w:t>第七章 投资概算与资金筹措</w:t>
      </w:r>
      <w:r>
        <w:rPr>
          <w:szCs w:val="21"/>
        </w:rPr>
        <w:tab/>
      </w:r>
      <w:r>
        <w:rPr>
          <w:szCs w:val="21"/>
        </w:rPr>
        <w:fldChar w:fldCharType="begin"/>
      </w:r>
      <w:r>
        <w:rPr>
          <w:szCs w:val="21"/>
        </w:rPr>
        <w:instrText xml:space="preserve"> PAGEREF _Toc23672 \h </w:instrText>
      </w:r>
      <w:r>
        <w:rPr>
          <w:szCs w:val="21"/>
        </w:rPr>
        <w:fldChar w:fldCharType="separate"/>
      </w:r>
      <w:r>
        <w:rPr>
          <w:szCs w:val="21"/>
        </w:rPr>
        <w:t>4</w:t>
      </w:r>
      <w:r>
        <w:rPr>
          <w:szCs w:val="21"/>
        </w:rPr>
        <w:fldChar w:fldCharType="end"/>
      </w:r>
      <w:r>
        <w:rPr>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"_Toc17494" </w:instrText>
      </w:r>
      <w:r>
        <w:fldChar w:fldCharType="separate"/>
      </w:r>
      <w:r>
        <w:rPr>
          <w:rFonts w:eastAsia="黑体"/>
          <w:sz w:val="21"/>
          <w:szCs w:val="21"/>
        </w:rPr>
        <w:t>7.1</w:t>
      </w:r>
      <w:r>
        <w:rPr>
          <w:rFonts w:eastAsia="黑体"/>
          <w:kern w:val="0"/>
          <w:sz w:val="21"/>
          <w:szCs w:val="21"/>
        </w:rPr>
        <w:t>投资</w:t>
      </w:r>
      <w:r>
        <w:rPr>
          <w:rFonts w:eastAsia="黑体"/>
          <w:sz w:val="21"/>
          <w:szCs w:val="21"/>
        </w:rPr>
        <w:t>概算</w:t>
      </w:r>
      <w:r>
        <w:rPr>
          <w:sz w:val="21"/>
          <w:szCs w:val="21"/>
        </w:rPr>
        <w:tab/>
      </w:r>
      <w:r>
        <w:rPr>
          <w:sz w:val="21"/>
          <w:szCs w:val="21"/>
        </w:rPr>
        <w:fldChar w:fldCharType="begin"/>
      </w:r>
      <w:r>
        <w:rPr>
          <w:sz w:val="21"/>
          <w:szCs w:val="21"/>
        </w:rPr>
        <w:instrText xml:space="preserve"> PAGEREF _Toc17494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"_Toc2118" </w:instrText>
      </w:r>
      <w:r>
        <w:fldChar w:fldCharType="separate"/>
      </w:r>
      <w:r>
        <w:rPr>
          <w:rFonts w:eastAsia="黑体"/>
          <w:sz w:val="21"/>
          <w:szCs w:val="21"/>
        </w:rPr>
        <w:t>7.2</w:t>
      </w:r>
      <w:r>
        <w:rPr>
          <w:rFonts w:eastAsia="黑体"/>
          <w:kern w:val="0"/>
          <w:sz w:val="21"/>
          <w:szCs w:val="21"/>
        </w:rPr>
        <w:t>资金</w:t>
      </w:r>
      <w:r>
        <w:rPr>
          <w:rFonts w:eastAsia="黑体"/>
          <w:sz w:val="21"/>
          <w:szCs w:val="21"/>
        </w:rPr>
        <w:t>筹措</w:t>
      </w:r>
      <w:r>
        <w:rPr>
          <w:sz w:val="21"/>
          <w:szCs w:val="21"/>
        </w:rPr>
        <w:tab/>
      </w:r>
      <w:r>
        <w:rPr>
          <w:sz w:val="21"/>
          <w:szCs w:val="21"/>
        </w:rPr>
        <w:fldChar w:fldCharType="begin"/>
      </w:r>
      <w:r>
        <w:rPr>
          <w:sz w:val="21"/>
          <w:szCs w:val="21"/>
        </w:rPr>
        <w:instrText xml:space="preserve"> PAGEREF _Toc2118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13"/>
        <w:tabs>
          <w:tab w:val="right" w:leader="dot" w:pos="8306"/>
        </w:tabs>
        <w:spacing w:line="400" w:lineRule="exact"/>
        <w:ind w:left="0" w:leftChars="0"/>
        <w:rPr>
          <w:szCs w:val="21"/>
        </w:rPr>
      </w:pPr>
      <w:r>
        <w:fldChar w:fldCharType="begin"/>
      </w:r>
      <w:r>
        <w:instrText xml:space="preserve"> HYPERLINK \l "_Toc9739" </w:instrText>
      </w:r>
      <w:r>
        <w:fldChar w:fldCharType="separate"/>
      </w:r>
      <w:r>
        <w:rPr>
          <w:rFonts w:eastAsia="黑体"/>
          <w:kern w:val="0"/>
          <w:szCs w:val="21"/>
        </w:rPr>
        <w:t>第八章 保障措施</w:t>
      </w:r>
      <w:r>
        <w:rPr>
          <w:szCs w:val="21"/>
        </w:rPr>
        <w:tab/>
      </w:r>
      <w:r>
        <w:rPr>
          <w:szCs w:val="21"/>
        </w:rPr>
        <w:fldChar w:fldCharType="begin"/>
      </w:r>
      <w:r>
        <w:rPr>
          <w:szCs w:val="21"/>
        </w:rPr>
        <w:instrText xml:space="preserve"> PAGEREF _Toc9739 \h </w:instrText>
      </w:r>
      <w:r>
        <w:rPr>
          <w:szCs w:val="21"/>
        </w:rPr>
        <w:fldChar w:fldCharType="separate"/>
      </w:r>
      <w:r>
        <w:rPr>
          <w:szCs w:val="21"/>
        </w:rPr>
        <w:t>4</w:t>
      </w:r>
      <w:r>
        <w:rPr>
          <w:szCs w:val="21"/>
        </w:rPr>
        <w:fldChar w:fldCharType="end"/>
      </w:r>
      <w:r>
        <w:rPr>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"_Toc27862" </w:instrText>
      </w:r>
      <w:r>
        <w:fldChar w:fldCharType="separate"/>
      </w:r>
      <w:r>
        <w:rPr>
          <w:rFonts w:eastAsia="黑体"/>
          <w:sz w:val="21"/>
          <w:szCs w:val="21"/>
        </w:rPr>
        <w:t xml:space="preserve">8.1 </w:t>
      </w:r>
      <w:r>
        <w:rPr>
          <w:rFonts w:eastAsia="黑体"/>
          <w:kern w:val="0"/>
          <w:sz w:val="21"/>
          <w:szCs w:val="21"/>
        </w:rPr>
        <w:t>组织</w:t>
      </w:r>
      <w:r>
        <w:rPr>
          <w:rFonts w:eastAsia="黑体"/>
          <w:sz w:val="21"/>
          <w:szCs w:val="21"/>
        </w:rPr>
        <w:t>保障</w:t>
      </w:r>
      <w:r>
        <w:rPr>
          <w:sz w:val="21"/>
          <w:szCs w:val="21"/>
        </w:rPr>
        <w:tab/>
      </w:r>
      <w:r>
        <w:rPr>
          <w:sz w:val="21"/>
          <w:szCs w:val="21"/>
        </w:rPr>
        <w:fldChar w:fldCharType="begin"/>
      </w:r>
      <w:r>
        <w:rPr>
          <w:sz w:val="21"/>
          <w:szCs w:val="21"/>
        </w:rPr>
        <w:instrText xml:space="preserve"> PAGEREF _Toc27862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"_Toc2773" </w:instrText>
      </w:r>
      <w:r>
        <w:fldChar w:fldCharType="separate"/>
      </w:r>
      <w:r>
        <w:rPr>
          <w:rFonts w:eastAsia="黑体"/>
          <w:sz w:val="21"/>
          <w:szCs w:val="21"/>
        </w:rPr>
        <w:t>8.2</w:t>
      </w:r>
      <w:r>
        <w:rPr>
          <w:rFonts w:eastAsia="黑体"/>
          <w:kern w:val="0"/>
          <w:sz w:val="21"/>
          <w:szCs w:val="21"/>
        </w:rPr>
        <w:t>施工</w:t>
      </w:r>
      <w:r>
        <w:rPr>
          <w:rFonts w:eastAsia="黑体"/>
          <w:sz w:val="21"/>
          <w:szCs w:val="21"/>
        </w:rPr>
        <w:t>保障</w:t>
      </w:r>
      <w:r>
        <w:rPr>
          <w:sz w:val="21"/>
          <w:szCs w:val="21"/>
        </w:rPr>
        <w:tab/>
      </w:r>
      <w:r>
        <w:rPr>
          <w:sz w:val="21"/>
          <w:szCs w:val="21"/>
        </w:rPr>
        <w:fldChar w:fldCharType="begin"/>
      </w:r>
      <w:r>
        <w:rPr>
          <w:sz w:val="21"/>
          <w:szCs w:val="21"/>
        </w:rPr>
        <w:instrText xml:space="preserve"> PAGEREF _Toc2773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"_Toc17780" </w:instrText>
      </w:r>
      <w:r>
        <w:fldChar w:fldCharType="separate"/>
      </w:r>
      <w:r>
        <w:rPr>
          <w:rFonts w:eastAsia="黑体"/>
          <w:sz w:val="21"/>
          <w:szCs w:val="21"/>
        </w:rPr>
        <w:t>8.3</w:t>
      </w:r>
      <w:r>
        <w:rPr>
          <w:rFonts w:eastAsia="黑体"/>
          <w:kern w:val="0"/>
          <w:sz w:val="21"/>
          <w:szCs w:val="21"/>
        </w:rPr>
        <w:t>资金</w:t>
      </w:r>
      <w:r>
        <w:rPr>
          <w:rFonts w:eastAsia="黑体"/>
          <w:sz w:val="21"/>
          <w:szCs w:val="21"/>
        </w:rPr>
        <w:t>保障</w:t>
      </w:r>
      <w:r>
        <w:rPr>
          <w:sz w:val="21"/>
          <w:szCs w:val="21"/>
        </w:rPr>
        <w:tab/>
      </w:r>
      <w:r>
        <w:rPr>
          <w:sz w:val="21"/>
          <w:szCs w:val="21"/>
        </w:rPr>
        <w:fldChar w:fldCharType="begin"/>
      </w:r>
      <w:r>
        <w:rPr>
          <w:sz w:val="21"/>
          <w:szCs w:val="21"/>
        </w:rPr>
        <w:instrText xml:space="preserve"> PAGEREF _Toc17780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"_Toc5681" </w:instrText>
      </w:r>
      <w:r>
        <w:fldChar w:fldCharType="separate"/>
      </w:r>
      <w:r>
        <w:rPr>
          <w:rFonts w:eastAsia="黑体"/>
          <w:sz w:val="21"/>
          <w:szCs w:val="21"/>
        </w:rPr>
        <w:t>8.4</w:t>
      </w:r>
      <w:r>
        <w:rPr>
          <w:rFonts w:eastAsia="黑体"/>
          <w:kern w:val="0"/>
          <w:sz w:val="21"/>
          <w:szCs w:val="21"/>
        </w:rPr>
        <w:t>质量</w:t>
      </w:r>
      <w:r>
        <w:rPr>
          <w:rFonts w:eastAsia="黑体"/>
          <w:sz w:val="21"/>
          <w:szCs w:val="21"/>
        </w:rPr>
        <w:t>保障</w:t>
      </w:r>
      <w:r>
        <w:rPr>
          <w:sz w:val="21"/>
          <w:szCs w:val="21"/>
        </w:rPr>
        <w:tab/>
      </w:r>
      <w:r>
        <w:rPr>
          <w:sz w:val="21"/>
          <w:szCs w:val="21"/>
        </w:rPr>
        <w:fldChar w:fldCharType="begin"/>
      </w:r>
      <w:r>
        <w:rPr>
          <w:sz w:val="21"/>
          <w:szCs w:val="21"/>
        </w:rPr>
        <w:instrText xml:space="preserve"> PAGEREF _Toc5681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"_Toc9948" </w:instrText>
      </w:r>
      <w:r>
        <w:fldChar w:fldCharType="separate"/>
      </w:r>
      <w:r>
        <w:rPr>
          <w:rFonts w:eastAsia="黑体"/>
          <w:sz w:val="21"/>
          <w:szCs w:val="21"/>
        </w:rPr>
        <w:t>8.5</w:t>
      </w:r>
      <w:r>
        <w:rPr>
          <w:rFonts w:eastAsia="黑体"/>
          <w:kern w:val="0"/>
          <w:sz w:val="21"/>
          <w:szCs w:val="21"/>
        </w:rPr>
        <w:t>安全</w:t>
      </w:r>
      <w:r>
        <w:rPr>
          <w:rFonts w:eastAsia="黑体"/>
          <w:sz w:val="21"/>
          <w:szCs w:val="21"/>
        </w:rPr>
        <w:t>保障</w:t>
      </w:r>
      <w:r>
        <w:rPr>
          <w:sz w:val="21"/>
          <w:szCs w:val="21"/>
        </w:rPr>
        <w:tab/>
      </w:r>
      <w:r>
        <w:rPr>
          <w:sz w:val="21"/>
          <w:szCs w:val="21"/>
        </w:rPr>
        <w:fldChar w:fldCharType="begin"/>
      </w:r>
      <w:r>
        <w:rPr>
          <w:sz w:val="21"/>
          <w:szCs w:val="21"/>
        </w:rPr>
        <w:instrText xml:space="preserve"> PAGEREF _Toc9948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7"/>
        <w:tabs>
          <w:tab w:val="right" w:leader="dot" w:pos="8306"/>
        </w:tabs>
        <w:spacing w:line="400" w:lineRule="exact"/>
        <w:ind w:left="0" w:leftChars="0" w:firstLine="480" w:firstLineChars="200"/>
        <w:rPr>
          <w:sz w:val="21"/>
          <w:szCs w:val="21"/>
        </w:rPr>
      </w:pPr>
      <w:r>
        <w:fldChar w:fldCharType="begin"/>
      </w:r>
      <w:r>
        <w:instrText xml:space="preserve"> HYPERLINK \l "_Toc7712" </w:instrText>
      </w:r>
      <w:r>
        <w:fldChar w:fldCharType="separate"/>
      </w:r>
      <w:r>
        <w:rPr>
          <w:rFonts w:eastAsia="黑体"/>
          <w:sz w:val="21"/>
          <w:szCs w:val="21"/>
        </w:rPr>
        <w:t>8.6</w:t>
      </w:r>
      <w:r>
        <w:rPr>
          <w:rFonts w:eastAsia="黑体"/>
          <w:kern w:val="0"/>
          <w:sz w:val="21"/>
          <w:szCs w:val="21"/>
        </w:rPr>
        <w:t>环保</w:t>
      </w:r>
      <w:r>
        <w:rPr>
          <w:rFonts w:eastAsia="黑体"/>
          <w:sz w:val="21"/>
          <w:szCs w:val="21"/>
        </w:rPr>
        <w:t>保障</w:t>
      </w:r>
      <w:r>
        <w:rPr>
          <w:sz w:val="21"/>
          <w:szCs w:val="21"/>
        </w:rPr>
        <w:tab/>
      </w:r>
      <w:r>
        <w:rPr>
          <w:sz w:val="21"/>
          <w:szCs w:val="21"/>
        </w:rPr>
        <w:fldChar w:fldCharType="begin"/>
      </w:r>
      <w:r>
        <w:rPr>
          <w:sz w:val="21"/>
          <w:szCs w:val="21"/>
        </w:rPr>
        <w:instrText xml:space="preserve"> PAGEREF _Toc7712 \h </w:instrText>
      </w:r>
      <w:r>
        <w:rPr>
          <w:sz w:val="21"/>
          <w:szCs w:val="21"/>
        </w:rPr>
        <w:fldChar w:fldCharType="separate"/>
      </w:r>
      <w:r>
        <w:rPr>
          <w:sz w:val="21"/>
          <w:szCs w:val="21"/>
        </w:rPr>
        <w:t>4</w:t>
      </w:r>
      <w:r>
        <w:rPr>
          <w:sz w:val="21"/>
          <w:szCs w:val="21"/>
        </w:rPr>
        <w:fldChar w:fldCharType="end"/>
      </w:r>
      <w:r>
        <w:rPr>
          <w:sz w:val="21"/>
          <w:szCs w:val="21"/>
        </w:rPr>
        <w:fldChar w:fldCharType="end"/>
      </w:r>
    </w:p>
    <w:p>
      <w:pPr>
        <w:spacing w:line="400" w:lineRule="exact"/>
        <w:jc w:val="left"/>
        <w:rPr>
          <w:rFonts w:eastAsia="黑体"/>
          <w:kern w:val="0"/>
          <w:szCs w:val="30"/>
        </w:rPr>
      </w:pPr>
      <w:r>
        <w:rPr>
          <w:rFonts w:eastAsia="黑体"/>
          <w:kern w:val="0"/>
          <w:sz w:val="21"/>
          <w:szCs w:val="21"/>
        </w:rPr>
        <w:fldChar w:fldCharType="end"/>
      </w:r>
    </w:p>
    <w:p>
      <w:pPr>
        <w:spacing w:line="400" w:lineRule="exact"/>
        <w:jc w:val="left"/>
        <w:rPr>
          <w:rFonts w:eastAsia="黑体"/>
          <w:b/>
          <w:bCs/>
          <w:sz w:val="21"/>
          <w:szCs w:val="21"/>
        </w:rPr>
      </w:pPr>
      <w:r>
        <w:rPr>
          <w:rFonts w:eastAsia="黑体"/>
          <w:b/>
          <w:bCs/>
          <w:sz w:val="21"/>
          <w:szCs w:val="21"/>
        </w:rPr>
        <w:t>附表：</w:t>
      </w:r>
    </w:p>
    <w:p>
      <w:pPr>
        <w:autoSpaceDE w:val="0"/>
        <w:autoSpaceDN w:val="0"/>
        <w:adjustRightInd w:val="0"/>
        <w:spacing w:line="400" w:lineRule="exact"/>
        <w:ind w:firstLine="420" w:firstLineChars="200"/>
        <w:jc w:val="left"/>
        <w:rPr>
          <w:rFonts w:eastAsia="黑体"/>
          <w:kern w:val="0"/>
          <w:sz w:val="21"/>
          <w:szCs w:val="21"/>
        </w:rPr>
      </w:pPr>
      <w:r>
        <w:rPr>
          <w:rFonts w:eastAsia="黑体"/>
          <w:kern w:val="0"/>
          <w:sz w:val="21"/>
          <w:szCs w:val="21"/>
        </w:rPr>
        <w:t>附表1：XX县XX林场（乡镇）XX年度森林质量精准提升项目小班作业设计一览表；</w:t>
      </w:r>
    </w:p>
    <w:p>
      <w:pPr>
        <w:autoSpaceDE w:val="0"/>
        <w:autoSpaceDN w:val="0"/>
        <w:adjustRightInd w:val="0"/>
        <w:spacing w:line="400" w:lineRule="exact"/>
        <w:ind w:firstLine="420" w:firstLineChars="200"/>
        <w:jc w:val="left"/>
        <w:rPr>
          <w:rFonts w:eastAsia="黑体"/>
          <w:kern w:val="0"/>
          <w:sz w:val="21"/>
          <w:szCs w:val="21"/>
        </w:rPr>
      </w:pPr>
      <w:r>
        <w:rPr>
          <w:rFonts w:eastAsia="黑体"/>
          <w:kern w:val="0"/>
          <w:sz w:val="21"/>
          <w:szCs w:val="21"/>
        </w:rPr>
        <w:t>附表2：XX县XX林场（乡镇）XX年度森林质量精准提升工程作业设计内容统计表；</w:t>
      </w:r>
    </w:p>
    <w:p>
      <w:pPr>
        <w:autoSpaceDE w:val="0"/>
        <w:autoSpaceDN w:val="0"/>
        <w:adjustRightInd w:val="0"/>
        <w:spacing w:line="400" w:lineRule="exact"/>
        <w:ind w:firstLine="420" w:firstLineChars="200"/>
        <w:jc w:val="left"/>
        <w:rPr>
          <w:rFonts w:eastAsia="黑体"/>
          <w:kern w:val="0"/>
          <w:sz w:val="21"/>
          <w:szCs w:val="21"/>
        </w:rPr>
      </w:pPr>
      <w:r>
        <w:rPr>
          <w:rFonts w:eastAsia="黑体"/>
          <w:kern w:val="0"/>
          <w:sz w:val="21"/>
          <w:szCs w:val="21"/>
        </w:rPr>
        <w:t>附表3：XX县XX林场（乡镇）XX年度森林质量精准提升工程作业设计需苗量统计表；</w:t>
      </w:r>
    </w:p>
    <w:p>
      <w:pPr>
        <w:autoSpaceDE w:val="0"/>
        <w:autoSpaceDN w:val="0"/>
        <w:adjustRightInd w:val="0"/>
        <w:spacing w:line="400" w:lineRule="exact"/>
        <w:ind w:firstLine="420" w:firstLineChars="200"/>
        <w:jc w:val="left"/>
        <w:rPr>
          <w:rFonts w:eastAsia="黑体"/>
          <w:kern w:val="0"/>
          <w:sz w:val="21"/>
          <w:szCs w:val="21"/>
        </w:rPr>
      </w:pPr>
      <w:r>
        <w:rPr>
          <w:rFonts w:eastAsia="黑体"/>
          <w:kern w:val="0"/>
          <w:sz w:val="21"/>
          <w:szCs w:val="21"/>
        </w:rPr>
        <w:t>附表4：XX年度森林质量精准提升工程小班外业调查表。</w:t>
      </w:r>
    </w:p>
    <w:p>
      <w:pPr>
        <w:autoSpaceDE w:val="0"/>
        <w:autoSpaceDN w:val="0"/>
        <w:adjustRightInd w:val="0"/>
        <w:spacing w:line="400" w:lineRule="exact"/>
        <w:ind w:firstLine="420" w:firstLineChars="200"/>
        <w:jc w:val="left"/>
        <w:rPr>
          <w:rFonts w:eastAsia="黑体"/>
          <w:kern w:val="0"/>
          <w:sz w:val="21"/>
          <w:szCs w:val="21"/>
        </w:rPr>
      </w:pPr>
      <w:r>
        <w:rPr>
          <w:rFonts w:eastAsia="黑体"/>
          <w:kern w:val="0"/>
          <w:sz w:val="21"/>
          <w:szCs w:val="21"/>
        </w:rPr>
        <w:t>附表5：XX年度森林质量精准提升工程小班标准地 每木调查记录表</w:t>
      </w:r>
      <w:r>
        <w:rPr>
          <w:rFonts w:eastAsia="黑体"/>
          <w:i/>
          <w:kern w:val="0"/>
          <w:sz w:val="21"/>
          <w:szCs w:val="21"/>
        </w:rPr>
        <w:t>（</w:t>
      </w:r>
      <w:r>
        <w:rPr>
          <w:rFonts w:eastAsia="黑体"/>
          <w:b/>
          <w:i/>
          <w:kern w:val="0"/>
          <w:sz w:val="21"/>
          <w:szCs w:val="21"/>
        </w:rPr>
        <w:t>存档不附在作业设计文件中</w:t>
      </w:r>
      <w:r>
        <w:rPr>
          <w:rFonts w:eastAsia="黑体"/>
          <w:i/>
          <w:kern w:val="0"/>
          <w:sz w:val="21"/>
          <w:szCs w:val="21"/>
        </w:rPr>
        <w:t>）</w:t>
      </w:r>
      <w:r>
        <w:rPr>
          <w:rFonts w:eastAsia="黑体"/>
          <w:kern w:val="0"/>
          <w:sz w:val="21"/>
          <w:szCs w:val="21"/>
        </w:rPr>
        <w:t>；</w:t>
      </w:r>
    </w:p>
    <w:p>
      <w:pPr>
        <w:autoSpaceDE w:val="0"/>
        <w:autoSpaceDN w:val="0"/>
        <w:adjustRightInd w:val="0"/>
        <w:spacing w:line="400" w:lineRule="exact"/>
        <w:ind w:firstLine="420" w:firstLineChars="200"/>
        <w:jc w:val="left"/>
        <w:rPr>
          <w:rFonts w:eastAsia="黑体"/>
          <w:kern w:val="0"/>
          <w:sz w:val="21"/>
          <w:szCs w:val="21"/>
        </w:rPr>
      </w:pPr>
      <w:r>
        <w:rPr>
          <w:rFonts w:eastAsia="黑体"/>
          <w:kern w:val="0"/>
          <w:sz w:val="21"/>
          <w:szCs w:val="21"/>
        </w:rPr>
        <w:t>附表6：XX年度森林质量精准提升工程小班标准地每木调查汇总表</w:t>
      </w:r>
      <w:r>
        <w:rPr>
          <w:rFonts w:eastAsia="黑体"/>
          <w:i/>
          <w:kern w:val="0"/>
          <w:sz w:val="21"/>
          <w:szCs w:val="21"/>
        </w:rPr>
        <w:t>（</w:t>
      </w:r>
      <w:r>
        <w:rPr>
          <w:rFonts w:eastAsia="黑体"/>
          <w:b/>
          <w:i/>
          <w:kern w:val="0"/>
          <w:sz w:val="21"/>
          <w:szCs w:val="21"/>
        </w:rPr>
        <w:t>存档不附在作业设计文件中</w:t>
      </w:r>
      <w:r>
        <w:rPr>
          <w:rFonts w:eastAsia="黑体"/>
          <w:i/>
          <w:kern w:val="0"/>
          <w:sz w:val="21"/>
          <w:szCs w:val="21"/>
        </w:rPr>
        <w:t>）</w:t>
      </w:r>
      <w:r>
        <w:rPr>
          <w:rFonts w:eastAsia="黑体"/>
          <w:kern w:val="0"/>
          <w:sz w:val="21"/>
          <w:szCs w:val="21"/>
        </w:rPr>
        <w:t>。</w:t>
      </w:r>
    </w:p>
    <w:p>
      <w:pPr>
        <w:autoSpaceDE w:val="0"/>
        <w:autoSpaceDN w:val="0"/>
        <w:adjustRightInd w:val="0"/>
        <w:spacing w:line="400" w:lineRule="exact"/>
        <w:ind w:firstLine="420" w:firstLineChars="200"/>
        <w:jc w:val="left"/>
        <w:rPr>
          <w:rFonts w:eastAsia="黑体"/>
          <w:i/>
          <w:kern w:val="0"/>
          <w:sz w:val="21"/>
          <w:szCs w:val="21"/>
        </w:rPr>
      </w:pPr>
      <w:r>
        <w:rPr>
          <w:rFonts w:eastAsia="黑体"/>
          <w:i/>
          <w:kern w:val="0"/>
          <w:sz w:val="21"/>
          <w:szCs w:val="21"/>
        </w:rPr>
        <w:t>（文本与附表中的公顷、厘米、米、立方米、百分比等单位保留1位小数。苗木以“株”为单位的保留整数，苗木以“万株”为单位的保留2位小数。另附表5、附表6中的材积和标准地蓄积立方米保留4位小数。）</w:t>
      </w:r>
    </w:p>
    <w:p>
      <w:pPr>
        <w:spacing w:line="400" w:lineRule="exact"/>
        <w:jc w:val="left"/>
        <w:rPr>
          <w:rFonts w:eastAsia="黑体"/>
          <w:b/>
          <w:bCs/>
          <w:sz w:val="21"/>
          <w:szCs w:val="21"/>
        </w:rPr>
      </w:pPr>
    </w:p>
    <w:p>
      <w:pPr>
        <w:spacing w:line="400" w:lineRule="exact"/>
        <w:jc w:val="left"/>
        <w:rPr>
          <w:rFonts w:eastAsia="黑体"/>
          <w:b/>
          <w:bCs/>
          <w:sz w:val="21"/>
          <w:szCs w:val="21"/>
        </w:rPr>
      </w:pPr>
      <w:r>
        <w:rPr>
          <w:rFonts w:eastAsia="黑体"/>
          <w:b/>
          <w:bCs/>
          <w:sz w:val="21"/>
          <w:szCs w:val="21"/>
        </w:rPr>
        <w:t>附图：</w:t>
      </w:r>
    </w:p>
    <w:p>
      <w:pPr>
        <w:widowControl/>
        <w:spacing w:line="400" w:lineRule="exact"/>
        <w:ind w:firstLine="420" w:firstLineChars="200"/>
        <w:jc w:val="left"/>
        <w:rPr>
          <w:rFonts w:eastAsia="黑体"/>
          <w:kern w:val="0"/>
          <w:sz w:val="21"/>
          <w:szCs w:val="21"/>
        </w:rPr>
      </w:pPr>
      <w:r>
        <w:rPr>
          <w:rFonts w:eastAsia="黑体"/>
          <w:kern w:val="0"/>
          <w:sz w:val="21"/>
          <w:szCs w:val="21"/>
        </w:rPr>
        <w:t>1、位置示意图</w:t>
      </w:r>
    </w:p>
    <w:p>
      <w:pPr>
        <w:widowControl/>
        <w:spacing w:line="400" w:lineRule="exact"/>
        <w:ind w:firstLine="420" w:firstLineChars="200"/>
        <w:jc w:val="left"/>
        <w:rPr>
          <w:rFonts w:eastAsia="黑体"/>
          <w:kern w:val="0"/>
          <w:sz w:val="21"/>
          <w:szCs w:val="21"/>
        </w:rPr>
      </w:pPr>
      <w:r>
        <w:rPr>
          <w:rFonts w:eastAsia="黑体"/>
          <w:kern w:val="0"/>
          <w:sz w:val="21"/>
          <w:szCs w:val="21"/>
        </w:rPr>
        <w:t>2、湖南省XX县XX林场（乡镇）XX年度森林质量精准提升工程小班作业设计图</w:t>
      </w:r>
    </w:p>
    <w:p>
      <w:pPr>
        <w:spacing w:line="400" w:lineRule="exact"/>
        <w:jc w:val="left"/>
        <w:rPr>
          <w:rFonts w:eastAsia="黑体"/>
          <w:b/>
          <w:bCs/>
          <w:sz w:val="21"/>
          <w:szCs w:val="21"/>
        </w:rPr>
      </w:pPr>
    </w:p>
    <w:p>
      <w:pPr>
        <w:spacing w:line="400" w:lineRule="exact"/>
        <w:jc w:val="left"/>
        <w:rPr>
          <w:rFonts w:eastAsia="黑体"/>
          <w:b/>
          <w:bCs/>
          <w:sz w:val="21"/>
          <w:szCs w:val="21"/>
        </w:rPr>
      </w:pPr>
      <w:r>
        <w:rPr>
          <w:rFonts w:eastAsia="黑体"/>
          <w:b/>
          <w:bCs/>
          <w:sz w:val="21"/>
          <w:szCs w:val="21"/>
        </w:rPr>
        <w:t>附件：</w:t>
      </w:r>
    </w:p>
    <w:p>
      <w:pPr>
        <w:spacing w:line="400" w:lineRule="exact"/>
        <w:ind w:firstLine="420" w:firstLineChars="200"/>
        <w:jc w:val="left"/>
        <w:rPr>
          <w:rFonts w:eastAsia="黑体"/>
          <w:sz w:val="21"/>
          <w:szCs w:val="21"/>
        </w:rPr>
        <w:sectPr>
          <w:footerReference r:id="rId10" w:type="default"/>
          <w:type w:val="continuous"/>
          <w:pgSz w:w="11906" w:h="16838"/>
          <w:pgMar w:top="1440" w:right="1800" w:bottom="1440" w:left="1800" w:header="851" w:footer="992" w:gutter="0"/>
          <w:pgNumType w:start="1"/>
          <w:cols w:space="425" w:num="1"/>
          <w:docGrid w:type="lines" w:linePitch="312" w:charSpace="0"/>
        </w:sectPr>
      </w:pPr>
      <w:r>
        <w:rPr>
          <w:rFonts w:eastAsia="黑体"/>
          <w:sz w:val="21"/>
          <w:szCs w:val="21"/>
        </w:rPr>
        <w:t>相关文件</w:t>
      </w:r>
    </w:p>
    <w:p>
      <w:pPr>
        <w:spacing w:line="360" w:lineRule="auto"/>
        <w:jc w:val="center"/>
        <w:outlineLvl w:val="1"/>
        <w:rPr>
          <w:rFonts w:eastAsia="黑体"/>
          <w:kern w:val="0"/>
          <w:sz w:val="30"/>
          <w:szCs w:val="30"/>
        </w:rPr>
      </w:pPr>
      <w:bookmarkStart w:id="522" w:name="_Toc9520"/>
      <w:bookmarkStart w:id="523" w:name="_Toc31638"/>
      <w:bookmarkStart w:id="524" w:name="_Toc16215"/>
      <w:bookmarkStart w:id="525" w:name="_Toc4863"/>
      <w:bookmarkStart w:id="526" w:name="_Toc5712"/>
      <w:r>
        <w:rPr>
          <w:rFonts w:eastAsia="黑体"/>
          <w:kern w:val="0"/>
          <w:sz w:val="30"/>
          <w:szCs w:val="30"/>
        </w:rPr>
        <w:t>第一章  项目提要</w:t>
      </w:r>
      <w:bookmarkEnd w:id="522"/>
      <w:bookmarkEnd w:id="523"/>
      <w:bookmarkEnd w:id="524"/>
      <w:bookmarkEnd w:id="525"/>
      <w:bookmarkEnd w:id="526"/>
    </w:p>
    <w:p>
      <w:pPr>
        <w:pStyle w:val="4"/>
        <w:spacing w:before="0" w:after="0"/>
        <w:rPr>
          <w:rFonts w:eastAsia="黑体"/>
          <w:b w:val="0"/>
          <w:sz w:val="28"/>
          <w:szCs w:val="28"/>
        </w:rPr>
      </w:pPr>
      <w:bookmarkStart w:id="527" w:name="_Toc16687"/>
      <w:bookmarkStart w:id="528" w:name="_Toc29694"/>
      <w:bookmarkStart w:id="529" w:name="_Toc9956"/>
      <w:r>
        <w:rPr>
          <w:rFonts w:eastAsia="黑体"/>
          <w:b w:val="0"/>
          <w:sz w:val="28"/>
          <w:szCs w:val="28"/>
        </w:rPr>
        <w:t>1.1项目名称</w:t>
      </w:r>
      <w:bookmarkEnd w:id="527"/>
      <w:bookmarkEnd w:id="528"/>
      <w:bookmarkEnd w:id="529"/>
    </w:p>
    <w:p>
      <w:pPr>
        <w:spacing w:line="360" w:lineRule="auto"/>
        <w:ind w:firstLine="480" w:firstLineChars="200"/>
        <w:rPr>
          <w:szCs w:val="24"/>
        </w:rPr>
      </w:pPr>
      <w:r>
        <w:rPr>
          <w:szCs w:val="24"/>
        </w:rPr>
        <w:t>湖南省××县××林场（乡镇）××年度森林质量精准提升工程项目</w:t>
      </w:r>
    </w:p>
    <w:p>
      <w:pPr>
        <w:pStyle w:val="4"/>
        <w:spacing w:before="0" w:after="0"/>
        <w:rPr>
          <w:rFonts w:eastAsia="黑体"/>
          <w:b w:val="0"/>
          <w:sz w:val="28"/>
          <w:szCs w:val="28"/>
        </w:rPr>
      </w:pPr>
      <w:bookmarkStart w:id="530" w:name="_Toc7918"/>
      <w:bookmarkStart w:id="531" w:name="_Toc15331"/>
      <w:bookmarkStart w:id="532" w:name="_Toc21299"/>
      <w:r>
        <w:rPr>
          <w:rFonts w:eastAsia="黑体"/>
          <w:b w:val="0"/>
          <w:sz w:val="28"/>
          <w:szCs w:val="28"/>
        </w:rPr>
        <w:t>1.2项目建设地点</w:t>
      </w:r>
      <w:bookmarkEnd w:id="530"/>
      <w:bookmarkEnd w:id="531"/>
      <w:bookmarkEnd w:id="532"/>
    </w:p>
    <w:p>
      <w:pPr>
        <w:pStyle w:val="4"/>
        <w:spacing w:before="0" w:after="0"/>
        <w:rPr>
          <w:rFonts w:eastAsia="黑体"/>
          <w:b w:val="0"/>
          <w:sz w:val="28"/>
          <w:szCs w:val="28"/>
        </w:rPr>
      </w:pPr>
      <w:bookmarkStart w:id="533" w:name="_Toc4983"/>
      <w:bookmarkStart w:id="534" w:name="_Toc5775"/>
      <w:bookmarkStart w:id="535" w:name="_Toc17383"/>
      <w:r>
        <w:rPr>
          <w:rFonts w:eastAsia="黑体"/>
          <w:b w:val="0"/>
          <w:sz w:val="28"/>
          <w:szCs w:val="28"/>
        </w:rPr>
        <w:t>1.3建设规模与主要内容</w:t>
      </w:r>
      <w:bookmarkEnd w:id="533"/>
      <w:bookmarkEnd w:id="534"/>
      <w:bookmarkEnd w:id="535"/>
    </w:p>
    <w:p>
      <w:pPr>
        <w:pStyle w:val="4"/>
        <w:spacing w:before="0" w:after="0"/>
        <w:rPr>
          <w:rFonts w:eastAsia="黑体"/>
          <w:b w:val="0"/>
          <w:sz w:val="28"/>
          <w:szCs w:val="28"/>
        </w:rPr>
      </w:pPr>
      <w:bookmarkStart w:id="536" w:name="_Toc24587"/>
      <w:bookmarkStart w:id="537" w:name="_Toc27231"/>
      <w:bookmarkStart w:id="538" w:name="_Toc15057"/>
      <w:r>
        <w:rPr>
          <w:rFonts w:eastAsia="黑体"/>
          <w:b w:val="0"/>
          <w:sz w:val="28"/>
          <w:szCs w:val="28"/>
        </w:rPr>
        <w:t>1.4投资概算</w:t>
      </w:r>
      <w:bookmarkEnd w:id="536"/>
      <w:bookmarkEnd w:id="537"/>
      <w:bookmarkEnd w:id="538"/>
    </w:p>
    <w:p>
      <w:pPr>
        <w:pStyle w:val="4"/>
        <w:spacing w:before="0" w:after="0"/>
        <w:rPr>
          <w:rFonts w:eastAsia="黑体"/>
          <w:b w:val="0"/>
          <w:sz w:val="28"/>
          <w:szCs w:val="28"/>
        </w:rPr>
      </w:pPr>
      <w:bookmarkStart w:id="539" w:name="_Toc22883"/>
      <w:bookmarkStart w:id="540" w:name="_Toc28020"/>
      <w:bookmarkStart w:id="541" w:name="_Toc19052"/>
      <w:r>
        <w:rPr>
          <w:rFonts w:eastAsia="黑体"/>
          <w:b w:val="0"/>
          <w:sz w:val="28"/>
          <w:szCs w:val="28"/>
        </w:rPr>
        <w:t>1.5项目建设目标</w:t>
      </w:r>
      <w:bookmarkEnd w:id="539"/>
      <w:bookmarkEnd w:id="540"/>
      <w:bookmarkEnd w:id="541"/>
    </w:p>
    <w:p>
      <w:pPr>
        <w:spacing w:line="360" w:lineRule="auto"/>
        <w:jc w:val="center"/>
        <w:outlineLvl w:val="1"/>
        <w:rPr>
          <w:rFonts w:eastAsia="黑体"/>
          <w:kern w:val="0"/>
          <w:sz w:val="30"/>
          <w:szCs w:val="30"/>
        </w:rPr>
      </w:pPr>
      <w:bookmarkStart w:id="542" w:name="_Toc30724"/>
      <w:bookmarkStart w:id="543" w:name="_Toc30529"/>
      <w:bookmarkStart w:id="544" w:name="_Toc23801"/>
      <w:bookmarkStart w:id="545" w:name="_Toc17127"/>
      <w:bookmarkStart w:id="546" w:name="_Toc1819"/>
      <w:r>
        <w:rPr>
          <w:rFonts w:eastAsia="黑体"/>
          <w:kern w:val="0"/>
          <w:sz w:val="30"/>
          <w:szCs w:val="30"/>
        </w:rPr>
        <w:t>第二章 项目实施区基本情况</w:t>
      </w:r>
      <w:bookmarkEnd w:id="542"/>
      <w:bookmarkEnd w:id="543"/>
      <w:bookmarkEnd w:id="544"/>
      <w:bookmarkEnd w:id="545"/>
      <w:bookmarkEnd w:id="546"/>
    </w:p>
    <w:p>
      <w:pPr>
        <w:pStyle w:val="4"/>
        <w:spacing w:before="0" w:after="0"/>
        <w:rPr>
          <w:rFonts w:eastAsia="黑体"/>
          <w:b w:val="0"/>
          <w:sz w:val="28"/>
          <w:szCs w:val="28"/>
        </w:rPr>
      </w:pPr>
      <w:bookmarkStart w:id="547" w:name="_Toc12000"/>
      <w:bookmarkStart w:id="548" w:name="_Toc26210"/>
      <w:bookmarkStart w:id="549" w:name="_Toc31427"/>
      <w:r>
        <w:rPr>
          <w:rFonts w:eastAsia="黑体"/>
          <w:b w:val="0"/>
          <w:sz w:val="28"/>
          <w:szCs w:val="28"/>
        </w:rPr>
        <w:t>2.1地理位置</w:t>
      </w:r>
      <w:bookmarkEnd w:id="547"/>
      <w:bookmarkEnd w:id="548"/>
      <w:bookmarkEnd w:id="549"/>
    </w:p>
    <w:p>
      <w:pPr>
        <w:pStyle w:val="4"/>
        <w:spacing w:before="0" w:after="0"/>
        <w:rPr>
          <w:rFonts w:eastAsia="黑体"/>
          <w:b w:val="0"/>
          <w:sz w:val="28"/>
          <w:szCs w:val="28"/>
        </w:rPr>
      </w:pPr>
      <w:bookmarkStart w:id="550" w:name="_Toc3287"/>
      <w:bookmarkStart w:id="551" w:name="_Toc19326"/>
      <w:bookmarkStart w:id="552" w:name="_Toc28087"/>
      <w:r>
        <w:rPr>
          <w:rFonts w:eastAsia="黑体"/>
          <w:b w:val="0"/>
          <w:sz w:val="28"/>
          <w:szCs w:val="28"/>
        </w:rPr>
        <w:t>2.2自然条件</w:t>
      </w:r>
      <w:bookmarkEnd w:id="550"/>
      <w:bookmarkEnd w:id="551"/>
      <w:bookmarkEnd w:id="552"/>
    </w:p>
    <w:p>
      <w:pPr>
        <w:spacing w:line="360" w:lineRule="auto"/>
        <w:ind w:firstLine="480" w:firstLineChars="200"/>
        <w:rPr>
          <w:szCs w:val="24"/>
        </w:rPr>
      </w:pPr>
      <w:r>
        <w:rPr>
          <w:szCs w:val="24"/>
        </w:rPr>
        <w:t>地形地貌、气候、土壤、水文、植被。</w:t>
      </w:r>
    </w:p>
    <w:p>
      <w:pPr>
        <w:pStyle w:val="4"/>
        <w:spacing w:before="0" w:after="0"/>
        <w:rPr>
          <w:rFonts w:eastAsia="黑体"/>
          <w:b w:val="0"/>
          <w:sz w:val="28"/>
          <w:szCs w:val="28"/>
        </w:rPr>
      </w:pPr>
      <w:bookmarkStart w:id="553" w:name="_Toc6333"/>
      <w:bookmarkStart w:id="554" w:name="_Toc7841"/>
      <w:bookmarkStart w:id="555" w:name="_Toc2542"/>
      <w:r>
        <w:rPr>
          <w:rFonts w:eastAsia="黑体"/>
          <w:b w:val="0"/>
          <w:sz w:val="28"/>
          <w:szCs w:val="28"/>
        </w:rPr>
        <w:t>2.3社会经济条件</w:t>
      </w:r>
      <w:bookmarkEnd w:id="553"/>
      <w:bookmarkEnd w:id="554"/>
      <w:bookmarkEnd w:id="555"/>
    </w:p>
    <w:p>
      <w:pPr>
        <w:spacing w:line="360" w:lineRule="auto"/>
        <w:ind w:firstLine="480" w:firstLineChars="200"/>
        <w:rPr>
          <w:szCs w:val="24"/>
        </w:rPr>
      </w:pPr>
      <w:r>
        <w:rPr>
          <w:szCs w:val="24"/>
        </w:rPr>
        <w:t>林场机构设置、现有职工、其中工程技术人员、林场交通、护林防火设施、年收入情况等。</w:t>
      </w:r>
    </w:p>
    <w:p>
      <w:pPr>
        <w:pStyle w:val="4"/>
        <w:spacing w:before="0" w:after="0"/>
        <w:rPr>
          <w:rFonts w:eastAsia="黑体"/>
          <w:b w:val="0"/>
          <w:sz w:val="28"/>
          <w:szCs w:val="28"/>
        </w:rPr>
      </w:pPr>
      <w:bookmarkStart w:id="556" w:name="_Toc15196"/>
      <w:bookmarkStart w:id="557" w:name="_Toc4098"/>
      <w:bookmarkStart w:id="558" w:name="_Toc18431"/>
      <w:r>
        <w:rPr>
          <w:rFonts w:eastAsia="黑体"/>
          <w:b w:val="0"/>
          <w:sz w:val="28"/>
          <w:szCs w:val="28"/>
        </w:rPr>
        <w:t>2.4森林资源状况</w:t>
      </w:r>
      <w:bookmarkEnd w:id="556"/>
      <w:bookmarkEnd w:id="557"/>
      <w:bookmarkEnd w:id="558"/>
    </w:p>
    <w:p>
      <w:pPr>
        <w:spacing w:line="360" w:lineRule="auto"/>
        <w:ind w:firstLine="480" w:firstLineChars="200"/>
        <w:rPr>
          <w:szCs w:val="24"/>
        </w:rPr>
      </w:pPr>
      <w:r>
        <w:rPr>
          <w:szCs w:val="24"/>
        </w:rPr>
        <w:t>总面积、有林地面积、林木蓄积量、主要树种情况等。</w:t>
      </w:r>
    </w:p>
    <w:p>
      <w:pPr>
        <w:pStyle w:val="4"/>
        <w:spacing w:before="0" w:after="0"/>
        <w:rPr>
          <w:rFonts w:eastAsia="黑体"/>
          <w:b w:val="0"/>
          <w:sz w:val="28"/>
          <w:szCs w:val="28"/>
        </w:rPr>
      </w:pPr>
      <w:bookmarkStart w:id="559" w:name="_Toc6522"/>
      <w:bookmarkStart w:id="560" w:name="_Toc25837"/>
      <w:bookmarkStart w:id="561" w:name="_Toc16350"/>
      <w:r>
        <w:rPr>
          <w:rFonts w:eastAsia="黑体"/>
          <w:b w:val="0"/>
          <w:sz w:val="28"/>
          <w:szCs w:val="28"/>
        </w:rPr>
        <w:t>2.5森林经营开展情况</w:t>
      </w:r>
      <w:bookmarkEnd w:id="559"/>
      <w:bookmarkEnd w:id="560"/>
      <w:bookmarkEnd w:id="561"/>
    </w:p>
    <w:p>
      <w:pPr>
        <w:spacing w:line="360" w:lineRule="auto"/>
        <w:jc w:val="center"/>
        <w:outlineLvl w:val="1"/>
        <w:rPr>
          <w:rFonts w:eastAsia="黑体"/>
          <w:kern w:val="0"/>
          <w:sz w:val="30"/>
          <w:szCs w:val="30"/>
        </w:rPr>
      </w:pPr>
      <w:bookmarkStart w:id="562" w:name="_Toc8798"/>
      <w:bookmarkStart w:id="563" w:name="_Toc28340"/>
      <w:bookmarkStart w:id="564" w:name="_Toc23346"/>
      <w:bookmarkStart w:id="565" w:name="_Toc17275"/>
      <w:bookmarkStart w:id="566" w:name="_Toc1807"/>
      <w:r>
        <w:rPr>
          <w:rFonts w:eastAsia="黑体"/>
          <w:kern w:val="0"/>
          <w:sz w:val="30"/>
          <w:szCs w:val="30"/>
        </w:rPr>
        <w:t>第三章 指导思想、设计依据与设计原则</w:t>
      </w:r>
      <w:bookmarkEnd w:id="562"/>
      <w:bookmarkEnd w:id="563"/>
      <w:bookmarkEnd w:id="564"/>
      <w:bookmarkEnd w:id="565"/>
      <w:bookmarkEnd w:id="566"/>
    </w:p>
    <w:p>
      <w:pPr>
        <w:pStyle w:val="4"/>
        <w:spacing w:before="0" w:after="0"/>
        <w:rPr>
          <w:rFonts w:eastAsia="黑体"/>
          <w:b w:val="0"/>
          <w:sz w:val="28"/>
          <w:szCs w:val="28"/>
        </w:rPr>
      </w:pPr>
      <w:bookmarkStart w:id="567" w:name="_Toc32361"/>
      <w:bookmarkStart w:id="568" w:name="_Toc27830"/>
      <w:bookmarkStart w:id="569" w:name="_Toc12963"/>
      <w:r>
        <w:rPr>
          <w:rFonts w:eastAsia="黑体"/>
          <w:b w:val="0"/>
          <w:sz w:val="28"/>
          <w:szCs w:val="28"/>
        </w:rPr>
        <w:t>3.1指导思想</w:t>
      </w:r>
      <w:bookmarkEnd w:id="567"/>
      <w:bookmarkEnd w:id="568"/>
      <w:bookmarkEnd w:id="569"/>
    </w:p>
    <w:p>
      <w:pPr>
        <w:pStyle w:val="4"/>
        <w:spacing w:before="0" w:after="0"/>
        <w:rPr>
          <w:rFonts w:eastAsia="黑体"/>
          <w:b w:val="0"/>
          <w:sz w:val="28"/>
          <w:szCs w:val="28"/>
        </w:rPr>
      </w:pPr>
      <w:bookmarkStart w:id="570" w:name="_Toc9426"/>
      <w:bookmarkStart w:id="571" w:name="_Toc16861"/>
      <w:bookmarkStart w:id="572" w:name="_Toc1057"/>
      <w:r>
        <w:rPr>
          <w:rFonts w:eastAsia="黑体"/>
          <w:b w:val="0"/>
          <w:sz w:val="28"/>
          <w:szCs w:val="28"/>
        </w:rPr>
        <w:t>3.2设计依据</w:t>
      </w:r>
      <w:bookmarkEnd w:id="570"/>
      <w:bookmarkEnd w:id="571"/>
      <w:bookmarkEnd w:id="572"/>
    </w:p>
    <w:p>
      <w:pPr>
        <w:spacing w:line="360" w:lineRule="auto"/>
        <w:ind w:firstLine="480" w:firstLineChars="200"/>
        <w:rPr>
          <w:szCs w:val="24"/>
        </w:rPr>
      </w:pPr>
      <w:r>
        <w:rPr>
          <w:szCs w:val="24"/>
        </w:rPr>
        <w:t>包括计划文件、实施方案、技术规程规范等相关内容。</w:t>
      </w:r>
    </w:p>
    <w:p>
      <w:pPr>
        <w:pStyle w:val="4"/>
        <w:spacing w:before="0" w:after="0"/>
        <w:rPr>
          <w:rFonts w:eastAsia="黑体"/>
          <w:b w:val="0"/>
          <w:sz w:val="28"/>
          <w:szCs w:val="28"/>
        </w:rPr>
      </w:pPr>
      <w:bookmarkStart w:id="573" w:name="_Toc26092"/>
      <w:bookmarkStart w:id="574" w:name="_Toc12627"/>
      <w:bookmarkStart w:id="575" w:name="_Toc19447"/>
      <w:r>
        <w:rPr>
          <w:rFonts w:eastAsia="黑体"/>
          <w:b w:val="0"/>
          <w:sz w:val="28"/>
          <w:szCs w:val="28"/>
        </w:rPr>
        <w:t>3.3设计原则</w:t>
      </w:r>
      <w:bookmarkEnd w:id="573"/>
      <w:bookmarkEnd w:id="574"/>
      <w:bookmarkEnd w:id="575"/>
    </w:p>
    <w:p>
      <w:pPr>
        <w:spacing w:line="360" w:lineRule="auto"/>
        <w:ind w:firstLine="480" w:firstLineChars="200"/>
        <w:rPr>
          <w:szCs w:val="24"/>
        </w:rPr>
      </w:pPr>
      <w:r>
        <w:rPr>
          <w:szCs w:val="24"/>
        </w:rPr>
        <w:t>(1)坚持实事求是原则；</w:t>
      </w:r>
    </w:p>
    <w:p>
      <w:pPr>
        <w:spacing w:line="360" w:lineRule="auto"/>
        <w:ind w:firstLine="480" w:firstLineChars="200"/>
        <w:rPr>
          <w:szCs w:val="24"/>
        </w:rPr>
      </w:pPr>
      <w:r>
        <w:rPr>
          <w:szCs w:val="24"/>
        </w:rPr>
        <w:t>(2)坚持近自然、多功能森林经营理念原则；</w:t>
      </w:r>
    </w:p>
    <w:p>
      <w:pPr>
        <w:spacing w:line="360" w:lineRule="auto"/>
        <w:ind w:firstLine="480" w:firstLineChars="200"/>
        <w:rPr>
          <w:szCs w:val="24"/>
        </w:rPr>
      </w:pPr>
      <w:r>
        <w:rPr>
          <w:szCs w:val="24"/>
        </w:rPr>
        <w:t>(3)坚持相对集中连片和规模化经营的原则。</w:t>
      </w:r>
    </w:p>
    <w:p>
      <w:pPr>
        <w:spacing w:line="360" w:lineRule="auto"/>
        <w:jc w:val="center"/>
        <w:outlineLvl w:val="1"/>
        <w:rPr>
          <w:rFonts w:eastAsia="黑体"/>
          <w:kern w:val="0"/>
          <w:sz w:val="30"/>
          <w:szCs w:val="30"/>
        </w:rPr>
      </w:pPr>
      <w:bookmarkStart w:id="576" w:name="_Toc6600"/>
      <w:bookmarkStart w:id="577" w:name="_Toc16609"/>
      <w:bookmarkStart w:id="578" w:name="_Toc29980"/>
      <w:bookmarkStart w:id="579" w:name="_Toc13295"/>
      <w:bookmarkStart w:id="580" w:name="_Toc26119"/>
      <w:r>
        <w:rPr>
          <w:rFonts w:eastAsia="黑体"/>
          <w:kern w:val="0"/>
          <w:sz w:val="30"/>
          <w:szCs w:val="30"/>
        </w:rPr>
        <w:t>第四章 林分选择与外业调查</w:t>
      </w:r>
      <w:bookmarkEnd w:id="576"/>
      <w:bookmarkEnd w:id="577"/>
      <w:bookmarkEnd w:id="578"/>
      <w:bookmarkEnd w:id="579"/>
      <w:bookmarkEnd w:id="580"/>
    </w:p>
    <w:p>
      <w:pPr>
        <w:pStyle w:val="4"/>
        <w:spacing w:before="0" w:after="0"/>
        <w:rPr>
          <w:rFonts w:eastAsia="黑体"/>
          <w:b w:val="0"/>
          <w:sz w:val="28"/>
          <w:szCs w:val="28"/>
        </w:rPr>
      </w:pPr>
      <w:bookmarkStart w:id="581" w:name="_Toc7207"/>
      <w:bookmarkStart w:id="582" w:name="_Toc14426"/>
      <w:bookmarkStart w:id="583" w:name="_Toc8270"/>
      <w:r>
        <w:rPr>
          <w:rFonts w:eastAsia="黑体"/>
          <w:b w:val="0"/>
          <w:sz w:val="28"/>
          <w:szCs w:val="28"/>
        </w:rPr>
        <w:t>4.1林分选择</w:t>
      </w:r>
      <w:bookmarkEnd w:id="581"/>
      <w:bookmarkEnd w:id="582"/>
      <w:bookmarkEnd w:id="583"/>
    </w:p>
    <w:p>
      <w:pPr>
        <w:spacing w:line="360" w:lineRule="auto"/>
        <w:ind w:firstLine="480" w:firstLineChars="200"/>
        <w:rPr>
          <w:szCs w:val="24"/>
        </w:rPr>
      </w:pPr>
      <w:r>
        <w:rPr>
          <w:szCs w:val="24"/>
        </w:rPr>
        <w:t>根据湖南省国有林森林质量精准提升工程实施规定（试行）中的条件和有关技术规程要求，结合林场森林资源状况，说明本次选择实施森林质量精准提升的林分（包括林分分布地点、数量等），选择的林分一定要有培育前途。</w:t>
      </w:r>
    </w:p>
    <w:p>
      <w:pPr>
        <w:pStyle w:val="4"/>
        <w:spacing w:before="0" w:after="0"/>
        <w:rPr>
          <w:rFonts w:eastAsia="黑体"/>
          <w:b w:val="0"/>
          <w:sz w:val="28"/>
          <w:szCs w:val="28"/>
        </w:rPr>
      </w:pPr>
      <w:bookmarkStart w:id="584" w:name="_Toc28901"/>
      <w:bookmarkStart w:id="585" w:name="_Toc24503"/>
      <w:bookmarkStart w:id="586" w:name="_Toc1617"/>
      <w:r>
        <w:rPr>
          <w:rFonts w:eastAsia="黑体"/>
          <w:b w:val="0"/>
          <w:sz w:val="28"/>
          <w:szCs w:val="28"/>
        </w:rPr>
        <w:t>4.2外业调查</w:t>
      </w:r>
      <w:bookmarkEnd w:id="584"/>
      <w:bookmarkEnd w:id="585"/>
      <w:bookmarkEnd w:id="586"/>
    </w:p>
    <w:p>
      <w:pPr>
        <w:spacing w:line="360" w:lineRule="auto"/>
        <w:ind w:firstLine="480" w:firstLineChars="200"/>
        <w:rPr>
          <w:szCs w:val="24"/>
        </w:rPr>
      </w:pPr>
      <w:r>
        <w:rPr>
          <w:szCs w:val="24"/>
        </w:rPr>
        <w:t>4.2.1调查方法与主要内容</w:t>
      </w:r>
    </w:p>
    <w:p>
      <w:pPr>
        <w:spacing w:line="360" w:lineRule="auto"/>
        <w:ind w:firstLine="480" w:firstLineChars="200"/>
        <w:rPr>
          <w:szCs w:val="24"/>
        </w:rPr>
      </w:pPr>
      <w:r>
        <w:rPr>
          <w:szCs w:val="24"/>
        </w:rPr>
        <w:t>主要说明调查工作开展情况与调查方法（根据试行规定中林分选择条件进行小班区划，以小班为单元设置标准地进行调查），包括小班区划（立地条件、林种、林龄、林分、树种组成基本一致，可作一个小班设计，小班面积不受300亩限制）、小班调查、标准地设置情况和主要调查内容。</w:t>
      </w:r>
    </w:p>
    <w:p>
      <w:pPr>
        <w:spacing w:line="360" w:lineRule="auto"/>
        <w:ind w:firstLine="480" w:firstLineChars="200"/>
        <w:rPr>
          <w:szCs w:val="24"/>
        </w:rPr>
      </w:pPr>
      <w:r>
        <w:rPr>
          <w:szCs w:val="24"/>
        </w:rPr>
        <w:t>4.2.2调查结果（用文字与数据说明）</w:t>
      </w:r>
    </w:p>
    <w:p>
      <w:pPr>
        <w:spacing w:line="360" w:lineRule="auto"/>
        <w:ind w:firstLine="480" w:firstLineChars="200"/>
        <w:rPr>
          <w:szCs w:val="24"/>
        </w:rPr>
      </w:pPr>
      <w:r>
        <w:rPr>
          <w:szCs w:val="24"/>
        </w:rPr>
        <w:t>(1)各类型、各小班林分基本情况，包括林种、小班立地条件、林分林龄、树种组成、平均树高、平均胸径、公顷株数、公顷蓄积、林分密度、天然更新情况等（详见附表4）</w:t>
      </w:r>
    </w:p>
    <w:p>
      <w:pPr>
        <w:spacing w:line="360" w:lineRule="auto"/>
        <w:ind w:firstLine="480" w:firstLineChars="200"/>
        <w:rPr>
          <w:szCs w:val="24"/>
        </w:rPr>
      </w:pPr>
      <w:r>
        <w:rPr>
          <w:szCs w:val="24"/>
        </w:rPr>
        <w:t>(2)林分质量</w:t>
      </w:r>
    </w:p>
    <w:p>
      <w:pPr>
        <w:spacing w:line="360" w:lineRule="auto"/>
        <w:ind w:firstLine="480" w:firstLineChars="200"/>
        <w:rPr>
          <w:szCs w:val="24"/>
        </w:rPr>
      </w:pPr>
      <w:r>
        <w:rPr>
          <w:szCs w:val="24"/>
        </w:rPr>
        <w:t>(3)林分存在的主要问题</w:t>
      </w:r>
    </w:p>
    <w:p>
      <w:pPr>
        <w:spacing w:line="360" w:lineRule="auto"/>
        <w:jc w:val="center"/>
        <w:outlineLvl w:val="1"/>
        <w:rPr>
          <w:rFonts w:eastAsia="黑体"/>
          <w:kern w:val="0"/>
          <w:sz w:val="30"/>
          <w:szCs w:val="30"/>
        </w:rPr>
      </w:pPr>
      <w:bookmarkStart w:id="587" w:name="_Toc32265"/>
      <w:bookmarkStart w:id="588" w:name="_Toc32692"/>
      <w:bookmarkStart w:id="589" w:name="_Toc23499"/>
      <w:bookmarkStart w:id="590" w:name="_Toc19221"/>
      <w:bookmarkStart w:id="591" w:name="_Toc4499"/>
      <w:r>
        <w:rPr>
          <w:rFonts w:eastAsia="黑体"/>
          <w:kern w:val="0"/>
          <w:sz w:val="30"/>
          <w:szCs w:val="30"/>
        </w:rPr>
        <w:t>第五章  主要技术措施设计</w:t>
      </w:r>
      <w:bookmarkEnd w:id="587"/>
      <w:bookmarkEnd w:id="588"/>
      <w:bookmarkEnd w:id="589"/>
      <w:bookmarkEnd w:id="590"/>
      <w:bookmarkEnd w:id="591"/>
    </w:p>
    <w:p>
      <w:pPr>
        <w:pStyle w:val="4"/>
        <w:spacing w:before="0" w:after="0"/>
        <w:rPr>
          <w:rFonts w:eastAsia="黑体"/>
          <w:b w:val="0"/>
          <w:sz w:val="28"/>
          <w:szCs w:val="28"/>
        </w:rPr>
      </w:pPr>
      <w:bookmarkStart w:id="592" w:name="_Toc6064"/>
      <w:bookmarkStart w:id="593" w:name="_Toc24367"/>
      <w:bookmarkStart w:id="594" w:name="_Toc28621"/>
      <w:r>
        <w:rPr>
          <w:rFonts w:eastAsia="黑体"/>
          <w:b w:val="0"/>
          <w:sz w:val="28"/>
          <w:szCs w:val="28"/>
        </w:rPr>
        <w:t>5.1经营模式、培育目标和作业法</w:t>
      </w:r>
      <w:bookmarkEnd w:id="592"/>
      <w:bookmarkEnd w:id="593"/>
      <w:bookmarkEnd w:id="594"/>
    </w:p>
    <w:p>
      <w:pPr>
        <w:spacing w:line="360" w:lineRule="auto"/>
        <w:ind w:firstLine="480" w:firstLineChars="200"/>
        <w:rPr>
          <w:szCs w:val="24"/>
        </w:rPr>
      </w:pPr>
      <w:r>
        <w:rPr>
          <w:szCs w:val="24"/>
        </w:rPr>
        <w:t>分林种、树种说明经营模式、培育目标（包括目标林相主要技术指标）和采用的作业法。</w:t>
      </w:r>
    </w:p>
    <w:p>
      <w:pPr>
        <w:pStyle w:val="4"/>
        <w:spacing w:before="0" w:after="0"/>
        <w:rPr>
          <w:rFonts w:eastAsia="黑体"/>
          <w:b w:val="0"/>
          <w:sz w:val="28"/>
          <w:szCs w:val="28"/>
        </w:rPr>
      </w:pPr>
      <w:bookmarkStart w:id="595" w:name="_Toc7667"/>
      <w:bookmarkStart w:id="596" w:name="_Toc15703"/>
      <w:bookmarkStart w:id="597" w:name="_Toc25166"/>
      <w:r>
        <w:rPr>
          <w:rFonts w:eastAsia="黑体"/>
          <w:b w:val="0"/>
          <w:sz w:val="28"/>
          <w:szCs w:val="28"/>
        </w:rPr>
        <w:t>5.2林地清理</w:t>
      </w:r>
      <w:bookmarkEnd w:id="595"/>
      <w:bookmarkEnd w:id="596"/>
      <w:bookmarkEnd w:id="597"/>
    </w:p>
    <w:p>
      <w:pPr>
        <w:spacing w:line="360" w:lineRule="auto"/>
        <w:ind w:firstLine="480" w:firstLineChars="200"/>
        <w:rPr>
          <w:szCs w:val="24"/>
        </w:rPr>
      </w:pPr>
      <w:r>
        <w:rPr>
          <w:szCs w:val="24"/>
        </w:rPr>
        <w:t>设计林地清理时间、方法和注意事项，根据各场林分情况，特别注意保留乡土阔叶树、珍贵树种的幼树、幼苗和林木。</w:t>
      </w:r>
    </w:p>
    <w:p>
      <w:pPr>
        <w:pStyle w:val="4"/>
        <w:spacing w:before="0" w:after="0"/>
        <w:rPr>
          <w:rFonts w:eastAsia="黑体"/>
          <w:b w:val="0"/>
          <w:sz w:val="28"/>
          <w:szCs w:val="28"/>
        </w:rPr>
      </w:pPr>
      <w:bookmarkStart w:id="598" w:name="_Toc3635"/>
      <w:bookmarkStart w:id="599" w:name="_Toc15426"/>
      <w:bookmarkStart w:id="600" w:name="_Toc31683"/>
      <w:r>
        <w:rPr>
          <w:rFonts w:eastAsia="黑体"/>
          <w:b w:val="0"/>
          <w:sz w:val="28"/>
          <w:szCs w:val="28"/>
        </w:rPr>
        <w:t>5.3间伐</w:t>
      </w:r>
      <w:bookmarkEnd w:id="598"/>
      <w:bookmarkEnd w:id="599"/>
      <w:bookmarkEnd w:id="600"/>
    </w:p>
    <w:p>
      <w:pPr>
        <w:spacing w:line="360" w:lineRule="auto"/>
        <w:ind w:firstLine="480" w:firstLineChars="200"/>
        <w:rPr>
          <w:szCs w:val="24"/>
        </w:rPr>
      </w:pPr>
      <w:r>
        <w:rPr>
          <w:szCs w:val="24"/>
        </w:rPr>
        <w:t>原则上参照原来的中央财政补贴中幼林抚育间伐项目进行设计。</w:t>
      </w:r>
    </w:p>
    <w:p>
      <w:pPr>
        <w:spacing w:line="360" w:lineRule="auto"/>
        <w:ind w:firstLine="480" w:firstLineChars="200"/>
        <w:rPr>
          <w:szCs w:val="24"/>
        </w:rPr>
      </w:pPr>
      <w:r>
        <w:rPr>
          <w:szCs w:val="24"/>
        </w:rPr>
        <w:t>(1)确定抚育间伐方式：严格按《森林抚育规程》（GB/T15781-2015）和《森林抚育作业设计规定》（林造发[2014]140号）技术要求，根据小班林分现状，明确采取的具体抚育间伐方式。</w:t>
      </w:r>
    </w:p>
    <w:p>
      <w:pPr>
        <w:spacing w:line="360" w:lineRule="auto"/>
        <w:ind w:firstLine="480" w:firstLineChars="200"/>
        <w:rPr>
          <w:szCs w:val="24"/>
        </w:rPr>
      </w:pPr>
      <w:r>
        <w:rPr>
          <w:szCs w:val="24"/>
        </w:rPr>
        <w:t>(2)林木分类分级和标记：对抚育间伐小班进行林木分类分级，明确保留木、采伐木，并根据分类分级结果对林木进行标记，同时对分类分级和标记结果进行质量检查。</w:t>
      </w:r>
    </w:p>
    <w:p>
      <w:pPr>
        <w:spacing w:line="360" w:lineRule="auto"/>
        <w:ind w:firstLine="480" w:firstLineChars="200"/>
        <w:rPr>
          <w:szCs w:val="24"/>
        </w:rPr>
      </w:pPr>
      <w:r>
        <w:rPr>
          <w:szCs w:val="24"/>
        </w:rPr>
        <w:t>(3)抚育间伐关键指标控制：间伐后林分平均树高和平均胸径不小于间伐前，间伐后林分郁闭度不低于0.6。不得以取材为目的破坏森林资源与林分。</w:t>
      </w:r>
    </w:p>
    <w:p>
      <w:pPr>
        <w:pStyle w:val="4"/>
        <w:spacing w:before="0" w:after="0"/>
        <w:rPr>
          <w:rFonts w:eastAsia="黑体"/>
          <w:b w:val="0"/>
          <w:sz w:val="28"/>
          <w:szCs w:val="28"/>
        </w:rPr>
      </w:pPr>
      <w:bookmarkStart w:id="601" w:name="_Toc1485"/>
      <w:bookmarkStart w:id="602" w:name="_Toc25515"/>
      <w:bookmarkStart w:id="603" w:name="_Toc32327"/>
      <w:r>
        <w:rPr>
          <w:rFonts w:eastAsia="黑体"/>
          <w:b w:val="0"/>
          <w:sz w:val="28"/>
          <w:szCs w:val="28"/>
        </w:rPr>
        <w:t>5.4修枝整形</w:t>
      </w:r>
      <w:bookmarkEnd w:id="601"/>
      <w:bookmarkEnd w:id="602"/>
      <w:bookmarkEnd w:id="603"/>
    </w:p>
    <w:p>
      <w:pPr>
        <w:spacing w:line="360" w:lineRule="auto"/>
        <w:ind w:firstLine="480" w:firstLineChars="200"/>
        <w:rPr>
          <w:szCs w:val="24"/>
        </w:rPr>
      </w:pPr>
      <w:r>
        <w:rPr>
          <w:szCs w:val="24"/>
        </w:rPr>
        <w:t>明确修枝整形对象、时间、方法等。</w:t>
      </w:r>
    </w:p>
    <w:p>
      <w:pPr>
        <w:pStyle w:val="4"/>
        <w:spacing w:before="0" w:after="0"/>
        <w:rPr>
          <w:rFonts w:eastAsia="黑体"/>
          <w:b w:val="0"/>
          <w:sz w:val="28"/>
          <w:szCs w:val="28"/>
        </w:rPr>
      </w:pPr>
      <w:bookmarkStart w:id="604" w:name="_Toc19907"/>
      <w:bookmarkStart w:id="605" w:name="_Toc24316"/>
      <w:bookmarkStart w:id="606" w:name="_Toc14732"/>
      <w:r>
        <w:rPr>
          <w:rFonts w:eastAsia="黑体"/>
          <w:b w:val="0"/>
          <w:sz w:val="28"/>
          <w:szCs w:val="28"/>
        </w:rPr>
        <w:t>5.5补植</w:t>
      </w:r>
      <w:bookmarkEnd w:id="604"/>
      <w:bookmarkEnd w:id="605"/>
      <w:bookmarkEnd w:id="606"/>
    </w:p>
    <w:p>
      <w:pPr>
        <w:spacing w:line="360" w:lineRule="auto"/>
        <w:ind w:firstLine="480" w:firstLineChars="200"/>
        <w:rPr>
          <w:szCs w:val="24"/>
        </w:rPr>
      </w:pPr>
      <w:r>
        <w:rPr>
          <w:szCs w:val="24"/>
        </w:rPr>
        <w:t>(1)补植设计包括补植条件、整地（大穴整地）、树种配置、补植株数、补植时间、方法、苗木的类型、质量标准、需求量与来源等。</w:t>
      </w:r>
    </w:p>
    <w:p>
      <w:pPr>
        <w:spacing w:line="360" w:lineRule="auto"/>
        <w:ind w:firstLine="480" w:firstLineChars="200"/>
        <w:rPr>
          <w:szCs w:val="24"/>
        </w:rPr>
      </w:pPr>
      <w:r>
        <w:rPr>
          <w:szCs w:val="24"/>
        </w:rPr>
        <w:t>(2)树种选择，根据林地情况，选择优良乡土树种，树种选择应充分考虑对现有林分生境的适宜性，应与林分现有树种在生物特性与生态习性方面共生相容，在林分营养空间层次协调与互补，补植树种应在3种以上，要以常绿阔叶树种为主。</w:t>
      </w:r>
    </w:p>
    <w:p>
      <w:pPr>
        <w:pStyle w:val="4"/>
        <w:spacing w:before="0" w:after="0"/>
        <w:rPr>
          <w:rFonts w:eastAsia="黑体"/>
          <w:b w:val="0"/>
          <w:sz w:val="28"/>
          <w:szCs w:val="28"/>
        </w:rPr>
      </w:pPr>
      <w:bookmarkStart w:id="607" w:name="_Toc6553"/>
      <w:bookmarkStart w:id="608" w:name="_Toc22510"/>
      <w:bookmarkStart w:id="609" w:name="_Toc20432"/>
      <w:r>
        <w:rPr>
          <w:rFonts w:eastAsia="黑体"/>
          <w:b w:val="0"/>
          <w:sz w:val="28"/>
          <w:szCs w:val="28"/>
        </w:rPr>
        <w:t>5.6培蔸</w:t>
      </w:r>
      <w:bookmarkEnd w:id="607"/>
      <w:bookmarkEnd w:id="608"/>
      <w:bookmarkEnd w:id="609"/>
    </w:p>
    <w:p>
      <w:pPr>
        <w:spacing w:line="360" w:lineRule="auto"/>
        <w:ind w:firstLine="480" w:firstLineChars="200"/>
        <w:rPr>
          <w:szCs w:val="24"/>
        </w:rPr>
      </w:pPr>
      <w:r>
        <w:rPr>
          <w:szCs w:val="24"/>
        </w:rPr>
        <w:t>设计培蔸抚育对象、时间、方法、次数等，培蔸抚育对象主要是林分内补植和保留的阔叶幼树苗木，需要连续进行3年抚育，蔸抚范围为一米直径范围内，确保苗木生长。</w:t>
      </w:r>
    </w:p>
    <w:p>
      <w:pPr>
        <w:pStyle w:val="4"/>
        <w:spacing w:before="0" w:after="0"/>
        <w:rPr>
          <w:rFonts w:eastAsia="黑体"/>
          <w:b w:val="0"/>
          <w:sz w:val="28"/>
          <w:szCs w:val="28"/>
        </w:rPr>
      </w:pPr>
      <w:bookmarkStart w:id="610" w:name="_Toc31468"/>
      <w:bookmarkStart w:id="611" w:name="_Toc11726"/>
      <w:bookmarkStart w:id="612" w:name="_Toc17216"/>
      <w:r>
        <w:rPr>
          <w:rFonts w:eastAsia="黑体"/>
          <w:b w:val="0"/>
          <w:sz w:val="28"/>
          <w:szCs w:val="28"/>
        </w:rPr>
        <w:t>5.7辅助设施</w:t>
      </w:r>
      <w:bookmarkEnd w:id="610"/>
      <w:bookmarkEnd w:id="611"/>
      <w:bookmarkEnd w:id="612"/>
    </w:p>
    <w:p>
      <w:pPr>
        <w:spacing w:line="360" w:lineRule="auto"/>
        <w:ind w:firstLine="480" w:firstLineChars="200"/>
        <w:rPr>
          <w:szCs w:val="24"/>
        </w:rPr>
      </w:pPr>
      <w:r>
        <w:rPr>
          <w:szCs w:val="24"/>
        </w:rPr>
        <w:t>根据需要设计包括作业道、集材道、临时楞场、临时工棚等地点、规模。</w:t>
      </w:r>
    </w:p>
    <w:p>
      <w:pPr>
        <w:spacing w:line="360" w:lineRule="auto"/>
        <w:jc w:val="center"/>
        <w:outlineLvl w:val="1"/>
        <w:rPr>
          <w:rFonts w:eastAsia="黑体"/>
          <w:kern w:val="0"/>
          <w:sz w:val="30"/>
          <w:szCs w:val="30"/>
        </w:rPr>
      </w:pPr>
      <w:bookmarkStart w:id="613" w:name="_Toc28005"/>
      <w:bookmarkStart w:id="614" w:name="_Toc16249"/>
      <w:bookmarkStart w:id="615" w:name="_Toc29675"/>
      <w:bookmarkStart w:id="616" w:name="_Toc3180"/>
      <w:bookmarkStart w:id="617" w:name="_Toc18119"/>
      <w:r>
        <w:rPr>
          <w:rFonts w:eastAsia="黑体"/>
          <w:kern w:val="0"/>
          <w:sz w:val="30"/>
          <w:szCs w:val="30"/>
        </w:rPr>
        <w:t>第六章 施工组织设计</w:t>
      </w:r>
      <w:bookmarkEnd w:id="613"/>
      <w:bookmarkEnd w:id="614"/>
      <w:bookmarkEnd w:id="615"/>
      <w:bookmarkEnd w:id="616"/>
      <w:bookmarkEnd w:id="617"/>
    </w:p>
    <w:p>
      <w:pPr>
        <w:spacing w:line="360" w:lineRule="auto"/>
        <w:ind w:firstLine="480" w:firstLineChars="200"/>
        <w:rPr>
          <w:szCs w:val="24"/>
        </w:rPr>
      </w:pPr>
      <w:r>
        <w:rPr>
          <w:szCs w:val="24"/>
        </w:rPr>
        <w:t>（施工组织设计：包括施工队伍组织、每道工序施工时间与进度安排、质量要求等。）</w:t>
      </w:r>
    </w:p>
    <w:p>
      <w:pPr>
        <w:pStyle w:val="4"/>
        <w:spacing w:before="0" w:after="0"/>
        <w:rPr>
          <w:rFonts w:eastAsia="黑体"/>
          <w:b w:val="0"/>
          <w:sz w:val="28"/>
          <w:szCs w:val="28"/>
        </w:rPr>
      </w:pPr>
      <w:bookmarkStart w:id="618" w:name="_Toc25553"/>
      <w:bookmarkStart w:id="619" w:name="_Toc4162"/>
      <w:bookmarkStart w:id="620" w:name="_Toc13281"/>
      <w:r>
        <w:rPr>
          <w:rFonts w:eastAsia="黑体"/>
          <w:b w:val="0"/>
          <w:sz w:val="28"/>
          <w:szCs w:val="28"/>
        </w:rPr>
        <w:t>6.1施工队伍组织</w:t>
      </w:r>
      <w:bookmarkEnd w:id="618"/>
      <w:bookmarkEnd w:id="619"/>
      <w:bookmarkEnd w:id="620"/>
    </w:p>
    <w:p>
      <w:pPr>
        <w:pStyle w:val="4"/>
        <w:spacing w:before="0" w:after="0"/>
        <w:rPr>
          <w:rFonts w:eastAsia="黑体"/>
          <w:b w:val="0"/>
          <w:sz w:val="28"/>
          <w:szCs w:val="28"/>
        </w:rPr>
      </w:pPr>
      <w:bookmarkStart w:id="621" w:name="_Toc9076"/>
      <w:bookmarkStart w:id="622" w:name="_Toc3446"/>
      <w:bookmarkStart w:id="623" w:name="_Toc11331"/>
      <w:r>
        <w:rPr>
          <w:rFonts w:eastAsia="黑体"/>
          <w:b w:val="0"/>
          <w:sz w:val="28"/>
          <w:szCs w:val="28"/>
        </w:rPr>
        <w:t>6.2施工时间和进度安排</w:t>
      </w:r>
      <w:bookmarkEnd w:id="621"/>
      <w:bookmarkEnd w:id="622"/>
      <w:bookmarkEnd w:id="623"/>
    </w:p>
    <w:p>
      <w:pPr>
        <w:spacing w:line="360" w:lineRule="auto"/>
        <w:ind w:firstLine="480" w:firstLineChars="200"/>
        <w:rPr>
          <w:szCs w:val="24"/>
        </w:rPr>
      </w:pPr>
      <w:r>
        <w:rPr>
          <w:szCs w:val="24"/>
        </w:rPr>
        <w:t>详见表6-1：××县××林场（乡镇）××年度森林质量精准提升工程进度安排表。</w:t>
      </w:r>
    </w:p>
    <w:p>
      <w:pPr>
        <w:spacing w:line="360" w:lineRule="auto"/>
        <w:jc w:val="center"/>
        <w:rPr>
          <w:rFonts w:eastAsia="黑体"/>
          <w:bCs/>
          <w:kern w:val="0"/>
          <w:szCs w:val="24"/>
        </w:rPr>
      </w:pPr>
      <w:r>
        <w:rPr>
          <w:rFonts w:eastAsia="黑体"/>
          <w:bCs/>
          <w:kern w:val="0"/>
          <w:szCs w:val="24"/>
        </w:rPr>
        <w:t>表6-1  ××县××林场（乡镇）××年度森林质量精准提升工程进度安排表</w:t>
      </w:r>
    </w:p>
    <w:tbl>
      <w:tblPr>
        <w:tblStyle w:val="18"/>
        <w:tblW w:w="8522" w:type="dxa"/>
        <w:jc w:val="center"/>
        <w:tblInd w:w="0" w:type="dxa"/>
        <w:tblLayout w:type="fixed"/>
        <w:tblCellMar>
          <w:top w:w="0" w:type="dxa"/>
          <w:left w:w="108" w:type="dxa"/>
          <w:bottom w:w="0" w:type="dxa"/>
          <w:right w:w="108" w:type="dxa"/>
        </w:tblCellMar>
      </w:tblPr>
      <w:tblGrid>
        <w:gridCol w:w="356"/>
        <w:gridCol w:w="1018"/>
        <w:gridCol w:w="493"/>
        <w:gridCol w:w="494"/>
        <w:gridCol w:w="494"/>
        <w:gridCol w:w="465"/>
        <w:gridCol w:w="465"/>
        <w:gridCol w:w="465"/>
        <w:gridCol w:w="465"/>
        <w:gridCol w:w="465"/>
        <w:gridCol w:w="465"/>
        <w:gridCol w:w="465"/>
        <w:gridCol w:w="465"/>
        <w:gridCol w:w="465"/>
        <w:gridCol w:w="494"/>
        <w:gridCol w:w="494"/>
        <w:gridCol w:w="494"/>
      </w:tblGrid>
      <w:tr>
        <w:tblPrEx>
          <w:tblLayout w:type="fixed"/>
          <w:tblCellMar>
            <w:top w:w="0" w:type="dxa"/>
            <w:left w:w="108" w:type="dxa"/>
            <w:bottom w:w="0" w:type="dxa"/>
            <w:right w:w="108" w:type="dxa"/>
          </w:tblCellMar>
        </w:tblPrEx>
        <w:trPr>
          <w:trHeight w:val="402" w:hRule="atLeast"/>
          <w:jc w:val="center"/>
        </w:trPr>
        <w:tc>
          <w:tcPr>
            <w:tcW w:w="356"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序号</w:t>
            </w:r>
          </w:p>
        </w:tc>
        <w:tc>
          <w:tcPr>
            <w:tcW w:w="1018"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项目</w:t>
            </w:r>
          </w:p>
        </w:tc>
        <w:tc>
          <w:tcPr>
            <w:tcW w:w="1481" w:type="dxa"/>
            <w:gridSpan w:val="3"/>
            <w:tcBorders>
              <w:top w:val="single" w:color="auto" w:sz="4" w:space="0"/>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××年</w:t>
            </w:r>
          </w:p>
        </w:tc>
        <w:tc>
          <w:tcPr>
            <w:tcW w:w="5667" w:type="dxa"/>
            <w:gridSpan w:val="12"/>
            <w:tcBorders>
              <w:top w:val="single" w:color="auto" w:sz="4" w:space="0"/>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××年</w:t>
            </w:r>
          </w:p>
        </w:tc>
      </w:tr>
      <w:tr>
        <w:tblPrEx>
          <w:tblLayout w:type="fixed"/>
          <w:tblCellMar>
            <w:top w:w="0" w:type="dxa"/>
            <w:left w:w="108" w:type="dxa"/>
            <w:bottom w:w="0" w:type="dxa"/>
            <w:right w:w="108" w:type="dxa"/>
          </w:tblCellMar>
        </w:tblPrEx>
        <w:trPr>
          <w:trHeight w:val="402" w:hRule="atLeast"/>
          <w:jc w:val="center"/>
        </w:trPr>
        <w:tc>
          <w:tcPr>
            <w:tcW w:w="356" w:type="dxa"/>
            <w:vMerge w:val="continue"/>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widowControl/>
              <w:jc w:val="left"/>
              <w:rPr>
                <w:kern w:val="0"/>
                <w:sz w:val="21"/>
                <w:szCs w:val="21"/>
              </w:rPr>
            </w:pPr>
          </w:p>
        </w:tc>
        <w:tc>
          <w:tcPr>
            <w:tcW w:w="1018" w:type="dxa"/>
            <w:vMerge w:val="continue"/>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widowControl/>
              <w:jc w:val="left"/>
              <w:rPr>
                <w:kern w:val="0"/>
                <w:sz w:val="21"/>
                <w:szCs w:val="21"/>
              </w:rPr>
            </w:pPr>
          </w:p>
        </w:tc>
        <w:tc>
          <w:tcPr>
            <w:tcW w:w="493"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10月</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11月</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12月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1月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2月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3月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4月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5月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6月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7月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8月</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9月</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10月</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11月</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12月</w:t>
            </w:r>
          </w:p>
        </w:tc>
      </w:tr>
      <w:tr>
        <w:tblPrEx>
          <w:tblLayout w:type="fixed"/>
          <w:tblCellMar>
            <w:top w:w="0" w:type="dxa"/>
            <w:left w:w="108" w:type="dxa"/>
            <w:bottom w:w="0" w:type="dxa"/>
            <w:right w:w="108" w:type="dxa"/>
          </w:tblCellMar>
        </w:tblPrEx>
        <w:trPr>
          <w:trHeight w:val="402" w:hRule="atLeast"/>
          <w:jc w:val="center"/>
        </w:trPr>
        <w:tc>
          <w:tcPr>
            <w:tcW w:w="356" w:type="dxa"/>
            <w:tcBorders>
              <w:top w:val="nil"/>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1</w:t>
            </w:r>
          </w:p>
        </w:tc>
        <w:tc>
          <w:tcPr>
            <w:tcW w:w="1018"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作业设计</w:t>
            </w:r>
          </w:p>
        </w:tc>
        <w:tc>
          <w:tcPr>
            <w:tcW w:w="493"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r>
      <w:tr>
        <w:tblPrEx>
          <w:tblLayout w:type="fixed"/>
          <w:tblCellMar>
            <w:top w:w="0" w:type="dxa"/>
            <w:left w:w="108" w:type="dxa"/>
            <w:bottom w:w="0" w:type="dxa"/>
            <w:right w:w="108" w:type="dxa"/>
          </w:tblCellMar>
        </w:tblPrEx>
        <w:trPr>
          <w:trHeight w:val="402" w:hRule="atLeast"/>
          <w:jc w:val="center"/>
        </w:trPr>
        <w:tc>
          <w:tcPr>
            <w:tcW w:w="356" w:type="dxa"/>
            <w:tcBorders>
              <w:top w:val="nil"/>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2</w:t>
            </w:r>
          </w:p>
        </w:tc>
        <w:tc>
          <w:tcPr>
            <w:tcW w:w="1018"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林地清理</w:t>
            </w:r>
          </w:p>
        </w:tc>
        <w:tc>
          <w:tcPr>
            <w:tcW w:w="493"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r>
      <w:tr>
        <w:tblPrEx>
          <w:tblLayout w:type="fixed"/>
          <w:tblCellMar>
            <w:top w:w="0" w:type="dxa"/>
            <w:left w:w="108" w:type="dxa"/>
            <w:bottom w:w="0" w:type="dxa"/>
            <w:right w:w="108" w:type="dxa"/>
          </w:tblCellMar>
        </w:tblPrEx>
        <w:trPr>
          <w:trHeight w:val="402" w:hRule="atLeast"/>
          <w:jc w:val="center"/>
        </w:trPr>
        <w:tc>
          <w:tcPr>
            <w:tcW w:w="356" w:type="dxa"/>
            <w:tcBorders>
              <w:top w:val="nil"/>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3</w:t>
            </w:r>
          </w:p>
        </w:tc>
        <w:tc>
          <w:tcPr>
            <w:tcW w:w="1018"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间伐抚育</w:t>
            </w:r>
          </w:p>
        </w:tc>
        <w:tc>
          <w:tcPr>
            <w:tcW w:w="493"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r>
      <w:tr>
        <w:tblPrEx>
          <w:tblLayout w:type="fixed"/>
          <w:tblCellMar>
            <w:top w:w="0" w:type="dxa"/>
            <w:left w:w="108" w:type="dxa"/>
            <w:bottom w:w="0" w:type="dxa"/>
            <w:right w:w="108" w:type="dxa"/>
          </w:tblCellMar>
        </w:tblPrEx>
        <w:trPr>
          <w:trHeight w:val="402" w:hRule="atLeast"/>
          <w:jc w:val="center"/>
        </w:trPr>
        <w:tc>
          <w:tcPr>
            <w:tcW w:w="356" w:type="dxa"/>
            <w:tcBorders>
              <w:top w:val="nil"/>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4</w:t>
            </w:r>
          </w:p>
        </w:tc>
        <w:tc>
          <w:tcPr>
            <w:tcW w:w="1018"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补植补造</w:t>
            </w:r>
          </w:p>
        </w:tc>
        <w:tc>
          <w:tcPr>
            <w:tcW w:w="493"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r>
      <w:tr>
        <w:tblPrEx>
          <w:tblLayout w:type="fixed"/>
          <w:tblCellMar>
            <w:top w:w="0" w:type="dxa"/>
            <w:left w:w="108" w:type="dxa"/>
            <w:bottom w:w="0" w:type="dxa"/>
            <w:right w:w="108" w:type="dxa"/>
          </w:tblCellMar>
        </w:tblPrEx>
        <w:trPr>
          <w:trHeight w:val="402" w:hRule="atLeast"/>
          <w:jc w:val="center"/>
        </w:trPr>
        <w:tc>
          <w:tcPr>
            <w:tcW w:w="356" w:type="dxa"/>
            <w:tcBorders>
              <w:top w:val="nil"/>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5</w:t>
            </w:r>
          </w:p>
        </w:tc>
        <w:tc>
          <w:tcPr>
            <w:tcW w:w="1018"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培蔸抚育</w:t>
            </w:r>
          </w:p>
        </w:tc>
        <w:tc>
          <w:tcPr>
            <w:tcW w:w="493"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r>
      <w:tr>
        <w:tblPrEx>
          <w:tblLayout w:type="fixed"/>
          <w:tblCellMar>
            <w:top w:w="0" w:type="dxa"/>
            <w:left w:w="108" w:type="dxa"/>
            <w:bottom w:w="0" w:type="dxa"/>
            <w:right w:w="108" w:type="dxa"/>
          </w:tblCellMar>
        </w:tblPrEx>
        <w:trPr>
          <w:trHeight w:val="402" w:hRule="atLeast"/>
          <w:jc w:val="center"/>
        </w:trPr>
        <w:tc>
          <w:tcPr>
            <w:tcW w:w="356" w:type="dxa"/>
            <w:tcBorders>
              <w:top w:val="nil"/>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6</w:t>
            </w:r>
          </w:p>
        </w:tc>
        <w:tc>
          <w:tcPr>
            <w:tcW w:w="1018"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管理</w:t>
            </w:r>
          </w:p>
        </w:tc>
        <w:tc>
          <w:tcPr>
            <w:tcW w:w="493"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r>
      <w:tr>
        <w:tblPrEx>
          <w:tblLayout w:type="fixed"/>
          <w:tblCellMar>
            <w:top w:w="0" w:type="dxa"/>
            <w:left w:w="108" w:type="dxa"/>
            <w:bottom w:w="0" w:type="dxa"/>
            <w:right w:w="108" w:type="dxa"/>
          </w:tblCellMar>
        </w:tblPrEx>
        <w:trPr>
          <w:trHeight w:val="402" w:hRule="atLeast"/>
          <w:jc w:val="center"/>
        </w:trPr>
        <w:tc>
          <w:tcPr>
            <w:tcW w:w="356" w:type="dxa"/>
            <w:tcBorders>
              <w:top w:val="nil"/>
              <w:left w:val="single" w:color="auto" w:sz="4" w:space="0"/>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7</w:t>
            </w:r>
          </w:p>
        </w:tc>
        <w:tc>
          <w:tcPr>
            <w:tcW w:w="1018"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验收</w:t>
            </w:r>
          </w:p>
        </w:tc>
        <w:tc>
          <w:tcPr>
            <w:tcW w:w="493"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65"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w:t>
            </w:r>
          </w:p>
        </w:tc>
        <w:tc>
          <w:tcPr>
            <w:tcW w:w="494" w:type="dxa"/>
            <w:tcBorders>
              <w:top w:val="nil"/>
              <w:left w:val="nil"/>
              <w:bottom w:val="single" w:color="auto" w:sz="4" w:space="0"/>
              <w:right w:val="single" w:color="auto" w:sz="4" w:space="0"/>
            </w:tcBorders>
            <w:shd w:val="clear" w:color="auto" w:fill="auto"/>
            <w:tcMar>
              <w:top w:w="0" w:type="dxa"/>
              <w:left w:w="51" w:type="dxa"/>
              <w:bottom w:w="0" w:type="dxa"/>
              <w:right w:w="51" w:type="dxa"/>
            </w:tcMar>
            <w:vAlign w:val="center"/>
          </w:tcPr>
          <w:p>
            <w:pPr>
              <w:widowControl/>
              <w:jc w:val="center"/>
              <w:rPr>
                <w:kern w:val="0"/>
                <w:sz w:val="21"/>
                <w:szCs w:val="21"/>
              </w:rPr>
            </w:pPr>
            <w:r>
              <w:rPr>
                <w:kern w:val="0"/>
                <w:sz w:val="21"/>
                <w:szCs w:val="21"/>
              </w:rPr>
              <w:t>　</w:t>
            </w:r>
          </w:p>
        </w:tc>
      </w:tr>
    </w:tbl>
    <w:p>
      <w:pPr>
        <w:pStyle w:val="4"/>
        <w:spacing w:before="0" w:after="0"/>
        <w:rPr>
          <w:rFonts w:eastAsia="黑体"/>
          <w:b w:val="0"/>
          <w:sz w:val="28"/>
          <w:szCs w:val="28"/>
        </w:rPr>
      </w:pPr>
      <w:bookmarkStart w:id="624" w:name="_Toc20426"/>
      <w:bookmarkStart w:id="625" w:name="_Toc1122"/>
      <w:bookmarkStart w:id="626" w:name="_Toc5765"/>
      <w:r>
        <w:rPr>
          <w:rFonts w:eastAsia="黑体"/>
          <w:b w:val="0"/>
          <w:sz w:val="28"/>
          <w:szCs w:val="28"/>
        </w:rPr>
        <w:t>6.3质量管理</w:t>
      </w:r>
      <w:bookmarkEnd w:id="624"/>
      <w:bookmarkEnd w:id="625"/>
      <w:bookmarkEnd w:id="626"/>
    </w:p>
    <w:p>
      <w:pPr>
        <w:spacing w:line="360" w:lineRule="auto"/>
        <w:jc w:val="center"/>
        <w:outlineLvl w:val="1"/>
        <w:rPr>
          <w:rFonts w:eastAsia="黑体"/>
          <w:kern w:val="0"/>
          <w:sz w:val="30"/>
          <w:szCs w:val="30"/>
        </w:rPr>
      </w:pPr>
      <w:bookmarkStart w:id="627" w:name="_Toc5969"/>
      <w:bookmarkStart w:id="628" w:name="_Toc3089"/>
      <w:bookmarkStart w:id="629" w:name="_Toc29792"/>
      <w:bookmarkStart w:id="630" w:name="_Toc19123"/>
      <w:bookmarkStart w:id="631" w:name="_Toc23672"/>
      <w:r>
        <w:rPr>
          <w:rFonts w:eastAsia="黑体"/>
          <w:kern w:val="0"/>
          <w:sz w:val="30"/>
          <w:szCs w:val="30"/>
        </w:rPr>
        <w:t>第七章 投资概算与资金筹措</w:t>
      </w:r>
      <w:bookmarkEnd w:id="627"/>
      <w:r>
        <w:rPr>
          <w:rFonts w:eastAsia="黑体"/>
          <w:kern w:val="0"/>
          <w:sz w:val="30"/>
          <w:szCs w:val="30"/>
        </w:rPr>
        <w:t>（实施方案已批复的可不做）</w:t>
      </w:r>
      <w:bookmarkEnd w:id="628"/>
      <w:bookmarkEnd w:id="629"/>
      <w:bookmarkEnd w:id="630"/>
      <w:bookmarkEnd w:id="631"/>
    </w:p>
    <w:p>
      <w:pPr>
        <w:pStyle w:val="4"/>
        <w:spacing w:before="0" w:after="0"/>
        <w:rPr>
          <w:rFonts w:eastAsia="黑体"/>
          <w:b w:val="0"/>
          <w:sz w:val="28"/>
          <w:szCs w:val="28"/>
        </w:rPr>
      </w:pPr>
      <w:bookmarkStart w:id="632" w:name="_Toc31111"/>
      <w:bookmarkStart w:id="633" w:name="_Toc17494"/>
      <w:bookmarkStart w:id="634" w:name="_Toc30499"/>
      <w:r>
        <w:rPr>
          <w:rFonts w:eastAsia="黑体"/>
          <w:b w:val="0"/>
          <w:sz w:val="28"/>
          <w:szCs w:val="28"/>
        </w:rPr>
        <w:t>7.1投资概算</w:t>
      </w:r>
      <w:bookmarkEnd w:id="632"/>
      <w:bookmarkEnd w:id="633"/>
      <w:bookmarkEnd w:id="634"/>
    </w:p>
    <w:p>
      <w:pPr>
        <w:spacing w:line="360" w:lineRule="auto"/>
        <w:ind w:firstLine="480" w:firstLineChars="200"/>
        <w:rPr>
          <w:szCs w:val="24"/>
        </w:rPr>
      </w:pPr>
      <w:r>
        <w:rPr>
          <w:szCs w:val="24"/>
        </w:rPr>
        <w:t>（包括概算依据、取费标准、概算范围、概算结果等）</w:t>
      </w:r>
    </w:p>
    <w:p>
      <w:pPr>
        <w:pStyle w:val="4"/>
        <w:spacing w:before="0" w:after="0"/>
        <w:rPr>
          <w:rFonts w:eastAsia="黑体"/>
          <w:b w:val="0"/>
          <w:sz w:val="28"/>
          <w:szCs w:val="28"/>
        </w:rPr>
      </w:pPr>
      <w:bookmarkStart w:id="635" w:name="_Toc28684"/>
      <w:bookmarkStart w:id="636" w:name="_Toc2118"/>
      <w:bookmarkStart w:id="637" w:name="_Toc8316"/>
      <w:r>
        <w:rPr>
          <w:rFonts w:eastAsia="黑体"/>
          <w:b w:val="0"/>
          <w:sz w:val="28"/>
          <w:szCs w:val="28"/>
        </w:rPr>
        <w:t>7.2资金筹措</w:t>
      </w:r>
      <w:bookmarkEnd w:id="635"/>
      <w:bookmarkEnd w:id="636"/>
      <w:bookmarkEnd w:id="637"/>
    </w:p>
    <w:p>
      <w:pPr>
        <w:spacing w:line="360" w:lineRule="auto"/>
        <w:jc w:val="center"/>
        <w:outlineLvl w:val="1"/>
        <w:rPr>
          <w:rFonts w:eastAsia="黑体"/>
          <w:kern w:val="0"/>
          <w:sz w:val="30"/>
          <w:szCs w:val="30"/>
        </w:rPr>
      </w:pPr>
      <w:bookmarkStart w:id="638" w:name="_Toc10287"/>
      <w:bookmarkStart w:id="639" w:name="_Toc7811"/>
      <w:bookmarkStart w:id="640" w:name="_Toc13965"/>
      <w:bookmarkStart w:id="641" w:name="_Toc7635"/>
      <w:bookmarkStart w:id="642" w:name="_Toc9739"/>
      <w:r>
        <w:rPr>
          <w:rFonts w:eastAsia="黑体"/>
          <w:kern w:val="0"/>
          <w:sz w:val="30"/>
          <w:szCs w:val="30"/>
        </w:rPr>
        <w:t>第八章 保障措施</w:t>
      </w:r>
      <w:bookmarkEnd w:id="638"/>
      <w:bookmarkEnd w:id="639"/>
      <w:bookmarkEnd w:id="640"/>
      <w:bookmarkEnd w:id="641"/>
      <w:bookmarkEnd w:id="642"/>
    </w:p>
    <w:p>
      <w:pPr>
        <w:pStyle w:val="4"/>
        <w:spacing w:before="0" w:after="0"/>
        <w:rPr>
          <w:rFonts w:eastAsia="黑体"/>
          <w:sz w:val="28"/>
          <w:szCs w:val="28"/>
        </w:rPr>
      </w:pPr>
      <w:bookmarkStart w:id="643" w:name="_Toc12600"/>
      <w:bookmarkStart w:id="644" w:name="_Toc27862"/>
      <w:r>
        <w:rPr>
          <w:rFonts w:eastAsia="黑体"/>
          <w:sz w:val="28"/>
          <w:szCs w:val="28"/>
        </w:rPr>
        <w:t xml:space="preserve">8.1 </w:t>
      </w:r>
      <w:r>
        <w:rPr>
          <w:rFonts w:eastAsia="黑体"/>
          <w:b w:val="0"/>
          <w:sz w:val="28"/>
          <w:szCs w:val="28"/>
        </w:rPr>
        <w:t>组织</w:t>
      </w:r>
      <w:r>
        <w:rPr>
          <w:rFonts w:eastAsia="黑体"/>
          <w:sz w:val="28"/>
          <w:szCs w:val="28"/>
        </w:rPr>
        <w:t>保障</w:t>
      </w:r>
      <w:bookmarkEnd w:id="643"/>
      <w:bookmarkEnd w:id="644"/>
    </w:p>
    <w:p>
      <w:pPr>
        <w:pStyle w:val="4"/>
        <w:spacing w:before="0" w:after="0"/>
        <w:rPr>
          <w:rFonts w:eastAsia="黑体"/>
          <w:sz w:val="28"/>
          <w:szCs w:val="28"/>
        </w:rPr>
      </w:pPr>
      <w:bookmarkStart w:id="645" w:name="_Toc25148"/>
      <w:bookmarkStart w:id="646" w:name="_Toc2773"/>
      <w:r>
        <w:rPr>
          <w:rFonts w:eastAsia="黑体"/>
          <w:sz w:val="28"/>
          <w:szCs w:val="28"/>
        </w:rPr>
        <w:t>8.2</w:t>
      </w:r>
      <w:r>
        <w:rPr>
          <w:rFonts w:eastAsia="黑体"/>
          <w:b w:val="0"/>
          <w:sz w:val="28"/>
          <w:szCs w:val="28"/>
        </w:rPr>
        <w:t>施工</w:t>
      </w:r>
      <w:r>
        <w:rPr>
          <w:rFonts w:eastAsia="黑体"/>
          <w:sz w:val="28"/>
          <w:szCs w:val="28"/>
        </w:rPr>
        <w:t>保障</w:t>
      </w:r>
      <w:bookmarkEnd w:id="645"/>
      <w:bookmarkEnd w:id="646"/>
    </w:p>
    <w:p>
      <w:pPr>
        <w:pStyle w:val="4"/>
        <w:spacing w:before="0" w:after="0"/>
        <w:rPr>
          <w:rFonts w:eastAsia="黑体"/>
          <w:sz w:val="28"/>
          <w:szCs w:val="28"/>
        </w:rPr>
      </w:pPr>
      <w:bookmarkStart w:id="647" w:name="_Toc2427"/>
      <w:bookmarkStart w:id="648" w:name="_Toc17780"/>
      <w:r>
        <w:rPr>
          <w:rFonts w:eastAsia="黑体"/>
          <w:sz w:val="28"/>
          <w:szCs w:val="28"/>
        </w:rPr>
        <w:t>8.3</w:t>
      </w:r>
      <w:r>
        <w:rPr>
          <w:rFonts w:eastAsia="黑体"/>
          <w:b w:val="0"/>
          <w:sz w:val="28"/>
          <w:szCs w:val="28"/>
        </w:rPr>
        <w:t>资金</w:t>
      </w:r>
      <w:r>
        <w:rPr>
          <w:rFonts w:eastAsia="黑体"/>
          <w:sz w:val="28"/>
          <w:szCs w:val="28"/>
        </w:rPr>
        <w:t>保障</w:t>
      </w:r>
      <w:bookmarkEnd w:id="647"/>
      <w:bookmarkEnd w:id="648"/>
    </w:p>
    <w:p>
      <w:pPr>
        <w:pStyle w:val="4"/>
        <w:spacing w:before="0" w:after="0"/>
        <w:rPr>
          <w:rFonts w:eastAsia="黑体"/>
          <w:sz w:val="28"/>
          <w:szCs w:val="28"/>
        </w:rPr>
      </w:pPr>
      <w:bookmarkStart w:id="649" w:name="_Toc17355"/>
      <w:bookmarkStart w:id="650" w:name="_Toc5681"/>
      <w:r>
        <w:rPr>
          <w:rFonts w:eastAsia="黑体"/>
          <w:sz w:val="28"/>
          <w:szCs w:val="28"/>
        </w:rPr>
        <w:t>8.4</w:t>
      </w:r>
      <w:r>
        <w:rPr>
          <w:rFonts w:eastAsia="黑体"/>
          <w:b w:val="0"/>
          <w:sz w:val="28"/>
          <w:szCs w:val="28"/>
        </w:rPr>
        <w:t>质量</w:t>
      </w:r>
      <w:r>
        <w:rPr>
          <w:rFonts w:eastAsia="黑体"/>
          <w:sz w:val="28"/>
          <w:szCs w:val="28"/>
        </w:rPr>
        <w:t>保障</w:t>
      </w:r>
      <w:bookmarkEnd w:id="649"/>
      <w:bookmarkEnd w:id="650"/>
    </w:p>
    <w:p>
      <w:pPr>
        <w:pStyle w:val="4"/>
        <w:spacing w:before="0" w:after="0"/>
        <w:rPr>
          <w:rFonts w:eastAsia="黑体"/>
          <w:sz w:val="30"/>
          <w:szCs w:val="30"/>
        </w:rPr>
      </w:pPr>
      <w:bookmarkStart w:id="651" w:name="_Toc10207"/>
      <w:bookmarkStart w:id="652" w:name="_Toc9948"/>
      <w:r>
        <w:rPr>
          <w:rFonts w:eastAsia="黑体"/>
          <w:sz w:val="28"/>
          <w:szCs w:val="28"/>
        </w:rPr>
        <w:t>8.5</w:t>
      </w:r>
      <w:r>
        <w:rPr>
          <w:rFonts w:eastAsia="黑体"/>
          <w:b w:val="0"/>
          <w:sz w:val="28"/>
          <w:szCs w:val="28"/>
        </w:rPr>
        <w:t>安全</w:t>
      </w:r>
      <w:r>
        <w:rPr>
          <w:rFonts w:eastAsia="黑体"/>
          <w:sz w:val="28"/>
          <w:szCs w:val="28"/>
        </w:rPr>
        <w:t>保障</w:t>
      </w:r>
      <w:bookmarkEnd w:id="651"/>
      <w:bookmarkEnd w:id="652"/>
    </w:p>
    <w:p>
      <w:pPr>
        <w:pStyle w:val="4"/>
        <w:spacing w:before="0" w:after="0"/>
        <w:rPr>
          <w:rFonts w:eastAsia="黑体"/>
          <w:sz w:val="28"/>
          <w:szCs w:val="28"/>
        </w:rPr>
      </w:pPr>
      <w:bookmarkStart w:id="653" w:name="_Toc6412"/>
      <w:bookmarkStart w:id="654" w:name="_Toc7712"/>
      <w:r>
        <w:rPr>
          <w:rFonts w:eastAsia="黑体"/>
          <w:sz w:val="28"/>
          <w:szCs w:val="28"/>
        </w:rPr>
        <w:t>8.6</w:t>
      </w:r>
      <w:r>
        <w:rPr>
          <w:rFonts w:eastAsia="黑体"/>
          <w:b w:val="0"/>
          <w:sz w:val="28"/>
          <w:szCs w:val="28"/>
        </w:rPr>
        <w:t>环境保护</w:t>
      </w:r>
      <w:bookmarkEnd w:id="653"/>
      <w:bookmarkEnd w:id="654"/>
    </w:p>
    <w:p>
      <w:pPr>
        <w:ind w:firstLine="560" w:firstLineChars="200"/>
        <w:rPr>
          <w:rFonts w:eastAsia="仿宋"/>
          <w:sz w:val="28"/>
          <w:szCs w:val="28"/>
        </w:rPr>
        <w:sectPr>
          <w:footerReference r:id="rId11" w:type="default"/>
          <w:pgSz w:w="11906" w:h="16838"/>
          <w:pgMar w:top="1440" w:right="1800" w:bottom="1440" w:left="1800" w:header="851" w:footer="992" w:gutter="0"/>
          <w:pgNumType w:start="1"/>
          <w:cols w:space="425" w:num="1"/>
          <w:docGrid w:type="lines" w:linePitch="312" w:charSpace="0"/>
        </w:sectPr>
      </w:pPr>
    </w:p>
    <w:tbl>
      <w:tblPr>
        <w:tblStyle w:val="18"/>
        <w:tblW w:w="21150" w:type="dxa"/>
        <w:jc w:val="center"/>
        <w:tblInd w:w="0" w:type="dxa"/>
        <w:tblLayout w:type="fixed"/>
        <w:tblCellMar>
          <w:top w:w="0" w:type="dxa"/>
          <w:left w:w="108" w:type="dxa"/>
          <w:bottom w:w="0" w:type="dxa"/>
          <w:right w:w="108" w:type="dxa"/>
        </w:tblCellMar>
      </w:tblPr>
      <w:tblGrid>
        <w:gridCol w:w="511"/>
        <w:gridCol w:w="431"/>
        <w:gridCol w:w="396"/>
        <w:gridCol w:w="576"/>
        <w:gridCol w:w="396"/>
        <w:gridCol w:w="756"/>
        <w:gridCol w:w="477"/>
        <w:gridCol w:w="405"/>
        <w:gridCol w:w="756"/>
        <w:gridCol w:w="396"/>
        <w:gridCol w:w="576"/>
        <w:gridCol w:w="756"/>
        <w:gridCol w:w="761"/>
        <w:gridCol w:w="635"/>
        <w:gridCol w:w="445"/>
        <w:gridCol w:w="726"/>
        <w:gridCol w:w="508"/>
        <w:gridCol w:w="153"/>
        <w:gridCol w:w="756"/>
        <w:gridCol w:w="396"/>
        <w:gridCol w:w="637"/>
        <w:gridCol w:w="756"/>
        <w:gridCol w:w="618"/>
        <w:gridCol w:w="639"/>
        <w:gridCol w:w="639"/>
        <w:gridCol w:w="402"/>
        <w:gridCol w:w="396"/>
        <w:gridCol w:w="512"/>
        <w:gridCol w:w="504"/>
        <w:gridCol w:w="648"/>
        <w:gridCol w:w="639"/>
        <w:gridCol w:w="396"/>
        <w:gridCol w:w="102"/>
        <w:gridCol w:w="318"/>
        <w:gridCol w:w="336"/>
        <w:gridCol w:w="367"/>
        <w:gridCol w:w="46"/>
        <w:gridCol w:w="756"/>
        <w:gridCol w:w="576"/>
        <w:gridCol w:w="197"/>
        <w:gridCol w:w="418"/>
        <w:gridCol w:w="436"/>
      </w:tblGrid>
      <w:tr>
        <w:tblPrEx>
          <w:tblLayout w:type="fixed"/>
          <w:tblCellMar>
            <w:top w:w="0" w:type="dxa"/>
            <w:left w:w="108" w:type="dxa"/>
            <w:bottom w:w="0" w:type="dxa"/>
            <w:right w:w="108" w:type="dxa"/>
          </w:tblCellMar>
        </w:tblPrEx>
        <w:trPr>
          <w:gridAfter w:val="1"/>
          <w:wAfter w:w="436" w:type="dxa"/>
          <w:trHeight w:val="331" w:hRule="atLeast"/>
          <w:jc w:val="center"/>
        </w:trPr>
        <w:tc>
          <w:tcPr>
            <w:tcW w:w="20714" w:type="dxa"/>
            <w:gridSpan w:val="41"/>
            <w:tcBorders>
              <w:top w:val="nil"/>
              <w:left w:val="nil"/>
              <w:bottom w:val="nil"/>
              <w:right w:val="nil"/>
            </w:tcBorders>
            <w:shd w:val="clear" w:color="auto" w:fill="auto"/>
            <w:vAlign w:val="center"/>
          </w:tcPr>
          <w:p>
            <w:pPr>
              <w:widowControl/>
              <w:jc w:val="center"/>
              <w:rPr>
                <w:kern w:val="0"/>
                <w:szCs w:val="24"/>
              </w:rPr>
            </w:pPr>
            <w:r>
              <w:rPr>
                <w:rFonts w:eastAsia="黑体"/>
                <w:kern w:val="0"/>
                <w:szCs w:val="24"/>
              </w:rPr>
              <w:t>XX县XX林场（乡镇）XX年度森林质量精准提升工程小班作业设计一览表</w:t>
            </w:r>
          </w:p>
        </w:tc>
      </w:tr>
      <w:tr>
        <w:tblPrEx>
          <w:tblLayout w:type="fixed"/>
          <w:tblCellMar>
            <w:top w:w="0" w:type="dxa"/>
            <w:left w:w="108" w:type="dxa"/>
            <w:bottom w:w="0" w:type="dxa"/>
            <w:right w:w="108" w:type="dxa"/>
          </w:tblCellMar>
        </w:tblPrEx>
        <w:trPr>
          <w:gridAfter w:val="1"/>
          <w:wAfter w:w="436" w:type="dxa"/>
          <w:trHeight w:val="281" w:hRule="atLeast"/>
          <w:jc w:val="center"/>
        </w:trPr>
        <w:tc>
          <w:tcPr>
            <w:tcW w:w="5100" w:type="dxa"/>
            <w:gridSpan w:val="10"/>
            <w:tcBorders>
              <w:top w:val="nil"/>
              <w:left w:val="nil"/>
              <w:bottom w:val="nil"/>
              <w:right w:val="nil"/>
            </w:tcBorders>
            <w:shd w:val="clear" w:color="auto" w:fill="auto"/>
            <w:vAlign w:val="center"/>
          </w:tcPr>
          <w:p>
            <w:pPr>
              <w:widowControl/>
              <w:jc w:val="left"/>
              <w:rPr>
                <w:kern w:val="0"/>
                <w:sz w:val="18"/>
                <w:szCs w:val="18"/>
              </w:rPr>
            </w:pPr>
            <w:r>
              <w:rPr>
                <w:kern w:val="0"/>
                <w:sz w:val="18"/>
                <w:szCs w:val="18"/>
              </w:rPr>
              <w:t>附表1</w:t>
            </w:r>
          </w:p>
        </w:tc>
        <w:tc>
          <w:tcPr>
            <w:tcW w:w="576" w:type="dxa"/>
            <w:tcBorders>
              <w:top w:val="nil"/>
              <w:left w:val="nil"/>
              <w:bottom w:val="nil"/>
              <w:right w:val="nil"/>
            </w:tcBorders>
            <w:shd w:val="clear" w:color="auto" w:fill="auto"/>
            <w:vAlign w:val="center"/>
          </w:tcPr>
          <w:p>
            <w:pPr>
              <w:widowControl/>
              <w:jc w:val="center"/>
              <w:rPr>
                <w:kern w:val="0"/>
                <w:sz w:val="18"/>
                <w:szCs w:val="18"/>
              </w:rPr>
            </w:pPr>
          </w:p>
        </w:tc>
        <w:tc>
          <w:tcPr>
            <w:tcW w:w="756" w:type="dxa"/>
            <w:tcBorders>
              <w:top w:val="nil"/>
              <w:left w:val="nil"/>
              <w:bottom w:val="nil"/>
              <w:right w:val="nil"/>
            </w:tcBorders>
            <w:shd w:val="clear" w:color="auto" w:fill="auto"/>
            <w:vAlign w:val="center"/>
          </w:tcPr>
          <w:p>
            <w:pPr>
              <w:widowControl/>
              <w:jc w:val="center"/>
              <w:rPr>
                <w:kern w:val="0"/>
                <w:sz w:val="18"/>
                <w:szCs w:val="18"/>
              </w:rPr>
            </w:pPr>
          </w:p>
        </w:tc>
        <w:tc>
          <w:tcPr>
            <w:tcW w:w="761" w:type="dxa"/>
            <w:tcBorders>
              <w:top w:val="nil"/>
              <w:left w:val="nil"/>
              <w:bottom w:val="nil"/>
              <w:right w:val="nil"/>
            </w:tcBorders>
            <w:shd w:val="clear" w:color="auto" w:fill="auto"/>
            <w:vAlign w:val="center"/>
          </w:tcPr>
          <w:p>
            <w:pPr>
              <w:widowControl/>
              <w:jc w:val="center"/>
              <w:rPr>
                <w:kern w:val="0"/>
                <w:sz w:val="18"/>
                <w:szCs w:val="18"/>
              </w:rPr>
            </w:pPr>
          </w:p>
        </w:tc>
        <w:tc>
          <w:tcPr>
            <w:tcW w:w="635" w:type="dxa"/>
            <w:tcBorders>
              <w:top w:val="nil"/>
              <w:left w:val="nil"/>
              <w:bottom w:val="nil"/>
              <w:right w:val="nil"/>
            </w:tcBorders>
            <w:shd w:val="clear" w:color="auto" w:fill="auto"/>
            <w:vAlign w:val="center"/>
          </w:tcPr>
          <w:p>
            <w:pPr>
              <w:widowControl/>
              <w:jc w:val="center"/>
              <w:rPr>
                <w:kern w:val="0"/>
                <w:sz w:val="18"/>
                <w:szCs w:val="18"/>
              </w:rPr>
            </w:pPr>
          </w:p>
        </w:tc>
        <w:tc>
          <w:tcPr>
            <w:tcW w:w="445" w:type="dxa"/>
            <w:tcBorders>
              <w:top w:val="nil"/>
              <w:left w:val="nil"/>
              <w:bottom w:val="nil"/>
              <w:right w:val="nil"/>
            </w:tcBorders>
            <w:shd w:val="clear" w:color="auto" w:fill="auto"/>
            <w:vAlign w:val="center"/>
          </w:tcPr>
          <w:p>
            <w:pPr>
              <w:widowControl/>
              <w:jc w:val="center"/>
              <w:rPr>
                <w:kern w:val="0"/>
                <w:sz w:val="18"/>
                <w:szCs w:val="18"/>
              </w:rPr>
            </w:pPr>
          </w:p>
        </w:tc>
        <w:tc>
          <w:tcPr>
            <w:tcW w:w="1234" w:type="dxa"/>
            <w:gridSpan w:val="2"/>
            <w:tcBorders>
              <w:top w:val="nil"/>
              <w:left w:val="nil"/>
              <w:bottom w:val="nil"/>
              <w:right w:val="nil"/>
            </w:tcBorders>
            <w:shd w:val="clear" w:color="auto" w:fill="auto"/>
            <w:vAlign w:val="center"/>
          </w:tcPr>
          <w:p>
            <w:pPr>
              <w:widowControl/>
              <w:jc w:val="center"/>
              <w:rPr>
                <w:kern w:val="0"/>
                <w:sz w:val="18"/>
                <w:szCs w:val="18"/>
              </w:rPr>
            </w:pPr>
          </w:p>
        </w:tc>
        <w:tc>
          <w:tcPr>
            <w:tcW w:w="11207" w:type="dxa"/>
            <w:gridSpan w:val="24"/>
            <w:tcBorders>
              <w:top w:val="nil"/>
              <w:left w:val="nil"/>
              <w:bottom w:val="single" w:color="auto" w:sz="4" w:space="0"/>
              <w:right w:val="nil"/>
            </w:tcBorders>
            <w:shd w:val="clear" w:color="auto" w:fill="auto"/>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gridAfter w:val="1"/>
          <w:wAfter w:w="436" w:type="dxa"/>
          <w:trHeight w:val="290" w:hRule="atLeast"/>
          <w:jc w:val="center"/>
        </w:trPr>
        <w:tc>
          <w:tcPr>
            <w:tcW w:w="5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林班或工区</w:t>
            </w:r>
          </w:p>
        </w:tc>
        <w:tc>
          <w:tcPr>
            <w:tcW w:w="4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小班号名</w:t>
            </w:r>
          </w:p>
        </w:tc>
        <w:tc>
          <w:tcPr>
            <w:tcW w:w="3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小地名</w:t>
            </w:r>
          </w:p>
        </w:tc>
        <w:tc>
          <w:tcPr>
            <w:tcW w:w="5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面积</w:t>
            </w:r>
          </w:p>
          <w:p>
            <w:pPr>
              <w:widowControl/>
              <w:spacing w:line="240" w:lineRule="exact"/>
              <w:jc w:val="center"/>
              <w:rPr>
                <w:kern w:val="0"/>
                <w:sz w:val="18"/>
                <w:szCs w:val="18"/>
              </w:rPr>
            </w:pPr>
            <w:r>
              <w:rPr>
                <w:kern w:val="0"/>
                <w:sz w:val="18"/>
                <w:szCs w:val="18"/>
              </w:rPr>
              <w:t>（公顷）</w:t>
            </w:r>
          </w:p>
        </w:tc>
        <w:tc>
          <w:tcPr>
            <w:tcW w:w="5279" w:type="dxa"/>
            <w:gridSpan w:val="9"/>
            <w:tcBorders>
              <w:top w:val="single" w:color="auto" w:sz="4" w:space="0"/>
              <w:left w:val="nil"/>
              <w:bottom w:val="single" w:color="auto" w:sz="4" w:space="0"/>
              <w:right w:val="single" w:color="000000" w:sz="4" w:space="0"/>
            </w:tcBorders>
            <w:shd w:val="clear" w:color="auto" w:fill="auto"/>
            <w:vAlign w:val="center"/>
          </w:tcPr>
          <w:p>
            <w:pPr>
              <w:widowControl/>
              <w:spacing w:line="240" w:lineRule="exact"/>
              <w:jc w:val="center"/>
              <w:rPr>
                <w:kern w:val="0"/>
                <w:sz w:val="18"/>
                <w:szCs w:val="18"/>
              </w:rPr>
            </w:pPr>
            <w:r>
              <w:rPr>
                <w:kern w:val="0"/>
                <w:sz w:val="18"/>
                <w:szCs w:val="18"/>
              </w:rPr>
              <w:t>林分现状</w:t>
            </w:r>
          </w:p>
        </w:tc>
        <w:tc>
          <w:tcPr>
            <w:tcW w:w="13521" w:type="dxa"/>
            <w:gridSpan w:val="28"/>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主要技术措施设计</w:t>
            </w:r>
          </w:p>
        </w:tc>
      </w:tr>
      <w:tr>
        <w:tblPrEx>
          <w:tblLayout w:type="fixed"/>
          <w:tblCellMar>
            <w:top w:w="0" w:type="dxa"/>
            <w:left w:w="108" w:type="dxa"/>
            <w:bottom w:w="0" w:type="dxa"/>
            <w:right w:w="108" w:type="dxa"/>
          </w:tblCellMar>
        </w:tblPrEx>
        <w:trPr>
          <w:gridAfter w:val="1"/>
          <w:wAfter w:w="436" w:type="dxa"/>
          <w:trHeight w:val="435" w:hRule="atLeast"/>
          <w:jc w:val="center"/>
        </w:trPr>
        <w:tc>
          <w:tcPr>
            <w:tcW w:w="5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43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3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39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起源</w:t>
            </w:r>
          </w:p>
        </w:tc>
        <w:tc>
          <w:tcPr>
            <w:tcW w:w="75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林龄（年）</w:t>
            </w:r>
          </w:p>
        </w:tc>
        <w:tc>
          <w:tcPr>
            <w:tcW w:w="47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林种</w:t>
            </w:r>
          </w:p>
        </w:tc>
        <w:tc>
          <w:tcPr>
            <w:tcW w:w="4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树种</w:t>
            </w:r>
            <w:r>
              <w:rPr>
                <w:kern w:val="0"/>
                <w:sz w:val="18"/>
                <w:szCs w:val="18"/>
              </w:rPr>
              <w:br w:type="textWrapping"/>
            </w:r>
            <w:r>
              <w:rPr>
                <w:kern w:val="0"/>
                <w:sz w:val="18"/>
                <w:szCs w:val="18"/>
              </w:rPr>
              <w:t>组成</w:t>
            </w:r>
          </w:p>
        </w:tc>
        <w:tc>
          <w:tcPr>
            <w:tcW w:w="75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公顷株数（株）</w:t>
            </w:r>
          </w:p>
        </w:tc>
        <w:tc>
          <w:tcPr>
            <w:tcW w:w="39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郁闭度</w:t>
            </w:r>
          </w:p>
        </w:tc>
        <w:tc>
          <w:tcPr>
            <w:tcW w:w="5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平均胸径</w:t>
            </w:r>
          </w:p>
          <w:p>
            <w:pPr>
              <w:widowControl/>
              <w:spacing w:line="240" w:lineRule="exact"/>
              <w:jc w:val="center"/>
              <w:rPr>
                <w:kern w:val="0"/>
                <w:sz w:val="18"/>
                <w:szCs w:val="18"/>
              </w:rPr>
            </w:pPr>
            <w:r>
              <w:rPr>
                <w:kern w:val="0"/>
                <w:sz w:val="18"/>
                <w:szCs w:val="18"/>
              </w:rPr>
              <w:t>（厘米）</w:t>
            </w:r>
          </w:p>
        </w:tc>
        <w:tc>
          <w:tcPr>
            <w:tcW w:w="75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平均树高</w:t>
            </w:r>
          </w:p>
          <w:p>
            <w:pPr>
              <w:widowControl/>
              <w:spacing w:line="240" w:lineRule="exact"/>
              <w:jc w:val="center"/>
              <w:rPr>
                <w:kern w:val="0"/>
                <w:sz w:val="18"/>
                <w:szCs w:val="18"/>
              </w:rPr>
            </w:pPr>
            <w:r>
              <w:rPr>
                <w:kern w:val="0"/>
                <w:sz w:val="18"/>
                <w:szCs w:val="18"/>
              </w:rPr>
              <w:t>（米）</w:t>
            </w:r>
          </w:p>
        </w:tc>
        <w:tc>
          <w:tcPr>
            <w:tcW w:w="76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小班蓄积量</w:t>
            </w:r>
          </w:p>
          <w:p>
            <w:pPr>
              <w:widowControl/>
              <w:spacing w:line="240" w:lineRule="exact"/>
              <w:jc w:val="center"/>
              <w:rPr>
                <w:kern w:val="0"/>
                <w:sz w:val="18"/>
                <w:szCs w:val="18"/>
              </w:rPr>
            </w:pPr>
            <w:r>
              <w:rPr>
                <w:kern w:val="0"/>
                <w:sz w:val="18"/>
                <w:szCs w:val="18"/>
              </w:rPr>
              <w:t>（立方米）</w:t>
            </w:r>
          </w:p>
        </w:tc>
        <w:tc>
          <w:tcPr>
            <w:tcW w:w="63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林地清理（方法与时间）</w:t>
            </w:r>
          </w:p>
        </w:tc>
        <w:tc>
          <w:tcPr>
            <w:tcW w:w="5634" w:type="dxa"/>
            <w:gridSpan w:val="10"/>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抚育间伐</w:t>
            </w:r>
          </w:p>
        </w:tc>
        <w:tc>
          <w:tcPr>
            <w:tcW w:w="1949"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补植</w:t>
            </w:r>
          </w:p>
        </w:tc>
        <w:tc>
          <w:tcPr>
            <w:tcW w:w="50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修枝整形</w:t>
            </w:r>
          </w:p>
        </w:tc>
        <w:tc>
          <w:tcPr>
            <w:tcW w:w="648" w:type="dxa"/>
            <w:vMerge w:val="restart"/>
            <w:tcBorders>
              <w:top w:val="nil"/>
              <w:left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培蔸抚育（方法时间次数）</w:t>
            </w:r>
          </w:p>
        </w:tc>
        <w:tc>
          <w:tcPr>
            <w:tcW w:w="103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辅助设施</w:t>
            </w:r>
          </w:p>
        </w:tc>
        <w:tc>
          <w:tcPr>
            <w:tcW w:w="756" w:type="dxa"/>
            <w:gridSpan w:val="3"/>
            <w:vMerge w:val="restart"/>
            <w:tcBorders>
              <w:top w:val="single" w:color="auto" w:sz="4" w:space="0"/>
              <w:left w:val="nil"/>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作业法</w:t>
            </w:r>
          </w:p>
        </w:tc>
        <w:tc>
          <w:tcPr>
            <w:tcW w:w="2360" w:type="dxa"/>
            <w:gridSpan w:val="6"/>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kern w:val="0"/>
                <w:sz w:val="18"/>
                <w:szCs w:val="18"/>
              </w:rPr>
            </w:pPr>
            <w:r>
              <w:rPr>
                <w:kern w:val="0"/>
                <w:sz w:val="18"/>
                <w:szCs w:val="18"/>
              </w:rPr>
              <w:t>培育目标</w:t>
            </w:r>
          </w:p>
        </w:tc>
      </w:tr>
      <w:tr>
        <w:tblPrEx>
          <w:tblLayout w:type="fixed"/>
          <w:tblCellMar>
            <w:top w:w="0" w:type="dxa"/>
            <w:left w:w="108" w:type="dxa"/>
            <w:bottom w:w="0" w:type="dxa"/>
            <w:right w:w="108" w:type="dxa"/>
          </w:tblCellMar>
        </w:tblPrEx>
        <w:trPr>
          <w:gridAfter w:val="1"/>
          <w:wAfter w:w="436" w:type="dxa"/>
          <w:trHeight w:val="1266" w:hRule="atLeast"/>
          <w:jc w:val="center"/>
        </w:trPr>
        <w:tc>
          <w:tcPr>
            <w:tcW w:w="5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43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3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47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40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63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4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方式与时间</w:t>
            </w:r>
          </w:p>
        </w:tc>
        <w:tc>
          <w:tcPr>
            <w:tcW w:w="72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株数强度（%）</w:t>
            </w:r>
          </w:p>
        </w:tc>
        <w:tc>
          <w:tcPr>
            <w:tcW w:w="661"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保留公顷株数（株数）</w:t>
            </w:r>
          </w:p>
          <w:p>
            <w:pPr>
              <w:widowControl/>
              <w:spacing w:line="240" w:lineRule="exact"/>
              <w:jc w:val="center"/>
              <w:rPr>
                <w:kern w:val="0"/>
                <w:sz w:val="18"/>
                <w:szCs w:val="18"/>
              </w:rPr>
            </w:pPr>
          </w:p>
        </w:tc>
        <w:tc>
          <w:tcPr>
            <w:tcW w:w="75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目标树保留公顷株数（株）</w:t>
            </w:r>
          </w:p>
        </w:tc>
        <w:tc>
          <w:tcPr>
            <w:tcW w:w="39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保留郁闭度</w:t>
            </w:r>
          </w:p>
        </w:tc>
        <w:tc>
          <w:tcPr>
            <w:tcW w:w="637"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伐后平均胸径（厘米）</w:t>
            </w:r>
          </w:p>
        </w:tc>
        <w:tc>
          <w:tcPr>
            <w:tcW w:w="75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伐后平均树高（米）</w:t>
            </w:r>
          </w:p>
        </w:tc>
        <w:tc>
          <w:tcPr>
            <w:tcW w:w="618"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间伐</w:t>
            </w:r>
          </w:p>
          <w:p>
            <w:pPr>
              <w:widowControl/>
              <w:spacing w:line="240" w:lineRule="exact"/>
              <w:jc w:val="center"/>
              <w:rPr>
                <w:kern w:val="0"/>
                <w:sz w:val="18"/>
                <w:szCs w:val="18"/>
              </w:rPr>
            </w:pPr>
            <w:r>
              <w:rPr>
                <w:kern w:val="0"/>
                <w:sz w:val="18"/>
                <w:szCs w:val="18"/>
              </w:rPr>
              <w:t>蓄积</w:t>
            </w:r>
          </w:p>
          <w:p>
            <w:pPr>
              <w:widowControl/>
              <w:spacing w:line="240" w:lineRule="exact"/>
              <w:jc w:val="center"/>
              <w:rPr>
                <w:kern w:val="0"/>
                <w:sz w:val="18"/>
                <w:szCs w:val="18"/>
              </w:rPr>
            </w:pPr>
            <w:r>
              <w:rPr>
                <w:kern w:val="0"/>
                <w:sz w:val="15"/>
                <w:szCs w:val="15"/>
              </w:rPr>
              <w:t>（立方米）</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间伐</w:t>
            </w:r>
          </w:p>
          <w:p>
            <w:pPr>
              <w:widowControl/>
              <w:spacing w:line="240" w:lineRule="exact"/>
              <w:jc w:val="center"/>
              <w:rPr>
                <w:kern w:val="0"/>
                <w:sz w:val="18"/>
                <w:szCs w:val="18"/>
              </w:rPr>
            </w:pPr>
            <w:r>
              <w:rPr>
                <w:kern w:val="0"/>
                <w:sz w:val="18"/>
                <w:szCs w:val="18"/>
              </w:rPr>
              <w:t>出材</w:t>
            </w:r>
          </w:p>
          <w:p>
            <w:pPr>
              <w:widowControl/>
              <w:spacing w:line="240" w:lineRule="exact"/>
              <w:jc w:val="center"/>
              <w:rPr>
                <w:kern w:val="0"/>
                <w:sz w:val="18"/>
                <w:szCs w:val="18"/>
              </w:rPr>
            </w:pPr>
            <w:r>
              <w:rPr>
                <w:kern w:val="0"/>
                <w:sz w:val="15"/>
                <w:szCs w:val="15"/>
              </w:rPr>
              <w:t>（立方米）</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补植条件时间方法</w:t>
            </w:r>
          </w:p>
        </w:tc>
        <w:tc>
          <w:tcPr>
            <w:tcW w:w="402" w:type="dxa"/>
            <w:tcBorders>
              <w:top w:val="nil"/>
              <w:left w:val="nil"/>
              <w:bottom w:val="single" w:color="auto" w:sz="4" w:space="0"/>
              <w:right w:val="single" w:color="auto" w:sz="4" w:space="0"/>
            </w:tcBorders>
            <w:shd w:val="clear" w:color="auto" w:fill="auto"/>
            <w:vAlign w:val="center"/>
          </w:tcPr>
          <w:p>
            <w:pPr>
              <w:spacing w:line="240" w:lineRule="exact"/>
              <w:jc w:val="center"/>
              <w:rPr>
                <w:kern w:val="0"/>
                <w:sz w:val="18"/>
                <w:szCs w:val="18"/>
              </w:rPr>
            </w:pPr>
            <w:r>
              <w:rPr>
                <w:kern w:val="0"/>
                <w:sz w:val="18"/>
                <w:szCs w:val="18"/>
              </w:rPr>
              <w:t>树</w:t>
            </w:r>
          </w:p>
          <w:p>
            <w:pPr>
              <w:spacing w:line="240" w:lineRule="exact"/>
              <w:jc w:val="center"/>
              <w:rPr>
                <w:kern w:val="0"/>
                <w:sz w:val="18"/>
                <w:szCs w:val="18"/>
              </w:rPr>
            </w:pPr>
            <w:r>
              <w:rPr>
                <w:kern w:val="0"/>
                <w:sz w:val="18"/>
                <w:szCs w:val="18"/>
              </w:rPr>
              <w:t>种</w:t>
            </w:r>
          </w:p>
        </w:tc>
        <w:tc>
          <w:tcPr>
            <w:tcW w:w="3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苗木类型</w:t>
            </w:r>
          </w:p>
          <w:p>
            <w:pPr>
              <w:spacing w:line="240" w:lineRule="exact"/>
              <w:jc w:val="center"/>
              <w:rPr>
                <w:kern w:val="0"/>
                <w:sz w:val="18"/>
                <w:szCs w:val="18"/>
              </w:rPr>
            </w:pPr>
          </w:p>
        </w:tc>
        <w:tc>
          <w:tcPr>
            <w:tcW w:w="512"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株数/公顷</w:t>
            </w:r>
          </w:p>
        </w:tc>
        <w:tc>
          <w:tcPr>
            <w:tcW w:w="50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株数/公顷</w:t>
            </w:r>
          </w:p>
        </w:tc>
        <w:tc>
          <w:tcPr>
            <w:tcW w:w="648"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kern w:val="0"/>
                <w:sz w:val="18"/>
                <w:szCs w:val="18"/>
              </w:rPr>
            </w:pP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作业道（千米）</w:t>
            </w:r>
          </w:p>
        </w:tc>
        <w:tc>
          <w:tcPr>
            <w:tcW w:w="39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w:t>
            </w:r>
          </w:p>
        </w:tc>
        <w:tc>
          <w:tcPr>
            <w:tcW w:w="756" w:type="dxa"/>
            <w:gridSpan w:val="3"/>
            <w:vMerge w:val="continue"/>
            <w:tcBorders>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p>
        </w:tc>
        <w:tc>
          <w:tcPr>
            <w:tcW w:w="413"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目标树种</w:t>
            </w:r>
          </w:p>
        </w:tc>
        <w:tc>
          <w:tcPr>
            <w:tcW w:w="75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目标树培育周期（年）</w:t>
            </w:r>
          </w:p>
        </w:tc>
        <w:tc>
          <w:tcPr>
            <w:tcW w:w="57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目标树胸径（厘米）</w:t>
            </w:r>
          </w:p>
        </w:tc>
        <w:tc>
          <w:tcPr>
            <w:tcW w:w="615"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18"/>
                <w:szCs w:val="18"/>
              </w:rPr>
              <w:t>目标蓄积（立方米/公顷）</w:t>
            </w:r>
          </w:p>
        </w:tc>
      </w:tr>
      <w:tr>
        <w:tblPrEx>
          <w:tblLayout w:type="fixed"/>
          <w:tblCellMar>
            <w:top w:w="0" w:type="dxa"/>
            <w:left w:w="108" w:type="dxa"/>
            <w:bottom w:w="0" w:type="dxa"/>
            <w:right w:w="108" w:type="dxa"/>
          </w:tblCellMar>
        </w:tblPrEx>
        <w:trPr>
          <w:gridAfter w:val="1"/>
          <w:wAfter w:w="436" w:type="dxa"/>
          <w:trHeight w:val="189" w:hRule="atLeast"/>
          <w:jc w:val="center"/>
        </w:trPr>
        <w:tc>
          <w:tcPr>
            <w:tcW w:w="511"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w:t>
            </w:r>
          </w:p>
        </w:tc>
        <w:tc>
          <w:tcPr>
            <w:tcW w:w="43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w:t>
            </w:r>
          </w:p>
        </w:tc>
        <w:tc>
          <w:tcPr>
            <w:tcW w:w="3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4</w:t>
            </w:r>
          </w:p>
        </w:tc>
        <w:tc>
          <w:tcPr>
            <w:tcW w:w="3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5</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6</w:t>
            </w:r>
          </w:p>
        </w:tc>
        <w:tc>
          <w:tcPr>
            <w:tcW w:w="4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7</w:t>
            </w:r>
          </w:p>
        </w:tc>
        <w:tc>
          <w:tcPr>
            <w:tcW w:w="40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9</w:t>
            </w:r>
          </w:p>
        </w:tc>
        <w:tc>
          <w:tcPr>
            <w:tcW w:w="3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10</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11</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12</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13</w:t>
            </w:r>
          </w:p>
        </w:tc>
        <w:tc>
          <w:tcPr>
            <w:tcW w:w="63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14</w:t>
            </w:r>
          </w:p>
        </w:tc>
        <w:tc>
          <w:tcPr>
            <w:tcW w:w="44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w:t>
            </w:r>
          </w:p>
        </w:tc>
        <w:tc>
          <w:tcPr>
            <w:tcW w:w="72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16</w:t>
            </w:r>
          </w:p>
        </w:tc>
        <w:tc>
          <w:tcPr>
            <w:tcW w:w="661"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17</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18</w:t>
            </w:r>
          </w:p>
        </w:tc>
        <w:tc>
          <w:tcPr>
            <w:tcW w:w="3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19</w:t>
            </w:r>
          </w:p>
        </w:tc>
        <w:tc>
          <w:tcPr>
            <w:tcW w:w="63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p>
        </w:tc>
        <w:tc>
          <w:tcPr>
            <w:tcW w:w="756"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r>
              <w:rPr>
                <w:kern w:val="0"/>
                <w:sz w:val="18"/>
                <w:szCs w:val="18"/>
              </w:rPr>
              <w:t>21</w:t>
            </w:r>
          </w:p>
        </w:tc>
        <w:tc>
          <w:tcPr>
            <w:tcW w:w="618"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r>
              <w:rPr>
                <w:kern w:val="0"/>
                <w:sz w:val="18"/>
                <w:szCs w:val="18"/>
              </w:rPr>
              <w:t>22</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23</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25</w:t>
            </w:r>
          </w:p>
        </w:tc>
        <w:tc>
          <w:tcPr>
            <w:tcW w:w="402"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r>
              <w:rPr>
                <w:kern w:val="0"/>
                <w:sz w:val="18"/>
                <w:szCs w:val="18"/>
              </w:rPr>
              <w:t>25</w:t>
            </w:r>
          </w:p>
        </w:tc>
        <w:tc>
          <w:tcPr>
            <w:tcW w:w="396"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r>
              <w:rPr>
                <w:kern w:val="0"/>
                <w:sz w:val="18"/>
                <w:szCs w:val="18"/>
              </w:rPr>
              <w:t>26</w:t>
            </w:r>
          </w:p>
        </w:tc>
        <w:tc>
          <w:tcPr>
            <w:tcW w:w="5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27</w:t>
            </w:r>
          </w:p>
        </w:tc>
        <w:tc>
          <w:tcPr>
            <w:tcW w:w="5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28</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29</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30</w:t>
            </w:r>
          </w:p>
        </w:tc>
        <w:tc>
          <w:tcPr>
            <w:tcW w:w="3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31</w:t>
            </w:r>
          </w:p>
        </w:tc>
        <w:tc>
          <w:tcPr>
            <w:tcW w:w="756" w:type="dxa"/>
            <w:gridSpan w:val="3"/>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32</w:t>
            </w:r>
          </w:p>
        </w:tc>
        <w:tc>
          <w:tcPr>
            <w:tcW w:w="413" w:type="dxa"/>
            <w:gridSpan w:val="2"/>
            <w:tcBorders>
              <w:top w:val="nil"/>
              <w:left w:val="nil"/>
              <w:bottom w:val="single" w:color="auto" w:sz="4" w:space="0"/>
              <w:right w:val="single" w:color="auto" w:sz="4" w:space="0"/>
            </w:tcBorders>
            <w:shd w:val="clear" w:color="auto" w:fill="auto"/>
            <w:vAlign w:val="center"/>
          </w:tcPr>
          <w:p>
            <w:pPr>
              <w:jc w:val="center"/>
              <w:rPr>
                <w:kern w:val="0"/>
                <w:sz w:val="18"/>
                <w:szCs w:val="18"/>
              </w:rPr>
            </w:pPr>
            <w:r>
              <w:rPr>
                <w:kern w:val="0"/>
                <w:sz w:val="18"/>
                <w:szCs w:val="18"/>
              </w:rPr>
              <w:t>33</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34</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35</w:t>
            </w:r>
          </w:p>
        </w:tc>
        <w:tc>
          <w:tcPr>
            <w:tcW w:w="615"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36</w:t>
            </w:r>
          </w:p>
        </w:tc>
      </w:tr>
      <w:tr>
        <w:tblPrEx>
          <w:tblLayout w:type="fixed"/>
          <w:tblCellMar>
            <w:top w:w="0" w:type="dxa"/>
            <w:left w:w="108" w:type="dxa"/>
            <w:bottom w:w="0" w:type="dxa"/>
            <w:right w:w="108" w:type="dxa"/>
          </w:tblCellMar>
        </w:tblPrEx>
        <w:trPr>
          <w:gridAfter w:val="1"/>
          <w:wAfter w:w="436" w:type="dxa"/>
          <w:trHeight w:val="189" w:hRule="atLeast"/>
          <w:jc w:val="center"/>
        </w:trPr>
        <w:tc>
          <w:tcPr>
            <w:tcW w:w="51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43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39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5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39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756" w:type="dxa"/>
            <w:vMerge w:val="restart"/>
            <w:tcBorders>
              <w:top w:val="nil"/>
              <w:left w:val="nil"/>
              <w:right w:val="single" w:color="auto" w:sz="4" w:space="0"/>
            </w:tcBorders>
            <w:shd w:val="clear" w:color="auto" w:fill="auto"/>
            <w:vAlign w:val="center"/>
          </w:tcPr>
          <w:p>
            <w:pPr>
              <w:widowControl/>
              <w:jc w:val="center"/>
              <w:rPr>
                <w:kern w:val="0"/>
                <w:sz w:val="18"/>
                <w:szCs w:val="18"/>
              </w:rPr>
            </w:pPr>
          </w:p>
          <w:p>
            <w:pPr>
              <w:widowControl/>
              <w:jc w:val="center"/>
              <w:rPr>
                <w:kern w:val="0"/>
                <w:sz w:val="18"/>
                <w:szCs w:val="18"/>
              </w:rPr>
            </w:pPr>
          </w:p>
          <w:p>
            <w:pPr>
              <w:widowControl/>
              <w:jc w:val="center"/>
              <w:rPr>
                <w:kern w:val="0"/>
                <w:sz w:val="18"/>
                <w:szCs w:val="18"/>
              </w:rPr>
            </w:pPr>
          </w:p>
          <w:p>
            <w:pPr>
              <w:widowControl/>
              <w:jc w:val="center"/>
              <w:rPr>
                <w:kern w:val="0"/>
                <w:sz w:val="18"/>
                <w:szCs w:val="18"/>
              </w:rPr>
            </w:pPr>
          </w:p>
          <w:p>
            <w:pPr>
              <w:jc w:val="center"/>
              <w:rPr>
                <w:kern w:val="0"/>
                <w:sz w:val="18"/>
                <w:szCs w:val="18"/>
              </w:rPr>
            </w:pPr>
          </w:p>
        </w:tc>
        <w:tc>
          <w:tcPr>
            <w:tcW w:w="4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40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7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39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5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7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76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6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4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72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661"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7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39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6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756"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kern w:val="0"/>
                <w:sz w:val="18"/>
                <w:szCs w:val="18"/>
              </w:rPr>
            </w:pPr>
          </w:p>
        </w:tc>
        <w:tc>
          <w:tcPr>
            <w:tcW w:w="61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kern w:val="0"/>
                <w:sz w:val="18"/>
                <w:szCs w:val="18"/>
              </w:rPr>
            </w:pPr>
          </w:p>
        </w:tc>
        <w:tc>
          <w:tcPr>
            <w:tcW w:w="63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639" w:type="dxa"/>
            <w:vMerge w:val="restart"/>
            <w:tcBorders>
              <w:top w:val="nil"/>
              <w:left w:val="nil"/>
              <w:right w:val="single" w:color="auto" w:sz="4" w:space="0"/>
            </w:tcBorders>
            <w:shd w:val="clear" w:color="auto" w:fill="auto"/>
            <w:vAlign w:val="center"/>
          </w:tcPr>
          <w:p>
            <w:pPr>
              <w:widowControl/>
              <w:jc w:val="center"/>
              <w:rPr>
                <w:kern w:val="0"/>
                <w:sz w:val="18"/>
                <w:szCs w:val="18"/>
              </w:rPr>
            </w:pPr>
          </w:p>
        </w:tc>
        <w:tc>
          <w:tcPr>
            <w:tcW w:w="402"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396"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5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504" w:type="dxa"/>
            <w:vMerge w:val="restart"/>
            <w:tcBorders>
              <w:top w:val="nil"/>
              <w:left w:val="single" w:color="auto" w:sz="4" w:space="0"/>
              <w:right w:val="single" w:color="auto" w:sz="4" w:space="0"/>
            </w:tcBorders>
            <w:shd w:val="clear" w:color="auto" w:fill="auto"/>
            <w:vAlign w:val="center"/>
          </w:tcPr>
          <w:p>
            <w:pPr>
              <w:widowControl/>
              <w:jc w:val="center"/>
              <w:rPr>
                <w:kern w:val="0"/>
                <w:sz w:val="18"/>
                <w:szCs w:val="18"/>
              </w:rPr>
            </w:pPr>
          </w:p>
        </w:tc>
        <w:tc>
          <w:tcPr>
            <w:tcW w:w="648" w:type="dxa"/>
            <w:vMerge w:val="restart"/>
            <w:tcBorders>
              <w:top w:val="nil"/>
              <w:left w:val="single" w:color="auto" w:sz="4" w:space="0"/>
              <w:right w:val="single" w:color="auto" w:sz="4" w:space="0"/>
            </w:tcBorders>
            <w:shd w:val="clear" w:color="auto" w:fill="auto"/>
            <w:vAlign w:val="center"/>
          </w:tcPr>
          <w:p>
            <w:pPr>
              <w:widowControl/>
              <w:jc w:val="center"/>
              <w:rPr>
                <w:kern w:val="0"/>
                <w:sz w:val="18"/>
                <w:szCs w:val="18"/>
              </w:rPr>
            </w:pPr>
          </w:p>
        </w:tc>
        <w:tc>
          <w:tcPr>
            <w:tcW w:w="639" w:type="dxa"/>
            <w:vMerge w:val="restart"/>
            <w:tcBorders>
              <w:top w:val="nil"/>
              <w:left w:val="single" w:color="auto" w:sz="4" w:space="0"/>
              <w:right w:val="single" w:color="auto" w:sz="4" w:space="0"/>
            </w:tcBorders>
            <w:shd w:val="clear" w:color="auto" w:fill="auto"/>
            <w:vAlign w:val="center"/>
          </w:tcPr>
          <w:p>
            <w:pPr>
              <w:widowControl/>
              <w:jc w:val="center"/>
              <w:rPr>
                <w:kern w:val="0"/>
                <w:sz w:val="18"/>
                <w:szCs w:val="18"/>
              </w:rPr>
            </w:pPr>
          </w:p>
        </w:tc>
        <w:tc>
          <w:tcPr>
            <w:tcW w:w="396" w:type="dxa"/>
            <w:vMerge w:val="restart"/>
            <w:tcBorders>
              <w:top w:val="nil"/>
              <w:left w:val="single" w:color="auto" w:sz="4" w:space="0"/>
              <w:right w:val="single" w:color="auto" w:sz="4" w:space="0"/>
            </w:tcBorders>
            <w:shd w:val="clear" w:color="auto" w:fill="auto"/>
            <w:vAlign w:val="center"/>
          </w:tcPr>
          <w:p>
            <w:pPr>
              <w:widowControl/>
              <w:jc w:val="center"/>
              <w:rPr>
                <w:kern w:val="0"/>
                <w:sz w:val="18"/>
                <w:szCs w:val="18"/>
              </w:rPr>
            </w:pPr>
          </w:p>
        </w:tc>
        <w:tc>
          <w:tcPr>
            <w:tcW w:w="756" w:type="dxa"/>
            <w:gridSpan w:val="3"/>
            <w:vMerge w:val="restart"/>
            <w:tcBorders>
              <w:top w:val="nil"/>
              <w:left w:val="single" w:color="auto" w:sz="4" w:space="0"/>
              <w:right w:val="single" w:color="auto" w:sz="4" w:space="0"/>
            </w:tcBorders>
            <w:shd w:val="clear" w:color="auto" w:fill="auto"/>
            <w:vAlign w:val="center"/>
          </w:tcPr>
          <w:p>
            <w:pPr>
              <w:widowControl/>
              <w:jc w:val="center"/>
              <w:rPr>
                <w:kern w:val="0"/>
                <w:sz w:val="18"/>
                <w:szCs w:val="18"/>
              </w:rPr>
            </w:pPr>
          </w:p>
        </w:tc>
        <w:tc>
          <w:tcPr>
            <w:tcW w:w="413" w:type="dxa"/>
            <w:gridSpan w:val="2"/>
            <w:vMerge w:val="restart"/>
            <w:tcBorders>
              <w:top w:val="nil"/>
              <w:left w:val="single" w:color="auto" w:sz="4" w:space="0"/>
              <w:right w:val="single" w:color="auto" w:sz="4" w:space="0"/>
            </w:tcBorders>
            <w:shd w:val="clear" w:color="auto" w:fill="auto"/>
            <w:vAlign w:val="center"/>
          </w:tcPr>
          <w:p>
            <w:pPr>
              <w:jc w:val="center"/>
              <w:rPr>
                <w:kern w:val="0"/>
                <w:sz w:val="18"/>
                <w:szCs w:val="18"/>
              </w:rPr>
            </w:pPr>
          </w:p>
        </w:tc>
        <w:tc>
          <w:tcPr>
            <w:tcW w:w="756" w:type="dxa"/>
            <w:vMerge w:val="restart"/>
            <w:tcBorders>
              <w:top w:val="nil"/>
              <w:left w:val="single" w:color="auto" w:sz="4" w:space="0"/>
              <w:right w:val="single" w:color="auto" w:sz="4" w:space="0"/>
            </w:tcBorders>
            <w:shd w:val="clear" w:color="auto" w:fill="auto"/>
            <w:vAlign w:val="center"/>
          </w:tcPr>
          <w:p>
            <w:pPr>
              <w:widowControl/>
              <w:jc w:val="center"/>
              <w:rPr>
                <w:kern w:val="0"/>
                <w:sz w:val="18"/>
                <w:szCs w:val="18"/>
              </w:rPr>
            </w:pPr>
          </w:p>
        </w:tc>
        <w:tc>
          <w:tcPr>
            <w:tcW w:w="576" w:type="dxa"/>
            <w:vMerge w:val="restart"/>
            <w:tcBorders>
              <w:top w:val="nil"/>
              <w:left w:val="single" w:color="auto" w:sz="4" w:space="0"/>
              <w:right w:val="single" w:color="auto" w:sz="4" w:space="0"/>
            </w:tcBorders>
            <w:shd w:val="clear" w:color="auto" w:fill="auto"/>
            <w:vAlign w:val="center"/>
          </w:tcPr>
          <w:p>
            <w:pPr>
              <w:widowControl/>
              <w:jc w:val="center"/>
              <w:rPr>
                <w:kern w:val="0"/>
                <w:sz w:val="18"/>
                <w:szCs w:val="18"/>
              </w:rPr>
            </w:pPr>
          </w:p>
        </w:tc>
        <w:tc>
          <w:tcPr>
            <w:tcW w:w="615" w:type="dxa"/>
            <w:gridSpan w:val="2"/>
            <w:vMerge w:val="restart"/>
            <w:tcBorders>
              <w:top w:val="nil"/>
              <w:left w:val="single" w:color="auto" w:sz="4" w:space="0"/>
              <w:right w:val="single" w:color="auto" w:sz="4" w:space="0"/>
            </w:tcBorders>
            <w:shd w:val="clear" w:color="auto" w:fill="auto"/>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gridAfter w:val="1"/>
          <w:wAfter w:w="436" w:type="dxa"/>
          <w:trHeight w:val="189" w:hRule="atLeast"/>
          <w:jc w:val="center"/>
        </w:trPr>
        <w:tc>
          <w:tcPr>
            <w:tcW w:w="51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left w:val="nil"/>
              <w:right w:val="single" w:color="auto" w:sz="4" w:space="0"/>
            </w:tcBorders>
            <w:shd w:val="clear" w:color="auto" w:fill="auto"/>
            <w:vAlign w:val="center"/>
          </w:tcPr>
          <w:p>
            <w:pPr>
              <w:jc w:val="center"/>
              <w:rPr>
                <w:kern w:val="0"/>
                <w:sz w:val="18"/>
                <w:szCs w:val="18"/>
              </w:rPr>
            </w:pPr>
          </w:p>
        </w:tc>
        <w:tc>
          <w:tcPr>
            <w:tcW w:w="477"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0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4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2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61" w:type="dxa"/>
            <w:gridSpan w:val="2"/>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7"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18"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left w:val="nil"/>
              <w:right w:val="single" w:color="auto" w:sz="4" w:space="0"/>
            </w:tcBorders>
            <w:shd w:val="clear" w:color="auto" w:fill="auto"/>
            <w:vAlign w:val="center"/>
          </w:tcPr>
          <w:p>
            <w:pPr>
              <w:widowControl/>
              <w:jc w:val="center"/>
              <w:rPr>
                <w:kern w:val="0"/>
                <w:sz w:val="18"/>
                <w:szCs w:val="18"/>
              </w:rPr>
            </w:pPr>
          </w:p>
        </w:tc>
        <w:tc>
          <w:tcPr>
            <w:tcW w:w="402"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396"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5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504" w:type="dxa"/>
            <w:vMerge w:val="continue"/>
            <w:tcBorders>
              <w:left w:val="single" w:color="auto" w:sz="4" w:space="0"/>
              <w:right w:val="single" w:color="auto" w:sz="4" w:space="0"/>
            </w:tcBorders>
            <w:vAlign w:val="center"/>
          </w:tcPr>
          <w:p>
            <w:pPr>
              <w:widowControl/>
              <w:jc w:val="center"/>
              <w:rPr>
                <w:kern w:val="0"/>
                <w:sz w:val="18"/>
                <w:szCs w:val="18"/>
              </w:rPr>
            </w:pPr>
          </w:p>
        </w:tc>
        <w:tc>
          <w:tcPr>
            <w:tcW w:w="648" w:type="dxa"/>
            <w:vMerge w:val="continue"/>
            <w:tcBorders>
              <w:left w:val="single" w:color="auto" w:sz="4" w:space="0"/>
              <w:right w:val="single" w:color="auto" w:sz="4" w:space="0"/>
            </w:tcBorders>
            <w:vAlign w:val="center"/>
          </w:tcPr>
          <w:p>
            <w:pPr>
              <w:widowControl/>
              <w:jc w:val="center"/>
              <w:rPr>
                <w:kern w:val="0"/>
                <w:sz w:val="18"/>
                <w:szCs w:val="18"/>
              </w:rPr>
            </w:pPr>
          </w:p>
        </w:tc>
        <w:tc>
          <w:tcPr>
            <w:tcW w:w="639" w:type="dxa"/>
            <w:vMerge w:val="continue"/>
            <w:tcBorders>
              <w:left w:val="single" w:color="auto" w:sz="4" w:space="0"/>
              <w:right w:val="single" w:color="auto" w:sz="4" w:space="0"/>
            </w:tcBorders>
            <w:vAlign w:val="center"/>
          </w:tcPr>
          <w:p>
            <w:pPr>
              <w:widowControl/>
              <w:jc w:val="center"/>
              <w:rPr>
                <w:kern w:val="0"/>
                <w:sz w:val="18"/>
                <w:szCs w:val="18"/>
              </w:rPr>
            </w:pPr>
          </w:p>
        </w:tc>
        <w:tc>
          <w:tcPr>
            <w:tcW w:w="396" w:type="dxa"/>
            <w:vMerge w:val="continue"/>
            <w:tcBorders>
              <w:left w:val="single" w:color="auto" w:sz="4" w:space="0"/>
              <w:right w:val="single" w:color="auto" w:sz="4" w:space="0"/>
            </w:tcBorders>
            <w:vAlign w:val="center"/>
          </w:tcPr>
          <w:p>
            <w:pPr>
              <w:widowControl/>
              <w:jc w:val="center"/>
              <w:rPr>
                <w:kern w:val="0"/>
                <w:sz w:val="18"/>
                <w:szCs w:val="18"/>
              </w:rPr>
            </w:pPr>
          </w:p>
        </w:tc>
        <w:tc>
          <w:tcPr>
            <w:tcW w:w="756" w:type="dxa"/>
            <w:gridSpan w:val="3"/>
            <w:vMerge w:val="continue"/>
            <w:tcBorders>
              <w:left w:val="single" w:color="auto" w:sz="4" w:space="0"/>
              <w:right w:val="single" w:color="auto" w:sz="4" w:space="0"/>
            </w:tcBorders>
            <w:vAlign w:val="center"/>
          </w:tcPr>
          <w:p>
            <w:pPr>
              <w:widowControl/>
              <w:jc w:val="center"/>
              <w:rPr>
                <w:kern w:val="0"/>
                <w:sz w:val="18"/>
                <w:szCs w:val="18"/>
              </w:rPr>
            </w:pPr>
          </w:p>
        </w:tc>
        <w:tc>
          <w:tcPr>
            <w:tcW w:w="413" w:type="dxa"/>
            <w:gridSpan w:val="2"/>
            <w:vMerge w:val="continue"/>
            <w:tcBorders>
              <w:left w:val="single" w:color="auto" w:sz="4" w:space="0"/>
              <w:right w:val="single" w:color="auto" w:sz="4" w:space="0"/>
            </w:tcBorders>
            <w:vAlign w:val="center"/>
          </w:tcPr>
          <w:p>
            <w:pPr>
              <w:widowControl/>
              <w:jc w:val="center"/>
              <w:rPr>
                <w:kern w:val="0"/>
                <w:sz w:val="18"/>
                <w:szCs w:val="18"/>
              </w:rPr>
            </w:pPr>
          </w:p>
        </w:tc>
        <w:tc>
          <w:tcPr>
            <w:tcW w:w="756" w:type="dxa"/>
            <w:vMerge w:val="continue"/>
            <w:tcBorders>
              <w:left w:val="single" w:color="auto" w:sz="4" w:space="0"/>
              <w:right w:val="single" w:color="auto" w:sz="4" w:space="0"/>
            </w:tcBorders>
            <w:vAlign w:val="center"/>
          </w:tcPr>
          <w:p>
            <w:pPr>
              <w:widowControl/>
              <w:jc w:val="center"/>
              <w:rPr>
                <w:kern w:val="0"/>
                <w:sz w:val="18"/>
                <w:szCs w:val="18"/>
              </w:rPr>
            </w:pPr>
          </w:p>
        </w:tc>
        <w:tc>
          <w:tcPr>
            <w:tcW w:w="576" w:type="dxa"/>
            <w:vMerge w:val="continue"/>
            <w:tcBorders>
              <w:left w:val="single" w:color="auto" w:sz="4" w:space="0"/>
              <w:right w:val="single" w:color="auto" w:sz="4" w:space="0"/>
            </w:tcBorders>
            <w:vAlign w:val="center"/>
          </w:tcPr>
          <w:p>
            <w:pPr>
              <w:widowControl/>
              <w:jc w:val="center"/>
              <w:rPr>
                <w:kern w:val="0"/>
                <w:sz w:val="18"/>
                <w:szCs w:val="18"/>
              </w:rPr>
            </w:pPr>
          </w:p>
        </w:tc>
        <w:tc>
          <w:tcPr>
            <w:tcW w:w="615" w:type="dxa"/>
            <w:gridSpan w:val="2"/>
            <w:vMerge w:val="continue"/>
            <w:tcBorders>
              <w:left w:val="single" w:color="auto" w:sz="4" w:space="0"/>
              <w:right w:val="single" w:color="auto" w:sz="4" w:space="0"/>
            </w:tcBorders>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gridAfter w:val="1"/>
          <w:wAfter w:w="436" w:type="dxa"/>
          <w:trHeight w:val="189" w:hRule="atLeast"/>
          <w:jc w:val="center"/>
        </w:trPr>
        <w:tc>
          <w:tcPr>
            <w:tcW w:w="51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left w:val="nil"/>
              <w:right w:val="single" w:color="auto" w:sz="4" w:space="0"/>
            </w:tcBorders>
            <w:shd w:val="clear" w:color="auto" w:fill="auto"/>
            <w:vAlign w:val="center"/>
          </w:tcPr>
          <w:p>
            <w:pPr>
              <w:jc w:val="center"/>
              <w:rPr>
                <w:kern w:val="0"/>
                <w:sz w:val="18"/>
                <w:szCs w:val="18"/>
              </w:rPr>
            </w:pPr>
          </w:p>
        </w:tc>
        <w:tc>
          <w:tcPr>
            <w:tcW w:w="477"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0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4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2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61" w:type="dxa"/>
            <w:gridSpan w:val="2"/>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7"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18"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left w:val="nil"/>
              <w:right w:val="single" w:color="auto" w:sz="4" w:space="0"/>
            </w:tcBorders>
            <w:shd w:val="clear" w:color="auto" w:fill="auto"/>
            <w:vAlign w:val="center"/>
          </w:tcPr>
          <w:p>
            <w:pPr>
              <w:widowControl/>
              <w:jc w:val="center"/>
              <w:rPr>
                <w:kern w:val="0"/>
                <w:sz w:val="18"/>
                <w:szCs w:val="18"/>
              </w:rPr>
            </w:pPr>
          </w:p>
        </w:tc>
        <w:tc>
          <w:tcPr>
            <w:tcW w:w="402"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396"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5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504" w:type="dxa"/>
            <w:vMerge w:val="continue"/>
            <w:tcBorders>
              <w:left w:val="single" w:color="auto" w:sz="4" w:space="0"/>
              <w:right w:val="single" w:color="auto" w:sz="4" w:space="0"/>
            </w:tcBorders>
            <w:vAlign w:val="center"/>
          </w:tcPr>
          <w:p>
            <w:pPr>
              <w:widowControl/>
              <w:jc w:val="center"/>
              <w:rPr>
                <w:kern w:val="0"/>
                <w:sz w:val="18"/>
                <w:szCs w:val="18"/>
              </w:rPr>
            </w:pPr>
          </w:p>
        </w:tc>
        <w:tc>
          <w:tcPr>
            <w:tcW w:w="648" w:type="dxa"/>
            <w:vMerge w:val="continue"/>
            <w:tcBorders>
              <w:left w:val="single" w:color="auto" w:sz="4" w:space="0"/>
              <w:right w:val="single" w:color="auto" w:sz="4" w:space="0"/>
            </w:tcBorders>
            <w:vAlign w:val="center"/>
          </w:tcPr>
          <w:p>
            <w:pPr>
              <w:widowControl/>
              <w:jc w:val="center"/>
              <w:rPr>
                <w:kern w:val="0"/>
                <w:sz w:val="18"/>
                <w:szCs w:val="18"/>
              </w:rPr>
            </w:pPr>
          </w:p>
        </w:tc>
        <w:tc>
          <w:tcPr>
            <w:tcW w:w="639" w:type="dxa"/>
            <w:vMerge w:val="continue"/>
            <w:tcBorders>
              <w:left w:val="single" w:color="auto" w:sz="4" w:space="0"/>
              <w:right w:val="single" w:color="auto" w:sz="4" w:space="0"/>
            </w:tcBorders>
            <w:vAlign w:val="center"/>
          </w:tcPr>
          <w:p>
            <w:pPr>
              <w:widowControl/>
              <w:jc w:val="center"/>
              <w:rPr>
                <w:kern w:val="0"/>
                <w:sz w:val="18"/>
                <w:szCs w:val="18"/>
              </w:rPr>
            </w:pPr>
          </w:p>
        </w:tc>
        <w:tc>
          <w:tcPr>
            <w:tcW w:w="396" w:type="dxa"/>
            <w:vMerge w:val="continue"/>
            <w:tcBorders>
              <w:left w:val="single" w:color="auto" w:sz="4" w:space="0"/>
              <w:right w:val="single" w:color="auto" w:sz="4" w:space="0"/>
            </w:tcBorders>
            <w:vAlign w:val="center"/>
          </w:tcPr>
          <w:p>
            <w:pPr>
              <w:widowControl/>
              <w:jc w:val="center"/>
              <w:rPr>
                <w:kern w:val="0"/>
                <w:sz w:val="18"/>
                <w:szCs w:val="18"/>
              </w:rPr>
            </w:pPr>
          </w:p>
        </w:tc>
        <w:tc>
          <w:tcPr>
            <w:tcW w:w="756" w:type="dxa"/>
            <w:gridSpan w:val="3"/>
            <w:vMerge w:val="continue"/>
            <w:tcBorders>
              <w:left w:val="single" w:color="auto" w:sz="4" w:space="0"/>
              <w:right w:val="single" w:color="auto" w:sz="4" w:space="0"/>
            </w:tcBorders>
            <w:vAlign w:val="center"/>
          </w:tcPr>
          <w:p>
            <w:pPr>
              <w:widowControl/>
              <w:jc w:val="center"/>
              <w:rPr>
                <w:kern w:val="0"/>
                <w:sz w:val="18"/>
                <w:szCs w:val="18"/>
              </w:rPr>
            </w:pPr>
          </w:p>
        </w:tc>
        <w:tc>
          <w:tcPr>
            <w:tcW w:w="413" w:type="dxa"/>
            <w:gridSpan w:val="2"/>
            <w:vMerge w:val="continue"/>
            <w:tcBorders>
              <w:left w:val="single" w:color="auto" w:sz="4" w:space="0"/>
              <w:right w:val="single" w:color="auto" w:sz="4" w:space="0"/>
            </w:tcBorders>
            <w:vAlign w:val="center"/>
          </w:tcPr>
          <w:p>
            <w:pPr>
              <w:widowControl/>
              <w:jc w:val="center"/>
              <w:rPr>
                <w:kern w:val="0"/>
                <w:sz w:val="18"/>
                <w:szCs w:val="18"/>
              </w:rPr>
            </w:pPr>
          </w:p>
        </w:tc>
        <w:tc>
          <w:tcPr>
            <w:tcW w:w="756" w:type="dxa"/>
            <w:vMerge w:val="continue"/>
            <w:tcBorders>
              <w:left w:val="single" w:color="auto" w:sz="4" w:space="0"/>
              <w:right w:val="single" w:color="auto" w:sz="4" w:space="0"/>
            </w:tcBorders>
            <w:vAlign w:val="center"/>
          </w:tcPr>
          <w:p>
            <w:pPr>
              <w:widowControl/>
              <w:jc w:val="center"/>
              <w:rPr>
                <w:kern w:val="0"/>
                <w:sz w:val="18"/>
                <w:szCs w:val="18"/>
              </w:rPr>
            </w:pPr>
          </w:p>
        </w:tc>
        <w:tc>
          <w:tcPr>
            <w:tcW w:w="576" w:type="dxa"/>
            <w:vMerge w:val="continue"/>
            <w:tcBorders>
              <w:left w:val="single" w:color="auto" w:sz="4" w:space="0"/>
              <w:right w:val="single" w:color="auto" w:sz="4" w:space="0"/>
            </w:tcBorders>
            <w:vAlign w:val="center"/>
          </w:tcPr>
          <w:p>
            <w:pPr>
              <w:widowControl/>
              <w:jc w:val="center"/>
              <w:rPr>
                <w:kern w:val="0"/>
                <w:sz w:val="18"/>
                <w:szCs w:val="18"/>
              </w:rPr>
            </w:pPr>
          </w:p>
        </w:tc>
        <w:tc>
          <w:tcPr>
            <w:tcW w:w="615" w:type="dxa"/>
            <w:gridSpan w:val="2"/>
            <w:vMerge w:val="continue"/>
            <w:tcBorders>
              <w:left w:val="single" w:color="auto" w:sz="4" w:space="0"/>
              <w:right w:val="single" w:color="auto" w:sz="4" w:space="0"/>
            </w:tcBorders>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gridAfter w:val="1"/>
          <w:wAfter w:w="436" w:type="dxa"/>
          <w:trHeight w:val="189" w:hRule="atLeast"/>
          <w:jc w:val="center"/>
        </w:trPr>
        <w:tc>
          <w:tcPr>
            <w:tcW w:w="51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left w:val="nil"/>
              <w:right w:val="single" w:color="auto" w:sz="4" w:space="0"/>
            </w:tcBorders>
            <w:shd w:val="clear" w:color="auto" w:fill="auto"/>
            <w:vAlign w:val="center"/>
          </w:tcPr>
          <w:p>
            <w:pPr>
              <w:jc w:val="center"/>
              <w:rPr>
                <w:kern w:val="0"/>
                <w:sz w:val="18"/>
                <w:szCs w:val="18"/>
              </w:rPr>
            </w:pPr>
          </w:p>
        </w:tc>
        <w:tc>
          <w:tcPr>
            <w:tcW w:w="477"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0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4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2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61" w:type="dxa"/>
            <w:gridSpan w:val="2"/>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7"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18"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left w:val="nil"/>
              <w:right w:val="single" w:color="auto" w:sz="4" w:space="0"/>
            </w:tcBorders>
            <w:shd w:val="clear" w:color="auto" w:fill="auto"/>
            <w:vAlign w:val="center"/>
          </w:tcPr>
          <w:p>
            <w:pPr>
              <w:widowControl/>
              <w:jc w:val="center"/>
              <w:rPr>
                <w:kern w:val="0"/>
                <w:sz w:val="18"/>
                <w:szCs w:val="18"/>
              </w:rPr>
            </w:pPr>
          </w:p>
        </w:tc>
        <w:tc>
          <w:tcPr>
            <w:tcW w:w="402"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396"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5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504" w:type="dxa"/>
            <w:vMerge w:val="continue"/>
            <w:tcBorders>
              <w:left w:val="single" w:color="auto" w:sz="4" w:space="0"/>
              <w:right w:val="single" w:color="auto" w:sz="4" w:space="0"/>
            </w:tcBorders>
            <w:vAlign w:val="center"/>
          </w:tcPr>
          <w:p>
            <w:pPr>
              <w:widowControl/>
              <w:jc w:val="center"/>
              <w:rPr>
                <w:kern w:val="0"/>
                <w:sz w:val="18"/>
                <w:szCs w:val="18"/>
              </w:rPr>
            </w:pPr>
          </w:p>
        </w:tc>
        <w:tc>
          <w:tcPr>
            <w:tcW w:w="648" w:type="dxa"/>
            <w:vMerge w:val="continue"/>
            <w:tcBorders>
              <w:left w:val="single" w:color="auto" w:sz="4" w:space="0"/>
              <w:right w:val="single" w:color="auto" w:sz="4" w:space="0"/>
            </w:tcBorders>
            <w:vAlign w:val="center"/>
          </w:tcPr>
          <w:p>
            <w:pPr>
              <w:widowControl/>
              <w:jc w:val="center"/>
              <w:rPr>
                <w:kern w:val="0"/>
                <w:sz w:val="18"/>
                <w:szCs w:val="18"/>
              </w:rPr>
            </w:pPr>
          </w:p>
        </w:tc>
        <w:tc>
          <w:tcPr>
            <w:tcW w:w="639" w:type="dxa"/>
            <w:vMerge w:val="continue"/>
            <w:tcBorders>
              <w:left w:val="single" w:color="auto" w:sz="4" w:space="0"/>
              <w:right w:val="single" w:color="auto" w:sz="4" w:space="0"/>
            </w:tcBorders>
            <w:vAlign w:val="center"/>
          </w:tcPr>
          <w:p>
            <w:pPr>
              <w:widowControl/>
              <w:jc w:val="center"/>
              <w:rPr>
                <w:kern w:val="0"/>
                <w:sz w:val="18"/>
                <w:szCs w:val="18"/>
              </w:rPr>
            </w:pPr>
          </w:p>
        </w:tc>
        <w:tc>
          <w:tcPr>
            <w:tcW w:w="396" w:type="dxa"/>
            <w:vMerge w:val="continue"/>
            <w:tcBorders>
              <w:left w:val="single" w:color="auto" w:sz="4" w:space="0"/>
              <w:right w:val="single" w:color="auto" w:sz="4" w:space="0"/>
            </w:tcBorders>
            <w:vAlign w:val="center"/>
          </w:tcPr>
          <w:p>
            <w:pPr>
              <w:widowControl/>
              <w:jc w:val="center"/>
              <w:rPr>
                <w:kern w:val="0"/>
                <w:sz w:val="18"/>
                <w:szCs w:val="18"/>
              </w:rPr>
            </w:pPr>
          </w:p>
        </w:tc>
        <w:tc>
          <w:tcPr>
            <w:tcW w:w="756" w:type="dxa"/>
            <w:gridSpan w:val="3"/>
            <w:vMerge w:val="continue"/>
            <w:tcBorders>
              <w:left w:val="single" w:color="auto" w:sz="4" w:space="0"/>
              <w:right w:val="single" w:color="auto" w:sz="4" w:space="0"/>
            </w:tcBorders>
            <w:vAlign w:val="center"/>
          </w:tcPr>
          <w:p>
            <w:pPr>
              <w:widowControl/>
              <w:jc w:val="center"/>
              <w:rPr>
                <w:kern w:val="0"/>
                <w:sz w:val="18"/>
                <w:szCs w:val="18"/>
              </w:rPr>
            </w:pPr>
          </w:p>
        </w:tc>
        <w:tc>
          <w:tcPr>
            <w:tcW w:w="413" w:type="dxa"/>
            <w:gridSpan w:val="2"/>
            <w:vMerge w:val="continue"/>
            <w:tcBorders>
              <w:left w:val="single" w:color="auto" w:sz="4" w:space="0"/>
              <w:right w:val="single" w:color="auto" w:sz="4" w:space="0"/>
            </w:tcBorders>
            <w:vAlign w:val="center"/>
          </w:tcPr>
          <w:p>
            <w:pPr>
              <w:widowControl/>
              <w:jc w:val="center"/>
              <w:rPr>
                <w:kern w:val="0"/>
                <w:sz w:val="18"/>
                <w:szCs w:val="18"/>
              </w:rPr>
            </w:pPr>
          </w:p>
        </w:tc>
        <w:tc>
          <w:tcPr>
            <w:tcW w:w="756" w:type="dxa"/>
            <w:vMerge w:val="continue"/>
            <w:tcBorders>
              <w:left w:val="single" w:color="auto" w:sz="4" w:space="0"/>
              <w:right w:val="single" w:color="auto" w:sz="4" w:space="0"/>
            </w:tcBorders>
            <w:vAlign w:val="center"/>
          </w:tcPr>
          <w:p>
            <w:pPr>
              <w:widowControl/>
              <w:jc w:val="center"/>
              <w:rPr>
                <w:kern w:val="0"/>
                <w:sz w:val="18"/>
                <w:szCs w:val="18"/>
              </w:rPr>
            </w:pPr>
          </w:p>
        </w:tc>
        <w:tc>
          <w:tcPr>
            <w:tcW w:w="576" w:type="dxa"/>
            <w:vMerge w:val="continue"/>
            <w:tcBorders>
              <w:left w:val="single" w:color="auto" w:sz="4" w:space="0"/>
              <w:right w:val="single" w:color="auto" w:sz="4" w:space="0"/>
            </w:tcBorders>
            <w:vAlign w:val="center"/>
          </w:tcPr>
          <w:p>
            <w:pPr>
              <w:widowControl/>
              <w:jc w:val="center"/>
              <w:rPr>
                <w:kern w:val="0"/>
                <w:sz w:val="18"/>
                <w:szCs w:val="18"/>
              </w:rPr>
            </w:pPr>
          </w:p>
        </w:tc>
        <w:tc>
          <w:tcPr>
            <w:tcW w:w="615" w:type="dxa"/>
            <w:gridSpan w:val="2"/>
            <w:vMerge w:val="continue"/>
            <w:tcBorders>
              <w:left w:val="single" w:color="auto" w:sz="4" w:space="0"/>
              <w:right w:val="single" w:color="auto" w:sz="4" w:space="0"/>
            </w:tcBorders>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gridAfter w:val="1"/>
          <w:wAfter w:w="436" w:type="dxa"/>
          <w:trHeight w:val="189" w:hRule="atLeast"/>
          <w:jc w:val="center"/>
        </w:trPr>
        <w:tc>
          <w:tcPr>
            <w:tcW w:w="51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7"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0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445"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2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61" w:type="dxa"/>
            <w:gridSpan w:val="2"/>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7"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18"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02"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396" w:type="dxa"/>
            <w:tcBorders>
              <w:top w:val="nil"/>
              <w:left w:val="nil"/>
              <w:bottom w:val="single" w:color="auto" w:sz="4" w:space="0"/>
              <w:right w:val="single" w:color="auto" w:sz="4" w:space="0"/>
            </w:tcBorders>
            <w:shd w:val="clear" w:color="auto" w:fill="auto"/>
            <w:vAlign w:val="center"/>
          </w:tcPr>
          <w:p>
            <w:pPr>
              <w:jc w:val="center"/>
              <w:rPr>
                <w:kern w:val="0"/>
                <w:sz w:val="18"/>
                <w:szCs w:val="18"/>
              </w:rPr>
            </w:pPr>
          </w:p>
        </w:tc>
        <w:tc>
          <w:tcPr>
            <w:tcW w:w="5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504" w:type="dxa"/>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648" w:type="dxa"/>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639" w:type="dxa"/>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396" w:type="dxa"/>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gridSpan w:val="3"/>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413" w:type="dxa"/>
            <w:gridSpan w:val="2"/>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756" w:type="dxa"/>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576" w:type="dxa"/>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615" w:type="dxa"/>
            <w:gridSpan w:val="2"/>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gridAfter w:val="1"/>
          <w:wAfter w:w="436" w:type="dxa"/>
          <w:trHeight w:val="371" w:hRule="atLeast"/>
          <w:jc w:val="center"/>
        </w:trPr>
        <w:tc>
          <w:tcPr>
            <w:tcW w:w="20714" w:type="dxa"/>
            <w:gridSpan w:val="41"/>
            <w:tcBorders>
              <w:top w:val="nil"/>
              <w:left w:val="nil"/>
              <w:bottom w:val="nil"/>
              <w:right w:val="nil"/>
            </w:tcBorders>
            <w:shd w:val="clear" w:color="000000" w:fill="FFFFFF"/>
            <w:vAlign w:val="center"/>
          </w:tcPr>
          <w:p>
            <w:pPr>
              <w:widowControl/>
              <w:jc w:val="center"/>
              <w:rPr>
                <w:kern w:val="0"/>
                <w:sz w:val="18"/>
                <w:szCs w:val="18"/>
              </w:rPr>
            </w:pPr>
            <w:r>
              <w:rPr>
                <w:kern w:val="0"/>
                <w:sz w:val="18"/>
                <w:szCs w:val="18"/>
              </w:rPr>
              <w:t>注：1.  第7列“林种”：用材林、防护林、特种用途林；2、第8列树各组成用十分法表示；3. 第15列“抚育间伐方式”：透光伐、</w:t>
            </w:r>
            <w:r>
              <w:rPr>
                <w:bCs/>
                <w:kern w:val="0"/>
                <w:sz w:val="18"/>
                <w:szCs w:val="18"/>
              </w:rPr>
              <w:t>疏伐、生长伐、</w:t>
            </w:r>
            <w:r>
              <w:rPr>
                <w:kern w:val="0"/>
                <w:sz w:val="18"/>
                <w:szCs w:val="18"/>
              </w:rPr>
              <w:t>卫生伐等；4、表中技术措施设计一栏中可以用文字与数据说明</w:t>
            </w:r>
          </w:p>
        </w:tc>
      </w:tr>
      <w:tr>
        <w:tblPrEx>
          <w:tblLayout w:type="fixed"/>
          <w:tblCellMar>
            <w:top w:w="0" w:type="dxa"/>
            <w:left w:w="108" w:type="dxa"/>
            <w:bottom w:w="0" w:type="dxa"/>
            <w:right w:w="108" w:type="dxa"/>
          </w:tblCellMar>
        </w:tblPrEx>
        <w:trPr>
          <w:trHeight w:val="180" w:hRule="atLeast"/>
          <w:jc w:val="center"/>
        </w:trPr>
        <w:tc>
          <w:tcPr>
            <w:tcW w:w="16563" w:type="dxa"/>
            <w:gridSpan w:val="30"/>
            <w:tcBorders>
              <w:top w:val="nil"/>
              <w:left w:val="nil"/>
              <w:bottom w:val="nil"/>
              <w:right w:val="nil"/>
            </w:tcBorders>
            <w:shd w:val="clear" w:color="auto" w:fill="auto"/>
            <w:vAlign w:val="center"/>
          </w:tcPr>
          <w:p>
            <w:pPr>
              <w:widowControl/>
              <w:jc w:val="center"/>
              <w:rPr>
                <w:kern w:val="0"/>
                <w:sz w:val="18"/>
                <w:szCs w:val="18"/>
              </w:rPr>
            </w:pPr>
            <w:r>
              <w:rPr>
                <w:kern w:val="0"/>
                <w:sz w:val="18"/>
                <w:szCs w:val="18"/>
              </w:rPr>
              <w:t>填表人：                             复核人：                      填表时间：</w:t>
            </w:r>
          </w:p>
        </w:tc>
        <w:tc>
          <w:tcPr>
            <w:tcW w:w="1137" w:type="dxa"/>
            <w:gridSpan w:val="3"/>
            <w:tcBorders>
              <w:top w:val="nil"/>
              <w:left w:val="nil"/>
              <w:bottom w:val="nil"/>
              <w:right w:val="nil"/>
            </w:tcBorders>
            <w:shd w:val="clear" w:color="auto" w:fill="auto"/>
            <w:vAlign w:val="center"/>
          </w:tcPr>
          <w:p>
            <w:pPr>
              <w:widowControl/>
              <w:jc w:val="center"/>
              <w:rPr>
                <w:kern w:val="0"/>
                <w:sz w:val="18"/>
                <w:szCs w:val="18"/>
              </w:rPr>
            </w:pPr>
          </w:p>
        </w:tc>
        <w:tc>
          <w:tcPr>
            <w:tcW w:w="318" w:type="dxa"/>
            <w:tcBorders>
              <w:top w:val="nil"/>
              <w:left w:val="nil"/>
              <w:bottom w:val="nil"/>
              <w:right w:val="nil"/>
            </w:tcBorders>
            <w:shd w:val="clear" w:color="auto" w:fill="auto"/>
            <w:vAlign w:val="center"/>
          </w:tcPr>
          <w:p>
            <w:pPr>
              <w:widowControl/>
              <w:jc w:val="center"/>
              <w:rPr>
                <w:kern w:val="0"/>
                <w:sz w:val="18"/>
                <w:szCs w:val="18"/>
              </w:rPr>
            </w:pPr>
          </w:p>
        </w:tc>
        <w:tc>
          <w:tcPr>
            <w:tcW w:w="703" w:type="dxa"/>
            <w:gridSpan w:val="2"/>
            <w:tcBorders>
              <w:top w:val="nil"/>
              <w:left w:val="nil"/>
              <w:bottom w:val="nil"/>
              <w:right w:val="nil"/>
            </w:tcBorders>
            <w:shd w:val="clear" w:color="auto" w:fill="auto"/>
            <w:vAlign w:val="center"/>
          </w:tcPr>
          <w:p>
            <w:pPr>
              <w:widowControl/>
              <w:jc w:val="center"/>
              <w:rPr>
                <w:kern w:val="0"/>
                <w:sz w:val="18"/>
                <w:szCs w:val="18"/>
              </w:rPr>
            </w:pPr>
          </w:p>
        </w:tc>
        <w:tc>
          <w:tcPr>
            <w:tcW w:w="1575" w:type="dxa"/>
            <w:gridSpan w:val="4"/>
            <w:tcBorders>
              <w:top w:val="nil"/>
              <w:left w:val="nil"/>
              <w:bottom w:val="nil"/>
              <w:right w:val="nil"/>
            </w:tcBorders>
            <w:shd w:val="clear" w:color="auto" w:fill="auto"/>
            <w:vAlign w:val="center"/>
          </w:tcPr>
          <w:p>
            <w:pPr>
              <w:widowControl/>
              <w:jc w:val="center"/>
              <w:rPr>
                <w:kern w:val="0"/>
                <w:sz w:val="18"/>
                <w:szCs w:val="18"/>
              </w:rPr>
            </w:pPr>
          </w:p>
        </w:tc>
        <w:tc>
          <w:tcPr>
            <w:tcW w:w="854" w:type="dxa"/>
            <w:gridSpan w:val="2"/>
            <w:tcBorders>
              <w:top w:val="nil"/>
              <w:left w:val="nil"/>
              <w:bottom w:val="nil"/>
              <w:right w:val="nil"/>
            </w:tcBorders>
            <w:shd w:val="clear" w:color="auto" w:fill="auto"/>
            <w:vAlign w:val="center"/>
          </w:tcPr>
          <w:p>
            <w:pPr>
              <w:widowControl/>
              <w:jc w:val="center"/>
              <w:rPr>
                <w:kern w:val="0"/>
                <w:sz w:val="18"/>
                <w:szCs w:val="18"/>
              </w:rPr>
            </w:pPr>
          </w:p>
        </w:tc>
      </w:tr>
    </w:tbl>
    <w:p>
      <w:pPr>
        <w:ind w:firstLine="560" w:firstLineChars="200"/>
        <w:jc w:val="center"/>
        <w:rPr>
          <w:rFonts w:eastAsia="仿宋"/>
          <w:sz w:val="28"/>
          <w:szCs w:val="28"/>
        </w:rPr>
      </w:pPr>
    </w:p>
    <w:p>
      <w:pPr>
        <w:ind w:firstLine="560" w:firstLineChars="200"/>
        <w:rPr>
          <w:rFonts w:eastAsia="仿宋"/>
          <w:sz w:val="28"/>
          <w:szCs w:val="28"/>
        </w:rPr>
      </w:pPr>
    </w:p>
    <w:p>
      <w:pPr>
        <w:ind w:firstLine="560" w:firstLineChars="200"/>
        <w:rPr>
          <w:rFonts w:eastAsia="仿宋"/>
          <w:sz w:val="28"/>
          <w:szCs w:val="28"/>
        </w:rPr>
      </w:pPr>
    </w:p>
    <w:p>
      <w:pPr>
        <w:ind w:firstLine="560" w:firstLineChars="200"/>
        <w:rPr>
          <w:rFonts w:eastAsia="仿宋"/>
          <w:sz w:val="28"/>
          <w:szCs w:val="28"/>
        </w:rPr>
      </w:pPr>
    </w:p>
    <w:p>
      <w:pPr>
        <w:ind w:firstLine="560" w:firstLineChars="200"/>
        <w:rPr>
          <w:rFonts w:eastAsia="仿宋"/>
          <w:sz w:val="28"/>
          <w:szCs w:val="28"/>
        </w:rPr>
      </w:pPr>
    </w:p>
    <w:p>
      <w:pPr>
        <w:ind w:firstLine="560" w:firstLineChars="200"/>
        <w:rPr>
          <w:rFonts w:eastAsia="仿宋"/>
          <w:sz w:val="28"/>
          <w:szCs w:val="28"/>
        </w:rPr>
      </w:pPr>
    </w:p>
    <w:p>
      <w:pPr>
        <w:ind w:firstLine="560" w:firstLineChars="200"/>
        <w:rPr>
          <w:rFonts w:eastAsia="仿宋"/>
          <w:sz w:val="28"/>
          <w:szCs w:val="28"/>
        </w:rPr>
      </w:pPr>
    </w:p>
    <w:p>
      <w:pPr>
        <w:ind w:firstLine="560" w:firstLineChars="200"/>
        <w:rPr>
          <w:rFonts w:eastAsia="仿宋"/>
          <w:sz w:val="28"/>
          <w:szCs w:val="28"/>
        </w:rPr>
      </w:pPr>
    </w:p>
    <w:p>
      <w:pPr>
        <w:rPr>
          <w:rFonts w:eastAsia="仿宋"/>
          <w:sz w:val="28"/>
          <w:szCs w:val="28"/>
        </w:rPr>
        <w:sectPr>
          <w:pgSz w:w="23814" w:h="16839" w:orient="landscape"/>
          <w:pgMar w:top="1800" w:right="1440" w:bottom="1800" w:left="1440" w:header="851" w:footer="992" w:gutter="0"/>
          <w:cols w:space="425" w:num="1"/>
          <w:docGrid w:type="lines" w:linePitch="312" w:charSpace="0"/>
        </w:sectPr>
      </w:pPr>
    </w:p>
    <w:tbl>
      <w:tblPr>
        <w:tblStyle w:val="18"/>
        <w:tblW w:w="14175" w:type="dxa"/>
        <w:jc w:val="center"/>
        <w:tblInd w:w="0" w:type="dxa"/>
        <w:tblLayout w:type="fixed"/>
        <w:tblCellMar>
          <w:top w:w="0" w:type="dxa"/>
          <w:left w:w="108" w:type="dxa"/>
          <w:bottom w:w="0" w:type="dxa"/>
          <w:right w:w="108" w:type="dxa"/>
        </w:tblCellMar>
      </w:tblPr>
      <w:tblGrid>
        <w:gridCol w:w="467"/>
        <w:gridCol w:w="467"/>
        <w:gridCol w:w="470"/>
        <w:gridCol w:w="467"/>
        <w:gridCol w:w="472"/>
        <w:gridCol w:w="467"/>
        <w:gridCol w:w="472"/>
        <w:gridCol w:w="467"/>
        <w:gridCol w:w="473"/>
        <w:gridCol w:w="471"/>
        <w:gridCol w:w="473"/>
        <w:gridCol w:w="471"/>
        <w:gridCol w:w="473"/>
        <w:gridCol w:w="471"/>
        <w:gridCol w:w="473"/>
        <w:gridCol w:w="471"/>
        <w:gridCol w:w="473"/>
        <w:gridCol w:w="471"/>
        <w:gridCol w:w="473"/>
        <w:gridCol w:w="471"/>
        <w:gridCol w:w="473"/>
        <w:gridCol w:w="471"/>
        <w:gridCol w:w="473"/>
        <w:gridCol w:w="471"/>
        <w:gridCol w:w="473"/>
        <w:gridCol w:w="383"/>
        <w:gridCol w:w="82"/>
        <w:gridCol w:w="612"/>
        <w:gridCol w:w="748"/>
        <w:gridCol w:w="576"/>
      </w:tblGrid>
      <w:tr>
        <w:tblPrEx>
          <w:tblLayout w:type="fixed"/>
          <w:tblCellMar>
            <w:top w:w="0" w:type="dxa"/>
            <w:left w:w="108" w:type="dxa"/>
            <w:bottom w:w="0" w:type="dxa"/>
            <w:right w:w="108" w:type="dxa"/>
          </w:tblCellMar>
        </w:tblPrEx>
        <w:trPr>
          <w:gridAfter w:val="4"/>
          <w:wAfter w:w="2018" w:type="dxa"/>
          <w:trHeight w:val="270" w:hRule="atLeast"/>
          <w:jc w:val="center"/>
        </w:trPr>
        <w:tc>
          <w:tcPr>
            <w:tcW w:w="12157" w:type="dxa"/>
            <w:gridSpan w:val="26"/>
            <w:tcBorders>
              <w:top w:val="nil"/>
              <w:left w:val="nil"/>
              <w:bottom w:val="nil"/>
              <w:right w:val="nil"/>
            </w:tcBorders>
            <w:shd w:val="clear" w:color="auto" w:fill="auto"/>
            <w:vAlign w:val="center"/>
          </w:tcPr>
          <w:p>
            <w:pPr>
              <w:widowControl/>
              <w:jc w:val="left"/>
              <w:rPr>
                <w:kern w:val="0"/>
                <w:sz w:val="18"/>
                <w:szCs w:val="18"/>
              </w:rPr>
            </w:pPr>
          </w:p>
        </w:tc>
      </w:tr>
      <w:tr>
        <w:tblPrEx>
          <w:tblLayout w:type="fixed"/>
          <w:tblCellMar>
            <w:top w:w="0" w:type="dxa"/>
            <w:left w:w="108" w:type="dxa"/>
            <w:bottom w:w="0" w:type="dxa"/>
            <w:right w:w="108" w:type="dxa"/>
          </w:tblCellMar>
        </w:tblPrEx>
        <w:trPr>
          <w:gridAfter w:val="4"/>
          <w:wAfter w:w="2018" w:type="dxa"/>
          <w:trHeight w:val="270" w:hRule="atLeast"/>
          <w:jc w:val="center"/>
        </w:trPr>
        <w:tc>
          <w:tcPr>
            <w:tcW w:w="12157" w:type="dxa"/>
            <w:gridSpan w:val="26"/>
            <w:tcBorders>
              <w:top w:val="nil"/>
              <w:left w:val="nil"/>
              <w:bottom w:val="nil"/>
              <w:right w:val="nil"/>
            </w:tcBorders>
            <w:shd w:val="clear" w:color="auto" w:fill="auto"/>
            <w:vAlign w:val="center"/>
          </w:tcPr>
          <w:p>
            <w:pPr>
              <w:widowControl/>
              <w:jc w:val="center"/>
              <w:rPr>
                <w:rFonts w:eastAsia="黑体"/>
                <w:kern w:val="0"/>
                <w:szCs w:val="24"/>
              </w:rPr>
            </w:pPr>
            <w:r>
              <w:rPr>
                <w:rFonts w:eastAsia="黑体"/>
                <w:kern w:val="0"/>
                <w:szCs w:val="24"/>
              </w:rPr>
              <w:t xml:space="preserve">            XX县XX林场XX年度森林质量精准提升工程作业设计内容统计表</w:t>
            </w:r>
          </w:p>
        </w:tc>
      </w:tr>
      <w:tr>
        <w:tblPrEx>
          <w:tblLayout w:type="fixed"/>
          <w:tblCellMar>
            <w:top w:w="0" w:type="dxa"/>
            <w:left w:w="108" w:type="dxa"/>
            <w:bottom w:w="0" w:type="dxa"/>
            <w:right w:w="108" w:type="dxa"/>
          </w:tblCellMar>
        </w:tblPrEx>
        <w:trPr>
          <w:trHeight w:val="398" w:hRule="atLeast"/>
          <w:jc w:val="center"/>
        </w:trPr>
        <w:tc>
          <w:tcPr>
            <w:tcW w:w="11774" w:type="dxa"/>
            <w:gridSpan w:val="25"/>
            <w:tcBorders>
              <w:top w:val="nil"/>
              <w:left w:val="nil"/>
              <w:bottom w:val="single" w:color="auto" w:sz="4" w:space="0"/>
              <w:right w:val="nil"/>
            </w:tcBorders>
            <w:shd w:val="clear" w:color="auto" w:fill="auto"/>
            <w:vAlign w:val="center"/>
          </w:tcPr>
          <w:p>
            <w:pPr>
              <w:widowControl/>
              <w:jc w:val="left"/>
              <w:rPr>
                <w:kern w:val="0"/>
                <w:sz w:val="18"/>
                <w:szCs w:val="18"/>
              </w:rPr>
            </w:pPr>
            <w:r>
              <w:rPr>
                <w:kern w:val="0"/>
                <w:sz w:val="18"/>
                <w:szCs w:val="18"/>
              </w:rPr>
              <w:t>附表2</w:t>
            </w:r>
          </w:p>
        </w:tc>
        <w:tc>
          <w:tcPr>
            <w:tcW w:w="465" w:type="dxa"/>
            <w:gridSpan w:val="2"/>
            <w:tcBorders>
              <w:top w:val="nil"/>
              <w:left w:val="nil"/>
              <w:bottom w:val="nil"/>
              <w:right w:val="nil"/>
            </w:tcBorders>
            <w:shd w:val="clear" w:color="auto" w:fill="auto"/>
            <w:vAlign w:val="center"/>
          </w:tcPr>
          <w:p>
            <w:pPr>
              <w:widowControl/>
              <w:jc w:val="center"/>
              <w:rPr>
                <w:kern w:val="0"/>
                <w:sz w:val="18"/>
                <w:szCs w:val="18"/>
              </w:rPr>
            </w:pPr>
          </w:p>
        </w:tc>
        <w:tc>
          <w:tcPr>
            <w:tcW w:w="612" w:type="dxa"/>
            <w:tcBorders>
              <w:top w:val="nil"/>
              <w:left w:val="nil"/>
              <w:bottom w:val="nil"/>
              <w:right w:val="nil"/>
            </w:tcBorders>
            <w:shd w:val="clear" w:color="auto" w:fill="auto"/>
            <w:vAlign w:val="center"/>
          </w:tcPr>
          <w:p>
            <w:pPr>
              <w:widowControl/>
              <w:jc w:val="center"/>
              <w:rPr>
                <w:kern w:val="0"/>
                <w:sz w:val="18"/>
                <w:szCs w:val="18"/>
              </w:rPr>
            </w:pPr>
          </w:p>
        </w:tc>
        <w:tc>
          <w:tcPr>
            <w:tcW w:w="748" w:type="dxa"/>
            <w:tcBorders>
              <w:top w:val="nil"/>
              <w:left w:val="nil"/>
              <w:bottom w:val="nil"/>
              <w:right w:val="nil"/>
            </w:tcBorders>
            <w:shd w:val="clear" w:color="auto" w:fill="auto"/>
            <w:vAlign w:val="center"/>
          </w:tcPr>
          <w:p>
            <w:pPr>
              <w:widowControl/>
              <w:jc w:val="center"/>
              <w:rPr>
                <w:kern w:val="0"/>
                <w:sz w:val="18"/>
                <w:szCs w:val="18"/>
              </w:rPr>
            </w:pPr>
          </w:p>
        </w:tc>
        <w:tc>
          <w:tcPr>
            <w:tcW w:w="576" w:type="dxa"/>
            <w:tcBorders>
              <w:top w:val="nil"/>
              <w:left w:val="nil"/>
              <w:bottom w:val="nil"/>
              <w:right w:val="nil"/>
            </w:tcBorders>
            <w:shd w:val="clear" w:color="auto" w:fill="auto"/>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trHeight w:val="592" w:hRule="atLeast"/>
          <w:jc w:val="center"/>
        </w:trPr>
        <w:tc>
          <w:tcPr>
            <w:tcW w:w="46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林班或工区</w:t>
            </w:r>
          </w:p>
        </w:tc>
        <w:tc>
          <w:tcPr>
            <w:tcW w:w="2815"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按目标树种统计（个、公顷）</w:t>
            </w:r>
          </w:p>
        </w:tc>
        <w:tc>
          <w:tcPr>
            <w:tcW w:w="3772"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按林种统计（个、公顷）</w:t>
            </w:r>
          </w:p>
        </w:tc>
        <w:tc>
          <w:tcPr>
            <w:tcW w:w="4720" w:type="dxa"/>
            <w:gridSpan w:val="10"/>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按抚育间伐方式统计（个、公顷）</w:t>
            </w:r>
          </w:p>
        </w:tc>
        <w:tc>
          <w:tcPr>
            <w:tcW w:w="107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间伐蓄积与出材量（立方米）</w:t>
            </w:r>
          </w:p>
        </w:tc>
        <w:tc>
          <w:tcPr>
            <w:tcW w:w="132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辅助设施</w:t>
            </w:r>
          </w:p>
        </w:tc>
      </w:tr>
      <w:tr>
        <w:tblPrEx>
          <w:tblLayout w:type="fixed"/>
          <w:tblCellMar>
            <w:top w:w="0" w:type="dxa"/>
            <w:left w:w="108" w:type="dxa"/>
            <w:bottom w:w="0" w:type="dxa"/>
            <w:right w:w="108" w:type="dxa"/>
          </w:tblCellMar>
        </w:tblPrEx>
        <w:trPr>
          <w:trHeight w:val="583" w:hRule="atLeast"/>
          <w:jc w:val="center"/>
        </w:trPr>
        <w:tc>
          <w:tcPr>
            <w:tcW w:w="467"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93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小计</w:t>
            </w:r>
          </w:p>
        </w:tc>
        <w:tc>
          <w:tcPr>
            <w:tcW w:w="93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树种1</w:t>
            </w:r>
          </w:p>
        </w:tc>
        <w:tc>
          <w:tcPr>
            <w:tcW w:w="939" w:type="dxa"/>
            <w:gridSpan w:val="2"/>
            <w:tcBorders>
              <w:top w:val="single" w:color="auto" w:sz="4" w:space="0"/>
              <w:left w:val="nil"/>
              <w:bottom w:val="single" w:color="auto" w:sz="4" w:space="0"/>
              <w:right w:val="single" w:color="auto" w:sz="4" w:space="0"/>
            </w:tcBorders>
            <w:shd w:val="clear" w:color="auto" w:fill="auto"/>
            <w:vAlign w:val="center"/>
          </w:tcPr>
          <w:p>
            <w:pPr>
              <w:widowControl/>
              <w:rPr>
                <w:kern w:val="0"/>
                <w:sz w:val="18"/>
                <w:szCs w:val="18"/>
              </w:rPr>
            </w:pPr>
            <w:r>
              <w:rPr>
                <w:kern w:val="0"/>
                <w:sz w:val="18"/>
                <w:szCs w:val="18"/>
              </w:rPr>
              <w:t>树种2</w:t>
            </w:r>
          </w:p>
        </w:tc>
        <w:tc>
          <w:tcPr>
            <w:tcW w:w="9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小计</w:t>
            </w:r>
          </w:p>
        </w:tc>
        <w:tc>
          <w:tcPr>
            <w:tcW w:w="9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用材林</w:t>
            </w:r>
          </w:p>
        </w:tc>
        <w:tc>
          <w:tcPr>
            <w:tcW w:w="9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防护林</w:t>
            </w:r>
          </w:p>
        </w:tc>
        <w:tc>
          <w:tcPr>
            <w:tcW w:w="9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特种用途林</w:t>
            </w:r>
          </w:p>
        </w:tc>
        <w:tc>
          <w:tcPr>
            <w:tcW w:w="9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小计</w:t>
            </w:r>
          </w:p>
        </w:tc>
        <w:tc>
          <w:tcPr>
            <w:tcW w:w="9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透光伐</w:t>
            </w:r>
          </w:p>
        </w:tc>
        <w:tc>
          <w:tcPr>
            <w:tcW w:w="9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疏伐</w:t>
            </w:r>
          </w:p>
        </w:tc>
        <w:tc>
          <w:tcPr>
            <w:tcW w:w="9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生长伐</w:t>
            </w:r>
          </w:p>
        </w:tc>
        <w:tc>
          <w:tcPr>
            <w:tcW w:w="9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w:t>
            </w:r>
          </w:p>
        </w:tc>
        <w:tc>
          <w:tcPr>
            <w:tcW w:w="465"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间伐蓄积量</w:t>
            </w:r>
          </w:p>
        </w:tc>
        <w:tc>
          <w:tcPr>
            <w:tcW w:w="6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间伐出材量</w:t>
            </w:r>
          </w:p>
        </w:tc>
        <w:tc>
          <w:tcPr>
            <w:tcW w:w="74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作业道（千米）</w:t>
            </w:r>
          </w:p>
        </w:tc>
        <w:tc>
          <w:tcPr>
            <w:tcW w:w="5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w:t>
            </w:r>
          </w:p>
        </w:tc>
      </w:tr>
      <w:tr>
        <w:tblPrEx>
          <w:tblLayout w:type="fixed"/>
          <w:tblCellMar>
            <w:top w:w="0" w:type="dxa"/>
            <w:left w:w="108" w:type="dxa"/>
            <w:bottom w:w="0" w:type="dxa"/>
            <w:right w:w="108" w:type="dxa"/>
          </w:tblCellMar>
        </w:tblPrEx>
        <w:trPr>
          <w:trHeight w:val="696" w:hRule="atLeast"/>
          <w:jc w:val="center"/>
        </w:trPr>
        <w:tc>
          <w:tcPr>
            <w:tcW w:w="467"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小班</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面积</w:t>
            </w:r>
          </w:p>
        </w:tc>
        <w:tc>
          <w:tcPr>
            <w:tcW w:w="465" w:type="dxa"/>
            <w:gridSpan w:val="2"/>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612"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74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76"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r>
      <w:tr>
        <w:tblPrEx>
          <w:tblLayout w:type="fixed"/>
          <w:tblCellMar>
            <w:top w:w="0" w:type="dxa"/>
            <w:left w:w="108" w:type="dxa"/>
            <w:bottom w:w="0" w:type="dxa"/>
            <w:right w:w="108" w:type="dxa"/>
          </w:tblCellMar>
        </w:tblPrEx>
        <w:trPr>
          <w:trHeight w:val="341" w:hRule="atLeast"/>
          <w:jc w:val="center"/>
        </w:trPr>
        <w:tc>
          <w:tcPr>
            <w:tcW w:w="46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w:t>
            </w:r>
          </w:p>
        </w:tc>
        <w:tc>
          <w:tcPr>
            <w:tcW w:w="47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4</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5</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6</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7</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9</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10</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11</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12</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13</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14</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15</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16</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17</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18</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19</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21</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22</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23</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24</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25</w:t>
            </w:r>
          </w:p>
        </w:tc>
        <w:tc>
          <w:tcPr>
            <w:tcW w:w="465"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26</w:t>
            </w:r>
          </w:p>
        </w:tc>
        <w:tc>
          <w:tcPr>
            <w:tcW w:w="6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27</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28</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29</w:t>
            </w:r>
          </w:p>
        </w:tc>
      </w:tr>
      <w:tr>
        <w:tblPrEx>
          <w:tblLayout w:type="fixed"/>
          <w:tblCellMar>
            <w:top w:w="0" w:type="dxa"/>
            <w:left w:w="108" w:type="dxa"/>
            <w:bottom w:w="0" w:type="dxa"/>
            <w:right w:w="108" w:type="dxa"/>
          </w:tblCellMar>
        </w:tblPrEx>
        <w:trPr>
          <w:trHeight w:val="526" w:hRule="atLeast"/>
          <w:jc w:val="center"/>
        </w:trPr>
        <w:tc>
          <w:tcPr>
            <w:tcW w:w="46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5"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6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26" w:hRule="atLeast"/>
          <w:jc w:val="center"/>
        </w:trPr>
        <w:tc>
          <w:tcPr>
            <w:tcW w:w="46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5"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6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26" w:hRule="atLeast"/>
          <w:jc w:val="center"/>
        </w:trPr>
        <w:tc>
          <w:tcPr>
            <w:tcW w:w="46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5"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6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26" w:hRule="atLeast"/>
          <w:jc w:val="center"/>
        </w:trPr>
        <w:tc>
          <w:tcPr>
            <w:tcW w:w="46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65"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6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trHeight w:val="526" w:hRule="atLeast"/>
          <w:jc w:val="center"/>
        </w:trPr>
        <w:tc>
          <w:tcPr>
            <w:tcW w:w="46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65"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6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26" w:hRule="atLeast"/>
          <w:jc w:val="center"/>
        </w:trPr>
        <w:tc>
          <w:tcPr>
            <w:tcW w:w="467"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1"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73"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65"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6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57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trHeight w:val="313" w:hRule="atLeast"/>
          <w:jc w:val="center"/>
        </w:trPr>
        <w:tc>
          <w:tcPr>
            <w:tcW w:w="14175" w:type="dxa"/>
            <w:gridSpan w:val="30"/>
            <w:tcBorders>
              <w:top w:val="single" w:color="auto" w:sz="4" w:space="0"/>
              <w:left w:val="nil"/>
              <w:bottom w:val="nil"/>
              <w:right w:val="nil"/>
            </w:tcBorders>
            <w:shd w:val="clear" w:color="auto" w:fill="auto"/>
            <w:vAlign w:val="center"/>
          </w:tcPr>
          <w:p>
            <w:pPr>
              <w:widowControl/>
              <w:jc w:val="center"/>
              <w:rPr>
                <w:kern w:val="0"/>
                <w:sz w:val="18"/>
                <w:szCs w:val="18"/>
              </w:rPr>
            </w:pPr>
            <w:r>
              <w:rPr>
                <w:kern w:val="0"/>
                <w:sz w:val="18"/>
                <w:szCs w:val="18"/>
              </w:rPr>
              <w:t>填表人：                复核人：               填表时间：</w:t>
            </w:r>
          </w:p>
        </w:tc>
      </w:tr>
    </w:tbl>
    <w:p>
      <w:pPr>
        <w:ind w:firstLine="360" w:firstLineChars="200"/>
        <w:rPr>
          <w:rFonts w:eastAsia="仿宋"/>
          <w:sz w:val="18"/>
          <w:szCs w:val="18"/>
        </w:rPr>
      </w:pPr>
    </w:p>
    <w:p>
      <w:pPr>
        <w:ind w:firstLine="360" w:firstLineChars="200"/>
        <w:rPr>
          <w:rFonts w:eastAsia="仿宋"/>
          <w:sz w:val="18"/>
          <w:szCs w:val="18"/>
        </w:rPr>
      </w:pPr>
    </w:p>
    <w:tbl>
      <w:tblPr>
        <w:tblStyle w:val="18"/>
        <w:tblW w:w="14175" w:type="dxa"/>
        <w:jc w:val="center"/>
        <w:tblInd w:w="0" w:type="dxa"/>
        <w:tblLayout w:type="fixed"/>
        <w:tblCellMar>
          <w:top w:w="0" w:type="dxa"/>
          <w:left w:w="108" w:type="dxa"/>
          <w:bottom w:w="0" w:type="dxa"/>
          <w:right w:w="108" w:type="dxa"/>
        </w:tblCellMar>
      </w:tblPr>
      <w:tblGrid>
        <w:gridCol w:w="1536"/>
        <w:gridCol w:w="496"/>
        <w:gridCol w:w="1015"/>
        <w:gridCol w:w="1018"/>
        <w:gridCol w:w="496"/>
        <w:gridCol w:w="1015"/>
        <w:gridCol w:w="1018"/>
        <w:gridCol w:w="496"/>
        <w:gridCol w:w="1015"/>
        <w:gridCol w:w="1018"/>
        <w:gridCol w:w="496"/>
        <w:gridCol w:w="1015"/>
        <w:gridCol w:w="1018"/>
        <w:gridCol w:w="496"/>
        <w:gridCol w:w="1015"/>
        <w:gridCol w:w="1012"/>
      </w:tblGrid>
      <w:tr>
        <w:tblPrEx>
          <w:tblLayout w:type="fixed"/>
          <w:tblCellMar>
            <w:top w:w="0" w:type="dxa"/>
            <w:left w:w="108" w:type="dxa"/>
            <w:bottom w:w="0" w:type="dxa"/>
            <w:right w:w="108" w:type="dxa"/>
          </w:tblCellMar>
        </w:tblPrEx>
        <w:trPr>
          <w:trHeight w:val="405" w:hRule="atLeast"/>
          <w:jc w:val="center"/>
        </w:trPr>
        <w:tc>
          <w:tcPr>
            <w:tcW w:w="14175" w:type="dxa"/>
            <w:gridSpan w:val="16"/>
            <w:tcBorders>
              <w:top w:val="nil"/>
              <w:left w:val="nil"/>
              <w:bottom w:val="nil"/>
              <w:right w:val="nil"/>
            </w:tcBorders>
            <w:shd w:val="clear" w:color="auto" w:fill="auto"/>
            <w:vAlign w:val="center"/>
          </w:tcPr>
          <w:p>
            <w:pPr>
              <w:widowControl/>
              <w:jc w:val="center"/>
              <w:rPr>
                <w:rFonts w:eastAsia="黑体"/>
                <w:kern w:val="0"/>
                <w:szCs w:val="24"/>
              </w:rPr>
            </w:pPr>
            <w:r>
              <w:rPr>
                <w:rFonts w:eastAsia="黑体"/>
                <w:kern w:val="0"/>
                <w:szCs w:val="24"/>
              </w:rPr>
              <w:t>XX县XX林场（乡镇）XX年度森林质量精准提升工程作业设计需苗量统计表</w:t>
            </w:r>
          </w:p>
        </w:tc>
      </w:tr>
      <w:tr>
        <w:tblPrEx>
          <w:tblLayout w:type="fixed"/>
          <w:tblCellMar>
            <w:top w:w="0" w:type="dxa"/>
            <w:left w:w="108" w:type="dxa"/>
            <w:bottom w:w="0" w:type="dxa"/>
            <w:right w:w="108" w:type="dxa"/>
          </w:tblCellMar>
        </w:tblPrEx>
        <w:trPr>
          <w:trHeight w:val="435" w:hRule="atLeast"/>
          <w:jc w:val="center"/>
        </w:trPr>
        <w:tc>
          <w:tcPr>
            <w:tcW w:w="12148" w:type="dxa"/>
            <w:gridSpan w:val="14"/>
            <w:tcBorders>
              <w:top w:val="nil"/>
              <w:left w:val="nil"/>
              <w:bottom w:val="single" w:color="auto" w:sz="4" w:space="0"/>
              <w:right w:val="nil"/>
            </w:tcBorders>
            <w:shd w:val="clear" w:color="auto" w:fill="auto"/>
            <w:vAlign w:val="center"/>
          </w:tcPr>
          <w:p>
            <w:pPr>
              <w:widowControl/>
              <w:jc w:val="left"/>
              <w:rPr>
                <w:kern w:val="0"/>
                <w:sz w:val="18"/>
                <w:szCs w:val="18"/>
              </w:rPr>
            </w:pPr>
            <w:r>
              <w:rPr>
                <w:kern w:val="0"/>
                <w:sz w:val="18"/>
                <w:szCs w:val="18"/>
              </w:rPr>
              <w:t>附表3</w:t>
            </w:r>
          </w:p>
        </w:tc>
        <w:tc>
          <w:tcPr>
            <w:tcW w:w="2027" w:type="dxa"/>
            <w:gridSpan w:val="2"/>
            <w:tcBorders>
              <w:top w:val="nil"/>
              <w:left w:val="nil"/>
              <w:bottom w:val="single" w:color="auto" w:sz="4" w:space="0"/>
              <w:right w:val="nil"/>
            </w:tcBorders>
            <w:shd w:val="clear" w:color="auto" w:fill="auto"/>
            <w:vAlign w:val="center"/>
          </w:tcPr>
          <w:p>
            <w:pPr>
              <w:widowControl/>
              <w:jc w:val="center"/>
              <w:rPr>
                <w:kern w:val="0"/>
                <w:sz w:val="18"/>
                <w:szCs w:val="18"/>
              </w:rPr>
            </w:pPr>
            <w:r>
              <w:rPr>
                <w:kern w:val="0"/>
                <w:sz w:val="18"/>
                <w:szCs w:val="18"/>
              </w:rPr>
              <w:t>单位：万株</w:t>
            </w:r>
          </w:p>
        </w:tc>
      </w:tr>
      <w:tr>
        <w:tblPrEx>
          <w:tblLayout w:type="fixed"/>
          <w:tblCellMar>
            <w:top w:w="0" w:type="dxa"/>
            <w:left w:w="108" w:type="dxa"/>
            <w:bottom w:w="0" w:type="dxa"/>
            <w:right w:w="108" w:type="dxa"/>
          </w:tblCellMar>
        </w:tblPrEx>
        <w:trPr>
          <w:trHeight w:val="432" w:hRule="atLeast"/>
          <w:jc w:val="center"/>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林班或工区</w:t>
            </w:r>
          </w:p>
        </w:tc>
        <w:tc>
          <w:tcPr>
            <w:tcW w:w="252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合计</w:t>
            </w:r>
          </w:p>
        </w:tc>
        <w:tc>
          <w:tcPr>
            <w:tcW w:w="252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树种1</w:t>
            </w:r>
          </w:p>
        </w:tc>
        <w:tc>
          <w:tcPr>
            <w:tcW w:w="252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树种2</w:t>
            </w:r>
          </w:p>
        </w:tc>
        <w:tc>
          <w:tcPr>
            <w:tcW w:w="252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树种3</w:t>
            </w:r>
          </w:p>
        </w:tc>
        <w:tc>
          <w:tcPr>
            <w:tcW w:w="252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52" w:hRule="atLeast"/>
          <w:jc w:val="center"/>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计</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裸根苗</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容器苗</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计</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裸根苗</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容器苗</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计</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裸根苗</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容器苗</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计</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裸根苗</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容器苗</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计</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裸根苗</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容器苗</w:t>
            </w: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trHeight w:val="570" w:hRule="atLeast"/>
          <w:jc w:val="center"/>
        </w:trPr>
        <w:tc>
          <w:tcPr>
            <w:tcW w:w="153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496"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85" w:hRule="atLeast"/>
          <w:jc w:val="center"/>
        </w:trPr>
        <w:tc>
          <w:tcPr>
            <w:tcW w:w="14175" w:type="dxa"/>
            <w:gridSpan w:val="16"/>
            <w:tcBorders>
              <w:top w:val="single" w:color="auto" w:sz="4" w:space="0"/>
              <w:left w:val="nil"/>
              <w:bottom w:val="nil"/>
              <w:right w:val="nil"/>
            </w:tcBorders>
            <w:shd w:val="clear" w:color="auto" w:fill="auto"/>
            <w:vAlign w:val="center"/>
          </w:tcPr>
          <w:p>
            <w:pPr>
              <w:widowControl/>
              <w:jc w:val="center"/>
              <w:rPr>
                <w:kern w:val="0"/>
                <w:sz w:val="18"/>
                <w:szCs w:val="18"/>
              </w:rPr>
            </w:pPr>
            <w:r>
              <w:rPr>
                <w:kern w:val="0"/>
                <w:sz w:val="18"/>
                <w:szCs w:val="18"/>
              </w:rPr>
              <w:t>填表人：               复核人：              填表时间：</w:t>
            </w:r>
          </w:p>
        </w:tc>
      </w:tr>
    </w:tbl>
    <w:p>
      <w:pPr>
        <w:ind w:firstLine="360" w:firstLineChars="200"/>
        <w:rPr>
          <w:rFonts w:eastAsia="仿宋"/>
          <w:sz w:val="18"/>
          <w:szCs w:val="18"/>
        </w:rPr>
        <w:sectPr>
          <w:pgSz w:w="16839" w:h="11907" w:orient="landscape"/>
          <w:pgMar w:top="1800" w:right="1440" w:bottom="1800" w:left="1440" w:header="851" w:footer="992" w:gutter="0"/>
          <w:cols w:space="425" w:num="1"/>
          <w:docGrid w:type="lines" w:linePitch="312" w:charSpace="0"/>
        </w:sectPr>
      </w:pPr>
    </w:p>
    <w:p>
      <w:pPr>
        <w:rPr>
          <w:rFonts w:eastAsia="黑体"/>
        </w:rPr>
      </w:pPr>
      <w:r>
        <w:rPr>
          <w:rFonts w:eastAsia="黑体"/>
        </w:rPr>
        <w:t>附表4</w:t>
      </w:r>
    </w:p>
    <w:p>
      <w:pPr>
        <w:overflowPunct w:val="0"/>
        <w:topLinePunct/>
        <w:spacing w:line="240" w:lineRule="atLeast"/>
        <w:jc w:val="center"/>
        <w:rPr>
          <w:rFonts w:eastAsia="仿宋_GB2312"/>
          <w:szCs w:val="24"/>
        </w:rPr>
      </w:pPr>
      <w:r>
        <w:rPr>
          <w:rFonts w:eastAsia="黑体"/>
          <w:kern w:val="0"/>
          <w:szCs w:val="24"/>
        </w:rPr>
        <w:t>XX年度森林质量精准提升工程小班外业调查表</w:t>
      </w:r>
    </w:p>
    <w:tbl>
      <w:tblPr>
        <w:tblStyle w:val="18"/>
        <w:tblW w:w="9377" w:type="dxa"/>
        <w:jc w:val="center"/>
        <w:tblInd w:w="0" w:type="dxa"/>
        <w:tblLayout w:type="fixed"/>
        <w:tblCellMar>
          <w:top w:w="0" w:type="dxa"/>
          <w:left w:w="108" w:type="dxa"/>
          <w:bottom w:w="0" w:type="dxa"/>
          <w:right w:w="108" w:type="dxa"/>
        </w:tblCellMar>
      </w:tblPr>
      <w:tblGrid>
        <w:gridCol w:w="2877"/>
        <w:gridCol w:w="1671"/>
        <w:gridCol w:w="1455"/>
        <w:gridCol w:w="478"/>
        <w:gridCol w:w="859"/>
        <w:gridCol w:w="630"/>
        <w:gridCol w:w="1407"/>
      </w:tblGrid>
      <w:tr>
        <w:tblPrEx>
          <w:tblLayout w:type="fixed"/>
          <w:tblCellMar>
            <w:top w:w="0" w:type="dxa"/>
            <w:left w:w="108" w:type="dxa"/>
            <w:bottom w:w="0" w:type="dxa"/>
            <w:right w:w="108" w:type="dxa"/>
          </w:tblCellMar>
        </w:tblPrEx>
        <w:trPr>
          <w:trHeight w:val="461" w:hRule="atLeast"/>
          <w:jc w:val="center"/>
        </w:trPr>
        <w:tc>
          <w:tcPr>
            <w:tcW w:w="600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 xml:space="preserve">调查人员： </w:t>
            </w:r>
          </w:p>
        </w:tc>
        <w:tc>
          <w:tcPr>
            <w:tcW w:w="3374" w:type="dxa"/>
            <w:gridSpan w:val="4"/>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调查日期：  年  月  日</w:t>
            </w:r>
          </w:p>
        </w:tc>
      </w:tr>
      <w:tr>
        <w:tblPrEx>
          <w:tblLayout w:type="fixed"/>
          <w:tblCellMar>
            <w:top w:w="0" w:type="dxa"/>
            <w:left w:w="108" w:type="dxa"/>
            <w:bottom w:w="0" w:type="dxa"/>
            <w:right w:w="108" w:type="dxa"/>
          </w:tblCellMar>
        </w:tblPrEx>
        <w:trPr>
          <w:trHeight w:val="461" w:hRule="atLeast"/>
          <w:jc w:val="center"/>
        </w:trPr>
        <w:tc>
          <w:tcPr>
            <w:tcW w:w="937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位置：   县    林场（乡镇）    林班    小班      标准地中心GPS坐标：</w:t>
            </w:r>
          </w:p>
        </w:tc>
      </w:tr>
      <w:tr>
        <w:tblPrEx>
          <w:tblLayout w:type="fixed"/>
          <w:tblCellMar>
            <w:top w:w="0" w:type="dxa"/>
            <w:left w:w="108" w:type="dxa"/>
            <w:bottom w:w="0" w:type="dxa"/>
            <w:right w:w="108" w:type="dxa"/>
          </w:tblCellMar>
        </w:tblPrEx>
        <w:trPr>
          <w:trHeight w:val="461" w:hRule="atLeast"/>
          <w:jc w:val="center"/>
        </w:trPr>
        <w:tc>
          <w:tcPr>
            <w:tcW w:w="937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 xml:space="preserve">小班面积：   公顷。  起源：    土地权属：      林木权属：   林种：                </w:t>
            </w:r>
          </w:p>
        </w:tc>
      </w:tr>
      <w:tr>
        <w:tblPrEx>
          <w:tblLayout w:type="fixed"/>
          <w:tblCellMar>
            <w:top w:w="0" w:type="dxa"/>
            <w:left w:w="108" w:type="dxa"/>
            <w:bottom w:w="0" w:type="dxa"/>
            <w:right w:w="108" w:type="dxa"/>
          </w:tblCellMar>
        </w:tblPrEx>
        <w:trPr>
          <w:trHeight w:val="513" w:hRule="atLeast"/>
          <w:jc w:val="center"/>
        </w:trPr>
        <w:tc>
          <w:tcPr>
            <w:tcW w:w="937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 xml:space="preserve">地貌类型： </w:t>
            </w:r>
            <w:r>
              <w:rPr>
                <w:kern w:val="0"/>
                <w:sz w:val="18"/>
                <w:szCs w:val="18"/>
              </w:rPr>
              <w:t>①</w:t>
            </w:r>
            <w:r>
              <w:rPr>
                <w:rFonts w:eastAsiaTheme="majorEastAsia"/>
                <w:kern w:val="0"/>
                <w:sz w:val="18"/>
                <w:szCs w:val="18"/>
              </w:rPr>
              <w:t xml:space="preserve">山地阳坡   </w:t>
            </w:r>
            <w:r>
              <w:rPr>
                <w:kern w:val="0"/>
                <w:sz w:val="18"/>
                <w:szCs w:val="18"/>
              </w:rPr>
              <w:t>②</w:t>
            </w:r>
            <w:r>
              <w:rPr>
                <w:rFonts w:eastAsiaTheme="majorEastAsia"/>
                <w:kern w:val="0"/>
                <w:sz w:val="18"/>
                <w:szCs w:val="18"/>
              </w:rPr>
              <w:t xml:space="preserve">山地阴坡     </w:t>
            </w:r>
            <w:r>
              <w:rPr>
                <w:kern w:val="0"/>
                <w:sz w:val="18"/>
                <w:szCs w:val="18"/>
              </w:rPr>
              <w:t>③</w:t>
            </w:r>
            <w:r>
              <w:rPr>
                <w:rFonts w:eastAsiaTheme="majorEastAsia"/>
                <w:kern w:val="0"/>
                <w:sz w:val="18"/>
                <w:szCs w:val="18"/>
              </w:rPr>
              <w:t xml:space="preserve">山地脊部   </w:t>
            </w:r>
            <w:r>
              <w:rPr>
                <w:kern w:val="0"/>
                <w:sz w:val="18"/>
                <w:szCs w:val="18"/>
              </w:rPr>
              <w:t>④</w:t>
            </w:r>
            <w:r>
              <w:rPr>
                <w:rFonts w:eastAsiaTheme="majorEastAsia"/>
                <w:kern w:val="0"/>
                <w:sz w:val="18"/>
                <w:szCs w:val="18"/>
              </w:rPr>
              <w:t xml:space="preserve">山地沟谷   </w:t>
            </w:r>
            <w:r>
              <w:rPr>
                <w:kern w:val="0"/>
                <w:sz w:val="18"/>
                <w:szCs w:val="18"/>
              </w:rPr>
              <w:t>⑤</w:t>
            </w:r>
            <w:r>
              <w:rPr>
                <w:rFonts w:eastAsiaTheme="majorEastAsia"/>
                <w:kern w:val="0"/>
                <w:sz w:val="18"/>
                <w:szCs w:val="18"/>
              </w:rPr>
              <w:t xml:space="preserve">丘陵   </w:t>
            </w:r>
            <w:r>
              <w:rPr>
                <w:kern w:val="0"/>
                <w:sz w:val="18"/>
                <w:szCs w:val="18"/>
              </w:rPr>
              <w:t>⑥</w:t>
            </w:r>
            <w:r>
              <w:rPr>
                <w:rFonts w:eastAsiaTheme="majorEastAsia"/>
                <w:kern w:val="0"/>
                <w:sz w:val="18"/>
                <w:szCs w:val="18"/>
              </w:rPr>
              <w:t xml:space="preserve">岗地  </w:t>
            </w:r>
            <w:r>
              <w:rPr>
                <w:kern w:val="0"/>
                <w:sz w:val="18"/>
                <w:szCs w:val="18"/>
              </w:rPr>
              <w:t>⑦</w:t>
            </w:r>
            <w:r>
              <w:rPr>
                <w:rFonts w:eastAsiaTheme="majorEastAsia"/>
                <w:kern w:val="0"/>
                <w:sz w:val="18"/>
                <w:szCs w:val="18"/>
              </w:rPr>
              <w:t xml:space="preserve">阶地     </w:t>
            </w:r>
            <w:r>
              <w:rPr>
                <w:kern w:val="0"/>
                <w:sz w:val="18"/>
                <w:szCs w:val="18"/>
              </w:rPr>
              <w:t>⑧</w:t>
            </w:r>
            <w:r>
              <w:rPr>
                <w:rFonts w:eastAsiaTheme="majorEastAsia"/>
                <w:kern w:val="0"/>
                <w:sz w:val="18"/>
                <w:szCs w:val="18"/>
              </w:rPr>
              <w:t xml:space="preserve">河漫滩    </w:t>
            </w:r>
            <w:r>
              <w:rPr>
                <w:kern w:val="0"/>
                <w:sz w:val="18"/>
                <w:szCs w:val="18"/>
              </w:rPr>
              <w:t>⑨</w:t>
            </w:r>
            <w:r>
              <w:rPr>
                <w:rFonts w:eastAsiaTheme="majorEastAsia"/>
                <w:kern w:val="0"/>
                <w:sz w:val="18"/>
                <w:szCs w:val="18"/>
              </w:rPr>
              <w:t xml:space="preserve">平原   </w:t>
            </w:r>
            <w:r>
              <w:rPr>
                <w:kern w:val="0"/>
                <w:sz w:val="18"/>
                <w:szCs w:val="18"/>
              </w:rPr>
              <w:t>⑩</w:t>
            </w:r>
            <w:r>
              <w:rPr>
                <w:rFonts w:eastAsiaTheme="majorEastAsia"/>
                <w:kern w:val="0"/>
                <w:sz w:val="18"/>
                <w:szCs w:val="18"/>
              </w:rPr>
              <w:t>其他（具体说明）</w:t>
            </w:r>
          </w:p>
        </w:tc>
      </w:tr>
      <w:tr>
        <w:tblPrEx>
          <w:tblLayout w:type="fixed"/>
          <w:tblCellMar>
            <w:top w:w="0" w:type="dxa"/>
            <w:left w:w="108" w:type="dxa"/>
            <w:bottom w:w="0" w:type="dxa"/>
            <w:right w:w="108" w:type="dxa"/>
          </w:tblCellMar>
        </w:tblPrEx>
        <w:trPr>
          <w:trHeight w:val="461"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海拔：      米</w:t>
            </w:r>
          </w:p>
        </w:tc>
        <w:tc>
          <w:tcPr>
            <w:tcW w:w="1671" w:type="dxa"/>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 xml:space="preserve">坡度： </w:t>
            </w:r>
          </w:p>
        </w:tc>
        <w:tc>
          <w:tcPr>
            <w:tcW w:w="2792" w:type="dxa"/>
            <w:gridSpan w:val="3"/>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坡向：</w:t>
            </w:r>
          </w:p>
        </w:tc>
        <w:tc>
          <w:tcPr>
            <w:tcW w:w="2037"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坡位：</w:t>
            </w:r>
          </w:p>
        </w:tc>
      </w:tr>
      <w:tr>
        <w:tblPrEx>
          <w:tblLayout w:type="fixed"/>
          <w:tblCellMar>
            <w:top w:w="0" w:type="dxa"/>
            <w:left w:w="108" w:type="dxa"/>
            <w:bottom w:w="0" w:type="dxa"/>
            <w:right w:w="108" w:type="dxa"/>
          </w:tblCellMar>
        </w:tblPrEx>
        <w:trPr>
          <w:trHeight w:val="461" w:hRule="atLeast"/>
          <w:jc w:val="center"/>
        </w:trPr>
        <w:tc>
          <w:tcPr>
            <w:tcW w:w="937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立地指数：</w:t>
            </w:r>
          </w:p>
        </w:tc>
      </w:tr>
      <w:tr>
        <w:tblPrEx>
          <w:tblLayout w:type="fixed"/>
          <w:tblCellMar>
            <w:top w:w="0" w:type="dxa"/>
            <w:left w:w="108" w:type="dxa"/>
            <w:bottom w:w="0" w:type="dxa"/>
            <w:right w:w="108" w:type="dxa"/>
          </w:tblCellMar>
        </w:tblPrEx>
        <w:trPr>
          <w:trHeight w:val="438" w:hRule="atLeast"/>
          <w:jc w:val="center"/>
        </w:trPr>
        <w:tc>
          <w:tcPr>
            <w:tcW w:w="937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目的树种天然更新情况：株/公顷，平均年龄： 年，生长状况：</w:t>
            </w:r>
            <w:r>
              <w:rPr>
                <w:kern w:val="0"/>
                <w:sz w:val="18"/>
                <w:szCs w:val="18"/>
              </w:rPr>
              <w:t>①</w:t>
            </w:r>
            <w:r>
              <w:rPr>
                <w:rFonts w:eastAsiaTheme="majorEastAsia"/>
                <w:kern w:val="0"/>
                <w:sz w:val="18"/>
                <w:szCs w:val="18"/>
              </w:rPr>
              <w:t xml:space="preserve">良好 </w:t>
            </w:r>
            <w:r>
              <w:rPr>
                <w:kern w:val="0"/>
                <w:sz w:val="18"/>
                <w:szCs w:val="18"/>
              </w:rPr>
              <w:t>②</w:t>
            </w:r>
            <w:r>
              <w:rPr>
                <w:rFonts w:eastAsiaTheme="majorEastAsia"/>
                <w:kern w:val="0"/>
                <w:sz w:val="18"/>
                <w:szCs w:val="18"/>
              </w:rPr>
              <w:t xml:space="preserve">较好 </w:t>
            </w:r>
            <w:r>
              <w:rPr>
                <w:kern w:val="0"/>
                <w:sz w:val="18"/>
                <w:szCs w:val="18"/>
              </w:rPr>
              <w:t>③</w:t>
            </w:r>
            <w:r>
              <w:rPr>
                <w:rFonts w:eastAsiaTheme="majorEastAsia"/>
                <w:kern w:val="0"/>
                <w:sz w:val="18"/>
                <w:szCs w:val="18"/>
              </w:rPr>
              <w:t xml:space="preserve">一般 </w:t>
            </w:r>
            <w:r>
              <w:rPr>
                <w:kern w:val="0"/>
                <w:sz w:val="18"/>
                <w:szCs w:val="18"/>
              </w:rPr>
              <w:t>④</w:t>
            </w:r>
            <w:r>
              <w:rPr>
                <w:rFonts w:eastAsiaTheme="majorEastAsia"/>
                <w:kern w:val="0"/>
                <w:sz w:val="18"/>
                <w:szCs w:val="18"/>
              </w:rPr>
              <w:t>较差</w:t>
            </w:r>
          </w:p>
        </w:tc>
      </w:tr>
      <w:tr>
        <w:tblPrEx>
          <w:tblLayout w:type="fixed"/>
          <w:tblCellMar>
            <w:top w:w="0" w:type="dxa"/>
            <w:left w:w="108" w:type="dxa"/>
            <w:bottom w:w="0" w:type="dxa"/>
            <w:right w:w="108" w:type="dxa"/>
          </w:tblCellMar>
        </w:tblPrEx>
        <w:trPr>
          <w:trHeight w:val="1017" w:hRule="atLeast"/>
          <w:jc w:val="center"/>
        </w:trPr>
        <w:tc>
          <w:tcPr>
            <w:tcW w:w="937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现有天然阔叶树幼苗、幼树和珍贵树种情况：</w:t>
            </w:r>
          </w:p>
          <w:p>
            <w:pPr>
              <w:widowControl/>
              <w:overflowPunct w:val="0"/>
              <w:topLinePunct/>
              <w:jc w:val="left"/>
              <w:rPr>
                <w:rFonts w:eastAsiaTheme="majorEastAsia"/>
                <w:kern w:val="0"/>
                <w:sz w:val="18"/>
                <w:szCs w:val="18"/>
              </w:rPr>
            </w:pPr>
            <w:r>
              <w:rPr>
                <w:rFonts w:eastAsiaTheme="majorEastAsia"/>
                <w:kern w:val="0"/>
                <w:sz w:val="18"/>
                <w:szCs w:val="18"/>
              </w:rPr>
              <w:t>树种1：株/公顷，平均年龄： 年，生长状况：</w:t>
            </w:r>
            <w:r>
              <w:rPr>
                <w:kern w:val="0"/>
                <w:sz w:val="18"/>
                <w:szCs w:val="18"/>
              </w:rPr>
              <w:t>①</w:t>
            </w:r>
            <w:r>
              <w:rPr>
                <w:rFonts w:eastAsiaTheme="majorEastAsia"/>
                <w:kern w:val="0"/>
                <w:sz w:val="18"/>
                <w:szCs w:val="18"/>
              </w:rPr>
              <w:t xml:space="preserve">良好 </w:t>
            </w:r>
            <w:r>
              <w:rPr>
                <w:kern w:val="0"/>
                <w:sz w:val="18"/>
                <w:szCs w:val="18"/>
              </w:rPr>
              <w:t>②</w:t>
            </w:r>
            <w:r>
              <w:rPr>
                <w:rFonts w:eastAsiaTheme="majorEastAsia"/>
                <w:kern w:val="0"/>
                <w:sz w:val="18"/>
                <w:szCs w:val="18"/>
              </w:rPr>
              <w:t xml:space="preserve">较好 </w:t>
            </w:r>
            <w:r>
              <w:rPr>
                <w:kern w:val="0"/>
                <w:sz w:val="18"/>
                <w:szCs w:val="18"/>
              </w:rPr>
              <w:t>③</w:t>
            </w:r>
            <w:r>
              <w:rPr>
                <w:rFonts w:eastAsiaTheme="majorEastAsia"/>
                <w:kern w:val="0"/>
                <w:sz w:val="18"/>
                <w:szCs w:val="18"/>
              </w:rPr>
              <w:t xml:space="preserve">一般 </w:t>
            </w:r>
            <w:r>
              <w:rPr>
                <w:kern w:val="0"/>
                <w:sz w:val="18"/>
                <w:szCs w:val="18"/>
              </w:rPr>
              <w:t>④</w:t>
            </w:r>
            <w:r>
              <w:rPr>
                <w:rFonts w:eastAsiaTheme="majorEastAsia"/>
                <w:kern w:val="0"/>
                <w:sz w:val="18"/>
                <w:szCs w:val="18"/>
              </w:rPr>
              <w:t>较差</w:t>
            </w:r>
          </w:p>
          <w:p>
            <w:pPr>
              <w:widowControl/>
              <w:overflowPunct w:val="0"/>
              <w:topLinePunct/>
              <w:jc w:val="left"/>
              <w:rPr>
                <w:rFonts w:eastAsiaTheme="majorEastAsia"/>
                <w:kern w:val="0"/>
                <w:sz w:val="18"/>
                <w:szCs w:val="18"/>
              </w:rPr>
            </w:pPr>
            <w:r>
              <w:rPr>
                <w:rFonts w:eastAsiaTheme="majorEastAsia"/>
                <w:kern w:val="0"/>
                <w:sz w:val="18"/>
                <w:szCs w:val="18"/>
              </w:rPr>
              <w:t>树种2：株/公顷，平均年龄： 年，生长状况：</w:t>
            </w:r>
            <w:r>
              <w:rPr>
                <w:kern w:val="0"/>
                <w:sz w:val="18"/>
                <w:szCs w:val="18"/>
              </w:rPr>
              <w:t>①</w:t>
            </w:r>
            <w:r>
              <w:rPr>
                <w:rFonts w:eastAsiaTheme="majorEastAsia"/>
                <w:kern w:val="0"/>
                <w:sz w:val="18"/>
                <w:szCs w:val="18"/>
              </w:rPr>
              <w:t xml:space="preserve">良好 </w:t>
            </w:r>
            <w:r>
              <w:rPr>
                <w:kern w:val="0"/>
                <w:sz w:val="18"/>
                <w:szCs w:val="18"/>
              </w:rPr>
              <w:t>②</w:t>
            </w:r>
            <w:r>
              <w:rPr>
                <w:rFonts w:eastAsiaTheme="majorEastAsia"/>
                <w:kern w:val="0"/>
                <w:sz w:val="18"/>
                <w:szCs w:val="18"/>
              </w:rPr>
              <w:t xml:space="preserve">较好 </w:t>
            </w:r>
            <w:r>
              <w:rPr>
                <w:kern w:val="0"/>
                <w:sz w:val="18"/>
                <w:szCs w:val="18"/>
              </w:rPr>
              <w:t>③</w:t>
            </w:r>
            <w:r>
              <w:rPr>
                <w:rFonts w:eastAsiaTheme="majorEastAsia"/>
                <w:kern w:val="0"/>
                <w:sz w:val="18"/>
                <w:szCs w:val="18"/>
              </w:rPr>
              <w:t xml:space="preserve">一般 </w:t>
            </w:r>
            <w:r>
              <w:rPr>
                <w:kern w:val="0"/>
                <w:sz w:val="18"/>
                <w:szCs w:val="18"/>
              </w:rPr>
              <w:t>④</w:t>
            </w:r>
            <w:r>
              <w:rPr>
                <w:rFonts w:eastAsiaTheme="majorEastAsia"/>
                <w:kern w:val="0"/>
                <w:sz w:val="18"/>
                <w:szCs w:val="18"/>
              </w:rPr>
              <w:t>较差</w:t>
            </w:r>
          </w:p>
          <w:p>
            <w:pPr>
              <w:widowControl/>
              <w:overflowPunct w:val="0"/>
              <w:topLinePunct/>
              <w:jc w:val="left"/>
              <w:rPr>
                <w:rFonts w:eastAsiaTheme="majorEastAsia"/>
                <w:kern w:val="0"/>
                <w:sz w:val="18"/>
                <w:szCs w:val="18"/>
              </w:rPr>
            </w:pPr>
            <w:r>
              <w:rPr>
                <w:rFonts w:eastAsiaTheme="majorEastAsia"/>
                <w:kern w:val="0"/>
                <w:sz w:val="18"/>
                <w:szCs w:val="18"/>
              </w:rPr>
              <w:t>树种3：株/公顷，平均年龄： 年，生长状况：</w:t>
            </w:r>
            <w:r>
              <w:rPr>
                <w:kern w:val="0"/>
                <w:sz w:val="18"/>
                <w:szCs w:val="18"/>
              </w:rPr>
              <w:t>①</w:t>
            </w:r>
            <w:r>
              <w:rPr>
                <w:rFonts w:eastAsiaTheme="majorEastAsia"/>
                <w:kern w:val="0"/>
                <w:sz w:val="18"/>
                <w:szCs w:val="18"/>
              </w:rPr>
              <w:t xml:space="preserve">良好 </w:t>
            </w:r>
            <w:r>
              <w:rPr>
                <w:kern w:val="0"/>
                <w:sz w:val="18"/>
                <w:szCs w:val="18"/>
              </w:rPr>
              <w:t>②</w:t>
            </w:r>
            <w:r>
              <w:rPr>
                <w:rFonts w:eastAsiaTheme="majorEastAsia"/>
                <w:kern w:val="0"/>
                <w:sz w:val="18"/>
                <w:szCs w:val="18"/>
              </w:rPr>
              <w:t xml:space="preserve">较好 </w:t>
            </w:r>
            <w:r>
              <w:rPr>
                <w:kern w:val="0"/>
                <w:sz w:val="18"/>
                <w:szCs w:val="18"/>
              </w:rPr>
              <w:t>③</w:t>
            </w:r>
            <w:r>
              <w:rPr>
                <w:rFonts w:eastAsiaTheme="majorEastAsia"/>
                <w:kern w:val="0"/>
                <w:sz w:val="18"/>
                <w:szCs w:val="18"/>
              </w:rPr>
              <w:t xml:space="preserve">一般 </w:t>
            </w:r>
            <w:r>
              <w:rPr>
                <w:kern w:val="0"/>
                <w:sz w:val="18"/>
                <w:szCs w:val="18"/>
              </w:rPr>
              <w:t>④</w:t>
            </w:r>
            <w:r>
              <w:rPr>
                <w:rFonts w:eastAsiaTheme="majorEastAsia"/>
                <w:kern w:val="0"/>
                <w:sz w:val="18"/>
                <w:szCs w:val="18"/>
              </w:rPr>
              <w:t>较差</w:t>
            </w:r>
          </w:p>
        </w:tc>
      </w:tr>
      <w:tr>
        <w:tblPrEx>
          <w:tblLayout w:type="fixed"/>
          <w:tblCellMar>
            <w:top w:w="0" w:type="dxa"/>
            <w:left w:w="108" w:type="dxa"/>
            <w:bottom w:w="0" w:type="dxa"/>
            <w:right w:w="108" w:type="dxa"/>
          </w:tblCellMar>
        </w:tblPrEx>
        <w:trPr>
          <w:trHeight w:val="461" w:hRule="atLeast"/>
          <w:jc w:val="center"/>
        </w:trPr>
        <w:tc>
          <w:tcPr>
            <w:tcW w:w="4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土壤类型：</w:t>
            </w:r>
          </w:p>
        </w:tc>
        <w:tc>
          <w:tcPr>
            <w:tcW w:w="4829" w:type="dxa"/>
            <w:gridSpan w:val="5"/>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土层厚度：                   厘米</w:t>
            </w:r>
          </w:p>
        </w:tc>
      </w:tr>
      <w:tr>
        <w:tblPrEx>
          <w:tblLayout w:type="fixed"/>
          <w:tblCellMar>
            <w:top w:w="0" w:type="dxa"/>
            <w:left w:w="108" w:type="dxa"/>
            <w:bottom w:w="0" w:type="dxa"/>
            <w:right w:w="108" w:type="dxa"/>
          </w:tblCellMar>
        </w:tblPrEx>
        <w:trPr>
          <w:trHeight w:val="461" w:hRule="atLeast"/>
          <w:jc w:val="center"/>
        </w:trPr>
        <w:tc>
          <w:tcPr>
            <w:tcW w:w="4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林下植被调查</w:t>
            </w:r>
          </w:p>
        </w:tc>
        <w:tc>
          <w:tcPr>
            <w:tcW w:w="1933"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总盖度(%)</w:t>
            </w:r>
          </w:p>
        </w:tc>
        <w:tc>
          <w:tcPr>
            <w:tcW w:w="1489"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高度(米)</w:t>
            </w:r>
          </w:p>
        </w:tc>
        <w:tc>
          <w:tcPr>
            <w:tcW w:w="1407" w:type="dxa"/>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分布状况</w:t>
            </w:r>
          </w:p>
        </w:tc>
      </w:tr>
      <w:tr>
        <w:tblPrEx>
          <w:tblLayout w:type="fixed"/>
          <w:tblCellMar>
            <w:top w:w="0" w:type="dxa"/>
            <w:left w:w="108" w:type="dxa"/>
            <w:bottom w:w="0" w:type="dxa"/>
            <w:right w:w="108" w:type="dxa"/>
          </w:tblCellMar>
        </w:tblPrEx>
        <w:trPr>
          <w:trHeight w:val="486" w:hRule="atLeast"/>
          <w:jc w:val="center"/>
        </w:trPr>
        <w:tc>
          <w:tcPr>
            <w:tcW w:w="4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主要灌木：</w:t>
            </w:r>
          </w:p>
        </w:tc>
        <w:tc>
          <w:tcPr>
            <w:tcW w:w="1933"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　</w:t>
            </w:r>
          </w:p>
        </w:tc>
        <w:tc>
          <w:tcPr>
            <w:tcW w:w="1489" w:type="dxa"/>
            <w:gridSpan w:val="2"/>
            <w:tcBorders>
              <w:top w:val="nil"/>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　</w:t>
            </w:r>
          </w:p>
        </w:tc>
        <w:tc>
          <w:tcPr>
            <w:tcW w:w="1407" w:type="dxa"/>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86" w:hRule="atLeast"/>
          <w:jc w:val="center"/>
        </w:trPr>
        <w:tc>
          <w:tcPr>
            <w:tcW w:w="4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主要草本：</w:t>
            </w:r>
          </w:p>
        </w:tc>
        <w:tc>
          <w:tcPr>
            <w:tcW w:w="1933"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　</w:t>
            </w:r>
          </w:p>
        </w:tc>
        <w:tc>
          <w:tcPr>
            <w:tcW w:w="1489" w:type="dxa"/>
            <w:gridSpan w:val="2"/>
            <w:tcBorders>
              <w:top w:val="nil"/>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　</w:t>
            </w:r>
          </w:p>
        </w:tc>
        <w:tc>
          <w:tcPr>
            <w:tcW w:w="1407" w:type="dxa"/>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61" w:hRule="atLeast"/>
          <w:jc w:val="center"/>
        </w:trPr>
        <w:tc>
          <w:tcPr>
            <w:tcW w:w="937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珍稀物种：</w:t>
            </w:r>
          </w:p>
        </w:tc>
      </w:tr>
      <w:tr>
        <w:tblPrEx>
          <w:tblLayout w:type="fixed"/>
          <w:tblCellMar>
            <w:top w:w="0" w:type="dxa"/>
            <w:left w:w="108" w:type="dxa"/>
            <w:bottom w:w="0" w:type="dxa"/>
            <w:right w:w="108" w:type="dxa"/>
          </w:tblCellMar>
        </w:tblPrEx>
        <w:trPr>
          <w:trHeight w:val="461"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林分因子调查</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小班平均</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标准地1</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标准地2</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标准地3</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年龄（年）</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郁闭度</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树种组成</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平均胸径（厘米）</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平均树高（米）</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公顷株数（株）</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公顷蓄积（立方米）</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灌木草本盖度（%）</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灾害发生情况</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公顷目标树株数（株）</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公顷辅助树株数（株）</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3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公顷干扰树株数（株）</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r>
        <w:tblPrEx>
          <w:tblLayout w:type="fixed"/>
          <w:tblCellMar>
            <w:top w:w="0" w:type="dxa"/>
            <w:left w:w="108" w:type="dxa"/>
            <w:bottom w:w="0" w:type="dxa"/>
            <w:right w:w="108" w:type="dxa"/>
          </w:tblCellMar>
        </w:tblPrEx>
        <w:trPr>
          <w:trHeight w:val="448" w:hRule="atLeast"/>
          <w:jc w:val="center"/>
        </w:trPr>
        <w:tc>
          <w:tcPr>
            <w:tcW w:w="28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jc w:val="left"/>
              <w:rPr>
                <w:rFonts w:eastAsiaTheme="majorEastAsia"/>
                <w:kern w:val="0"/>
                <w:sz w:val="18"/>
                <w:szCs w:val="18"/>
              </w:rPr>
            </w:pPr>
            <w:r>
              <w:rPr>
                <w:rFonts w:eastAsiaTheme="majorEastAsia"/>
                <w:kern w:val="0"/>
                <w:sz w:val="18"/>
                <w:szCs w:val="18"/>
              </w:rPr>
              <w:t>公顷其他树株数（株）</w:t>
            </w:r>
          </w:p>
        </w:tc>
        <w:tc>
          <w:tcPr>
            <w:tcW w:w="1671"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455" w:type="dxa"/>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13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c>
          <w:tcPr>
            <w:tcW w:w="2037" w:type="dxa"/>
            <w:gridSpan w:val="2"/>
            <w:tcBorders>
              <w:top w:val="single" w:color="auto" w:sz="4" w:space="0"/>
              <w:left w:val="nil"/>
              <w:bottom w:val="single" w:color="auto" w:sz="4" w:space="0"/>
              <w:right w:val="single" w:color="000000"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　</w:t>
            </w:r>
          </w:p>
        </w:tc>
      </w:tr>
    </w:tbl>
    <w:p>
      <w:pPr>
        <w:rPr>
          <w:rFonts w:eastAsia="黑体"/>
        </w:rPr>
      </w:pPr>
    </w:p>
    <w:p>
      <w:pPr>
        <w:rPr>
          <w:rFonts w:eastAsia="黑体"/>
          <w:i/>
        </w:rPr>
      </w:pPr>
      <w:r>
        <w:rPr>
          <w:i/>
          <w:kern w:val="0"/>
          <w:sz w:val="28"/>
          <w:szCs w:val="28"/>
        </w:rPr>
        <w:t>（</w:t>
      </w:r>
      <w:r>
        <w:rPr>
          <w:b/>
          <w:i/>
          <w:kern w:val="0"/>
          <w:sz w:val="28"/>
          <w:szCs w:val="28"/>
        </w:rPr>
        <w:t>存档不附在作业设计文件中</w:t>
      </w:r>
      <w:r>
        <w:rPr>
          <w:i/>
          <w:kern w:val="0"/>
          <w:sz w:val="28"/>
          <w:szCs w:val="28"/>
        </w:rPr>
        <w:t>）</w:t>
      </w:r>
    </w:p>
    <w:p>
      <w:pPr>
        <w:rPr>
          <w:rFonts w:eastAsia="黑体"/>
        </w:rPr>
      </w:pPr>
    </w:p>
    <w:p>
      <w:pPr>
        <w:rPr>
          <w:rFonts w:eastAsia="黑体"/>
        </w:rPr>
      </w:pPr>
      <w:r>
        <w:rPr>
          <w:rFonts w:eastAsia="黑体"/>
        </w:rPr>
        <w:t>附表5</w:t>
      </w:r>
    </w:p>
    <w:p>
      <w:pPr>
        <w:overflowPunct w:val="0"/>
        <w:topLinePunct/>
        <w:spacing w:afterLines="50"/>
        <w:ind w:firstLine="600"/>
        <w:jc w:val="center"/>
        <w:rPr>
          <w:rFonts w:eastAsia="黑体"/>
          <w:bCs/>
        </w:rPr>
      </w:pPr>
      <w:r>
        <w:rPr>
          <w:rFonts w:eastAsia="黑体"/>
          <w:kern w:val="0"/>
        </w:rPr>
        <w:t>XX年度森林质量精准提升工程</w:t>
      </w:r>
      <w:r>
        <w:rPr>
          <w:rFonts w:eastAsia="黑体"/>
          <w:bCs/>
        </w:rPr>
        <w:t>小班标准地每木调查表</w:t>
      </w:r>
    </w:p>
    <w:tbl>
      <w:tblPr>
        <w:tblStyle w:val="18"/>
        <w:tblW w:w="9445" w:type="dxa"/>
        <w:tblInd w:w="0" w:type="dxa"/>
        <w:tblLayout w:type="fixed"/>
        <w:tblCellMar>
          <w:top w:w="0" w:type="dxa"/>
          <w:left w:w="108" w:type="dxa"/>
          <w:bottom w:w="0" w:type="dxa"/>
          <w:right w:w="108" w:type="dxa"/>
        </w:tblCellMar>
      </w:tblPr>
      <w:tblGrid>
        <w:gridCol w:w="966"/>
        <w:gridCol w:w="304"/>
        <w:gridCol w:w="1251"/>
        <w:gridCol w:w="247"/>
        <w:gridCol w:w="574"/>
        <w:gridCol w:w="212"/>
        <w:gridCol w:w="1345"/>
        <w:gridCol w:w="161"/>
        <w:gridCol w:w="1394"/>
        <w:gridCol w:w="108"/>
        <w:gridCol w:w="1449"/>
        <w:gridCol w:w="57"/>
        <w:gridCol w:w="1377"/>
      </w:tblGrid>
      <w:tr>
        <w:tblPrEx>
          <w:tblLayout w:type="fixed"/>
          <w:tblCellMar>
            <w:top w:w="0" w:type="dxa"/>
            <w:left w:w="108" w:type="dxa"/>
            <w:bottom w:w="0" w:type="dxa"/>
            <w:right w:w="108" w:type="dxa"/>
          </w:tblCellMar>
        </w:tblPrEx>
        <w:trPr>
          <w:trHeight w:val="360" w:hRule="atLeast"/>
        </w:trPr>
        <w:tc>
          <w:tcPr>
            <w:tcW w:w="9445" w:type="dxa"/>
            <w:gridSpan w:val="13"/>
            <w:tcBorders>
              <w:top w:val="nil"/>
              <w:left w:val="nil"/>
              <w:bottom w:val="single" w:color="auto" w:sz="4" w:space="0"/>
              <w:right w:val="nil"/>
            </w:tcBorders>
          </w:tcPr>
          <w:p>
            <w:pPr>
              <w:widowControl/>
              <w:overflowPunct w:val="0"/>
              <w:topLinePunct/>
              <w:jc w:val="left"/>
              <w:rPr>
                <w:rFonts w:eastAsiaTheme="majorEastAsia"/>
                <w:kern w:val="0"/>
                <w:sz w:val="18"/>
                <w:szCs w:val="18"/>
                <w:u w:val="single"/>
              </w:rPr>
            </w:pPr>
            <w:r>
              <w:rPr>
                <w:rFonts w:eastAsiaTheme="majorEastAsia"/>
                <w:kern w:val="0"/>
                <w:sz w:val="18"/>
                <w:szCs w:val="18"/>
              </w:rPr>
              <w:t>林场（乡镇）林班小班 标准地号  标准地面积起源</w:t>
            </w: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编号</w:t>
            </w: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树种名称</w:t>
            </w: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胸径</w:t>
            </w: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rPr>
            </w:pPr>
            <w:r>
              <w:rPr>
                <w:rFonts w:eastAsiaTheme="majorEastAsia"/>
                <w:kern w:val="0"/>
                <w:sz w:val="18"/>
                <w:szCs w:val="18"/>
              </w:rPr>
              <w:t>树高</w:t>
            </w: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林木分类</w:t>
            </w: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林木分级</w:t>
            </w: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材积</w:t>
            </w: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5"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821"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single" w:color="auto" w:sz="4" w:space="0"/>
              <w:left w:val="nil"/>
              <w:bottom w:val="single" w:color="auto" w:sz="4" w:space="0"/>
              <w:right w:val="single" w:color="auto" w:sz="4" w:space="0"/>
            </w:tcBorders>
          </w:tcPr>
          <w:p>
            <w:pPr>
              <w:widowControl/>
              <w:overflowPunct w:val="0"/>
              <w:topLinePunct/>
              <w:jc w:val="center"/>
              <w:rPr>
                <w:rFonts w:eastAsiaTheme="majorEastAsia"/>
                <w:kern w:val="0"/>
                <w:sz w:val="18"/>
                <w:szCs w:val="18"/>
                <w:u w:val="single"/>
              </w:rPr>
            </w:pPr>
          </w:p>
        </w:tc>
        <w:tc>
          <w:tcPr>
            <w:tcW w:w="1555" w:type="dxa"/>
            <w:gridSpan w:val="2"/>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557"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c>
          <w:tcPr>
            <w:tcW w:w="1434" w:type="dxa"/>
            <w:gridSpan w:val="2"/>
            <w:tcBorders>
              <w:top w:val="nil"/>
              <w:left w:val="nil"/>
              <w:bottom w:val="single" w:color="auto" w:sz="4" w:space="0"/>
              <w:right w:val="single" w:color="auto" w:sz="4" w:space="0"/>
            </w:tcBorders>
            <w:shd w:val="clear" w:color="auto" w:fill="auto"/>
            <w:vAlign w:val="center"/>
          </w:tcPr>
          <w:p>
            <w:pPr>
              <w:widowControl/>
              <w:overflowPunct w:val="0"/>
              <w:topLinePunct/>
              <w:jc w:val="center"/>
              <w:rPr>
                <w:rFonts w:eastAsiaTheme="majorEastAsia"/>
                <w:kern w:val="0"/>
                <w:sz w:val="18"/>
                <w:szCs w:val="18"/>
                <w:u w:val="single"/>
              </w:rPr>
            </w:pPr>
          </w:p>
        </w:tc>
      </w:tr>
      <w:tr>
        <w:tblPrEx>
          <w:tblLayout w:type="fixed"/>
          <w:tblCellMar>
            <w:top w:w="0" w:type="dxa"/>
            <w:left w:w="108" w:type="dxa"/>
            <w:bottom w:w="0" w:type="dxa"/>
            <w:right w:w="108" w:type="dxa"/>
          </w:tblCellMar>
        </w:tblPrEx>
        <w:trPr>
          <w:trHeight w:val="360" w:hRule="atLeast"/>
        </w:trPr>
        <w:tc>
          <w:tcPr>
            <w:tcW w:w="1270" w:type="dxa"/>
            <w:gridSpan w:val="2"/>
            <w:tcBorders>
              <w:top w:val="nil"/>
              <w:left w:val="nil"/>
              <w:bottom w:val="nil"/>
              <w:right w:val="nil"/>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调查人员：</w:t>
            </w:r>
          </w:p>
        </w:tc>
        <w:tc>
          <w:tcPr>
            <w:tcW w:w="1498" w:type="dxa"/>
            <w:gridSpan w:val="2"/>
            <w:tcBorders>
              <w:top w:val="nil"/>
              <w:left w:val="nil"/>
              <w:bottom w:val="nil"/>
              <w:right w:val="nil"/>
            </w:tcBorders>
            <w:shd w:val="clear" w:color="auto" w:fill="auto"/>
            <w:vAlign w:val="center"/>
          </w:tcPr>
          <w:p>
            <w:pPr>
              <w:widowControl/>
              <w:overflowPunct w:val="0"/>
              <w:topLinePunct/>
              <w:jc w:val="center"/>
              <w:rPr>
                <w:rFonts w:eastAsiaTheme="majorEastAsia"/>
                <w:kern w:val="0"/>
                <w:sz w:val="18"/>
                <w:szCs w:val="18"/>
              </w:rPr>
            </w:pPr>
          </w:p>
        </w:tc>
        <w:tc>
          <w:tcPr>
            <w:tcW w:w="786" w:type="dxa"/>
            <w:gridSpan w:val="2"/>
            <w:tcBorders>
              <w:top w:val="nil"/>
              <w:left w:val="nil"/>
              <w:bottom w:val="nil"/>
              <w:right w:val="nil"/>
            </w:tcBorders>
            <w:shd w:val="clear" w:color="auto" w:fill="auto"/>
            <w:vAlign w:val="center"/>
          </w:tcPr>
          <w:p>
            <w:pPr>
              <w:widowControl/>
              <w:overflowPunct w:val="0"/>
              <w:topLinePunct/>
              <w:jc w:val="center"/>
              <w:rPr>
                <w:rFonts w:eastAsiaTheme="majorEastAsia"/>
                <w:kern w:val="0"/>
                <w:sz w:val="18"/>
                <w:szCs w:val="18"/>
              </w:rPr>
            </w:pPr>
          </w:p>
        </w:tc>
        <w:tc>
          <w:tcPr>
            <w:tcW w:w="1506" w:type="dxa"/>
            <w:gridSpan w:val="2"/>
            <w:tcBorders>
              <w:top w:val="nil"/>
              <w:left w:val="nil"/>
              <w:bottom w:val="nil"/>
              <w:right w:val="nil"/>
            </w:tcBorders>
          </w:tcPr>
          <w:p>
            <w:pPr>
              <w:widowControl/>
              <w:overflowPunct w:val="0"/>
              <w:topLinePunct/>
              <w:jc w:val="center"/>
              <w:rPr>
                <w:rFonts w:eastAsiaTheme="majorEastAsia"/>
                <w:kern w:val="0"/>
                <w:sz w:val="18"/>
                <w:szCs w:val="18"/>
              </w:rPr>
            </w:pPr>
          </w:p>
        </w:tc>
        <w:tc>
          <w:tcPr>
            <w:tcW w:w="1502" w:type="dxa"/>
            <w:gridSpan w:val="2"/>
            <w:tcBorders>
              <w:top w:val="nil"/>
              <w:left w:val="nil"/>
              <w:bottom w:val="nil"/>
              <w:right w:val="nil"/>
            </w:tcBorders>
            <w:shd w:val="clear" w:color="auto" w:fill="auto"/>
            <w:vAlign w:val="center"/>
          </w:tcPr>
          <w:p>
            <w:pPr>
              <w:widowControl/>
              <w:overflowPunct w:val="0"/>
              <w:topLinePunct/>
              <w:jc w:val="center"/>
              <w:rPr>
                <w:rFonts w:eastAsiaTheme="majorEastAsia"/>
                <w:kern w:val="0"/>
                <w:sz w:val="18"/>
                <w:szCs w:val="18"/>
              </w:rPr>
            </w:pPr>
          </w:p>
        </w:tc>
        <w:tc>
          <w:tcPr>
            <w:tcW w:w="1506" w:type="dxa"/>
            <w:gridSpan w:val="2"/>
            <w:tcBorders>
              <w:top w:val="nil"/>
              <w:left w:val="nil"/>
              <w:bottom w:val="nil"/>
              <w:right w:val="nil"/>
            </w:tcBorders>
            <w:shd w:val="clear" w:color="auto" w:fill="auto"/>
            <w:vAlign w:val="center"/>
          </w:tcPr>
          <w:p>
            <w:pPr>
              <w:widowControl/>
              <w:overflowPunct w:val="0"/>
              <w:topLinePunct/>
              <w:jc w:val="center"/>
              <w:rPr>
                <w:rFonts w:eastAsiaTheme="majorEastAsia"/>
                <w:kern w:val="0"/>
                <w:sz w:val="18"/>
                <w:szCs w:val="18"/>
              </w:rPr>
            </w:pPr>
            <w:r>
              <w:rPr>
                <w:rFonts w:eastAsiaTheme="majorEastAsia"/>
                <w:kern w:val="0"/>
                <w:sz w:val="18"/>
                <w:szCs w:val="18"/>
              </w:rPr>
              <w:t>调查日期</w:t>
            </w:r>
          </w:p>
        </w:tc>
        <w:tc>
          <w:tcPr>
            <w:tcW w:w="1377" w:type="dxa"/>
            <w:tcBorders>
              <w:top w:val="nil"/>
              <w:left w:val="nil"/>
              <w:bottom w:val="nil"/>
              <w:right w:val="nil"/>
            </w:tcBorders>
            <w:shd w:val="clear" w:color="auto" w:fill="auto"/>
            <w:vAlign w:val="center"/>
          </w:tcPr>
          <w:p>
            <w:pPr>
              <w:widowControl/>
              <w:overflowPunct w:val="0"/>
              <w:topLinePunct/>
              <w:jc w:val="right"/>
              <w:rPr>
                <w:rFonts w:eastAsiaTheme="majorEastAsia"/>
                <w:kern w:val="0"/>
                <w:sz w:val="18"/>
                <w:szCs w:val="18"/>
              </w:rPr>
            </w:pPr>
            <w:r>
              <w:rPr>
                <w:rFonts w:eastAsiaTheme="majorEastAsia"/>
                <w:kern w:val="0"/>
                <w:sz w:val="18"/>
                <w:szCs w:val="18"/>
              </w:rPr>
              <w:t xml:space="preserve"> 年  月  日</w:t>
            </w:r>
          </w:p>
        </w:tc>
      </w:tr>
    </w:tbl>
    <w:p>
      <w:pPr>
        <w:overflowPunct w:val="0"/>
        <w:topLinePunct/>
        <w:rPr>
          <w:rFonts w:eastAsia="仿宋_GB2312"/>
          <w:sz w:val="18"/>
          <w:szCs w:val="18"/>
        </w:rPr>
      </w:pPr>
      <w:r>
        <w:rPr>
          <w:rFonts w:eastAsia="仿宋_GB2312"/>
          <w:sz w:val="18"/>
          <w:szCs w:val="18"/>
        </w:rPr>
        <w:t>林木分类：目标树、辅助树、干扰树、其它树；</w:t>
      </w:r>
    </w:p>
    <w:p>
      <w:pPr>
        <w:overflowPunct w:val="0"/>
        <w:topLinePunct/>
        <w:rPr>
          <w:rFonts w:eastAsia="仿宋_GB2312"/>
          <w:sz w:val="18"/>
          <w:szCs w:val="18"/>
        </w:rPr>
        <w:sectPr>
          <w:pgSz w:w="11906" w:h="16838"/>
          <w:pgMar w:top="1531" w:right="1361" w:bottom="1474" w:left="1361" w:header="851" w:footer="1021" w:gutter="0"/>
          <w:cols w:space="425" w:num="1"/>
          <w:docGrid w:linePitch="527" w:charSpace="706"/>
        </w:sectPr>
      </w:pPr>
      <w:r>
        <w:rPr>
          <w:rFonts w:eastAsia="仿宋_GB2312"/>
          <w:sz w:val="18"/>
          <w:szCs w:val="18"/>
        </w:rPr>
        <w:t>林木分级：</w:t>
      </w:r>
      <w:r>
        <w:rPr>
          <w:sz w:val="18"/>
          <w:szCs w:val="18"/>
        </w:rPr>
        <w:t>Ⅰ级木、Ⅱ级木、Ⅲ级木、Ⅳ级木、Ⅴ级木</w:t>
      </w:r>
    </w:p>
    <w:p>
      <w:pPr>
        <w:rPr>
          <w:rFonts w:eastAsia="黑体"/>
          <w:i/>
        </w:rPr>
      </w:pPr>
      <w:r>
        <w:rPr>
          <w:i/>
          <w:kern w:val="0"/>
          <w:sz w:val="28"/>
          <w:szCs w:val="28"/>
        </w:rPr>
        <w:t>（</w:t>
      </w:r>
      <w:r>
        <w:rPr>
          <w:b/>
          <w:i/>
          <w:kern w:val="0"/>
          <w:sz w:val="28"/>
          <w:szCs w:val="28"/>
        </w:rPr>
        <w:t>存档不附在作业设计文件中</w:t>
      </w:r>
      <w:r>
        <w:rPr>
          <w:i/>
          <w:kern w:val="0"/>
          <w:sz w:val="28"/>
          <w:szCs w:val="28"/>
        </w:rPr>
        <w:t>）</w:t>
      </w:r>
    </w:p>
    <w:p>
      <w:pPr>
        <w:rPr>
          <w:rFonts w:eastAsia="黑体"/>
        </w:rPr>
      </w:pPr>
    </w:p>
    <w:p>
      <w:pPr>
        <w:rPr>
          <w:rFonts w:eastAsia="黑体"/>
        </w:rPr>
      </w:pPr>
      <w:r>
        <w:rPr>
          <w:rFonts w:eastAsia="黑体"/>
        </w:rPr>
        <w:t>附表6</w:t>
      </w:r>
    </w:p>
    <w:p>
      <w:pPr>
        <w:overflowPunct w:val="0"/>
        <w:topLinePunct/>
        <w:spacing w:afterLines="50"/>
        <w:ind w:firstLine="1080" w:firstLineChars="450"/>
        <w:rPr>
          <w:rFonts w:eastAsia="黑体"/>
          <w:bCs/>
        </w:rPr>
      </w:pPr>
      <w:r>
        <w:rPr>
          <w:rFonts w:eastAsia="黑体"/>
          <w:kern w:val="0"/>
        </w:rPr>
        <w:t>XX年度森林质量精准提升工程</w:t>
      </w:r>
      <w:r>
        <w:rPr>
          <w:rFonts w:eastAsia="黑体"/>
          <w:bCs/>
        </w:rPr>
        <w:t>小班标准地每木调查汇总表</w:t>
      </w:r>
    </w:p>
    <w:p>
      <w:pPr>
        <w:overflowPunct w:val="0"/>
        <w:topLinePunct/>
        <w:jc w:val="left"/>
        <w:rPr>
          <w:rFonts w:eastAsiaTheme="majorEastAsia"/>
          <w:bCs/>
          <w:sz w:val="18"/>
          <w:szCs w:val="18"/>
        </w:rPr>
      </w:pPr>
      <w:r>
        <w:rPr>
          <w:rFonts w:eastAsiaTheme="majorEastAsia"/>
          <w:kern w:val="0"/>
          <w:sz w:val="18"/>
          <w:szCs w:val="18"/>
        </w:rPr>
        <w:t>林场（乡镇）林班小班 标准地号 标准地面积   起源</w:t>
      </w:r>
    </w:p>
    <w:tbl>
      <w:tblPr>
        <w:tblStyle w:val="18"/>
        <w:tblW w:w="8549" w:type="dxa"/>
        <w:tblInd w:w="0" w:type="dxa"/>
        <w:tblLayout w:type="fixed"/>
        <w:tblCellMar>
          <w:top w:w="0" w:type="dxa"/>
          <w:left w:w="108" w:type="dxa"/>
          <w:bottom w:w="0" w:type="dxa"/>
          <w:right w:w="108" w:type="dxa"/>
        </w:tblCellMar>
      </w:tblPr>
      <w:tblGrid>
        <w:gridCol w:w="659"/>
        <w:gridCol w:w="659"/>
        <w:gridCol w:w="659"/>
        <w:gridCol w:w="658"/>
        <w:gridCol w:w="658"/>
        <w:gridCol w:w="658"/>
        <w:gridCol w:w="658"/>
        <w:gridCol w:w="658"/>
        <w:gridCol w:w="658"/>
        <w:gridCol w:w="658"/>
        <w:gridCol w:w="658"/>
        <w:gridCol w:w="658"/>
        <w:gridCol w:w="650"/>
      </w:tblGrid>
      <w:tr>
        <w:tblPrEx>
          <w:tblLayout w:type="fixed"/>
          <w:tblCellMar>
            <w:top w:w="0" w:type="dxa"/>
            <w:left w:w="108" w:type="dxa"/>
            <w:bottom w:w="0" w:type="dxa"/>
            <w:right w:w="108" w:type="dxa"/>
          </w:tblCellMar>
        </w:tblPrEx>
        <w:trPr>
          <w:trHeight w:val="369" w:hRule="exact"/>
        </w:trPr>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树种</w:t>
            </w:r>
          </w:p>
        </w:tc>
        <w:tc>
          <w:tcPr>
            <w:tcW w:w="2634" w:type="dxa"/>
            <w:gridSpan w:val="4"/>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2632" w:type="dxa"/>
            <w:gridSpan w:val="4"/>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2624" w:type="dxa"/>
            <w:gridSpan w:val="4"/>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vMerge w:val="restart"/>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径阶</w:t>
            </w:r>
          </w:p>
        </w:tc>
        <w:tc>
          <w:tcPr>
            <w:tcW w:w="1318"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保留木</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采伐木</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保留木</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采伐木</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保留木</w:t>
            </w:r>
          </w:p>
        </w:tc>
        <w:tc>
          <w:tcPr>
            <w:tcW w:w="1308"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采伐木</w:t>
            </w:r>
          </w:p>
        </w:tc>
      </w:tr>
      <w:tr>
        <w:tblPrEx>
          <w:tblLayout w:type="fixed"/>
          <w:tblCellMar>
            <w:top w:w="0" w:type="dxa"/>
            <w:left w:w="108" w:type="dxa"/>
            <w:bottom w:w="0" w:type="dxa"/>
            <w:right w:w="108" w:type="dxa"/>
          </w:tblCellMar>
        </w:tblPrEx>
        <w:trPr>
          <w:trHeight w:val="369" w:hRule="exact"/>
        </w:trPr>
        <w:tc>
          <w:tcPr>
            <w:tcW w:w="659" w:type="dxa"/>
            <w:vMerge w:val="continue"/>
            <w:tcBorders>
              <w:top w:val="nil"/>
              <w:left w:val="single" w:color="auto" w:sz="4" w:space="0"/>
              <w:bottom w:val="single" w:color="auto" w:sz="4" w:space="0"/>
              <w:right w:val="single" w:color="auto" w:sz="4" w:space="0"/>
            </w:tcBorders>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株数</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材积</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株数</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材积</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株数</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材积</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株数</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材积</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株数</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材积</w:t>
            </w: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株数</w:t>
            </w: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材积</w:t>
            </w: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6</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8</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10</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12</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14</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16</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18</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20</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22</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24</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26</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28</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30</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32</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34</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36</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38</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40</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42</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44</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659" w:type="dxa"/>
            <w:tcBorders>
              <w:top w:val="nil"/>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合计</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13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平均直径</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08"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13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平均树高</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08"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r>
        <w:tblPrEx>
          <w:tblLayout w:type="fixed"/>
          <w:tblCellMar>
            <w:top w:w="0" w:type="dxa"/>
            <w:left w:w="108" w:type="dxa"/>
            <w:bottom w:w="0" w:type="dxa"/>
            <w:right w:w="108" w:type="dxa"/>
          </w:tblCellMar>
        </w:tblPrEx>
        <w:trPr>
          <w:trHeight w:val="369" w:hRule="exact"/>
        </w:trPr>
        <w:tc>
          <w:tcPr>
            <w:tcW w:w="13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r>
              <w:rPr>
                <w:rFonts w:eastAsiaTheme="majorEastAsia"/>
                <w:kern w:val="0"/>
                <w:sz w:val="18"/>
                <w:szCs w:val="18"/>
              </w:rPr>
              <w:t>每公顷蓄积</w:t>
            </w:r>
          </w:p>
        </w:tc>
        <w:tc>
          <w:tcPr>
            <w:tcW w:w="659" w:type="dxa"/>
            <w:tcBorders>
              <w:top w:val="nil"/>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c>
          <w:tcPr>
            <w:tcW w:w="1308" w:type="dxa"/>
            <w:gridSpan w:val="2"/>
            <w:tcBorders>
              <w:top w:val="single" w:color="auto" w:sz="4" w:space="0"/>
              <w:left w:val="nil"/>
              <w:bottom w:val="single" w:color="auto" w:sz="4" w:space="0"/>
              <w:right w:val="single" w:color="auto" w:sz="4" w:space="0"/>
            </w:tcBorders>
            <w:shd w:val="clear" w:color="auto" w:fill="auto"/>
            <w:vAlign w:val="center"/>
          </w:tcPr>
          <w:p>
            <w:pPr>
              <w:widowControl/>
              <w:overflowPunct w:val="0"/>
              <w:topLinePunct/>
              <w:snapToGrid w:val="0"/>
              <w:jc w:val="center"/>
              <w:rPr>
                <w:rFonts w:eastAsiaTheme="majorEastAsia"/>
                <w:kern w:val="0"/>
                <w:sz w:val="18"/>
                <w:szCs w:val="18"/>
              </w:rPr>
            </w:pPr>
          </w:p>
        </w:tc>
      </w:tr>
    </w:tbl>
    <w:p>
      <w:pPr>
        <w:overflowPunct w:val="0"/>
        <w:topLinePunct/>
        <w:rPr>
          <w:rFonts w:eastAsia="仿宋_GB2312"/>
          <w:sz w:val="18"/>
          <w:szCs w:val="18"/>
        </w:rPr>
      </w:pPr>
      <w:r>
        <w:rPr>
          <w:rFonts w:eastAsia="仿宋_GB2312"/>
          <w:sz w:val="18"/>
          <w:szCs w:val="18"/>
        </w:rPr>
        <w:t>计算：检查：年月日</w:t>
      </w:r>
    </w:p>
    <w:p>
      <w:pPr>
        <w:overflowPunct w:val="0"/>
        <w:topLinePunct/>
        <w:rPr>
          <w:sz w:val="18"/>
          <w:szCs w:val="18"/>
        </w:rPr>
      </w:pPr>
    </w:p>
    <w:p>
      <w:pPr>
        <w:overflowPunct w:val="0"/>
        <w:topLinePunct/>
        <w:rPr>
          <w:sz w:val="30"/>
          <w:szCs w:val="30"/>
        </w:rPr>
      </w:pPr>
    </w:p>
    <w:p>
      <w:pPr>
        <w:overflowPunct w:val="0"/>
        <w:topLinePunct/>
        <w:rPr>
          <w:sz w:val="30"/>
          <w:szCs w:val="30"/>
        </w:rPr>
      </w:pPr>
    </w:p>
    <w:p>
      <w:pPr>
        <w:overflowPunct w:val="0"/>
        <w:topLinePunct/>
        <w:rPr>
          <w:sz w:val="30"/>
          <w:szCs w:val="30"/>
        </w:rPr>
      </w:pPr>
    </w:p>
    <w:p>
      <w:pPr>
        <w:overflowPunct w:val="0"/>
        <w:topLinePunct/>
        <w:rPr>
          <w:sz w:val="30"/>
          <w:szCs w:val="30"/>
        </w:rPr>
      </w:pPr>
    </w:p>
    <w:p>
      <w:pPr>
        <w:overflowPunct w:val="0"/>
        <w:topLinePunct/>
        <w:rPr>
          <w:sz w:val="30"/>
          <w:szCs w:val="30"/>
        </w:rPr>
      </w:pPr>
    </w:p>
    <w:p>
      <w:pPr>
        <w:autoSpaceDE w:val="0"/>
        <w:autoSpaceDN w:val="0"/>
        <w:adjustRightInd w:val="0"/>
        <w:spacing w:line="360" w:lineRule="auto"/>
        <w:jc w:val="left"/>
        <w:rPr>
          <w:b/>
          <w:kern w:val="0"/>
          <w:sz w:val="28"/>
          <w:szCs w:val="28"/>
        </w:rPr>
      </w:pPr>
      <w:r>
        <w:rPr>
          <w:b/>
          <w:kern w:val="0"/>
          <w:sz w:val="28"/>
          <w:szCs w:val="28"/>
        </w:rPr>
        <w:t>GIS绘制小班施工设计图</w:t>
      </w:r>
    </w:p>
    <w:p>
      <w:pPr>
        <w:autoSpaceDE w:val="0"/>
        <w:autoSpaceDN w:val="0"/>
        <w:adjustRightInd w:val="0"/>
        <w:spacing w:line="360" w:lineRule="auto"/>
        <w:ind w:firstLine="480" w:firstLineChars="200"/>
        <w:jc w:val="left"/>
        <w:rPr>
          <w:kern w:val="0"/>
          <w:szCs w:val="24"/>
        </w:rPr>
      </w:pPr>
      <w:r>
        <w:rPr>
          <w:kern w:val="0"/>
          <w:szCs w:val="24"/>
        </w:rPr>
        <w:t>(1)以1:1万地形图和小班图为基本图，基于GIS绘制小班设计平面图，用A4图面，地形图透明度设置为50%。图名为：XX林场（乡镇）XX年度森林质量精准提升工程小班作业设计图。</w:t>
      </w:r>
    </w:p>
    <w:p>
      <w:pPr>
        <w:autoSpaceDE w:val="0"/>
        <w:autoSpaceDN w:val="0"/>
        <w:adjustRightInd w:val="0"/>
        <w:spacing w:line="360" w:lineRule="auto"/>
        <w:ind w:firstLine="480" w:firstLineChars="200"/>
        <w:jc w:val="left"/>
        <w:rPr>
          <w:kern w:val="0"/>
          <w:szCs w:val="24"/>
        </w:rPr>
      </w:pPr>
      <w:r>
        <w:rPr>
          <w:kern w:val="0"/>
          <w:szCs w:val="24"/>
        </w:rPr>
        <w:t>(2)图上小班分子式注记：</w:t>
      </w:r>
    </w:p>
    <w:p>
      <w:pPr>
        <w:widowControl/>
        <w:shd w:val="clear" w:color="auto" w:fill="FFFFFF"/>
        <w:spacing w:line="455" w:lineRule="atLeast"/>
        <w:ind w:firstLine="1820" w:firstLineChars="650"/>
        <w:jc w:val="left"/>
        <w:rPr>
          <w:rFonts w:eastAsia="微软雅黑"/>
          <w:kern w:val="0"/>
          <w:sz w:val="28"/>
          <w:szCs w:val="28"/>
          <w:u w:val="single"/>
        </w:rPr>
      </w:pPr>
      <w:r>
        <w:rPr>
          <w:rFonts w:eastAsia="微软雅黑"/>
          <w:kern w:val="0"/>
          <w:sz w:val="28"/>
          <w:szCs w:val="28"/>
          <w:u w:val="single"/>
        </w:rPr>
        <w:t>小班号—小班面积—现有树种</w:t>
      </w:r>
    </w:p>
    <w:p>
      <w:pPr>
        <w:widowControl/>
        <w:shd w:val="clear" w:color="auto" w:fill="FFFFFF"/>
        <w:spacing w:line="455" w:lineRule="atLeast"/>
        <w:ind w:firstLine="2240" w:firstLineChars="800"/>
        <w:jc w:val="left"/>
        <w:rPr>
          <w:rFonts w:eastAsia="微软雅黑"/>
          <w:kern w:val="0"/>
          <w:sz w:val="28"/>
          <w:szCs w:val="28"/>
        </w:rPr>
      </w:pPr>
      <w:r>
        <w:rPr>
          <w:rFonts w:eastAsia="微软雅黑"/>
          <w:kern w:val="0"/>
          <w:sz w:val="28"/>
          <w:szCs w:val="28"/>
        </w:rPr>
        <w:t>抚育方式—补植树种</w:t>
      </w:r>
    </w:p>
    <w:p>
      <w:pPr>
        <w:autoSpaceDE w:val="0"/>
        <w:autoSpaceDN w:val="0"/>
        <w:adjustRightInd w:val="0"/>
        <w:spacing w:line="360" w:lineRule="auto"/>
        <w:ind w:firstLine="480" w:firstLineChars="200"/>
        <w:jc w:val="left"/>
        <w:rPr>
          <w:kern w:val="0"/>
          <w:szCs w:val="24"/>
        </w:rPr>
      </w:pPr>
      <w:r>
        <w:rPr>
          <w:kern w:val="0"/>
          <w:szCs w:val="24"/>
        </w:rPr>
        <w:t>(3)小班着色：按现有主树种着色，杉木用浅绿色、马尾松水红色、湿地松浅黄色；小班透明度30%。</w:t>
      </w:r>
    </w:p>
    <w:p>
      <w:pPr>
        <w:autoSpaceDE w:val="0"/>
        <w:autoSpaceDN w:val="0"/>
        <w:adjustRightInd w:val="0"/>
        <w:spacing w:line="360" w:lineRule="auto"/>
        <w:ind w:firstLine="480" w:firstLineChars="200"/>
        <w:jc w:val="left"/>
        <w:rPr>
          <w:kern w:val="0"/>
          <w:szCs w:val="24"/>
        </w:rPr>
      </w:pPr>
      <w:r>
        <w:rPr>
          <w:kern w:val="0"/>
          <w:szCs w:val="24"/>
        </w:rPr>
        <w:t>(4)标明林班或工区名、图幅号、比例尺、制图单位与时间等基本因子。</w:t>
      </w:r>
    </w:p>
    <w:p>
      <w:pPr>
        <w:overflowPunct w:val="0"/>
        <w:topLinePunct/>
        <w:spacing w:afterLines="50"/>
        <w:jc w:val="center"/>
        <w:rPr>
          <w:rFonts w:eastAsia="黑体"/>
          <w:bCs/>
          <w:sz w:val="30"/>
          <w:szCs w:val="30"/>
        </w:rPr>
      </w:pPr>
      <w:r>
        <w:rPr>
          <w:rFonts w:eastAsia="黑体"/>
          <w:bCs/>
          <w:sz w:val="30"/>
          <w:szCs w:val="30"/>
        </w:rPr>
        <w:drawing>
          <wp:inline distT="0" distB="0" distL="114300" distR="114300">
            <wp:extent cx="4992370" cy="8162925"/>
            <wp:effectExtent l="0" t="0" r="8255" b="0"/>
            <wp:docPr id="1" name="图片 2" descr="F:\森林抚育\森林质量提升\正稿\改2模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森林抚育\森林质量提升\正稿\改2模板.jpg"/>
                    <pic:cNvPicPr>
                      <a:picLocks noChangeAspect="1" noChangeArrowheads="1"/>
                    </pic:cNvPicPr>
                  </pic:nvPicPr>
                  <pic:blipFill>
                    <a:blip r:embed="rId15" cstate="print"/>
                    <a:srcRect l="9230" r="4279"/>
                    <a:stretch>
                      <a:fillRect/>
                    </a:stretch>
                  </pic:blipFill>
                  <pic:spPr>
                    <a:xfrm>
                      <a:off x="0" y="0"/>
                      <a:ext cx="4992370" cy="8162925"/>
                    </a:xfrm>
                    <a:prstGeom prst="rect">
                      <a:avLst/>
                    </a:prstGeom>
                    <a:noFill/>
                    <a:ln>
                      <a:noFill/>
                    </a:ln>
                  </pic:spPr>
                </pic:pic>
              </a:graphicData>
            </a:graphic>
          </wp:inline>
        </w:drawing>
      </w:r>
    </w:p>
    <w:p>
      <w:pPr>
        <w:jc w:val="center"/>
        <w:rPr>
          <w:rFonts w:eastAsia="仿宋"/>
          <w:sz w:val="28"/>
          <w:szCs w:val="28"/>
        </w:rPr>
      </w:pPr>
      <w:r>
        <w:rPr>
          <w:rFonts w:eastAsia="仿宋"/>
          <w:sz w:val="28"/>
          <w:szCs w:val="28"/>
        </w:rPr>
        <w:t>（图纸样式）</w:t>
      </w:r>
    </w:p>
    <w:p>
      <w:pPr>
        <w:widowControl/>
        <w:jc w:val="left"/>
        <w:rPr>
          <w:b/>
          <w:bCs/>
          <w:kern w:val="0"/>
          <w:sz w:val="28"/>
          <w:szCs w:val="28"/>
        </w:rPr>
      </w:pPr>
    </w:p>
    <w:p>
      <w:pPr>
        <w:spacing w:beforeLines="50" w:afterLines="50"/>
        <w:jc w:val="center"/>
        <w:outlineLvl w:val="0"/>
        <w:rPr>
          <w:rFonts w:eastAsia="黑体"/>
          <w:bCs/>
          <w:sz w:val="28"/>
          <w:szCs w:val="28"/>
        </w:rPr>
      </w:pPr>
      <w:bookmarkStart w:id="655" w:name="_Toc10750"/>
      <w:bookmarkStart w:id="656" w:name="_Toc16191"/>
      <w:bookmarkStart w:id="657" w:name="_Toc26295"/>
      <w:bookmarkStart w:id="658" w:name="_Toc53584411"/>
      <w:bookmarkStart w:id="659" w:name="_Toc32725"/>
      <w:r>
        <w:rPr>
          <w:rFonts w:eastAsia="黑体"/>
          <w:bCs/>
          <w:sz w:val="28"/>
          <w:szCs w:val="28"/>
        </w:rPr>
        <w:t>附录3：森林质量提升建设成效评价标准表</w:t>
      </w:r>
      <w:bookmarkEnd w:id="655"/>
      <w:bookmarkEnd w:id="656"/>
      <w:bookmarkEnd w:id="657"/>
      <w:bookmarkEnd w:id="658"/>
      <w:bookmarkEnd w:id="659"/>
    </w:p>
    <w:tbl>
      <w:tblPr>
        <w:tblStyle w:val="18"/>
        <w:tblW w:w="8389" w:type="dxa"/>
        <w:tblInd w:w="0" w:type="dxa"/>
        <w:tblLayout w:type="fixed"/>
        <w:tblCellMar>
          <w:top w:w="0" w:type="dxa"/>
          <w:left w:w="28" w:type="dxa"/>
          <w:bottom w:w="0" w:type="dxa"/>
          <w:right w:w="28" w:type="dxa"/>
        </w:tblCellMar>
      </w:tblPr>
      <w:tblGrid>
        <w:gridCol w:w="1572"/>
        <w:gridCol w:w="1621"/>
        <w:gridCol w:w="735"/>
        <w:gridCol w:w="3434"/>
        <w:gridCol w:w="1027"/>
      </w:tblGrid>
      <w:tr>
        <w:tblPrEx>
          <w:tblLayout w:type="fixed"/>
          <w:tblCellMar>
            <w:top w:w="0" w:type="dxa"/>
            <w:left w:w="28" w:type="dxa"/>
            <w:bottom w:w="0" w:type="dxa"/>
            <w:right w:w="28" w:type="dxa"/>
          </w:tblCellMar>
        </w:tblPrEx>
        <w:trPr>
          <w:trHeight w:val="620" w:hRule="atLeast"/>
        </w:trPr>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bCs/>
                <w:kern w:val="0"/>
                <w:sz w:val="21"/>
                <w:szCs w:val="21"/>
              </w:rPr>
            </w:pPr>
            <w:r>
              <w:rPr>
                <w:b/>
                <w:bCs/>
                <w:kern w:val="0"/>
                <w:sz w:val="21"/>
                <w:szCs w:val="21"/>
              </w:rPr>
              <w:t>评价项目</w:t>
            </w:r>
          </w:p>
        </w:tc>
        <w:tc>
          <w:tcPr>
            <w:tcW w:w="1621"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kern w:val="0"/>
                <w:sz w:val="21"/>
                <w:szCs w:val="21"/>
              </w:rPr>
            </w:pPr>
            <w:r>
              <w:rPr>
                <w:b/>
                <w:bCs/>
                <w:kern w:val="0"/>
                <w:sz w:val="21"/>
                <w:szCs w:val="21"/>
              </w:rPr>
              <w:t>　</w:t>
            </w:r>
          </w:p>
        </w:tc>
        <w:tc>
          <w:tcPr>
            <w:tcW w:w="735"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kern w:val="0"/>
                <w:sz w:val="21"/>
                <w:szCs w:val="21"/>
              </w:rPr>
            </w:pPr>
            <w:r>
              <w:rPr>
                <w:b/>
                <w:bCs/>
                <w:kern w:val="0"/>
                <w:sz w:val="21"/>
                <w:szCs w:val="21"/>
              </w:rPr>
              <w:t>标准分</w:t>
            </w:r>
          </w:p>
        </w:tc>
        <w:tc>
          <w:tcPr>
            <w:tcW w:w="3434"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kern w:val="0"/>
                <w:sz w:val="21"/>
                <w:szCs w:val="21"/>
              </w:rPr>
            </w:pPr>
            <w:r>
              <w:rPr>
                <w:b/>
                <w:bCs/>
                <w:kern w:val="0"/>
                <w:sz w:val="21"/>
                <w:szCs w:val="21"/>
              </w:rPr>
              <w:t>检查方法及评分标准</w:t>
            </w:r>
          </w:p>
        </w:tc>
        <w:tc>
          <w:tcPr>
            <w:tcW w:w="1027"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kern w:val="0"/>
                <w:sz w:val="21"/>
                <w:szCs w:val="21"/>
              </w:rPr>
            </w:pPr>
            <w:r>
              <w:rPr>
                <w:b/>
                <w:bCs/>
                <w:kern w:val="0"/>
                <w:sz w:val="21"/>
                <w:szCs w:val="21"/>
              </w:rPr>
              <w:t>备注</w:t>
            </w:r>
          </w:p>
        </w:tc>
      </w:tr>
      <w:tr>
        <w:tblPrEx>
          <w:tblLayout w:type="fixed"/>
          <w:tblCellMar>
            <w:top w:w="0" w:type="dxa"/>
            <w:left w:w="28" w:type="dxa"/>
            <w:bottom w:w="0" w:type="dxa"/>
            <w:right w:w="28" w:type="dxa"/>
          </w:tblCellMar>
        </w:tblPrEx>
        <w:trPr>
          <w:trHeight w:val="620" w:hRule="atLeast"/>
        </w:trPr>
        <w:tc>
          <w:tcPr>
            <w:tcW w:w="157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kern w:val="0"/>
                <w:sz w:val="21"/>
                <w:szCs w:val="21"/>
              </w:rPr>
            </w:pPr>
            <w:r>
              <w:rPr>
                <w:kern w:val="0"/>
                <w:sz w:val="21"/>
                <w:szCs w:val="21"/>
              </w:rPr>
              <w:t>（一）档案完整性（18分）</w:t>
            </w: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实施方案</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符合要求得满分，缺失项目酌情扣分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1"/>
                <w:szCs w:val="21"/>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作业设计</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符合要求得满分，缺失项目酌情扣分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不需设计的不扣分</w:t>
            </w: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1"/>
                <w:szCs w:val="21"/>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审批文件</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符合要求得满分，缺失项目酌情扣分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1"/>
                <w:szCs w:val="21"/>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施工文件</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符合要求得满分，缺失项目酌情扣分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1"/>
                <w:szCs w:val="21"/>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验收文件</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符合要求得满分，缺失项目酌情扣分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1"/>
                <w:szCs w:val="21"/>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财务凭证</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符合要求得满分，缺失项目酌情扣分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p>
        </w:tc>
      </w:tr>
      <w:tr>
        <w:tblPrEx>
          <w:tblLayout w:type="fixed"/>
          <w:tblCellMar>
            <w:top w:w="0" w:type="dxa"/>
            <w:left w:w="28" w:type="dxa"/>
            <w:bottom w:w="0" w:type="dxa"/>
            <w:right w:w="28" w:type="dxa"/>
          </w:tblCellMar>
        </w:tblPrEx>
        <w:trPr>
          <w:trHeight w:val="620" w:hRule="atLeast"/>
        </w:trPr>
        <w:tc>
          <w:tcPr>
            <w:tcW w:w="157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kern w:val="0"/>
                <w:sz w:val="22"/>
                <w:szCs w:val="22"/>
              </w:rPr>
            </w:pPr>
            <w:r>
              <w:rPr>
                <w:kern w:val="0"/>
                <w:sz w:val="22"/>
                <w:szCs w:val="22"/>
              </w:rPr>
              <w:t>（二）施工质量（70分）</w:t>
            </w: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作业面积和位置</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17</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完全符合设计得满分，不符合酌情扣分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2"/>
                <w:szCs w:val="22"/>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作业措施</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17</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完全符合设计得满分，不符合酌情扣分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28" w:type="dxa"/>
            <w:bottom w:w="0" w:type="dxa"/>
            <w:right w:w="28" w:type="dxa"/>
          </w:tblCellMar>
        </w:tblPrEx>
        <w:trPr>
          <w:trHeight w:val="772"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2"/>
                <w:szCs w:val="22"/>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保留林分密度（郁闭度）</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12</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完全符合设计得满分，不符合酌情扣分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2"/>
                <w:szCs w:val="22"/>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补植树种及个数</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12</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完全符合设计得满分，不符合酌情扣分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2"/>
                <w:szCs w:val="22"/>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种苗质量</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12</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完全符合设计得满分，不符合酌情扣分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28" w:type="dxa"/>
            <w:bottom w:w="0" w:type="dxa"/>
            <w:right w:w="28" w:type="dxa"/>
          </w:tblCellMar>
        </w:tblPrEx>
        <w:trPr>
          <w:trHeight w:val="620" w:hRule="atLeast"/>
        </w:trPr>
        <w:tc>
          <w:tcPr>
            <w:tcW w:w="157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kern w:val="0"/>
                <w:sz w:val="22"/>
                <w:szCs w:val="22"/>
              </w:rPr>
            </w:pPr>
            <w:r>
              <w:rPr>
                <w:kern w:val="0"/>
                <w:sz w:val="22"/>
                <w:szCs w:val="22"/>
              </w:rPr>
              <w:t>（三）环保与安全（12分）</w:t>
            </w: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场地卫生状况</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有废弃物未处理或运出扣1分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2"/>
                <w:szCs w:val="22"/>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水土流失状况</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出现冲刷、严重侵蚀现象得0分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28" w:type="dxa"/>
            <w:bottom w:w="0" w:type="dxa"/>
            <w:right w:w="28" w:type="dxa"/>
          </w:tblCellMar>
        </w:tblPrEx>
        <w:trPr>
          <w:trHeight w:val="620"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2"/>
                <w:szCs w:val="22"/>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人身安全</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发生人生安全事故得0分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28" w:type="dxa"/>
            <w:bottom w:w="0" w:type="dxa"/>
            <w:right w:w="28" w:type="dxa"/>
          </w:tblCellMar>
        </w:tblPrEx>
        <w:trPr>
          <w:trHeight w:val="823" w:hRule="atLeast"/>
        </w:trPr>
        <w:tc>
          <w:tcPr>
            <w:tcW w:w="1572" w:type="dxa"/>
            <w:vMerge w:val="continue"/>
            <w:tcBorders>
              <w:top w:val="nil"/>
              <w:left w:val="single" w:color="auto" w:sz="4" w:space="0"/>
              <w:bottom w:val="single" w:color="000000" w:sz="4" w:space="0"/>
              <w:right w:val="single" w:color="auto" w:sz="4" w:space="0"/>
            </w:tcBorders>
            <w:vAlign w:val="center"/>
          </w:tcPr>
          <w:p>
            <w:pPr>
              <w:widowControl/>
              <w:jc w:val="left"/>
              <w:rPr>
                <w:kern w:val="0"/>
                <w:sz w:val="22"/>
                <w:szCs w:val="22"/>
              </w:rPr>
            </w:pPr>
          </w:p>
        </w:tc>
        <w:tc>
          <w:tcPr>
            <w:tcW w:w="1621"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生物多样性保护</w:t>
            </w:r>
          </w:p>
        </w:tc>
        <w:tc>
          <w:tcPr>
            <w:tcW w:w="735" w:type="dxa"/>
            <w:tcBorders>
              <w:top w:val="nil"/>
              <w:left w:val="nil"/>
              <w:bottom w:val="single" w:color="auto" w:sz="4" w:space="0"/>
              <w:right w:val="single" w:color="auto" w:sz="4" w:space="0"/>
            </w:tcBorders>
            <w:shd w:val="clear" w:color="auto" w:fill="auto"/>
            <w:vAlign w:val="center"/>
          </w:tcPr>
          <w:p>
            <w:pPr>
              <w:widowControl/>
              <w:jc w:val="center"/>
              <w:rPr>
                <w:kern w:val="0"/>
                <w:sz w:val="21"/>
                <w:szCs w:val="21"/>
              </w:rPr>
            </w:pPr>
            <w:r>
              <w:rPr>
                <w:kern w:val="0"/>
                <w:sz w:val="21"/>
                <w:szCs w:val="21"/>
              </w:rPr>
              <w:t>3</w:t>
            </w:r>
          </w:p>
        </w:tc>
        <w:tc>
          <w:tcPr>
            <w:tcW w:w="343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生物多样性降低或重点保护野生动植物破坏得0分</w:t>
            </w:r>
          </w:p>
        </w:tc>
        <w:tc>
          <w:tcPr>
            <w:tcW w:w="102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bl>
    <w:p/>
    <w:p/>
    <w:p/>
    <w:p>
      <w:pPr>
        <w:widowControl/>
        <w:spacing w:line="360" w:lineRule="auto"/>
        <w:ind w:firstLine="560" w:firstLineChars="200"/>
        <w:jc w:val="left"/>
        <w:rPr>
          <w:kern w:val="0"/>
          <w:sz w:val="28"/>
          <w:szCs w:val="28"/>
        </w:rPr>
      </w:pPr>
    </w:p>
    <w:p>
      <w:pPr>
        <w:spacing w:line="360" w:lineRule="auto"/>
      </w:pPr>
    </w:p>
    <w:p>
      <w:pPr>
        <w:widowControl/>
        <w:spacing w:line="360" w:lineRule="auto"/>
        <w:ind w:firstLine="560" w:firstLineChars="200"/>
        <w:jc w:val="left"/>
        <w:rPr>
          <w:kern w:val="0"/>
          <w:sz w:val="28"/>
          <w:szCs w:val="28"/>
        </w:rPr>
      </w:pPr>
    </w:p>
    <w:p>
      <w:pPr>
        <w:widowControl/>
        <w:spacing w:line="360" w:lineRule="auto"/>
        <w:ind w:firstLine="560" w:firstLineChars="200"/>
        <w:jc w:val="left"/>
        <w:rPr>
          <w:kern w:val="0"/>
          <w:sz w:val="28"/>
          <w:szCs w:val="28"/>
        </w:rPr>
        <w:sectPr>
          <w:footerReference r:id="rId12" w:type="default"/>
          <w:pgSz w:w="11906" w:h="16838"/>
          <w:pgMar w:top="1417" w:right="1418" w:bottom="1417" w:left="1701" w:header="851" w:footer="992" w:gutter="454"/>
          <w:pgNumType w:start="1"/>
          <w:cols w:space="720" w:num="1"/>
          <w:docGrid w:linePitch="312" w:charSpace="0"/>
        </w:sectPr>
      </w:pPr>
    </w:p>
    <w:p>
      <w:pPr>
        <w:widowControl/>
        <w:jc w:val="center"/>
        <w:outlineLvl w:val="0"/>
        <w:rPr>
          <w:rFonts w:eastAsia="黑体"/>
          <w:bCs/>
          <w:kern w:val="0"/>
          <w:sz w:val="28"/>
          <w:szCs w:val="28"/>
        </w:rPr>
      </w:pPr>
      <w:bookmarkStart w:id="660" w:name="_Toc25880"/>
      <w:bookmarkStart w:id="661" w:name="_Toc17213"/>
      <w:bookmarkStart w:id="662" w:name="_Toc26374"/>
      <w:bookmarkStart w:id="663" w:name="_Toc21417"/>
      <w:r>
        <w:rPr>
          <w:rFonts w:eastAsia="黑体"/>
          <w:bCs/>
          <w:sz w:val="28"/>
          <w:szCs w:val="28"/>
        </w:rPr>
        <w:t>附录4：</w:t>
      </w:r>
      <w:r>
        <w:rPr>
          <w:rFonts w:eastAsia="黑体"/>
          <w:bCs/>
          <w:kern w:val="0"/>
          <w:sz w:val="28"/>
          <w:szCs w:val="28"/>
        </w:rPr>
        <w:t>森林质量精准提升典型模式设计参考表</w:t>
      </w:r>
      <w:bookmarkEnd w:id="660"/>
      <w:bookmarkEnd w:id="661"/>
      <w:bookmarkEnd w:id="662"/>
      <w:bookmarkEnd w:id="663"/>
    </w:p>
    <w:tbl>
      <w:tblPr>
        <w:tblStyle w:val="18"/>
        <w:tblW w:w="8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613"/>
        <w:gridCol w:w="668"/>
        <w:gridCol w:w="934"/>
        <w:gridCol w:w="2485"/>
        <w:gridCol w:w="3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blHeader/>
        </w:trPr>
        <w:tc>
          <w:tcPr>
            <w:tcW w:w="613" w:type="dxa"/>
            <w:vAlign w:val="center"/>
          </w:tcPr>
          <w:p>
            <w:pPr>
              <w:jc w:val="center"/>
              <w:rPr>
                <w:rStyle w:val="20"/>
                <w:rFonts w:ascii="Times New Roman" w:hAnsi="Times New Roman" w:cs="Times New Roman"/>
                <w:sz w:val="18"/>
                <w:szCs w:val="18"/>
              </w:rPr>
            </w:pPr>
            <w:bookmarkStart w:id="664" w:name="_Toc63068338"/>
            <w:bookmarkStart w:id="665" w:name="_Toc63068479"/>
            <w:bookmarkStart w:id="666" w:name="_Toc1656"/>
            <w:bookmarkStart w:id="667" w:name="_Toc30271"/>
            <w:bookmarkStart w:id="668" w:name="_Toc25425"/>
            <w:bookmarkStart w:id="669" w:name="_Toc24607"/>
            <w:r>
              <w:rPr>
                <w:rStyle w:val="20"/>
                <w:rFonts w:ascii="Times New Roman" w:hAnsi="Times New Roman" w:cs="Times New Roman"/>
                <w:sz w:val="18"/>
                <w:szCs w:val="18"/>
              </w:rPr>
              <w:t>设计模式</w:t>
            </w:r>
            <w:bookmarkEnd w:id="664"/>
            <w:bookmarkEnd w:id="665"/>
          </w:p>
          <w:bookmarkEnd w:id="666"/>
          <w:bookmarkEnd w:id="667"/>
          <w:bookmarkEnd w:id="668"/>
          <w:bookmarkEnd w:id="669"/>
        </w:tc>
        <w:tc>
          <w:tcPr>
            <w:tcW w:w="668" w:type="dxa"/>
            <w:vAlign w:val="center"/>
          </w:tcPr>
          <w:p>
            <w:pPr>
              <w:jc w:val="center"/>
              <w:rPr>
                <w:rStyle w:val="20"/>
                <w:rFonts w:ascii="Times New Roman" w:hAnsi="Times New Roman" w:cs="Times New Roman"/>
                <w:sz w:val="18"/>
                <w:szCs w:val="18"/>
              </w:rPr>
            </w:pPr>
            <w:r>
              <w:rPr>
                <w:b/>
                <w:sz w:val="18"/>
                <w:szCs w:val="18"/>
              </w:rPr>
              <w:t>适用林分</w:t>
            </w:r>
          </w:p>
        </w:tc>
        <w:tc>
          <w:tcPr>
            <w:tcW w:w="934" w:type="dxa"/>
            <w:vAlign w:val="center"/>
          </w:tcPr>
          <w:p>
            <w:pPr>
              <w:jc w:val="center"/>
              <w:rPr>
                <w:rStyle w:val="20"/>
                <w:rFonts w:ascii="Times New Roman" w:hAnsi="Times New Roman" w:cs="Times New Roman"/>
                <w:sz w:val="18"/>
                <w:szCs w:val="18"/>
              </w:rPr>
            </w:pPr>
            <w:r>
              <w:rPr>
                <w:b/>
                <w:sz w:val="18"/>
                <w:szCs w:val="18"/>
              </w:rPr>
              <w:t>主导功能</w:t>
            </w:r>
          </w:p>
        </w:tc>
        <w:tc>
          <w:tcPr>
            <w:tcW w:w="2485" w:type="dxa"/>
            <w:vAlign w:val="center"/>
          </w:tcPr>
          <w:p>
            <w:pPr>
              <w:jc w:val="center"/>
              <w:rPr>
                <w:rStyle w:val="20"/>
                <w:rFonts w:ascii="Times New Roman" w:hAnsi="Times New Roman" w:cs="Times New Roman"/>
                <w:sz w:val="18"/>
                <w:szCs w:val="18"/>
              </w:rPr>
            </w:pPr>
            <w:r>
              <w:rPr>
                <w:b/>
                <w:sz w:val="18"/>
                <w:szCs w:val="18"/>
              </w:rPr>
              <w:t>目标林相</w:t>
            </w:r>
          </w:p>
        </w:tc>
        <w:tc>
          <w:tcPr>
            <w:tcW w:w="3656" w:type="dxa"/>
            <w:vAlign w:val="center"/>
          </w:tcPr>
          <w:p>
            <w:pPr>
              <w:jc w:val="center"/>
              <w:rPr>
                <w:rStyle w:val="20"/>
                <w:rFonts w:ascii="Times New Roman" w:hAnsi="Times New Roman" w:cs="Times New Roman"/>
                <w:sz w:val="18"/>
                <w:szCs w:val="18"/>
              </w:rPr>
            </w:pPr>
            <w:bookmarkStart w:id="670" w:name="_Toc63068480"/>
            <w:bookmarkStart w:id="671" w:name="_Toc63068339"/>
            <w:bookmarkStart w:id="672" w:name="_Toc32588"/>
            <w:bookmarkStart w:id="673" w:name="_Toc29911"/>
            <w:bookmarkStart w:id="674" w:name="_Toc26577"/>
            <w:bookmarkStart w:id="675" w:name="_Toc24648"/>
            <w:r>
              <w:rPr>
                <w:rStyle w:val="20"/>
                <w:rFonts w:ascii="Times New Roman" w:hAnsi="Times New Roman" w:cs="Times New Roman"/>
                <w:sz w:val="18"/>
                <w:szCs w:val="18"/>
              </w:rPr>
              <w:t>主要技术措施</w:t>
            </w:r>
            <w:bookmarkEnd w:id="670"/>
            <w:bookmarkEnd w:id="671"/>
          </w:p>
          <w:bookmarkEnd w:id="672"/>
          <w:bookmarkEnd w:id="673"/>
          <w:bookmarkEnd w:id="674"/>
          <w:bookmarkEnd w:id="675"/>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613" w:type="dxa"/>
            <w:vAlign w:val="center"/>
          </w:tcPr>
          <w:p>
            <w:pPr>
              <w:jc w:val="center"/>
              <w:rPr>
                <w:rStyle w:val="20"/>
                <w:rFonts w:ascii="Times New Roman" w:hAnsi="Times New Roman" w:cs="Times New Roman"/>
                <w:b w:val="0"/>
                <w:sz w:val="18"/>
                <w:szCs w:val="18"/>
              </w:rPr>
            </w:pPr>
            <w:r>
              <w:rPr>
                <w:sz w:val="18"/>
                <w:szCs w:val="18"/>
              </w:rPr>
              <w:t>杉木人工林大径材经 营</w:t>
            </w:r>
          </w:p>
        </w:tc>
        <w:tc>
          <w:tcPr>
            <w:tcW w:w="668" w:type="dxa"/>
            <w:vAlign w:val="center"/>
          </w:tcPr>
          <w:p>
            <w:pPr>
              <w:jc w:val="center"/>
              <w:rPr>
                <w:rStyle w:val="20"/>
                <w:rFonts w:ascii="Times New Roman" w:hAnsi="Times New Roman" w:cs="Times New Roman"/>
                <w:b w:val="0"/>
                <w:sz w:val="18"/>
                <w:szCs w:val="18"/>
              </w:rPr>
            </w:pPr>
            <w:r>
              <w:rPr>
                <w:sz w:val="18"/>
                <w:szCs w:val="18"/>
              </w:rPr>
              <w:t>杉木人工林</w:t>
            </w:r>
          </w:p>
        </w:tc>
        <w:tc>
          <w:tcPr>
            <w:tcW w:w="934" w:type="dxa"/>
            <w:vAlign w:val="center"/>
          </w:tcPr>
          <w:p>
            <w:pPr>
              <w:rPr>
                <w:rStyle w:val="20"/>
                <w:rFonts w:ascii="Times New Roman" w:hAnsi="Times New Roman" w:cs="Times New Roman"/>
                <w:b w:val="0"/>
                <w:sz w:val="18"/>
                <w:szCs w:val="18"/>
              </w:rPr>
            </w:pPr>
            <w:r>
              <w:rPr>
                <w:sz w:val="18"/>
                <w:szCs w:val="18"/>
              </w:rPr>
              <w:t>以培育杉木大径材为主，兼顾发挥水源涵养等生态服务功能的杉木人工林。</w:t>
            </w:r>
          </w:p>
        </w:tc>
        <w:tc>
          <w:tcPr>
            <w:tcW w:w="2485" w:type="dxa"/>
            <w:vAlign w:val="center"/>
          </w:tcPr>
          <w:p>
            <w:pPr>
              <w:rPr>
                <w:rStyle w:val="20"/>
                <w:rFonts w:ascii="Times New Roman" w:hAnsi="Times New Roman" w:cs="Times New Roman"/>
                <w:b w:val="0"/>
                <w:sz w:val="18"/>
                <w:szCs w:val="18"/>
              </w:rPr>
            </w:pPr>
            <w:r>
              <w:rPr>
                <w:sz w:val="18"/>
                <w:szCs w:val="18"/>
              </w:rPr>
              <w:t>异龄复层杉阔混交林。 林分最终保留密度200～300株/公顷，其中目标树的密度120～180株/公顷。林分经营周期≥150年；杉木生长周期≥41年，目标直径≥45厘米；赤皮青冈、闽楠、栎类等珍贵阔叶树种生长周期≥51年，目标直径≥40厘米。目标蓄积250～400立方米/公顷。</w:t>
            </w:r>
          </w:p>
        </w:tc>
        <w:tc>
          <w:tcPr>
            <w:tcW w:w="3656" w:type="dxa"/>
            <w:vAlign w:val="center"/>
          </w:tcPr>
          <w:p>
            <w:pPr>
              <w:rPr>
                <w:sz w:val="18"/>
                <w:szCs w:val="18"/>
              </w:rPr>
            </w:pPr>
            <w:r>
              <w:rPr>
                <w:sz w:val="18"/>
                <w:szCs w:val="18"/>
              </w:rPr>
              <w:t>11至20年的林分开展疏伐1-2次，间隔4-5年，保留株数900-1300株/公顷，促进林木快速生长形成优良干材。标记培育目标树250-300株/公顷。林冠下均匀保留珍贵树种，补植闽楠、赤皮青冈、栎类等树种，补植株数不超过450株/公顷，对冠下更新的幼树幼苗及时抚育。</w:t>
            </w:r>
          </w:p>
          <w:p>
            <w:pPr>
              <w:rPr>
                <w:rStyle w:val="20"/>
                <w:rFonts w:ascii="Times New Roman" w:hAnsi="Times New Roman" w:cs="Times New Roman"/>
                <w:b w:val="0"/>
                <w:sz w:val="18"/>
                <w:szCs w:val="18"/>
              </w:rPr>
            </w:pPr>
            <w:r>
              <w:rPr>
                <w:sz w:val="18"/>
                <w:szCs w:val="18"/>
              </w:rPr>
              <w:t>20至25年的林分实施实施疏伐1次，伐后保留林分密度600-900株/公顷（其中标记培育目标树220-250株/公顷）。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613" w:type="dxa"/>
            <w:vAlign w:val="center"/>
          </w:tcPr>
          <w:p>
            <w:pPr>
              <w:jc w:val="center"/>
              <w:rPr>
                <w:sz w:val="18"/>
                <w:szCs w:val="18"/>
              </w:rPr>
            </w:pPr>
            <w:r>
              <w:rPr>
                <w:sz w:val="18"/>
                <w:szCs w:val="18"/>
              </w:rPr>
              <w:t>马尾松大径材经 营</w:t>
            </w:r>
          </w:p>
          <w:p>
            <w:pPr>
              <w:jc w:val="center"/>
              <w:rPr>
                <w:bCs/>
                <w:sz w:val="18"/>
                <w:szCs w:val="18"/>
              </w:rPr>
            </w:pPr>
          </w:p>
        </w:tc>
        <w:tc>
          <w:tcPr>
            <w:tcW w:w="668" w:type="dxa"/>
            <w:vAlign w:val="center"/>
          </w:tcPr>
          <w:p>
            <w:pPr>
              <w:jc w:val="center"/>
              <w:rPr>
                <w:bCs/>
                <w:sz w:val="18"/>
                <w:szCs w:val="18"/>
              </w:rPr>
            </w:pPr>
            <w:r>
              <w:rPr>
                <w:sz w:val="18"/>
                <w:szCs w:val="18"/>
              </w:rPr>
              <w:t>马尾松人工林</w:t>
            </w:r>
          </w:p>
        </w:tc>
        <w:tc>
          <w:tcPr>
            <w:tcW w:w="934" w:type="dxa"/>
            <w:vAlign w:val="center"/>
          </w:tcPr>
          <w:p>
            <w:pPr>
              <w:rPr>
                <w:rStyle w:val="20"/>
                <w:rFonts w:ascii="Times New Roman" w:hAnsi="Times New Roman" w:cs="Times New Roman"/>
                <w:b w:val="0"/>
                <w:sz w:val="18"/>
                <w:szCs w:val="18"/>
              </w:rPr>
            </w:pPr>
            <w:r>
              <w:rPr>
                <w:sz w:val="18"/>
                <w:szCs w:val="18"/>
              </w:rPr>
              <w:t>以培育马尾松大径材、大径级珍贵用材为主兼顾水源涵养、森林景观美化。</w:t>
            </w:r>
          </w:p>
        </w:tc>
        <w:tc>
          <w:tcPr>
            <w:tcW w:w="2485" w:type="dxa"/>
            <w:vAlign w:val="center"/>
          </w:tcPr>
          <w:p>
            <w:pPr>
              <w:rPr>
                <w:rStyle w:val="20"/>
                <w:rFonts w:ascii="Times New Roman" w:hAnsi="Times New Roman" w:cs="Times New Roman"/>
                <w:b w:val="0"/>
                <w:sz w:val="18"/>
                <w:szCs w:val="18"/>
              </w:rPr>
            </w:pPr>
            <w:r>
              <w:rPr>
                <w:sz w:val="18"/>
                <w:szCs w:val="18"/>
              </w:rPr>
              <w:t>马尾松珍贵阔叶异龄复层混交林。目的树种为马尾松及青冈、白栎、黄檀等珍贵阔叶树种，林分最终保留密度为200～300株/公顷，目标树密度为120～150株/公顷。林分的经营周期≥120年；马尾松及青冈等阔叶树生长周期≥61年，目标直径≥50厘米。目标蓄积量300～450立方米/公顷。</w:t>
            </w:r>
          </w:p>
        </w:tc>
        <w:tc>
          <w:tcPr>
            <w:tcW w:w="3656" w:type="dxa"/>
            <w:vAlign w:val="center"/>
          </w:tcPr>
          <w:p>
            <w:pPr>
              <w:rPr>
                <w:sz w:val="18"/>
                <w:szCs w:val="18"/>
              </w:rPr>
            </w:pPr>
            <w:r>
              <w:rPr>
                <w:sz w:val="18"/>
                <w:szCs w:val="18"/>
              </w:rPr>
              <w:t>11到20年的林分实施1-2次疏伐，割除影响马尾松、青冈等生长的非目的树种和灌木、藤本，去除枯死枝及濒死枝，伐后保留林分密度800-1200株/公顷。选择标记培育目标树250株/公顷。</w:t>
            </w:r>
          </w:p>
          <w:p>
            <w:pPr>
              <w:rPr>
                <w:bCs/>
                <w:sz w:val="18"/>
                <w:szCs w:val="18"/>
              </w:rPr>
            </w:pPr>
            <w:r>
              <w:rPr>
                <w:sz w:val="18"/>
                <w:szCs w:val="18"/>
              </w:rPr>
              <w:t>21-25年的林分进行疏伐1-2次，间隔5-6年，伐后修枝，促进林木快速生长形成优良干材，伐后保留林分密度500-800株/公顷（培育目标树200-230株/公顷）。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2642" w:hRule="atLeast"/>
        </w:trPr>
        <w:tc>
          <w:tcPr>
            <w:tcW w:w="613" w:type="dxa"/>
            <w:vAlign w:val="center"/>
          </w:tcPr>
          <w:p>
            <w:pPr>
              <w:jc w:val="center"/>
              <w:rPr>
                <w:rStyle w:val="20"/>
                <w:rFonts w:ascii="Times New Roman" w:hAnsi="Times New Roman" w:cs="Times New Roman"/>
                <w:b w:val="0"/>
                <w:sz w:val="18"/>
                <w:szCs w:val="18"/>
              </w:rPr>
            </w:pPr>
            <w:r>
              <w:rPr>
                <w:sz w:val="18"/>
                <w:szCs w:val="18"/>
              </w:rPr>
              <w:t>马尾松脂材兼用林经营</w:t>
            </w:r>
          </w:p>
        </w:tc>
        <w:tc>
          <w:tcPr>
            <w:tcW w:w="668" w:type="dxa"/>
            <w:vAlign w:val="center"/>
          </w:tcPr>
          <w:p>
            <w:pPr>
              <w:jc w:val="center"/>
              <w:rPr>
                <w:bCs/>
                <w:sz w:val="18"/>
                <w:szCs w:val="18"/>
              </w:rPr>
            </w:pPr>
            <w:r>
              <w:rPr>
                <w:sz w:val="18"/>
                <w:szCs w:val="18"/>
              </w:rPr>
              <w:t>脂材兼用的马尾松人工林</w:t>
            </w:r>
          </w:p>
        </w:tc>
        <w:tc>
          <w:tcPr>
            <w:tcW w:w="934" w:type="dxa"/>
            <w:vAlign w:val="center"/>
          </w:tcPr>
          <w:p>
            <w:pPr>
              <w:rPr>
                <w:bCs/>
                <w:sz w:val="18"/>
                <w:szCs w:val="18"/>
              </w:rPr>
            </w:pPr>
            <w:r>
              <w:rPr>
                <w:sz w:val="18"/>
                <w:szCs w:val="18"/>
              </w:rPr>
              <w:t>以用材为主，兼顾松脂生产。</w:t>
            </w:r>
          </w:p>
        </w:tc>
        <w:tc>
          <w:tcPr>
            <w:tcW w:w="2485" w:type="dxa"/>
            <w:vAlign w:val="center"/>
          </w:tcPr>
          <w:p>
            <w:pPr>
              <w:rPr>
                <w:rStyle w:val="20"/>
                <w:rFonts w:ascii="Times New Roman" w:hAnsi="Times New Roman" w:cs="Times New Roman"/>
                <w:b w:val="0"/>
                <w:sz w:val="18"/>
                <w:szCs w:val="18"/>
              </w:rPr>
            </w:pPr>
            <w:r>
              <w:rPr>
                <w:sz w:val="18"/>
                <w:szCs w:val="18"/>
              </w:rPr>
              <w:t>马尾松—红锥、青冈、黄檀等乡土珍贵树种异龄复层混交林。</w:t>
            </w:r>
          </w:p>
        </w:tc>
        <w:tc>
          <w:tcPr>
            <w:tcW w:w="3656" w:type="dxa"/>
            <w:vAlign w:val="center"/>
          </w:tcPr>
          <w:p>
            <w:pPr>
              <w:rPr>
                <w:rStyle w:val="20"/>
                <w:rFonts w:ascii="Times New Roman" w:hAnsi="Times New Roman" w:cs="Times New Roman"/>
                <w:b w:val="0"/>
                <w:sz w:val="18"/>
                <w:szCs w:val="18"/>
              </w:rPr>
            </w:pPr>
            <w:r>
              <w:rPr>
                <w:sz w:val="18"/>
                <w:szCs w:val="18"/>
              </w:rPr>
              <w:t>林龄约16年左右，开始选择并标记目标树、选择间伐木。保留立木密度600株/公顷，其中目标树90株/公顷、采脂树510株/公顷。马尾松目标树和珍贵树种大径材的目标直径60cm以上。林下补植在产脂树采伐完成后尽快开展。选择耐阴性较强、价值较高红锥、青冈、黄檀等乡土珍贵树种，补植总株数每公顷350株－450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3519" w:hRule="atLeast"/>
        </w:trPr>
        <w:tc>
          <w:tcPr>
            <w:tcW w:w="613" w:type="dxa"/>
            <w:vAlign w:val="center"/>
          </w:tcPr>
          <w:p>
            <w:pPr>
              <w:jc w:val="center"/>
              <w:rPr>
                <w:sz w:val="18"/>
                <w:szCs w:val="18"/>
              </w:rPr>
            </w:pPr>
          </w:p>
          <w:p>
            <w:pPr>
              <w:jc w:val="center"/>
              <w:rPr>
                <w:sz w:val="18"/>
                <w:szCs w:val="18"/>
              </w:rPr>
            </w:pPr>
            <w:r>
              <w:rPr>
                <w:sz w:val="18"/>
                <w:szCs w:val="18"/>
              </w:rPr>
              <w:t>湿地松大径材经 营</w:t>
            </w:r>
          </w:p>
          <w:p>
            <w:pPr>
              <w:jc w:val="center"/>
              <w:rPr>
                <w:bCs/>
                <w:sz w:val="18"/>
                <w:szCs w:val="18"/>
              </w:rPr>
            </w:pPr>
          </w:p>
        </w:tc>
        <w:tc>
          <w:tcPr>
            <w:tcW w:w="668" w:type="dxa"/>
            <w:vAlign w:val="center"/>
          </w:tcPr>
          <w:p>
            <w:pPr>
              <w:jc w:val="center"/>
              <w:rPr>
                <w:bCs/>
                <w:sz w:val="18"/>
                <w:szCs w:val="18"/>
              </w:rPr>
            </w:pPr>
            <w:r>
              <w:rPr>
                <w:sz w:val="18"/>
                <w:szCs w:val="18"/>
              </w:rPr>
              <w:t>湿地松人工林</w:t>
            </w:r>
          </w:p>
        </w:tc>
        <w:tc>
          <w:tcPr>
            <w:tcW w:w="934" w:type="dxa"/>
            <w:vAlign w:val="center"/>
          </w:tcPr>
          <w:p>
            <w:pPr>
              <w:rPr>
                <w:rStyle w:val="20"/>
                <w:rFonts w:ascii="Times New Roman" w:hAnsi="Times New Roman" w:cs="Times New Roman"/>
                <w:b w:val="0"/>
                <w:sz w:val="18"/>
                <w:szCs w:val="18"/>
              </w:rPr>
            </w:pPr>
            <w:r>
              <w:rPr>
                <w:sz w:val="18"/>
                <w:szCs w:val="18"/>
              </w:rPr>
              <w:t>以用材为主，兼顾水源涵养、水土保持、森林景观美化功能。</w:t>
            </w:r>
          </w:p>
        </w:tc>
        <w:tc>
          <w:tcPr>
            <w:tcW w:w="2485" w:type="dxa"/>
            <w:vAlign w:val="center"/>
          </w:tcPr>
          <w:p>
            <w:pPr>
              <w:rPr>
                <w:rStyle w:val="20"/>
                <w:rFonts w:ascii="Times New Roman" w:hAnsi="Times New Roman" w:cs="Times New Roman"/>
                <w:b w:val="0"/>
                <w:sz w:val="18"/>
                <w:szCs w:val="18"/>
              </w:rPr>
            </w:pPr>
            <w:r>
              <w:rPr>
                <w:sz w:val="18"/>
                <w:szCs w:val="18"/>
              </w:rPr>
              <w:t>湿地松、闽楠、木荷大径级异龄复层混交林。最终林分保留密度300～500株/公顷，其中目标树密度为180～220株/公顷左右。林分的经营周期≥120年；湿地松的生长周期≥36年，目标直径≥45厘米；闽楠的生长周期≥61年，目标直径≥50厘米；木荷的经营周期≥41年，目标直径≥50厘米。目标蓄积量为220～300立方米/公顷。</w:t>
            </w:r>
          </w:p>
        </w:tc>
        <w:tc>
          <w:tcPr>
            <w:tcW w:w="3656" w:type="dxa"/>
            <w:vAlign w:val="center"/>
          </w:tcPr>
          <w:p>
            <w:pPr>
              <w:rPr>
                <w:sz w:val="18"/>
                <w:szCs w:val="18"/>
              </w:rPr>
            </w:pPr>
            <w:r>
              <w:rPr>
                <w:sz w:val="18"/>
                <w:szCs w:val="18"/>
              </w:rPr>
              <w:t>11到15年的林分实施2次疏伐，培育优良杆材，伐后保留林分密度1000-1200株/公顷（标记培育目标树220-250株/公顷）。</w:t>
            </w:r>
          </w:p>
          <w:p>
            <w:pPr>
              <w:rPr>
                <w:sz w:val="18"/>
                <w:szCs w:val="18"/>
              </w:rPr>
            </w:pPr>
            <w:r>
              <w:rPr>
                <w:sz w:val="18"/>
                <w:szCs w:val="18"/>
              </w:rPr>
              <w:t>16到20年的林分实施生长伐1-2次，保留林分密度600-900株/公顷（培育目标树200-220株/公顷）。</w:t>
            </w:r>
          </w:p>
          <w:p>
            <w:pPr>
              <w:rPr>
                <w:rStyle w:val="20"/>
                <w:rFonts w:ascii="Times New Roman" w:hAnsi="Times New Roman" w:cs="Times New Roman"/>
                <w:b w:val="0"/>
                <w:sz w:val="18"/>
                <w:szCs w:val="18"/>
              </w:rPr>
            </w:pPr>
            <w:r>
              <w:rPr>
                <w:sz w:val="18"/>
                <w:szCs w:val="18"/>
              </w:rPr>
              <w:t>21-25年的林分对上层湿地松实施生长伐1-2次，林分保留密度300-500株/公顷（培育目标树180-220株/公顷）。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613" w:type="dxa"/>
            <w:vAlign w:val="center"/>
          </w:tcPr>
          <w:p>
            <w:pPr>
              <w:jc w:val="center"/>
              <w:rPr>
                <w:bCs/>
                <w:sz w:val="18"/>
                <w:szCs w:val="18"/>
              </w:rPr>
            </w:pPr>
            <w:r>
              <w:rPr>
                <w:sz w:val="18"/>
                <w:szCs w:val="18"/>
              </w:rPr>
              <w:t>杉松混交林经营</w:t>
            </w:r>
          </w:p>
        </w:tc>
        <w:tc>
          <w:tcPr>
            <w:tcW w:w="668" w:type="dxa"/>
            <w:vAlign w:val="center"/>
          </w:tcPr>
          <w:p>
            <w:pPr>
              <w:jc w:val="center"/>
              <w:rPr>
                <w:bCs/>
                <w:sz w:val="18"/>
                <w:szCs w:val="18"/>
              </w:rPr>
            </w:pPr>
            <w:r>
              <w:rPr>
                <w:sz w:val="18"/>
                <w:szCs w:val="18"/>
              </w:rPr>
              <w:t>杉木马尾松人工针叶混交林</w:t>
            </w:r>
          </w:p>
        </w:tc>
        <w:tc>
          <w:tcPr>
            <w:tcW w:w="934" w:type="dxa"/>
            <w:vAlign w:val="center"/>
          </w:tcPr>
          <w:p>
            <w:pPr>
              <w:rPr>
                <w:bCs/>
                <w:sz w:val="18"/>
                <w:szCs w:val="18"/>
              </w:rPr>
            </w:pPr>
            <w:r>
              <w:rPr>
                <w:sz w:val="18"/>
                <w:szCs w:val="18"/>
              </w:rPr>
              <w:t>以用材为主的多功能林</w:t>
            </w:r>
          </w:p>
        </w:tc>
        <w:tc>
          <w:tcPr>
            <w:tcW w:w="2485" w:type="dxa"/>
            <w:vAlign w:val="center"/>
          </w:tcPr>
          <w:p>
            <w:pPr>
              <w:rPr>
                <w:bCs/>
                <w:sz w:val="18"/>
                <w:szCs w:val="18"/>
              </w:rPr>
            </w:pPr>
            <w:r>
              <w:rPr>
                <w:sz w:val="18"/>
                <w:szCs w:val="18"/>
              </w:rPr>
              <w:t>杉木、马尾松、红锥、闽楠等异龄复层混交林。</w:t>
            </w:r>
          </w:p>
        </w:tc>
        <w:tc>
          <w:tcPr>
            <w:tcW w:w="3656" w:type="dxa"/>
            <w:vAlign w:val="center"/>
          </w:tcPr>
          <w:p>
            <w:pPr>
              <w:rPr>
                <w:rStyle w:val="20"/>
                <w:rFonts w:ascii="Times New Roman" w:hAnsi="Times New Roman" w:cs="Times New Roman"/>
                <w:b w:val="0"/>
                <w:sz w:val="18"/>
                <w:szCs w:val="18"/>
              </w:rPr>
            </w:pPr>
            <w:r>
              <w:rPr>
                <w:sz w:val="18"/>
                <w:szCs w:val="18"/>
              </w:rPr>
              <w:t>对中幼龄林实施疏伐、修枝等。选择和标记杉、松培育目标树220-250株/公顷，采伐干扰树，保留天然更新的阔叶树。在林窗等处补植红锥、闽楠等树种，补植株数为300-450株/公顷。采用目标树单株择伐作业法经营，培育杉木-马尾松-红锥-闽楠等复层混交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613" w:type="dxa"/>
            <w:vAlign w:val="center"/>
          </w:tcPr>
          <w:p>
            <w:pPr>
              <w:jc w:val="center"/>
              <w:rPr>
                <w:bCs/>
                <w:sz w:val="18"/>
                <w:szCs w:val="18"/>
              </w:rPr>
            </w:pPr>
            <w:r>
              <w:rPr>
                <w:sz w:val="18"/>
                <w:szCs w:val="18"/>
              </w:rPr>
              <w:t>桤木阔叶林目标树经 营</w:t>
            </w:r>
          </w:p>
        </w:tc>
        <w:tc>
          <w:tcPr>
            <w:tcW w:w="668" w:type="dxa"/>
            <w:vAlign w:val="center"/>
          </w:tcPr>
          <w:p>
            <w:pPr>
              <w:jc w:val="center"/>
              <w:rPr>
                <w:bCs/>
                <w:sz w:val="18"/>
                <w:szCs w:val="18"/>
              </w:rPr>
            </w:pPr>
            <w:r>
              <w:rPr>
                <w:sz w:val="18"/>
                <w:szCs w:val="18"/>
              </w:rPr>
              <w:t>次生阔叶林</w:t>
            </w:r>
          </w:p>
        </w:tc>
        <w:tc>
          <w:tcPr>
            <w:tcW w:w="934" w:type="dxa"/>
            <w:vAlign w:val="center"/>
          </w:tcPr>
          <w:p>
            <w:pPr>
              <w:rPr>
                <w:bCs/>
                <w:sz w:val="18"/>
                <w:szCs w:val="18"/>
              </w:rPr>
            </w:pPr>
            <w:r>
              <w:rPr>
                <w:sz w:val="18"/>
                <w:szCs w:val="18"/>
              </w:rPr>
              <w:t>以用材为主的多功能林</w:t>
            </w:r>
          </w:p>
        </w:tc>
        <w:tc>
          <w:tcPr>
            <w:tcW w:w="2485" w:type="dxa"/>
            <w:vAlign w:val="center"/>
          </w:tcPr>
          <w:p>
            <w:pPr>
              <w:rPr>
                <w:bCs/>
                <w:sz w:val="18"/>
                <w:szCs w:val="18"/>
              </w:rPr>
            </w:pPr>
            <w:r>
              <w:rPr>
                <w:sz w:val="18"/>
                <w:szCs w:val="18"/>
              </w:rPr>
              <w:t>壳斗科、榆科、樟科、木荷等异龄复层混交林。</w:t>
            </w:r>
          </w:p>
        </w:tc>
        <w:tc>
          <w:tcPr>
            <w:tcW w:w="3656" w:type="dxa"/>
            <w:vAlign w:val="center"/>
          </w:tcPr>
          <w:p>
            <w:pPr>
              <w:rPr>
                <w:sz w:val="18"/>
                <w:szCs w:val="18"/>
              </w:rPr>
            </w:pPr>
            <w:r>
              <w:rPr>
                <w:sz w:val="18"/>
                <w:szCs w:val="18"/>
              </w:rPr>
              <w:t>林分优势木平均高15m时，开始选择目标树，目标树密度100-120株/公顷，采伐干扰树。注意保护目标树以及有可能成为第二代目标树的天然更新幼树。开展人工修枝，提高目标树干材质量。目标树目标直径为60cm。完成目标树选择，并伐除干扰树后1-2年内，在目标树基部根际范围内修筑水肥坑，将目标树上坡周围3-5m范围内所有枯落叶归集到水肥坑内覆盖松土，厚度20cm左右。</w:t>
            </w:r>
          </w:p>
          <w:p>
            <w:pPr>
              <w:rPr>
                <w:bCs/>
                <w:sz w:val="18"/>
                <w:szCs w:val="18"/>
              </w:rPr>
            </w:pPr>
            <w:r>
              <w:rPr>
                <w:sz w:val="18"/>
                <w:szCs w:val="18"/>
              </w:rPr>
              <w:t>在中龄阶段选择并标记目标树，采伐干扰树。目标树密度90-110株/公顷，目标直径55cm，出现较大天窗可补植珍贵阔叶树或针叶树，补植株数为300-450株/公顷。采用目标树单株择伐作业法经营，形成复层异龄林。</w:t>
            </w:r>
          </w:p>
        </w:tc>
      </w:tr>
    </w:tbl>
    <w:p>
      <w:pPr>
        <w:widowControl/>
        <w:spacing w:line="360" w:lineRule="auto"/>
        <w:jc w:val="left"/>
        <w:rPr>
          <w:bCs/>
          <w:kern w:val="0"/>
          <w:szCs w:val="24"/>
        </w:rPr>
      </w:pPr>
    </w:p>
    <w:sectPr>
      <w:footerReference r:id="rId13" w:type="default"/>
      <w:pgSz w:w="11906" w:h="16838"/>
      <w:pgMar w:top="1440" w:right="1803" w:bottom="1440" w:left="1803"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pict>
        <v:shape id="文本框 11" o:spid="_x0000_s307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XgV3MoBAACa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G3pDiWUGB37+/u3849f551dS&#10;Vak/vYca0549Jsbh3g24NbMf0JlkDzKY9EVBBOPY3dOlu2KIhKdHq+VqVWKIY2y+IH7x8twHiO+F&#10;MyQZDQ04vtxVdnyEOKbOKamadQ9K6zxCbf9yIGbyFIn7yDFZcdgNk6Cda0+op8fJN9TiolOiP1hs&#10;bFqS2QizsZuNgw9q3yG1KvMCf3eISCJzSxVG2Kkwjiyrm9Yr7cSf95z18kt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XgV3MoBAACaAwAADgAAAAAAAAABACAAAAAeAQAAZHJzL2Uyb0Rv&#10;Yy54bWxQSwUGAAAAAAYABgBZAQAAWgUAAAAA&#10;">
          <v:path/>
          <v:fill on="f" focussize="0,0"/>
          <v:stroke on="f"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w:r>
    <w:sdt>
      <w:sdtPr>
        <w:id w:val="22593959"/>
      </w:sdtPr>
      <w:sdtContent/>
    </w:sdt>
  </w:p>
  <w:p>
    <w:pPr>
      <w:pStyle w:val="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sdt>
      <w:sdtPr>
        <w:id w:val="1838890048"/>
      </w:sdt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pict>
        <v:shape id="文本框 1" o:spid="_x0000_s1026" o:spt="202" type="#_x0000_t202" style="position:absolute;left:0pt;margin-top:0pt;height:24.15pt;width:9.05pt;mso-position-horizontal:center;mso-position-horizontal-relative:margin;mso-wrap-style:none;z-index:251660288;mso-width-relative:page;mso-height-relative:page;" filled="f" stroked="f" coordsize="21600,21600" o:gfxdata="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MC7/fRAAAAAwEAAA8AAAAAAAAAAQAgAAAAIgAAAGRycy9kb3ducmV2LnhtbFBL&#10;AQIUABQAAAAIAIdO4kCbMpclNgIAAGEEAAAOAAAAAAAAAAEAIAAAACABAABkcnMvZTJvRG9jLnht&#10;bFBLBQYAAAAABgAGAFkBAADIBQAAAAA=&#10;">
          <v:path/>
          <v:fill on="f" focussize="0,0"/>
          <v:stroke on="f" weight="0.5pt" joinstyle="miter"/>
          <v:imagedata o:title=""/>
          <o:lock v:ext="edit"/>
          <v:textbox inset="0mm,0mm,0mm,0mm" style="mso-fit-shape-to-text:t;">
            <w:txbxContent>
              <w:sdt>
                <w:sdtPr>
                  <w:id w:val="-1581600317"/>
                </w:sdtPr>
                <w:sdtContent>
                  <w:p>
                    <w:pPr>
                      <w:pStyle w:val="9"/>
                      <w:jc w:val="center"/>
                    </w:pPr>
                    <w:r>
                      <w:fldChar w:fldCharType="begin"/>
                    </w:r>
                    <w:r>
                      <w:instrText xml:space="preserve">PAGE   \* MERGEFORMAT</w:instrText>
                    </w:r>
                    <w:r>
                      <w:fldChar w:fldCharType="separate"/>
                    </w:r>
                    <w:r>
                      <w:rPr>
                        <w:lang w:val="zh-CN"/>
                      </w:rPr>
                      <w:t>1</w:t>
                    </w:r>
                    <w:r>
                      <w:rPr>
                        <w:lang w:val="zh-CN"/>
                      </w:rPr>
                      <w:fldChar w:fldCharType="end"/>
                    </w:r>
                  </w:p>
                </w:sdtContent>
              </w:sdt>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Style w:val="16"/>
      </w:rPr>
    </w:pPr>
    <w:r>
      <w:pict>
        <v:shape id="文本框 4" o:spid="_x0000_s307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j7PA8kBAACZAwAADgAAAGRycy9lMm9Eb2MueG1srVPNjtMwEL4j8Q6W&#10;79Rph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2J4xYHfvn+7fLj1+XnV/Iy&#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Ps8DyQEAAJkDAAAOAAAAAAAAAAEAIAAAAB4BAABkcnMvZTJvRG9j&#10;LnhtbFBLBQYAAAAABgAGAFkBAABZBQAAAAA=&#10;">
          <v:path/>
          <v:fill on="f" focussize="0,0"/>
          <v:stroke on="f"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365"/>
        <w:tab w:val="clear" w:pos="4153"/>
        <w:tab w:val="clear" w:pos="8306"/>
      </w:tabs>
      <w:rPr>
        <w:rStyle w:val="16"/>
      </w:rPr>
    </w:pPr>
    <w:r>
      <w:pict>
        <v:shape id="文本框 5" o:spid="_x0000_s3078"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EWS8gBAACaAwAADgAAAGRycy9lMm9Eb2MueG1srVPNjtMwEL4j8Q6W&#10;79RpJVAVNV3tqlqEhABp4QFcx24s+U8et0lfAN6AExfuPFefg7GTdGG57IFLMp6ZfPN93zi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m4CWOG5x45fv3y4/fl1+fiWv&#10;sz99gBrbHgI2puHOD9g75wGTWfagos1vFESwjlDnq7tySETkj9ar9brCksDafEB89vh5iJDeSm9J&#10;DhoacX3FVX56D2lsnVvyNOfvtTFlhcb9lUDMnGGZ+8gxR2nYD5OgvW/PqKfHzTfU4UWnxLxzaCzy&#10;S3MQ52A/B8cQ9aFDasvCC8LtMSGJwi1PGGGnwbiyom66XvlO/HkuXY+/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BFkvIAQAAmgMAAA4AAAAAAAAAAQAgAAAAHgEAAGRycy9lMm9Eb2Mu&#10;eG1sUEsFBgAAAAAGAAYAWQEAAFgFAAAAAA==&#10;">
          <v:path/>
          <v:fill on="f" focussize="0,0"/>
          <v:stroke on="f"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r>
      <w:pict>
        <v:shape id="文本框 6" o:spid="_x0000_s307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AFNFskBAACZ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G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oAU0WyQEAAJkDAAAOAAAAAAAAAAEAIAAAAB4BAABkcnMvZTJvRG9j&#10;LnhtbFBLBQYAAAAABgAGAFkBAABZBQAAAAA=&#10;">
          <v:path/>
          <v:fill on="f" focussize="0,0"/>
          <v:stroke on="f" joinstyle="miter"/>
          <v:imagedata o:title=""/>
          <o:lock v:ext="edit"/>
          <v:textbox inset="0mm,0mm,0mm,0mm" style="mso-fit-shape-to-text:t;">
            <w:txbxContent>
              <w:p/>
            </w:txbxContent>
          </v:textbox>
        </v:shape>
      </w:pict>
    </w:r>
    <w:r>
      <w:pict>
        <v:shape id="文本框 7" o:spid="_x0000_s307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4xG58gBAACZ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dEWJ4xYHfvn+7fLj1+XnV/Im&#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MRufIAQAAmQMAAA4AAAAAAAAAAQAgAAAAHgEAAGRycy9lMm9Eb2Mu&#10;eG1sUEsFBgAAAAAGAAYAWQEAAFgFAAAAAA==&#10;">
          <v:path/>
          <v:fill on="f" focussize="0,0"/>
          <v:stroke on="f" joinstyle="miter"/>
          <v:imagedata o:title=""/>
          <o:lock v:ext="edit"/>
          <v:textbox inset="0mm,0mm,0mm,0mm" style="mso-fit-shape-to-text:t;">
            <w:txbxContent>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pict>
        <v:shape id="文本框 8" o:spid="_x0000_s3075"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j23bLyQEAAJoDAAAOAAAAAAAAAAEAIAAAAB4BAABkcnMvZTJvRG9j&#10;LnhtbFBLBQYAAAAABgAGAFkBAABZBQAAAAA=&#10;">
          <v:path/>
          <v:fill on="f" focussize="0,0"/>
          <v:stroke on="f" joinstyle="miter"/>
          <v:imagedata o:title=""/>
          <o:lock v:ext="edit"/>
          <v:textbox inset="0mm,0mm,0mm,0mm" style="mso-fit-shape-to-text:t;">
            <w:txbxContent>
              <w:p>
                <w:pPr>
                  <w:pStyle w:val="9"/>
                  <w:jc w:val="center"/>
                </w:pPr>
                <w:r>
                  <w:fldChar w:fldCharType="begin"/>
                </w:r>
                <w:r>
                  <w:instrText xml:space="preserve"> PAGE   \* MERGEFORMAT </w:instrText>
                </w:r>
                <w:r>
                  <w:fldChar w:fldCharType="separate"/>
                </w:r>
                <w:r>
                  <w:rPr>
                    <w:lang w:val="zh-CN"/>
                  </w:rPr>
                  <w:t>11</w:t>
                </w:r>
                <w:r>
                  <w:fldChar w:fldCharType="end"/>
                </w:r>
              </w:p>
            </w:txbxContent>
          </v:textbox>
        </v:shape>
      </w:pict>
    </w:r>
  </w:p>
  <w:p>
    <w:pPr>
      <w:pStyle w:val="9"/>
      <w:tabs>
        <w:tab w:val="center" w:pos="4365"/>
        <w:tab w:val="clear" w:pos="4153"/>
        <w:tab w:val="clear" w:pos="8306"/>
      </w:tabs>
      <w:rPr>
        <w:rStyle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pict>
        <v:shape id="文本框 10" o:spid="_x0000_s307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ql98g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tuG4tgdtzjwy4/vl5+/L7++kWXR&#10;pw9QY9pDwMQ0vPUDbk3WLfsBnZn2oKLNXyREMI7qnq/qyiERkR+tV+t1hSGBsfmCOOz2PERI76S3&#10;JBsNjTi+oio/fYA0ps4puZrz99qYMkLj/nIgZvawW4/ZSsN+mBrf+/aMfHqcfEMdLjol5r1DYfOS&#10;zEacjf1sHEPUhw5bW5a+ILw5Jmyi9JYrjLBTYRxZYTetV96Jx/eSdfult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DKpffIAQAAmgMAAA4AAAAAAAAAAQAgAAAAHgEAAGRycy9lMm9Eb2Mu&#10;eG1sUEsFBgAAAAAGAAYAWQEAAFgFAAAAAA==&#10;">
          <v:path/>
          <v:fill on="f" focussize="0,0"/>
          <v:stroke on="f" joinstyle="miter"/>
          <v:imagedata o:title=""/>
          <o:lock v:ext="edit"/>
          <v:textbox inset="0mm,0mm,0mm,0mm" style="mso-fit-shape-to-text:t;">
            <w:txbxContent>
              <w:p>
                <w:pPr>
                  <w:pStyle w:val="9"/>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B26326"/>
    <w:multiLevelType w:val="singleLevel"/>
    <w:tmpl w:val="ACB26326"/>
    <w:lvl w:ilvl="0" w:tentative="0">
      <w:start w:val="1"/>
      <w:numFmt w:val="decimal"/>
      <w:lvlText w:val="(%1)"/>
      <w:lvlJc w:val="left"/>
      <w:pPr>
        <w:tabs>
          <w:tab w:val="left" w:pos="312"/>
        </w:tabs>
      </w:pPr>
    </w:lvl>
  </w:abstractNum>
  <w:abstractNum w:abstractNumId="1">
    <w:nsid w:val="2D2D5979"/>
    <w:multiLevelType w:val="multilevel"/>
    <w:tmpl w:val="2D2D5979"/>
    <w:lvl w:ilvl="0" w:tentative="0">
      <w:start w:val="1"/>
      <w:numFmt w:val="decimal"/>
      <w:lvlText w:val="%1"/>
      <w:lvlJc w:val="left"/>
      <w:pPr>
        <w:ind w:left="420" w:hanging="420"/>
      </w:pPr>
      <w:rPr>
        <w:rFonts w:hint="eastAsia"/>
      </w:rPr>
    </w:lvl>
    <w:lvl w:ilvl="1" w:tentative="0">
      <w:start w:val="1"/>
      <w:numFmt w:val="decimal"/>
      <w:isLgl/>
      <w:lvlText w:val="%1.%2"/>
      <w:lvlJc w:val="left"/>
      <w:pPr>
        <w:ind w:left="420" w:hanging="4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6A2F989B"/>
    <w:multiLevelType w:val="singleLevel"/>
    <w:tmpl w:val="6A2F989B"/>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240"/>
  <w:drawingGridVerticalSpacing w:val="156"/>
  <w:displayVertic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C7950"/>
    <w:rsid w:val="0000164C"/>
    <w:rsid w:val="000063BF"/>
    <w:rsid w:val="00013D1D"/>
    <w:rsid w:val="000142FB"/>
    <w:rsid w:val="00017627"/>
    <w:rsid w:val="000235C7"/>
    <w:rsid w:val="00024F98"/>
    <w:rsid w:val="00027739"/>
    <w:rsid w:val="00033F17"/>
    <w:rsid w:val="0003641B"/>
    <w:rsid w:val="0004262E"/>
    <w:rsid w:val="000426A3"/>
    <w:rsid w:val="0005338D"/>
    <w:rsid w:val="00054EA7"/>
    <w:rsid w:val="00060985"/>
    <w:rsid w:val="000632AD"/>
    <w:rsid w:val="00075022"/>
    <w:rsid w:val="000811BF"/>
    <w:rsid w:val="000849CD"/>
    <w:rsid w:val="00086C51"/>
    <w:rsid w:val="00087B25"/>
    <w:rsid w:val="00094AFE"/>
    <w:rsid w:val="00097C76"/>
    <w:rsid w:val="000A0712"/>
    <w:rsid w:val="000A1145"/>
    <w:rsid w:val="000A4FBB"/>
    <w:rsid w:val="000C5CC9"/>
    <w:rsid w:val="000C767C"/>
    <w:rsid w:val="000E1926"/>
    <w:rsid w:val="000E3F31"/>
    <w:rsid w:val="000F6017"/>
    <w:rsid w:val="0011261F"/>
    <w:rsid w:val="0011739B"/>
    <w:rsid w:val="00121FA8"/>
    <w:rsid w:val="00137868"/>
    <w:rsid w:val="00142ED6"/>
    <w:rsid w:val="00147AE2"/>
    <w:rsid w:val="00151BAB"/>
    <w:rsid w:val="00151BF2"/>
    <w:rsid w:val="00152DB5"/>
    <w:rsid w:val="00177860"/>
    <w:rsid w:val="001812A4"/>
    <w:rsid w:val="0018400E"/>
    <w:rsid w:val="00192074"/>
    <w:rsid w:val="00196368"/>
    <w:rsid w:val="001A28A0"/>
    <w:rsid w:val="001B751A"/>
    <w:rsid w:val="001E7A8E"/>
    <w:rsid w:val="001E7F32"/>
    <w:rsid w:val="00200996"/>
    <w:rsid w:val="002220D2"/>
    <w:rsid w:val="00223F68"/>
    <w:rsid w:val="00224986"/>
    <w:rsid w:val="002266FA"/>
    <w:rsid w:val="002276A5"/>
    <w:rsid w:val="00234F0B"/>
    <w:rsid w:val="002564B6"/>
    <w:rsid w:val="002611C0"/>
    <w:rsid w:val="002673C7"/>
    <w:rsid w:val="002706FD"/>
    <w:rsid w:val="00275528"/>
    <w:rsid w:val="002772FA"/>
    <w:rsid w:val="00282C0D"/>
    <w:rsid w:val="00287539"/>
    <w:rsid w:val="002A2C08"/>
    <w:rsid w:val="002C7BC8"/>
    <w:rsid w:val="002D1A8F"/>
    <w:rsid w:val="002D220D"/>
    <w:rsid w:val="002F7DF6"/>
    <w:rsid w:val="00301A90"/>
    <w:rsid w:val="00301B8E"/>
    <w:rsid w:val="003060B7"/>
    <w:rsid w:val="0032671E"/>
    <w:rsid w:val="00327ABF"/>
    <w:rsid w:val="00335F80"/>
    <w:rsid w:val="00336420"/>
    <w:rsid w:val="00352D05"/>
    <w:rsid w:val="00376B05"/>
    <w:rsid w:val="0039048A"/>
    <w:rsid w:val="003941E2"/>
    <w:rsid w:val="0039555A"/>
    <w:rsid w:val="00397DE2"/>
    <w:rsid w:val="003A178F"/>
    <w:rsid w:val="003B0737"/>
    <w:rsid w:val="003B6FC9"/>
    <w:rsid w:val="003C0CED"/>
    <w:rsid w:val="003E1866"/>
    <w:rsid w:val="003E1BF9"/>
    <w:rsid w:val="003E370F"/>
    <w:rsid w:val="003F2B23"/>
    <w:rsid w:val="0040388E"/>
    <w:rsid w:val="00403E56"/>
    <w:rsid w:val="00413166"/>
    <w:rsid w:val="00436705"/>
    <w:rsid w:val="00465E14"/>
    <w:rsid w:val="004714A8"/>
    <w:rsid w:val="00475AC1"/>
    <w:rsid w:val="0048432C"/>
    <w:rsid w:val="004966D4"/>
    <w:rsid w:val="004B19CF"/>
    <w:rsid w:val="004B62EB"/>
    <w:rsid w:val="004C021B"/>
    <w:rsid w:val="004D3517"/>
    <w:rsid w:val="004D5705"/>
    <w:rsid w:val="004E2E00"/>
    <w:rsid w:val="005029E8"/>
    <w:rsid w:val="00504E02"/>
    <w:rsid w:val="00530458"/>
    <w:rsid w:val="00530B72"/>
    <w:rsid w:val="00533C9C"/>
    <w:rsid w:val="00537175"/>
    <w:rsid w:val="00550F08"/>
    <w:rsid w:val="00555214"/>
    <w:rsid w:val="00562BE1"/>
    <w:rsid w:val="005778E6"/>
    <w:rsid w:val="005910A2"/>
    <w:rsid w:val="00592DAE"/>
    <w:rsid w:val="00594F0F"/>
    <w:rsid w:val="0059688C"/>
    <w:rsid w:val="005A08D5"/>
    <w:rsid w:val="005B14D8"/>
    <w:rsid w:val="005B31CD"/>
    <w:rsid w:val="005D77AB"/>
    <w:rsid w:val="005F2105"/>
    <w:rsid w:val="005F68C7"/>
    <w:rsid w:val="00611DA8"/>
    <w:rsid w:val="00617479"/>
    <w:rsid w:val="00626904"/>
    <w:rsid w:val="006313F3"/>
    <w:rsid w:val="00645610"/>
    <w:rsid w:val="006647A0"/>
    <w:rsid w:val="00665F83"/>
    <w:rsid w:val="00671C30"/>
    <w:rsid w:val="00674C91"/>
    <w:rsid w:val="006846EA"/>
    <w:rsid w:val="006869BB"/>
    <w:rsid w:val="00692A40"/>
    <w:rsid w:val="00693482"/>
    <w:rsid w:val="006944E7"/>
    <w:rsid w:val="006972C5"/>
    <w:rsid w:val="006B50C3"/>
    <w:rsid w:val="006C665D"/>
    <w:rsid w:val="006C7950"/>
    <w:rsid w:val="006D648D"/>
    <w:rsid w:val="006F3F77"/>
    <w:rsid w:val="006F591B"/>
    <w:rsid w:val="006F65C0"/>
    <w:rsid w:val="00701BA2"/>
    <w:rsid w:val="00703405"/>
    <w:rsid w:val="00705A95"/>
    <w:rsid w:val="00723E28"/>
    <w:rsid w:val="00734DA3"/>
    <w:rsid w:val="0074220F"/>
    <w:rsid w:val="00744287"/>
    <w:rsid w:val="00746213"/>
    <w:rsid w:val="00764DDA"/>
    <w:rsid w:val="00792805"/>
    <w:rsid w:val="0079408B"/>
    <w:rsid w:val="00794FFB"/>
    <w:rsid w:val="007B3078"/>
    <w:rsid w:val="007B6656"/>
    <w:rsid w:val="007C043A"/>
    <w:rsid w:val="007C5C10"/>
    <w:rsid w:val="007D057C"/>
    <w:rsid w:val="007E46DC"/>
    <w:rsid w:val="007E5B18"/>
    <w:rsid w:val="007F0E41"/>
    <w:rsid w:val="00807835"/>
    <w:rsid w:val="008125BD"/>
    <w:rsid w:val="00820178"/>
    <w:rsid w:val="00821DBB"/>
    <w:rsid w:val="008243E6"/>
    <w:rsid w:val="00826EFB"/>
    <w:rsid w:val="008276BF"/>
    <w:rsid w:val="00847D6D"/>
    <w:rsid w:val="00874F92"/>
    <w:rsid w:val="00876A38"/>
    <w:rsid w:val="00885975"/>
    <w:rsid w:val="00892420"/>
    <w:rsid w:val="008A565A"/>
    <w:rsid w:val="008B0954"/>
    <w:rsid w:val="008C032E"/>
    <w:rsid w:val="008C35CE"/>
    <w:rsid w:val="008D3229"/>
    <w:rsid w:val="008E1E33"/>
    <w:rsid w:val="008E53B3"/>
    <w:rsid w:val="008E6653"/>
    <w:rsid w:val="0090098A"/>
    <w:rsid w:val="00903481"/>
    <w:rsid w:val="009328FE"/>
    <w:rsid w:val="009523FE"/>
    <w:rsid w:val="0096081E"/>
    <w:rsid w:val="00971C1F"/>
    <w:rsid w:val="00977329"/>
    <w:rsid w:val="00981140"/>
    <w:rsid w:val="00997F9D"/>
    <w:rsid w:val="009A34C5"/>
    <w:rsid w:val="009B1002"/>
    <w:rsid w:val="009C256A"/>
    <w:rsid w:val="009D2124"/>
    <w:rsid w:val="009D274A"/>
    <w:rsid w:val="009D427A"/>
    <w:rsid w:val="009E3FBE"/>
    <w:rsid w:val="009F6197"/>
    <w:rsid w:val="009F73B4"/>
    <w:rsid w:val="00A00167"/>
    <w:rsid w:val="00A336AE"/>
    <w:rsid w:val="00A40DCE"/>
    <w:rsid w:val="00A43B9D"/>
    <w:rsid w:val="00A54B56"/>
    <w:rsid w:val="00A624FD"/>
    <w:rsid w:val="00A95308"/>
    <w:rsid w:val="00A9620B"/>
    <w:rsid w:val="00AA1CAC"/>
    <w:rsid w:val="00AA64BF"/>
    <w:rsid w:val="00AA7601"/>
    <w:rsid w:val="00AA76B3"/>
    <w:rsid w:val="00AB720A"/>
    <w:rsid w:val="00AC18D2"/>
    <w:rsid w:val="00AC617B"/>
    <w:rsid w:val="00AC69A4"/>
    <w:rsid w:val="00AC788C"/>
    <w:rsid w:val="00AC7BDC"/>
    <w:rsid w:val="00AD410B"/>
    <w:rsid w:val="00AE0B74"/>
    <w:rsid w:val="00AE7861"/>
    <w:rsid w:val="00AF042D"/>
    <w:rsid w:val="00AF3566"/>
    <w:rsid w:val="00B0167C"/>
    <w:rsid w:val="00B02050"/>
    <w:rsid w:val="00B218CF"/>
    <w:rsid w:val="00B2416B"/>
    <w:rsid w:val="00B26A82"/>
    <w:rsid w:val="00B42447"/>
    <w:rsid w:val="00B439AD"/>
    <w:rsid w:val="00B56B09"/>
    <w:rsid w:val="00B65285"/>
    <w:rsid w:val="00B66101"/>
    <w:rsid w:val="00B67733"/>
    <w:rsid w:val="00B73590"/>
    <w:rsid w:val="00B77BBD"/>
    <w:rsid w:val="00B85490"/>
    <w:rsid w:val="00BA4B81"/>
    <w:rsid w:val="00BC4797"/>
    <w:rsid w:val="00BD0CCC"/>
    <w:rsid w:val="00BD4045"/>
    <w:rsid w:val="00BE5B0F"/>
    <w:rsid w:val="00BF043D"/>
    <w:rsid w:val="00C01986"/>
    <w:rsid w:val="00C05D3C"/>
    <w:rsid w:val="00C11381"/>
    <w:rsid w:val="00C208B8"/>
    <w:rsid w:val="00C20985"/>
    <w:rsid w:val="00C24BDA"/>
    <w:rsid w:val="00C26D5C"/>
    <w:rsid w:val="00C272FB"/>
    <w:rsid w:val="00C30E4E"/>
    <w:rsid w:val="00C574AD"/>
    <w:rsid w:val="00C84C6F"/>
    <w:rsid w:val="00C95282"/>
    <w:rsid w:val="00C96795"/>
    <w:rsid w:val="00CA56B1"/>
    <w:rsid w:val="00CB0B75"/>
    <w:rsid w:val="00CB6592"/>
    <w:rsid w:val="00CC0B65"/>
    <w:rsid w:val="00CC2A46"/>
    <w:rsid w:val="00CC5D39"/>
    <w:rsid w:val="00CC74E1"/>
    <w:rsid w:val="00CD2B1B"/>
    <w:rsid w:val="00CD4FF1"/>
    <w:rsid w:val="00D02965"/>
    <w:rsid w:val="00D06F2B"/>
    <w:rsid w:val="00D24C33"/>
    <w:rsid w:val="00D36907"/>
    <w:rsid w:val="00D4001F"/>
    <w:rsid w:val="00D65D4D"/>
    <w:rsid w:val="00D75CE7"/>
    <w:rsid w:val="00D813F8"/>
    <w:rsid w:val="00DA7DD6"/>
    <w:rsid w:val="00DB3AEA"/>
    <w:rsid w:val="00DB40E8"/>
    <w:rsid w:val="00DB5433"/>
    <w:rsid w:val="00DB722B"/>
    <w:rsid w:val="00DC16CB"/>
    <w:rsid w:val="00DD29CD"/>
    <w:rsid w:val="00DE117E"/>
    <w:rsid w:val="00DE6A79"/>
    <w:rsid w:val="00DE7F0D"/>
    <w:rsid w:val="00DF74EE"/>
    <w:rsid w:val="00E00F7B"/>
    <w:rsid w:val="00E02B5E"/>
    <w:rsid w:val="00E22D42"/>
    <w:rsid w:val="00E25168"/>
    <w:rsid w:val="00E26BF1"/>
    <w:rsid w:val="00E301E1"/>
    <w:rsid w:val="00E42B0C"/>
    <w:rsid w:val="00E44D44"/>
    <w:rsid w:val="00E47C50"/>
    <w:rsid w:val="00E56666"/>
    <w:rsid w:val="00E56E9A"/>
    <w:rsid w:val="00E66100"/>
    <w:rsid w:val="00E70426"/>
    <w:rsid w:val="00E732FB"/>
    <w:rsid w:val="00E75D3C"/>
    <w:rsid w:val="00E77896"/>
    <w:rsid w:val="00E83300"/>
    <w:rsid w:val="00E86FCD"/>
    <w:rsid w:val="00EB2957"/>
    <w:rsid w:val="00EB3B33"/>
    <w:rsid w:val="00EB5912"/>
    <w:rsid w:val="00EC5897"/>
    <w:rsid w:val="00ED0C0F"/>
    <w:rsid w:val="00ED20CD"/>
    <w:rsid w:val="00EF08A5"/>
    <w:rsid w:val="00EF0BBE"/>
    <w:rsid w:val="00EF2420"/>
    <w:rsid w:val="00EF2F34"/>
    <w:rsid w:val="00EF3940"/>
    <w:rsid w:val="00EF485E"/>
    <w:rsid w:val="00EF59B6"/>
    <w:rsid w:val="00EF745C"/>
    <w:rsid w:val="00F04937"/>
    <w:rsid w:val="00F1305B"/>
    <w:rsid w:val="00F332F1"/>
    <w:rsid w:val="00F36694"/>
    <w:rsid w:val="00F5129E"/>
    <w:rsid w:val="00F5318E"/>
    <w:rsid w:val="00F678BB"/>
    <w:rsid w:val="00F7087B"/>
    <w:rsid w:val="00F80111"/>
    <w:rsid w:val="00F967CD"/>
    <w:rsid w:val="00FA5995"/>
    <w:rsid w:val="00FB6380"/>
    <w:rsid w:val="00FB6902"/>
    <w:rsid w:val="00FF1517"/>
    <w:rsid w:val="04801D08"/>
    <w:rsid w:val="05094133"/>
    <w:rsid w:val="0539455A"/>
    <w:rsid w:val="065C36C9"/>
    <w:rsid w:val="082E79A1"/>
    <w:rsid w:val="084B136B"/>
    <w:rsid w:val="08EF1B28"/>
    <w:rsid w:val="0A35500A"/>
    <w:rsid w:val="0AE646CE"/>
    <w:rsid w:val="0B275115"/>
    <w:rsid w:val="0C4473E5"/>
    <w:rsid w:val="0D955A27"/>
    <w:rsid w:val="0EEF4476"/>
    <w:rsid w:val="0F160CE3"/>
    <w:rsid w:val="0F260F13"/>
    <w:rsid w:val="0FCE2DFA"/>
    <w:rsid w:val="103765C7"/>
    <w:rsid w:val="108905CA"/>
    <w:rsid w:val="11125E00"/>
    <w:rsid w:val="11D5107C"/>
    <w:rsid w:val="128C7594"/>
    <w:rsid w:val="1296418B"/>
    <w:rsid w:val="13345BE2"/>
    <w:rsid w:val="13642D96"/>
    <w:rsid w:val="14A04AFA"/>
    <w:rsid w:val="14D31A8E"/>
    <w:rsid w:val="16225381"/>
    <w:rsid w:val="17AA0CBB"/>
    <w:rsid w:val="18253BF9"/>
    <w:rsid w:val="183174DF"/>
    <w:rsid w:val="1BD564C3"/>
    <w:rsid w:val="1BF942C3"/>
    <w:rsid w:val="1C8B13D5"/>
    <w:rsid w:val="1DEC390F"/>
    <w:rsid w:val="1E0345E3"/>
    <w:rsid w:val="1EC93EF5"/>
    <w:rsid w:val="1F2F4B97"/>
    <w:rsid w:val="1FA36FF7"/>
    <w:rsid w:val="20CC47C0"/>
    <w:rsid w:val="217C448F"/>
    <w:rsid w:val="23F27F2F"/>
    <w:rsid w:val="240C7B95"/>
    <w:rsid w:val="2561450C"/>
    <w:rsid w:val="25C464E1"/>
    <w:rsid w:val="262C0629"/>
    <w:rsid w:val="26463889"/>
    <w:rsid w:val="26D14A95"/>
    <w:rsid w:val="26E073AD"/>
    <w:rsid w:val="27E05F48"/>
    <w:rsid w:val="28AA7B2C"/>
    <w:rsid w:val="294D0F04"/>
    <w:rsid w:val="2A1A49E5"/>
    <w:rsid w:val="2A40057B"/>
    <w:rsid w:val="2A69566E"/>
    <w:rsid w:val="2B293F2E"/>
    <w:rsid w:val="2C1E5FF8"/>
    <w:rsid w:val="2C1F48A8"/>
    <w:rsid w:val="2CCA226A"/>
    <w:rsid w:val="2E142A61"/>
    <w:rsid w:val="2ED260D3"/>
    <w:rsid w:val="2EF25D31"/>
    <w:rsid w:val="2F672AA8"/>
    <w:rsid w:val="2F766F4B"/>
    <w:rsid w:val="2F992375"/>
    <w:rsid w:val="30641E03"/>
    <w:rsid w:val="314F4DA7"/>
    <w:rsid w:val="316A5BD0"/>
    <w:rsid w:val="320D2C7F"/>
    <w:rsid w:val="33726F3E"/>
    <w:rsid w:val="339735DB"/>
    <w:rsid w:val="33DC6723"/>
    <w:rsid w:val="35DF2952"/>
    <w:rsid w:val="36176665"/>
    <w:rsid w:val="36211FB1"/>
    <w:rsid w:val="383B3039"/>
    <w:rsid w:val="39EE13E0"/>
    <w:rsid w:val="3A2159B0"/>
    <w:rsid w:val="3A725AC9"/>
    <w:rsid w:val="3A943D53"/>
    <w:rsid w:val="3A9A6428"/>
    <w:rsid w:val="3BDC2618"/>
    <w:rsid w:val="3C4D00E0"/>
    <w:rsid w:val="3DB13FD3"/>
    <w:rsid w:val="3DC8501F"/>
    <w:rsid w:val="3E0C65BD"/>
    <w:rsid w:val="3E8168D8"/>
    <w:rsid w:val="3ECB0AD4"/>
    <w:rsid w:val="3F1535E1"/>
    <w:rsid w:val="3F2A632D"/>
    <w:rsid w:val="3F4F2E45"/>
    <w:rsid w:val="3F946D0C"/>
    <w:rsid w:val="3FA450B8"/>
    <w:rsid w:val="40666A3F"/>
    <w:rsid w:val="41B40B00"/>
    <w:rsid w:val="42833013"/>
    <w:rsid w:val="434D40C1"/>
    <w:rsid w:val="44711D8C"/>
    <w:rsid w:val="45591423"/>
    <w:rsid w:val="46A350B2"/>
    <w:rsid w:val="46B14B03"/>
    <w:rsid w:val="47134DFC"/>
    <w:rsid w:val="474016DC"/>
    <w:rsid w:val="47C670B9"/>
    <w:rsid w:val="488439A9"/>
    <w:rsid w:val="48CB4AD6"/>
    <w:rsid w:val="48CB61FD"/>
    <w:rsid w:val="49E8229F"/>
    <w:rsid w:val="4A990213"/>
    <w:rsid w:val="4AA0390C"/>
    <w:rsid w:val="4ACD6967"/>
    <w:rsid w:val="4B244118"/>
    <w:rsid w:val="4B7E12E5"/>
    <w:rsid w:val="5075570C"/>
    <w:rsid w:val="51313F76"/>
    <w:rsid w:val="5157476A"/>
    <w:rsid w:val="51917E6E"/>
    <w:rsid w:val="52483274"/>
    <w:rsid w:val="52740388"/>
    <w:rsid w:val="52FF4A8B"/>
    <w:rsid w:val="53F24B94"/>
    <w:rsid w:val="541701B6"/>
    <w:rsid w:val="547A535D"/>
    <w:rsid w:val="54966084"/>
    <w:rsid w:val="54DD72FB"/>
    <w:rsid w:val="54F65324"/>
    <w:rsid w:val="57F82D97"/>
    <w:rsid w:val="584833CD"/>
    <w:rsid w:val="5A297FFA"/>
    <w:rsid w:val="5A2C1D7C"/>
    <w:rsid w:val="5B4E2F8B"/>
    <w:rsid w:val="5C247779"/>
    <w:rsid w:val="5C6C008B"/>
    <w:rsid w:val="5CB85397"/>
    <w:rsid w:val="5CDE52D6"/>
    <w:rsid w:val="5D7B2C9F"/>
    <w:rsid w:val="5DC149C4"/>
    <w:rsid w:val="5E4E64A4"/>
    <w:rsid w:val="5E6704EE"/>
    <w:rsid w:val="5E8930A3"/>
    <w:rsid w:val="5F7D7C62"/>
    <w:rsid w:val="60C50AF8"/>
    <w:rsid w:val="611F5000"/>
    <w:rsid w:val="613A2209"/>
    <w:rsid w:val="61D737E1"/>
    <w:rsid w:val="62DC6FB5"/>
    <w:rsid w:val="636A1D6B"/>
    <w:rsid w:val="64D50733"/>
    <w:rsid w:val="656B0722"/>
    <w:rsid w:val="66080080"/>
    <w:rsid w:val="66100152"/>
    <w:rsid w:val="66976C44"/>
    <w:rsid w:val="67BC13F4"/>
    <w:rsid w:val="67F30706"/>
    <w:rsid w:val="68A91323"/>
    <w:rsid w:val="6B2858CF"/>
    <w:rsid w:val="6BA9420F"/>
    <w:rsid w:val="6C3D7EDA"/>
    <w:rsid w:val="6D176604"/>
    <w:rsid w:val="6D3E0B4F"/>
    <w:rsid w:val="6E3D3CD5"/>
    <w:rsid w:val="6EE8191F"/>
    <w:rsid w:val="6F9F54DC"/>
    <w:rsid w:val="712139BC"/>
    <w:rsid w:val="71860FC9"/>
    <w:rsid w:val="719F47E6"/>
    <w:rsid w:val="72763413"/>
    <w:rsid w:val="73A1506E"/>
    <w:rsid w:val="73BE59E8"/>
    <w:rsid w:val="73C67146"/>
    <w:rsid w:val="74824F66"/>
    <w:rsid w:val="756E2BA5"/>
    <w:rsid w:val="759E21A9"/>
    <w:rsid w:val="75DF4472"/>
    <w:rsid w:val="763C7A00"/>
    <w:rsid w:val="76AC7253"/>
    <w:rsid w:val="772A19F7"/>
    <w:rsid w:val="78FF1072"/>
    <w:rsid w:val="793837C6"/>
    <w:rsid w:val="79C07E56"/>
    <w:rsid w:val="79F17644"/>
    <w:rsid w:val="7B4B5B77"/>
    <w:rsid w:val="7B702280"/>
    <w:rsid w:val="7B8245FC"/>
    <w:rsid w:val="7BB60C59"/>
    <w:rsid w:val="7BEB4743"/>
    <w:rsid w:val="7C2D0A27"/>
    <w:rsid w:val="7DCC0EDD"/>
    <w:rsid w:val="7EC75BAF"/>
    <w:rsid w:val="7EEF4DCC"/>
    <w:rsid w:val="7F67703A"/>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unhideWhenUsed/>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6">
    <w:name w:val="Document Map"/>
    <w:basedOn w:val="1"/>
    <w:link w:val="27"/>
    <w:unhideWhenUsed/>
    <w:qFormat/>
    <w:uiPriority w:val="99"/>
    <w:rPr>
      <w:rFonts w:ascii="宋体"/>
      <w:sz w:val="18"/>
      <w:szCs w:val="18"/>
    </w:rPr>
  </w:style>
  <w:style w:type="paragraph" w:styleId="7">
    <w:name w:val="toc 3"/>
    <w:basedOn w:val="1"/>
    <w:next w:val="1"/>
    <w:unhideWhenUsed/>
    <w:uiPriority w:val="39"/>
    <w:pPr>
      <w:ind w:left="840" w:leftChars="400"/>
    </w:pPr>
  </w:style>
  <w:style w:type="paragraph" w:styleId="8">
    <w:name w:val="Balloon Text"/>
    <w:basedOn w:val="1"/>
    <w:link w:val="26"/>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8296"/>
      </w:tabs>
      <w:spacing w:line="440" w:lineRule="exact"/>
    </w:pPr>
    <w:rPr>
      <w:rFonts w:ascii="黑体" w:eastAsia="黑体"/>
      <w:color w:val="000000"/>
      <w:kern w:val="0"/>
      <w:sz w:val="21"/>
      <w:szCs w:val="24"/>
    </w:rPr>
  </w:style>
  <w:style w:type="paragraph" w:styleId="12">
    <w:name w:val="toc 4"/>
    <w:basedOn w:val="1"/>
    <w:next w:val="1"/>
    <w:unhideWhenUsed/>
    <w:qFormat/>
    <w:uiPriority w:val="39"/>
    <w:pPr>
      <w:ind w:left="1260" w:leftChars="600"/>
    </w:pPr>
  </w:style>
  <w:style w:type="paragraph" w:styleId="13">
    <w:name w:val="toc 2"/>
    <w:basedOn w:val="1"/>
    <w:next w:val="1"/>
    <w:qFormat/>
    <w:uiPriority w:val="39"/>
    <w:pPr>
      <w:ind w:left="420" w:leftChars="200"/>
    </w:pPr>
    <w:rPr>
      <w:sz w:val="21"/>
      <w:szCs w:val="24"/>
    </w:rPr>
  </w:style>
  <w:style w:type="paragraph" w:styleId="14">
    <w:name w:val="Normal (Web)"/>
    <w:basedOn w:val="1"/>
    <w:unhideWhenUsed/>
    <w:qFormat/>
    <w:uiPriority w:val="99"/>
    <w:pPr>
      <w:widowControl/>
      <w:jc w:val="left"/>
    </w:pPr>
    <w:rPr>
      <w:rFonts w:ascii="宋体" w:hAnsi="宋体" w:cs="宋体"/>
      <w:kern w:val="0"/>
    </w:rPr>
  </w:style>
  <w:style w:type="character" w:styleId="16">
    <w:name w:val="page number"/>
    <w:basedOn w:val="15"/>
    <w:qFormat/>
    <w:uiPriority w:val="0"/>
  </w:style>
  <w:style w:type="character" w:styleId="17">
    <w:name w:val="Hyperlink"/>
    <w:qFormat/>
    <w:uiPriority w:val="99"/>
    <w:rPr>
      <w:color w:val="0000FF"/>
      <w:u w:val="single"/>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标题 2 Char"/>
    <w:basedOn w:val="15"/>
    <w:link w:val="3"/>
    <w:qFormat/>
    <w:uiPriority w:val="0"/>
    <w:rPr>
      <w:rFonts w:asciiTheme="majorHAnsi" w:hAnsiTheme="majorHAnsi" w:eastAsiaTheme="majorEastAsia" w:cstheme="majorBidi"/>
      <w:b/>
      <w:bCs/>
      <w:sz w:val="32"/>
      <w:szCs w:val="32"/>
    </w:rPr>
  </w:style>
  <w:style w:type="character" w:customStyle="1" w:styleId="21">
    <w:name w:val="标题 3 Char"/>
    <w:basedOn w:val="15"/>
    <w:link w:val="4"/>
    <w:qFormat/>
    <w:uiPriority w:val="0"/>
    <w:rPr>
      <w:rFonts w:ascii="Times New Roman" w:hAnsi="Times New Roman" w:eastAsia="宋体" w:cs="Times New Roman"/>
      <w:b/>
      <w:bCs/>
      <w:sz w:val="32"/>
      <w:szCs w:val="32"/>
    </w:rPr>
  </w:style>
  <w:style w:type="character" w:customStyle="1" w:styleId="22">
    <w:name w:val="标题 4 Char"/>
    <w:basedOn w:val="15"/>
    <w:link w:val="5"/>
    <w:qFormat/>
    <w:uiPriority w:val="0"/>
    <w:rPr>
      <w:rFonts w:asciiTheme="majorHAnsi" w:hAnsiTheme="majorHAnsi" w:eastAsiaTheme="majorEastAsia" w:cstheme="majorBidi"/>
      <w:b/>
      <w:bCs/>
      <w:sz w:val="28"/>
      <w:szCs w:val="28"/>
    </w:rPr>
  </w:style>
  <w:style w:type="character" w:customStyle="1" w:styleId="23">
    <w:name w:val="页脚 Char"/>
    <w:basedOn w:val="15"/>
    <w:link w:val="9"/>
    <w:qFormat/>
    <w:uiPriority w:val="99"/>
    <w:rPr>
      <w:rFonts w:ascii="Times New Roman" w:hAnsi="Times New Roman" w:eastAsia="宋体" w:cs="Times New Roman"/>
      <w:sz w:val="18"/>
      <w:szCs w:val="18"/>
    </w:rPr>
  </w:style>
  <w:style w:type="paragraph" w:customStyle="1" w:styleId="24">
    <w:name w:val="List Paragraph"/>
    <w:basedOn w:val="1"/>
    <w:qFormat/>
    <w:uiPriority w:val="34"/>
    <w:pPr>
      <w:ind w:firstLine="420" w:firstLineChars="200"/>
    </w:pPr>
  </w:style>
  <w:style w:type="character" w:customStyle="1" w:styleId="25">
    <w:name w:val="页眉 Char"/>
    <w:basedOn w:val="15"/>
    <w:link w:val="10"/>
    <w:qFormat/>
    <w:uiPriority w:val="99"/>
    <w:rPr>
      <w:rFonts w:ascii="Times New Roman" w:hAnsi="Times New Roman" w:eastAsia="宋体" w:cs="Times New Roman"/>
      <w:sz w:val="18"/>
      <w:szCs w:val="18"/>
    </w:rPr>
  </w:style>
  <w:style w:type="character" w:customStyle="1" w:styleId="26">
    <w:name w:val="批注框文本 Char"/>
    <w:basedOn w:val="15"/>
    <w:link w:val="8"/>
    <w:semiHidden/>
    <w:qFormat/>
    <w:uiPriority w:val="99"/>
    <w:rPr>
      <w:rFonts w:ascii="Times New Roman" w:hAnsi="Times New Roman" w:eastAsia="宋体" w:cs="Times New Roman"/>
      <w:sz w:val="18"/>
      <w:szCs w:val="18"/>
    </w:rPr>
  </w:style>
  <w:style w:type="character" w:customStyle="1" w:styleId="27">
    <w:name w:val="文档结构图 Char"/>
    <w:basedOn w:val="15"/>
    <w:link w:val="6"/>
    <w:semiHidden/>
    <w:qFormat/>
    <w:uiPriority w:val="99"/>
    <w:rPr>
      <w:rFonts w:ascii="宋体"/>
      <w:kern w:val="2"/>
      <w:sz w:val="18"/>
      <w:szCs w:val="18"/>
    </w:rPr>
  </w:style>
  <w:style w:type="character" w:customStyle="1" w:styleId="28">
    <w:name w:val="font61"/>
    <w:qFormat/>
    <w:uiPriority w:val="0"/>
    <w:rPr>
      <w:rFonts w:hint="eastAsia" w:ascii="黑体" w:hAnsi="宋体" w:eastAsia="黑体" w:cs="黑体"/>
      <w:color w:val="000000"/>
      <w:sz w:val="28"/>
      <w:szCs w:val="28"/>
      <w:u w:val="none"/>
    </w:rPr>
  </w:style>
  <w:style w:type="character" w:customStyle="1" w:styleId="29">
    <w:name w:val="font91"/>
    <w:qFormat/>
    <w:uiPriority w:val="0"/>
    <w:rPr>
      <w:rFonts w:hint="eastAsia" w:ascii="宋体" w:hAnsi="宋体" w:eastAsia="宋体" w:cs="宋体"/>
      <w:color w:val="000000"/>
      <w:sz w:val="18"/>
      <w:szCs w:val="18"/>
      <w:u w:val="none"/>
    </w:rPr>
  </w:style>
  <w:style w:type="character" w:customStyle="1" w:styleId="30">
    <w:name w:val="font101"/>
    <w:qFormat/>
    <w:uiPriority w:val="0"/>
    <w:rPr>
      <w:rFonts w:hint="default" w:ascii="Times New Roman" w:hAnsi="Times New Roman" w:cs="Times New Roman"/>
      <w:color w:val="000000"/>
      <w:sz w:val="18"/>
      <w:szCs w:val="18"/>
      <w:u w:val="none"/>
    </w:rPr>
  </w:style>
  <w:style w:type="character" w:customStyle="1" w:styleId="31">
    <w:name w:val="font71"/>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3079"/>
    <customShpInfo spid="_x0000_s3078"/>
    <customShpInfo spid="_x0000_s3077"/>
    <customShpInfo spid="_x0000_s3076"/>
    <customShpInfo spid="_x0000_s3075"/>
    <customShpInfo spid="_x0000_s3074"/>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4834</Words>
  <Characters>27555</Characters>
  <Lines>229</Lines>
  <Paragraphs>64</Paragraphs>
  <TotalTime>0</TotalTime>
  <ScaleCrop>false</ScaleCrop>
  <LinksUpToDate>false</LinksUpToDate>
  <CharactersWithSpaces>32325</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2020-09-11T01:04:00Z</dcterms:created>
  <dc:creator>向剑锋</dc:creator>
  <cp:lastModifiedBy>颜子仪</cp:lastModifiedBy>
  <cp:lastPrinted>2020-09-11T08:15:00Z</cp:lastPrinted>
  <dcterms:modified xsi:type="dcterms:W3CDTF">2021-03-29T02:02:08Z</dcterms:modified>
  <cp:revision>272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y fmtid="{D5CDD505-2E9C-101B-9397-08002B2CF9AE}" pid="3" name="ICV">
    <vt:lpwstr>292241E7C072499B8EB2E1E655BB4B83</vt:lpwstr>
  </property>
</Properties>
</file>