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bookmarkStart w:id="34" w:name="_GoBack"/>
      <w:bookmarkEnd w:id="34"/>
    </w:p>
    <w:p>
      <w:pPr>
        <w:spacing w:line="360" w:lineRule="auto"/>
        <w:ind w:firstLine="963" w:firstLineChars="200"/>
        <w:jc w:val="center"/>
        <w:rPr>
          <w:rFonts w:hint="default" w:ascii="宋体" w:hAnsi="宋体" w:eastAsia="宋体" w:cs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sz w:val="48"/>
          <w:szCs w:val="48"/>
        </w:rPr>
        <w:t>湖南省</w:t>
      </w:r>
      <w:r>
        <w:rPr>
          <w:rFonts w:hint="eastAsia" w:ascii="宋体" w:hAnsi="宋体" w:eastAsia="宋体" w:cs="宋体"/>
          <w:b/>
          <w:sz w:val="48"/>
          <w:szCs w:val="48"/>
          <w:lang w:val="en-US" w:eastAsia="zh-CN"/>
        </w:rPr>
        <w:t>投资项目在线审批监管平台</w:t>
      </w:r>
    </w:p>
    <w:p>
      <w:pPr>
        <w:spacing w:line="360" w:lineRule="auto"/>
        <w:ind w:firstLine="963" w:firstLineChars="200"/>
        <w:jc w:val="center"/>
        <w:rPr>
          <w:rFonts w:ascii="宋体" w:hAnsi="宋体" w:eastAsia="宋体" w:cs="宋体"/>
          <w:b/>
          <w:sz w:val="48"/>
          <w:szCs w:val="48"/>
        </w:rPr>
      </w:pPr>
      <w:r>
        <w:rPr>
          <w:rFonts w:hint="eastAsia" w:ascii="宋体" w:hAnsi="宋体" w:eastAsia="宋体" w:cs="宋体"/>
          <w:b/>
          <w:sz w:val="48"/>
          <w:szCs w:val="48"/>
          <w:lang w:val="en-US" w:eastAsia="zh-CN"/>
        </w:rPr>
        <w:t>湖南省工程建设项目</w:t>
      </w:r>
      <w:r>
        <w:rPr>
          <w:rFonts w:hint="eastAsia" w:ascii="宋体" w:hAnsi="宋体" w:eastAsia="宋体" w:cs="宋体"/>
          <w:b/>
          <w:sz w:val="48"/>
          <w:szCs w:val="48"/>
        </w:rPr>
        <w:t>审批管理系统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53340</wp:posOffset>
                </wp:positionV>
                <wp:extent cx="5125085" cy="0"/>
                <wp:effectExtent l="0" t="0" r="0" b="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 flipV="true">
                          <a:off x="0" y="0"/>
                          <a:ext cx="5125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.6pt;margin-top:4.2pt;height:0pt;width:403.55pt;z-index:251659264;mso-width-relative:page;mso-height-relative:page;" filled="f" stroked="t" coordsize="21600,21600" o:gfxdata="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b/6WjdMAAAAFAQAADwAAAAAAAAABACAAAAA4AAAAZHJzL2Rvd25yZXYueG1s&#10;UEsBAhQAFAAAAAgAh07iQAmwP9TnAQAAkAMAAA4AAAAAAAAAAQAgAAAAOAEAAGRycy9lMm9Eb2Mu&#10;eG1sUEsFBgAAAAAGAAYAWQEAAJE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ind w:firstLine="880" w:firstLineChars="200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spacing w:line="360" w:lineRule="auto"/>
        <w:ind w:firstLine="880" w:firstLineChars="200"/>
        <w:jc w:val="center"/>
        <w:rPr>
          <w:rFonts w:hint="eastAsia" w:ascii="宋体" w:hAnsi="宋体" w:eastAsia="宋体" w:cs="宋体"/>
          <w:sz w:val="44"/>
          <w:szCs w:val="44"/>
        </w:rPr>
      </w:pPr>
    </w:p>
    <w:p>
      <w:pPr>
        <w:spacing w:line="360" w:lineRule="auto"/>
        <w:ind w:firstLine="880" w:firstLineChars="200"/>
        <w:jc w:val="center"/>
        <w:rPr>
          <w:rFonts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建设单位操作</w:t>
      </w:r>
      <w:r>
        <w:rPr>
          <w:rFonts w:hint="eastAsia" w:ascii="宋体" w:hAnsi="宋体" w:eastAsia="宋体" w:cs="宋体"/>
          <w:sz w:val="44"/>
          <w:szCs w:val="44"/>
        </w:rPr>
        <w:t>手册</w:t>
      </w:r>
    </w:p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</w:p>
    <w:tbl>
      <w:tblPr>
        <w:tblStyle w:val="15"/>
        <w:tblW w:w="8277" w:type="dxa"/>
        <w:jc w:val="center"/>
        <w:tblBorders>
          <w:top w:val="single" w:color="7F7F7F" w:themeColor="background1" w:themeShade="80" w:sz="4" w:space="0"/>
          <w:left w:val="single" w:color="7F7F7F" w:themeColor="background1" w:themeShade="80" w:sz="4" w:space="0"/>
          <w:bottom w:val="single" w:color="7F7F7F" w:themeColor="background1" w:themeShade="80" w:sz="4" w:space="0"/>
          <w:right w:val="single" w:color="7F7F7F" w:themeColor="background1" w:themeShade="80" w:sz="4" w:space="0"/>
          <w:insideH w:val="single" w:color="7F7F7F" w:themeColor="background1" w:themeShade="80" w:sz="4" w:space="0"/>
          <w:insideV w:val="single" w:color="7F7F7F" w:themeColor="background1" w:themeShade="80" w:sz="4" w:space="0"/>
        </w:tblBorders>
        <w:tblLayout w:type="fixed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709"/>
        <w:gridCol w:w="1554"/>
        <w:gridCol w:w="851"/>
        <w:gridCol w:w="1612"/>
        <w:gridCol w:w="1544"/>
        <w:gridCol w:w="2007"/>
      </w:tblGrid>
      <w:tr>
        <w:tblPrEx>
          <w:tblBorders>
            <w:top w:val="single" w:color="7F7F7F" w:themeColor="background1" w:themeShade="80" w:sz="4" w:space="0"/>
            <w:left w:val="single" w:color="7F7F7F" w:themeColor="background1" w:themeShade="80" w:sz="4" w:space="0"/>
            <w:bottom w:val="single" w:color="7F7F7F" w:themeColor="background1" w:themeShade="80" w:sz="4" w:space="0"/>
            <w:right w:val="single" w:color="7F7F7F" w:themeColor="background1" w:themeShade="80" w:sz="4" w:space="0"/>
            <w:insideH w:val="single" w:color="7F7F7F" w:themeColor="background1" w:themeShade="80" w:sz="4" w:space="0"/>
            <w:insideV w:val="single" w:color="7F7F7F" w:themeColor="background1" w:themeShade="80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09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808080"/>
                <w:szCs w:val="21"/>
              </w:rPr>
            </w:pPr>
            <w:r>
              <w:rPr>
                <w:rFonts w:hint="eastAsia" w:ascii="宋体" w:hAnsi="宋体"/>
                <w:b/>
                <w:color w:val="808080"/>
                <w:szCs w:val="21"/>
              </w:rPr>
              <w:t>版本</w:t>
            </w:r>
          </w:p>
        </w:tc>
        <w:tc>
          <w:tcPr>
            <w:tcW w:w="1554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808080"/>
                <w:szCs w:val="21"/>
              </w:rPr>
            </w:pPr>
            <w:r>
              <w:rPr>
                <w:rFonts w:hint="eastAsia" w:ascii="宋体" w:hAnsi="宋体"/>
                <w:b/>
                <w:color w:val="808080"/>
                <w:szCs w:val="21"/>
              </w:rPr>
              <w:t>日期</w:t>
            </w:r>
          </w:p>
        </w:tc>
        <w:tc>
          <w:tcPr>
            <w:tcW w:w="851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808080"/>
                <w:szCs w:val="21"/>
              </w:rPr>
            </w:pPr>
            <w:r>
              <w:rPr>
                <w:rFonts w:ascii="宋体" w:hAnsi="宋体"/>
                <w:b/>
                <w:color w:val="808080"/>
                <w:szCs w:val="21"/>
              </w:rPr>
              <w:t>A M D</w:t>
            </w:r>
          </w:p>
        </w:tc>
        <w:tc>
          <w:tcPr>
            <w:tcW w:w="1612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808080"/>
                <w:szCs w:val="21"/>
              </w:rPr>
            </w:pPr>
            <w:r>
              <w:rPr>
                <w:rFonts w:hint="eastAsia" w:ascii="宋体" w:hAnsi="宋体"/>
                <w:b/>
                <w:color w:val="808080"/>
                <w:szCs w:val="21"/>
              </w:rPr>
              <w:t>人员</w:t>
            </w:r>
          </w:p>
        </w:tc>
        <w:tc>
          <w:tcPr>
            <w:tcW w:w="1544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808080"/>
                <w:szCs w:val="21"/>
              </w:rPr>
            </w:pPr>
            <w:r>
              <w:rPr>
                <w:rFonts w:hint="eastAsia" w:ascii="宋体" w:hAnsi="宋体"/>
                <w:b/>
                <w:color w:val="808080"/>
                <w:szCs w:val="21"/>
              </w:rPr>
              <w:t>影响的范围</w:t>
            </w:r>
          </w:p>
        </w:tc>
        <w:tc>
          <w:tcPr>
            <w:tcW w:w="2007" w:type="dxa"/>
            <w:shd w:val="clear" w:color="auto" w:fill="FFFFFF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color w:val="808080"/>
                <w:szCs w:val="21"/>
              </w:rPr>
            </w:pPr>
            <w:r>
              <w:rPr>
                <w:rFonts w:hint="eastAsia" w:ascii="宋体" w:hAnsi="宋体"/>
                <w:b/>
                <w:color w:val="808080"/>
                <w:szCs w:val="21"/>
              </w:rPr>
              <w:t>概要描述</w:t>
            </w:r>
          </w:p>
        </w:tc>
      </w:tr>
      <w:tr>
        <w:tblPrEx>
          <w:tblBorders>
            <w:top w:val="single" w:color="7F7F7F" w:themeColor="background1" w:themeShade="80" w:sz="4" w:space="0"/>
            <w:left w:val="single" w:color="7F7F7F" w:themeColor="background1" w:themeShade="80" w:sz="4" w:space="0"/>
            <w:bottom w:val="single" w:color="7F7F7F" w:themeColor="background1" w:themeShade="80" w:sz="4" w:space="0"/>
            <w:right w:val="single" w:color="7F7F7F" w:themeColor="background1" w:themeShade="80" w:sz="4" w:space="0"/>
            <w:insideH w:val="single" w:color="7F7F7F" w:themeColor="background1" w:themeShade="80" w:sz="4" w:space="0"/>
            <w:insideV w:val="single" w:color="7F7F7F" w:themeColor="background1" w:themeShade="80" w:sz="4" w:space="0"/>
          </w:tblBorders>
        </w:tblPrEx>
        <w:trPr>
          <w:trHeight w:val="567" w:hRule="atLeast"/>
          <w:jc w:val="center"/>
        </w:trPr>
        <w:tc>
          <w:tcPr>
            <w:tcW w:w="709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808080"/>
                <w:szCs w:val="21"/>
              </w:rPr>
            </w:pPr>
            <w:r>
              <w:rPr>
                <w:rFonts w:ascii="宋体" w:hAnsi="宋体"/>
                <w:color w:val="808080"/>
                <w:szCs w:val="21"/>
              </w:rPr>
              <w:t>V1.0</w:t>
            </w:r>
          </w:p>
        </w:tc>
        <w:tc>
          <w:tcPr>
            <w:tcW w:w="155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/>
                <w:color w:val="808080"/>
                <w:szCs w:val="21"/>
                <w:lang w:val="en-US" w:eastAsia="zh-CN"/>
              </w:rPr>
            </w:pPr>
            <w:r>
              <w:rPr>
                <w:rFonts w:ascii="宋体" w:hAnsi="宋体"/>
                <w:color w:val="808080"/>
                <w:szCs w:val="21"/>
              </w:rPr>
              <w:t>2020</w:t>
            </w:r>
            <w:r>
              <w:rPr>
                <w:rFonts w:hint="eastAsia" w:ascii="宋体" w:hAnsi="宋体"/>
                <w:color w:val="808080"/>
                <w:szCs w:val="21"/>
              </w:rPr>
              <w:t>-</w:t>
            </w:r>
            <w:r>
              <w:rPr>
                <w:rFonts w:hint="eastAsia" w:ascii="宋体" w:hAnsi="宋体"/>
                <w:color w:val="808080"/>
                <w:szCs w:val="21"/>
                <w:lang w:val="en-US" w:eastAsia="zh-CN"/>
              </w:rPr>
              <w:t>08</w:t>
            </w:r>
            <w:r>
              <w:rPr>
                <w:rFonts w:hint="eastAsia" w:ascii="宋体" w:hAnsi="宋体"/>
                <w:color w:val="808080"/>
                <w:szCs w:val="21"/>
              </w:rPr>
              <w:t>-</w:t>
            </w:r>
            <w:r>
              <w:rPr>
                <w:rFonts w:hint="eastAsia" w:ascii="宋体" w:hAnsi="宋体"/>
                <w:color w:val="808080"/>
                <w:szCs w:val="21"/>
                <w:lang w:val="en-US" w:eastAsia="zh-CN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808080"/>
                <w:szCs w:val="21"/>
              </w:rPr>
            </w:pPr>
            <w:r>
              <w:rPr>
                <w:rFonts w:hint="eastAsia" w:ascii="宋体" w:hAnsi="宋体"/>
                <w:color w:val="808080"/>
                <w:szCs w:val="21"/>
              </w:rPr>
              <w:t>A</w:t>
            </w:r>
          </w:p>
        </w:tc>
        <w:tc>
          <w:tcPr>
            <w:tcW w:w="1612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Theme="minorEastAsia"/>
                <w:color w:val="808080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808080"/>
                <w:szCs w:val="21"/>
                <w:lang w:val="en-US" w:eastAsia="zh-CN"/>
              </w:rPr>
              <w:t>肖伟雄</w:t>
            </w:r>
          </w:p>
        </w:tc>
        <w:tc>
          <w:tcPr>
            <w:tcW w:w="154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808080"/>
                <w:szCs w:val="21"/>
              </w:rPr>
            </w:pPr>
            <w:r>
              <w:rPr>
                <w:rFonts w:hint="eastAsia" w:ascii="宋体" w:hAnsi="宋体"/>
                <w:color w:val="808080"/>
                <w:szCs w:val="21"/>
              </w:rPr>
              <w:t>整个</w:t>
            </w:r>
            <w:r>
              <w:rPr>
                <w:rFonts w:ascii="宋体" w:hAnsi="宋体"/>
                <w:color w:val="808080"/>
                <w:szCs w:val="21"/>
              </w:rPr>
              <w:t>文档</w:t>
            </w:r>
          </w:p>
        </w:tc>
        <w:tc>
          <w:tcPr>
            <w:tcW w:w="2007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808080"/>
                <w:szCs w:val="21"/>
              </w:rPr>
            </w:pPr>
            <w:r>
              <w:rPr>
                <w:rFonts w:hint="eastAsia" w:ascii="宋体" w:hAnsi="宋体"/>
                <w:color w:val="808080"/>
                <w:szCs w:val="21"/>
              </w:rPr>
              <w:t>初稿</w:t>
            </w:r>
          </w:p>
        </w:tc>
      </w:tr>
      <w:tr>
        <w:tblPrEx>
          <w:tblBorders>
            <w:top w:val="single" w:color="7F7F7F" w:themeColor="background1" w:themeShade="80" w:sz="4" w:space="0"/>
            <w:left w:val="single" w:color="7F7F7F" w:themeColor="background1" w:themeShade="80" w:sz="4" w:space="0"/>
            <w:bottom w:val="single" w:color="7F7F7F" w:themeColor="background1" w:themeShade="80" w:sz="4" w:space="0"/>
            <w:right w:val="single" w:color="7F7F7F" w:themeColor="background1" w:themeShade="80" w:sz="4" w:space="0"/>
            <w:insideH w:val="single" w:color="7F7F7F" w:themeColor="background1" w:themeShade="80" w:sz="4" w:space="0"/>
            <w:insideV w:val="single" w:color="7F7F7F" w:themeColor="background1" w:themeShade="80" w:sz="4" w:space="0"/>
          </w:tblBorders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709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color w:val="808080"/>
                <w:szCs w:val="21"/>
              </w:rPr>
            </w:pPr>
            <w:r>
              <w:rPr>
                <w:rFonts w:hint="eastAsia" w:ascii="宋体" w:hAnsi="宋体"/>
                <w:color w:val="808080"/>
                <w:szCs w:val="21"/>
              </w:rPr>
              <w:t>V</w:t>
            </w:r>
            <w:r>
              <w:rPr>
                <w:rFonts w:ascii="宋体" w:hAnsi="宋体"/>
                <w:color w:val="808080"/>
                <w:szCs w:val="21"/>
              </w:rPr>
              <w:t>2</w:t>
            </w:r>
            <w:r>
              <w:rPr>
                <w:rFonts w:hint="eastAsia" w:ascii="宋体" w:hAnsi="宋体"/>
                <w:color w:val="808080"/>
                <w:szCs w:val="21"/>
              </w:rPr>
              <w:t>.</w:t>
            </w:r>
            <w:r>
              <w:rPr>
                <w:rFonts w:ascii="宋体" w:hAnsi="宋体"/>
                <w:color w:val="808080"/>
                <w:szCs w:val="21"/>
              </w:rPr>
              <w:t>0</w:t>
            </w:r>
          </w:p>
        </w:tc>
        <w:tc>
          <w:tcPr>
            <w:tcW w:w="155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/>
                <w:color w:val="808080"/>
                <w:szCs w:val="21"/>
                <w:lang w:val="en-US" w:eastAsia="zh-CN"/>
              </w:rPr>
            </w:pPr>
            <w:r>
              <w:rPr>
                <w:rFonts w:ascii="宋体" w:hAnsi="宋体"/>
                <w:color w:val="808080"/>
                <w:szCs w:val="21"/>
              </w:rPr>
              <w:t>202</w:t>
            </w:r>
            <w:r>
              <w:rPr>
                <w:rFonts w:hint="eastAsia" w:ascii="宋体" w:hAnsi="宋体"/>
                <w:color w:val="808080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color w:val="808080"/>
                <w:szCs w:val="21"/>
              </w:rPr>
              <w:t>-</w:t>
            </w:r>
            <w:r>
              <w:rPr>
                <w:rFonts w:hint="eastAsia" w:ascii="宋体" w:hAnsi="宋体"/>
                <w:color w:val="808080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808080"/>
                <w:szCs w:val="21"/>
              </w:rPr>
              <w:t>-</w:t>
            </w:r>
            <w:r>
              <w:rPr>
                <w:rFonts w:hint="eastAsia" w:ascii="宋体" w:hAnsi="宋体"/>
                <w:color w:val="808080"/>
                <w:szCs w:val="21"/>
                <w:lang w:val="en-US" w:eastAsia="zh-CN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808080"/>
                <w:szCs w:val="21"/>
              </w:rPr>
            </w:pPr>
            <w:r>
              <w:rPr>
                <w:rFonts w:hint="eastAsia" w:ascii="宋体" w:hAnsi="宋体"/>
                <w:color w:val="808080"/>
                <w:szCs w:val="21"/>
              </w:rPr>
              <w:t>A</w:t>
            </w:r>
          </w:p>
        </w:tc>
        <w:tc>
          <w:tcPr>
            <w:tcW w:w="1612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808080"/>
                <w:szCs w:val="21"/>
              </w:rPr>
            </w:pPr>
            <w:r>
              <w:rPr>
                <w:rFonts w:hint="eastAsia" w:ascii="宋体" w:hAnsi="宋体"/>
                <w:color w:val="808080"/>
                <w:szCs w:val="21"/>
              </w:rPr>
              <w:t>申素锋</w:t>
            </w:r>
          </w:p>
        </w:tc>
        <w:tc>
          <w:tcPr>
            <w:tcW w:w="1544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808080"/>
                <w:szCs w:val="21"/>
              </w:rPr>
            </w:pPr>
            <w:r>
              <w:rPr>
                <w:rFonts w:hint="eastAsia" w:ascii="宋体" w:hAnsi="宋体"/>
                <w:color w:val="808080"/>
                <w:szCs w:val="21"/>
              </w:rPr>
              <w:t>整个</w:t>
            </w:r>
            <w:r>
              <w:rPr>
                <w:rFonts w:ascii="宋体" w:hAnsi="宋体"/>
                <w:color w:val="808080"/>
                <w:szCs w:val="21"/>
              </w:rPr>
              <w:t>文档</w:t>
            </w:r>
          </w:p>
        </w:tc>
        <w:tc>
          <w:tcPr>
            <w:tcW w:w="2007" w:type="dxa"/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/>
                <w:color w:val="80808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808080"/>
                <w:szCs w:val="21"/>
                <w:lang w:val="en-US" w:eastAsia="zh-CN"/>
              </w:rPr>
              <w:t>最新修改</w:t>
            </w:r>
          </w:p>
        </w:tc>
      </w:tr>
    </w:tbl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pStyle w:val="31"/>
        <w:ind w:firstLine="721" w:firstLineChars="200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spacing w:line="360" w:lineRule="auto"/>
        <w:ind w:firstLine="481" w:firstLineChars="200"/>
        <w:jc w:val="center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ind w:firstLine="481" w:firstLineChars="200"/>
        <w:jc w:val="center"/>
        <w:rPr>
          <w:rFonts w:ascii="宋体" w:hAnsi="宋体" w:eastAsia="宋体" w:cs="宋体"/>
          <w:b/>
          <w:sz w:val="24"/>
          <w:szCs w:val="24"/>
        </w:rPr>
      </w:pPr>
    </w:p>
    <w:p>
      <w:pPr>
        <w:spacing w:line="360" w:lineRule="auto"/>
        <w:ind w:firstLine="481" w:firstLineChars="200"/>
        <w:jc w:val="center"/>
        <w:rPr>
          <w:rFonts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长沙市规划信息服务中心</w:t>
      </w:r>
    </w:p>
    <w:p>
      <w:pPr>
        <w:pStyle w:val="10"/>
        <w:spacing w:line="360" w:lineRule="auto"/>
        <w:ind w:firstLine="480" w:firstLineChars="200"/>
        <w:jc w:val="center"/>
        <w:rPr>
          <w:rFonts w:ascii="宋体" w:hAnsi="宋体" w:eastAsia="宋体" w:cs="宋体"/>
          <w:b/>
          <w:sz w:val="24"/>
          <w:szCs w:val="24"/>
          <w:u w:val="single"/>
        </w:rPr>
      </w:pPr>
      <w:r>
        <w:rPr>
          <w:rFonts w:hint="eastAsia" w:ascii="宋体" w:hAnsi="宋体" w:eastAsia="宋体" w:cs="宋体"/>
          <w:sz w:val="24"/>
          <w:szCs w:val="24"/>
        </w:rPr>
        <w:t>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sz w:val="24"/>
          <w:szCs w:val="24"/>
        </w:rPr>
        <w:t>月</w:t>
      </w:r>
    </w:p>
    <w:p>
      <w:pPr>
        <w:pStyle w:val="10"/>
        <w:spacing w:line="360" w:lineRule="auto"/>
        <w:ind w:firstLine="481" w:firstLineChars="200"/>
        <w:rPr>
          <w:rFonts w:ascii="宋体" w:hAnsi="宋体" w:eastAsia="宋体" w:cs="宋体"/>
          <w:b/>
          <w:sz w:val="24"/>
          <w:szCs w:val="24"/>
          <w:u w:val="single"/>
        </w:rPr>
      </w:pPr>
    </w:p>
    <w:p>
      <w:pPr>
        <w:pStyle w:val="10"/>
        <w:spacing w:line="360" w:lineRule="auto"/>
        <w:ind w:firstLine="481" w:firstLineChars="200"/>
        <w:rPr>
          <w:rFonts w:ascii="宋体" w:hAnsi="宋体" w:eastAsia="宋体" w:cs="宋体"/>
          <w:b/>
          <w:sz w:val="24"/>
          <w:szCs w:val="24"/>
          <w:u w:val="single"/>
        </w:rPr>
      </w:pPr>
    </w:p>
    <w:p>
      <w:pPr>
        <w:pStyle w:val="10"/>
        <w:spacing w:line="360" w:lineRule="auto"/>
        <w:ind w:firstLine="481" w:firstLineChars="200"/>
        <w:rPr>
          <w:rFonts w:ascii="宋体" w:hAnsi="宋体" w:eastAsia="宋体" w:cs="宋体"/>
          <w:b/>
          <w:sz w:val="24"/>
          <w:szCs w:val="24"/>
          <w:u w:val="single"/>
        </w:rPr>
      </w:pPr>
    </w:p>
    <w:p>
      <w:pPr>
        <w:pStyle w:val="10"/>
        <w:spacing w:line="360" w:lineRule="auto"/>
        <w:ind w:firstLine="481" w:firstLineChars="200"/>
        <w:rPr>
          <w:rFonts w:ascii="宋体" w:hAnsi="宋体" w:eastAsia="宋体" w:cs="宋体"/>
          <w:b/>
          <w:sz w:val="24"/>
          <w:szCs w:val="24"/>
          <w:u w:val="single"/>
        </w:rPr>
      </w:pPr>
    </w:p>
    <w:sdt>
      <w:sdtPr>
        <w:rPr>
          <w:lang w:val="zh-CN"/>
        </w:rPr>
        <w:id w:val="14475800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6"/>
            <w:jc w:val="center"/>
            <w:rPr>
              <w:color w:val="auto"/>
            </w:rPr>
          </w:pPr>
          <w:r>
            <w:rPr>
              <w:color w:val="auto"/>
              <w:lang w:val="zh-CN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_Toc5477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第一章 系统概述</w:t>
          </w:r>
          <w:r>
            <w:tab/>
          </w:r>
          <w:r>
            <w:fldChar w:fldCharType="begin"/>
          </w:r>
          <w:r>
            <w:instrText xml:space="preserve"> PAGEREF _Toc5477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_Toc2079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1.1 总体目标</w:t>
          </w:r>
          <w:r>
            <w:tab/>
          </w:r>
          <w:r>
            <w:fldChar w:fldCharType="begin"/>
          </w:r>
          <w:r>
            <w:instrText xml:space="preserve"> PAGEREF _Toc2079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_Toc23265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第二章 运行环境要求</w:t>
          </w:r>
          <w:r>
            <w:tab/>
          </w:r>
          <w:r>
            <w:fldChar w:fldCharType="begin"/>
          </w:r>
          <w:r>
            <w:instrText xml:space="preserve"> PAGEREF _Toc23265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_Toc6008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2.1 系统推荐环境</w:t>
          </w:r>
          <w:r>
            <w:tab/>
          </w:r>
          <w:r>
            <w:fldChar w:fldCharType="begin"/>
          </w:r>
          <w:r>
            <w:instrText xml:space="preserve"> PAGEREF _Toc6008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_Toc25105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30"/>
            </w:rPr>
            <w:t>第三章 办事大厅（建设单位）</w:t>
          </w:r>
          <w:r>
            <w:tab/>
          </w:r>
          <w:r>
            <w:fldChar w:fldCharType="begin"/>
          </w:r>
          <w:r>
            <w:instrText xml:space="preserve"> PAGEREF _Toc25105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_Toc25690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3.1 系统访问方式</w:t>
          </w:r>
          <w:r>
            <w:tab/>
          </w:r>
          <w:r>
            <w:fldChar w:fldCharType="begin"/>
          </w:r>
          <w:r>
            <w:instrText xml:space="preserve"> PAGEREF _Toc25690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_Toc19892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3.2 建设单位登录</w:t>
          </w:r>
          <w:r>
            <w:tab/>
          </w:r>
          <w:r>
            <w:fldChar w:fldCharType="begin"/>
          </w:r>
          <w:r>
            <w:instrText xml:space="preserve"> PAGEREF _Toc19892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_Toc15793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3.2.1 首次使用全省一体化平台进行注册的建设单位登录流程</w:t>
          </w:r>
          <w:r>
            <w:tab/>
          </w:r>
          <w:r>
            <w:fldChar w:fldCharType="begin"/>
          </w:r>
          <w:r>
            <w:instrText xml:space="preserve"> PAGEREF _Toc15793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3.2.2 已使用全省一体化平台注册的建设单位登录流程</w:t>
          </w:r>
          <w:r>
            <w:tab/>
          </w:r>
          <w:r>
            <w:fldChar w:fldCharType="begin"/>
          </w:r>
          <w:r>
            <w:instrText xml:space="preserve"> PAGEREF _Toc13197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_Toc25264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3.2.3 “项目代码+密码”登录方式</w:t>
          </w:r>
          <w:r>
            <w:tab/>
          </w:r>
          <w:r>
            <w:fldChar w:fldCharType="begin"/>
          </w:r>
          <w:r>
            <w:instrText xml:space="preserve"> PAGEREF _Toc25264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_Toc15504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3.3 新建能源工程建设项目</w:t>
          </w:r>
          <w:r>
            <w:tab/>
          </w:r>
          <w:r>
            <w:fldChar w:fldCharType="begin"/>
          </w:r>
          <w:r>
            <w:instrText xml:space="preserve"> PAGEREF _Toc15504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_Toc27844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3.4 新建交通工程建设项目</w:t>
          </w:r>
          <w:r>
            <w:tab/>
          </w:r>
          <w:r>
            <w:fldChar w:fldCharType="begin"/>
          </w:r>
          <w:r>
            <w:instrText xml:space="preserve"> PAGEREF _Toc27844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_Toc1946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3.5 新建水利工程建设项目</w:t>
          </w:r>
          <w:r>
            <w:tab/>
          </w:r>
          <w:r>
            <w:fldChar w:fldCharType="begin"/>
          </w:r>
          <w:r>
            <w:instrText xml:space="preserve"> PAGEREF _Toc1946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_Toc17905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 xml:space="preserve">3.5 </w: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发起“一次征询”（未完成）</w:t>
          </w:r>
          <w:r>
            <w:tab/>
          </w:r>
          <w:r>
            <w:fldChar w:fldCharType="begin"/>
          </w:r>
          <w:r>
            <w:instrText xml:space="preserve"> PAGEREF _Toc17905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_Toc27347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3.6 事项申报</w:t>
          </w:r>
          <w:r>
            <w:tab/>
          </w:r>
          <w:r>
            <w:fldChar w:fldCharType="begin"/>
          </w:r>
          <w:r>
            <w:instrText xml:space="preserve"> PAGEREF _Toc27347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_Toc30505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3.7 填写进度汇报</w:t>
          </w:r>
          <w:r>
            <w:tab/>
          </w:r>
          <w:r>
            <w:fldChar w:fldCharType="begin"/>
          </w:r>
          <w:r>
            <w:instrText xml:space="preserve"> PAGEREF _Toc30505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_Toc20773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3.8 基本信息变更</w:t>
          </w:r>
          <w:r>
            <w:tab/>
          </w:r>
          <w:r>
            <w:fldChar w:fldCharType="begin"/>
          </w:r>
          <w:r>
            <w:instrText xml:space="preserve"> PAGEREF _Toc20773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_Toc13927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3.9 阶段信息变更</w:t>
          </w:r>
          <w:r>
            <w:tab/>
          </w:r>
          <w:r>
            <w:fldChar w:fldCharType="begin"/>
          </w:r>
          <w:r>
            <w:instrText xml:space="preserve"> PAGEREF _Toc13927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_Toc7282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 xml:space="preserve">3.9 </w:t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发起联合验收（未完成）</w:t>
          </w:r>
          <w:r>
            <w:tab/>
          </w:r>
          <w:r>
            <w:fldChar w:fldCharType="begin"/>
          </w:r>
          <w:r>
            <w:instrText xml:space="preserve"> PAGEREF _Toc7282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_Toc6800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3.10 材料补正</w:t>
          </w:r>
          <w:r>
            <w:tab/>
          </w:r>
          <w:r>
            <w:fldChar w:fldCharType="begin"/>
          </w:r>
          <w:r>
            <w:instrText xml:space="preserve"> PAGEREF _Toc6800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_Toc31339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3.11 退回办件重新申报</w:t>
          </w:r>
          <w:r>
            <w:tab/>
          </w:r>
          <w:r>
            <w:fldChar w:fldCharType="begin"/>
          </w:r>
          <w:r>
            <w:instrText xml:space="preserve"> PAGEREF _Toc31339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_Toc19302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</w:rPr>
            <w:t>3.12 其他功能介绍</w:t>
          </w:r>
          <w:r>
            <w:tab/>
          </w:r>
          <w:r>
            <w:fldChar w:fldCharType="begin"/>
          </w:r>
          <w:r>
            <w:instrText xml:space="preserve"> PAGEREF _Toc19302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pStyle w:val="10"/>
        <w:spacing w:line="360" w:lineRule="auto"/>
        <w:ind w:firstLine="481" w:firstLineChars="200"/>
        <w:rPr>
          <w:rFonts w:ascii="宋体" w:hAnsi="宋体" w:eastAsia="宋体" w:cs="宋体"/>
          <w:b/>
          <w:sz w:val="24"/>
          <w:szCs w:val="24"/>
          <w:u w:val="single"/>
        </w:rPr>
      </w:pPr>
    </w:p>
    <w:p>
      <w:pPr>
        <w:pStyle w:val="10"/>
        <w:spacing w:line="360" w:lineRule="auto"/>
        <w:ind w:firstLine="481" w:firstLineChars="200"/>
        <w:rPr>
          <w:rFonts w:ascii="宋体" w:hAnsi="宋体" w:eastAsia="宋体" w:cs="宋体"/>
          <w:b/>
          <w:sz w:val="24"/>
          <w:szCs w:val="24"/>
          <w:u w:val="single"/>
        </w:rPr>
      </w:pPr>
    </w:p>
    <w:p>
      <w:pPr>
        <w:pStyle w:val="10"/>
        <w:spacing w:line="360" w:lineRule="auto"/>
        <w:ind w:firstLine="481" w:firstLineChars="200"/>
        <w:rPr>
          <w:rFonts w:hint="eastAsia" w:ascii="宋体" w:hAnsi="宋体" w:eastAsia="宋体" w:cs="宋体"/>
          <w:b/>
          <w:sz w:val="24"/>
          <w:szCs w:val="24"/>
          <w:u w:val="single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>
      <w:pPr>
        <w:pStyle w:val="3"/>
        <w:spacing w:line="360" w:lineRule="auto"/>
        <w:ind w:firstLine="602" w:firstLineChars="200"/>
        <w:jc w:val="center"/>
        <w:rPr>
          <w:rFonts w:ascii="宋体" w:hAnsi="宋体" w:eastAsia="宋体" w:cs="宋体"/>
          <w:sz w:val="30"/>
          <w:szCs w:val="30"/>
        </w:rPr>
      </w:pPr>
      <w:bookmarkStart w:id="0" w:name="_Toc23658"/>
      <w:bookmarkStart w:id="1" w:name="_Toc5477"/>
      <w:r>
        <w:rPr>
          <w:rFonts w:hint="eastAsia" w:ascii="宋体" w:hAnsi="宋体" w:eastAsia="宋体" w:cs="宋体"/>
          <w:sz w:val="30"/>
          <w:szCs w:val="30"/>
        </w:rPr>
        <w:t>第一章 系统概述</w:t>
      </w:r>
      <w:bookmarkEnd w:id="0"/>
      <w:bookmarkEnd w:id="1"/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2" w:name="_Toc23893"/>
      <w:bookmarkStart w:id="3" w:name="_Toc2079"/>
      <w:r>
        <w:rPr>
          <w:rFonts w:hint="eastAsia" w:ascii="宋体" w:hAnsi="宋体" w:eastAsia="宋体" w:cs="宋体"/>
          <w:sz w:val="24"/>
          <w:szCs w:val="24"/>
        </w:rPr>
        <w:t>1.1 总体目标</w:t>
      </w:r>
      <w:bookmarkEnd w:id="2"/>
      <w:bookmarkEnd w:id="3"/>
    </w:p>
    <w:p>
      <w:pPr>
        <w:pStyle w:val="7"/>
        <w:spacing w:line="360" w:lineRule="auto"/>
        <w:ind w:left="0" w:leftChars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近些年来，在各部门的大力推动下，湖南省工程建设项目审批制度改革已取得较大的成绩与突破。为深入贯彻落实中央部委的工作精神和指导要求，围绕湖南省人民政府办公厅印发的《工程建设项目审批制度深化改革实施方案（湘政办发〔2019〕24号）》，以"建成全省统一的工程建设项目审批制度框架和管理系统，实现工程建设项目‘120/100/70/60’的改革"为总体目标,集合水利项目审批的实际情况，以信息技术为手段，坚持政府引导，进一步优化湖南省水利建设项目审批和管理体系。</w:t>
      </w:r>
    </w:p>
    <w:p>
      <w:pPr>
        <w:pStyle w:val="7"/>
        <w:spacing w:line="360" w:lineRule="auto"/>
        <w:ind w:left="0" w:leftChars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系统建设内容主要包括水利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所有</w:t>
      </w:r>
      <w:r>
        <w:rPr>
          <w:rFonts w:hint="eastAsia" w:ascii="宋体" w:hAnsi="宋体" w:eastAsia="宋体" w:cs="宋体"/>
          <w:sz w:val="24"/>
          <w:szCs w:val="24"/>
        </w:rPr>
        <w:t>阶段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的申报以及非水利事项审批</w:t>
      </w:r>
      <w:r>
        <w:rPr>
          <w:rFonts w:hint="eastAsia" w:ascii="宋体" w:hAnsi="宋体" w:eastAsia="宋体" w:cs="宋体"/>
          <w:sz w:val="24"/>
          <w:szCs w:val="24"/>
        </w:rPr>
        <w:t>相关功能建设，并实现与湖南省投资项目在线审批监管平台、与湖南省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水利内部</w:t>
      </w:r>
      <w:r>
        <w:rPr>
          <w:rFonts w:hint="eastAsia" w:ascii="宋体" w:hAnsi="宋体" w:eastAsia="宋体" w:cs="宋体"/>
          <w:sz w:val="24"/>
          <w:szCs w:val="24"/>
        </w:rPr>
        <w:t>系统对接。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3"/>
        <w:numPr>
          <w:ilvl w:val="0"/>
          <w:numId w:val="1"/>
        </w:numPr>
        <w:spacing w:line="360" w:lineRule="auto"/>
        <w:ind w:firstLine="602" w:firstLineChars="200"/>
        <w:jc w:val="center"/>
        <w:rPr>
          <w:rFonts w:ascii="宋体" w:hAnsi="宋体" w:eastAsia="宋体" w:cs="宋体"/>
          <w:sz w:val="30"/>
          <w:szCs w:val="30"/>
        </w:rPr>
      </w:pPr>
      <w:bookmarkStart w:id="4" w:name="_Toc12427"/>
      <w:bookmarkStart w:id="5" w:name="_Toc23265"/>
      <w:r>
        <w:rPr>
          <w:rFonts w:hint="eastAsia" w:ascii="宋体" w:hAnsi="宋体" w:eastAsia="宋体" w:cs="宋体"/>
          <w:sz w:val="30"/>
          <w:szCs w:val="30"/>
        </w:rPr>
        <w:t>运行环境要求</w:t>
      </w:r>
      <w:bookmarkEnd w:id="4"/>
      <w:bookmarkEnd w:id="5"/>
    </w:p>
    <w:p>
      <w:pPr>
        <w:pStyle w:val="4"/>
        <w:spacing w:line="360" w:lineRule="auto"/>
        <w:ind w:left="649" w:firstLine="481" w:firstLineChars="200"/>
        <w:rPr>
          <w:rFonts w:ascii="宋体" w:hAnsi="宋体" w:eastAsia="宋体" w:cs="宋体"/>
          <w:sz w:val="24"/>
          <w:szCs w:val="24"/>
        </w:rPr>
      </w:pPr>
      <w:bookmarkStart w:id="6" w:name="_Toc6706"/>
      <w:bookmarkStart w:id="7" w:name="_Toc688"/>
      <w:bookmarkStart w:id="8" w:name="_Toc6008"/>
      <w:r>
        <w:rPr>
          <w:rFonts w:hint="eastAsia" w:ascii="宋体" w:hAnsi="宋体" w:eastAsia="宋体" w:cs="宋体"/>
          <w:sz w:val="24"/>
          <w:szCs w:val="24"/>
        </w:rPr>
        <w:t>2.1 系统推荐环境</w:t>
      </w:r>
      <w:bookmarkEnd w:id="6"/>
      <w:bookmarkEnd w:id="7"/>
      <w:bookmarkEnd w:id="8"/>
    </w:p>
    <w:p>
      <w:pPr>
        <w:pStyle w:val="20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1)操作系统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300480"/>
            <wp:effectExtent l="19050" t="19050" r="2540" b="0"/>
            <wp:docPr id="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rcRect l="1646" t="6243" r="1344" b="33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048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360" w:lineRule="auto"/>
        <w:ind w:firstLine="480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2)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浏览器</w:t>
      </w:r>
    </w:p>
    <w:tbl>
      <w:tblPr>
        <w:tblStyle w:val="16"/>
        <w:tblW w:w="0" w:type="auto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right"/>
        </w:trPr>
        <w:tc>
          <w:tcPr>
            <w:tcW w:w="4148" w:type="dxa"/>
          </w:tcPr>
          <w:p>
            <w:pPr>
              <w:pStyle w:val="2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组件名称</w:t>
            </w:r>
          </w:p>
        </w:tc>
        <w:tc>
          <w:tcPr>
            <w:tcW w:w="4148" w:type="dxa"/>
          </w:tcPr>
          <w:p>
            <w:pPr>
              <w:pStyle w:val="2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组件版本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right"/>
        </w:trPr>
        <w:tc>
          <w:tcPr>
            <w:tcW w:w="4148" w:type="dxa"/>
          </w:tcPr>
          <w:p>
            <w:pPr>
              <w:pStyle w:val="2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I</w:t>
            </w:r>
            <w:r>
              <w:rPr>
                <w:rFonts w:ascii="宋体" w:hAnsi="宋体" w:eastAsia="宋体" w:cs="宋体"/>
                <w:sz w:val="24"/>
                <w:szCs w:val="24"/>
              </w:rPr>
              <w:t>E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浏览器</w:t>
            </w:r>
          </w:p>
        </w:tc>
        <w:tc>
          <w:tcPr>
            <w:tcW w:w="4148" w:type="dxa"/>
          </w:tcPr>
          <w:p>
            <w:pPr>
              <w:pStyle w:val="2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I</w:t>
            </w:r>
            <w:r>
              <w:rPr>
                <w:rFonts w:ascii="宋体" w:hAnsi="宋体" w:eastAsia="宋体" w:cs="宋体"/>
                <w:sz w:val="24"/>
                <w:szCs w:val="24"/>
              </w:rPr>
              <w:t>E9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right"/>
        </w:trPr>
        <w:tc>
          <w:tcPr>
            <w:tcW w:w="4148" w:type="dxa"/>
          </w:tcPr>
          <w:p>
            <w:pPr>
              <w:pStyle w:val="2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谷歌</w:t>
            </w:r>
            <w:r>
              <w:rPr>
                <w:rFonts w:ascii="宋体" w:hAnsi="宋体" w:eastAsia="宋体" w:cs="宋体"/>
                <w:sz w:val="24"/>
                <w:szCs w:val="24"/>
              </w:rPr>
              <w:t>C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hro</w:t>
            </w:r>
            <w:r>
              <w:rPr>
                <w:rFonts w:ascii="宋体" w:hAnsi="宋体" w:eastAsia="宋体" w:cs="宋体"/>
                <w:sz w:val="24"/>
                <w:szCs w:val="24"/>
              </w:rPr>
              <w:t>me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浏览器（申报端推荐）</w:t>
            </w:r>
          </w:p>
        </w:tc>
        <w:tc>
          <w:tcPr>
            <w:tcW w:w="4148" w:type="dxa"/>
          </w:tcPr>
          <w:p>
            <w:pPr>
              <w:pStyle w:val="2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不限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right"/>
        </w:trPr>
        <w:tc>
          <w:tcPr>
            <w:tcW w:w="4148" w:type="dxa"/>
          </w:tcPr>
          <w:p>
            <w:pPr>
              <w:pStyle w:val="2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  <w:r>
              <w:rPr>
                <w:rFonts w:ascii="宋体" w:hAnsi="宋体" w:eastAsia="宋体" w:cs="宋体"/>
                <w:sz w:val="24"/>
                <w:szCs w:val="24"/>
              </w:rPr>
              <w:t>60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浏览器（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推荐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）</w:t>
            </w:r>
          </w:p>
        </w:tc>
        <w:tc>
          <w:tcPr>
            <w:tcW w:w="4148" w:type="dxa"/>
          </w:tcPr>
          <w:p>
            <w:pPr>
              <w:pStyle w:val="2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不限</w:t>
            </w:r>
          </w:p>
        </w:tc>
      </w:tr>
    </w:tbl>
    <w:p>
      <w:pPr>
        <w:pStyle w:val="20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3)其他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（1）Office2003以上版本；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（2）湖南CA电子盖章控件。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3"/>
        <w:spacing w:line="360" w:lineRule="auto"/>
        <w:ind w:firstLine="602" w:firstLineChars="200"/>
        <w:jc w:val="center"/>
        <w:rPr>
          <w:rFonts w:ascii="宋体" w:hAnsi="宋体" w:eastAsia="宋体" w:cs="宋体"/>
          <w:sz w:val="30"/>
          <w:szCs w:val="30"/>
        </w:rPr>
      </w:pPr>
      <w:bookmarkStart w:id="9" w:name="_Toc17362"/>
      <w:bookmarkStart w:id="10" w:name="_Toc25105"/>
      <w:r>
        <w:rPr>
          <w:rFonts w:hint="eastAsia" w:ascii="宋体" w:hAnsi="宋体" w:eastAsia="宋体" w:cs="宋体"/>
          <w:sz w:val="30"/>
          <w:szCs w:val="30"/>
        </w:rPr>
        <w:t xml:space="preserve">第三章 </w:t>
      </w:r>
      <w:bookmarkEnd w:id="9"/>
      <w:r>
        <w:rPr>
          <w:rFonts w:hint="eastAsia" w:ascii="宋体" w:hAnsi="宋体" w:eastAsia="宋体" w:cs="宋体"/>
          <w:sz w:val="30"/>
          <w:szCs w:val="30"/>
        </w:rPr>
        <w:t>办事大厅（建设单位）</w:t>
      </w:r>
      <w:bookmarkEnd w:id="10"/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11" w:name="_Toc8680"/>
      <w:bookmarkStart w:id="12" w:name="_Toc25690"/>
      <w:r>
        <w:rPr>
          <w:rFonts w:hint="eastAsia" w:ascii="宋体" w:hAnsi="宋体" w:eastAsia="宋体" w:cs="宋体"/>
          <w:sz w:val="24"/>
          <w:szCs w:val="24"/>
        </w:rPr>
        <w:t>3.1</w:t>
      </w:r>
      <w:bookmarkEnd w:id="11"/>
      <w:r>
        <w:rPr>
          <w:rFonts w:hint="eastAsia" w:ascii="宋体" w:hAnsi="宋体" w:eastAsia="宋体" w:cs="宋体"/>
          <w:sz w:val="24"/>
          <w:szCs w:val="24"/>
        </w:rPr>
        <w:t xml:space="preserve"> 系统访问方式</w:t>
      </w:r>
      <w:bookmarkEnd w:id="12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建设单位使用的电脑必须接入互联网，打开浏览器，在地址栏键入</w:t>
      </w:r>
      <w:r>
        <w:fldChar w:fldCharType="begin"/>
      </w:r>
      <w:r>
        <w:instrText xml:space="preserve"> HYPERLINK "http://www.hntzxm.gov.cn" </w:instrText>
      </w:r>
      <w:r>
        <w:fldChar w:fldCharType="separate"/>
      </w:r>
      <w:r>
        <w:rPr>
          <w:rStyle w:val="19"/>
          <w:rFonts w:hint="eastAsia" w:ascii="宋体" w:hAnsi="宋体" w:eastAsia="宋体" w:cs="宋体"/>
          <w:sz w:val="24"/>
          <w:szCs w:val="24"/>
          <w:u w:color="FFFFFF"/>
        </w:rPr>
        <w:t>http://www.hntzxm.gov.cn</w:t>
      </w:r>
      <w:r>
        <w:rPr>
          <w:rStyle w:val="19"/>
          <w:rFonts w:hint="eastAsia" w:ascii="宋体" w:hAnsi="宋体" w:eastAsia="宋体" w:cs="宋体"/>
          <w:sz w:val="24"/>
          <w:szCs w:val="24"/>
          <w:u w:color="FFFFFF"/>
        </w:rPr>
        <w:fldChar w:fldCharType="end"/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访问，即可进入登录页面，并使用数字证书登陆或者使用账号和密码登入后台审批系统，如下图所示：</w:t>
      </w:r>
    </w:p>
    <w:p>
      <w:pPr>
        <w:spacing w:line="360" w:lineRule="auto"/>
        <w:ind w:left="420" w:leftChars="200" w:firstLine="480" w:firstLineChars="20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343785"/>
            <wp:effectExtent l="0" t="0" r="2540" b="0"/>
            <wp:docPr id="56" name="图片 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0"/>
          <w:szCs w:val="20"/>
        </w:rPr>
        <w:t>图3-1登陆</w:t>
      </w: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13" w:name="_Toc19892"/>
      <w:bookmarkStart w:id="14" w:name="_Toc11059352"/>
      <w:r>
        <w:rPr>
          <w:rFonts w:hint="eastAsia" w:ascii="宋体" w:hAnsi="宋体" w:eastAsia="宋体" w:cs="宋体"/>
          <w:sz w:val="24"/>
          <w:szCs w:val="24"/>
        </w:rPr>
        <w:t>3.2 建设单位登录</w:t>
      </w:r>
      <w:bookmarkEnd w:id="13"/>
      <w:bookmarkEnd w:id="14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根据国家、省对“互联网+政务服务”工作有关要求，2019年6月10日起，通过此系统申报项目，建设单位应统一使用湖南省“互联网+政务服务”一体化平台（以下简称“全省一体化平台”）进行企业注册和登录。</w:t>
      </w:r>
    </w:p>
    <w:p>
      <w:pPr>
        <w:pStyle w:val="5"/>
        <w:spacing w:line="360" w:lineRule="auto"/>
        <w:ind w:firstLine="481" w:firstLineChars="200"/>
        <w:rPr>
          <w:rFonts w:ascii="宋体" w:hAnsi="宋体" w:eastAsia="宋体" w:cs="宋体"/>
          <w:szCs w:val="24"/>
        </w:rPr>
      </w:pPr>
      <w:bookmarkStart w:id="15" w:name="_Toc15793"/>
      <w:bookmarkStart w:id="16" w:name="_Toc11059353"/>
      <w:r>
        <w:rPr>
          <w:rFonts w:hint="eastAsia" w:ascii="宋体" w:hAnsi="宋体" w:eastAsia="宋体" w:cs="宋体"/>
          <w:szCs w:val="24"/>
        </w:rPr>
        <w:t>3.2.1 首次使用全省一体化平台进行注册的建设单位登录流程</w:t>
      </w:r>
      <w:bookmarkEnd w:id="15"/>
      <w:bookmarkEnd w:id="16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（1）点击系统首页“我的项目”或“工程建设项目申报”均可进入企业登录页面，如下图所示：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lang w:val="zh-CN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lang w:val="zh-CN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lang w:val="zh-CN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  <w:lang w:val="zh-CN"/>
        </w:rPr>
      </w:pPr>
    </w:p>
    <w:p>
      <w:pPr>
        <w:spacing w:line="360" w:lineRule="auto"/>
        <w:ind w:firstLine="480" w:firstLineChars="200"/>
        <w:jc w:val="center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74310" cy="2736215"/>
            <wp:effectExtent l="0" t="0" r="8890" b="6985"/>
            <wp:docPr id="58" name="图片 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3-2系统首页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（2）点击“企业注册”，页面自动跳转至全省一体化平台。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800985"/>
            <wp:effectExtent l="0" t="0" r="2540" b="0"/>
            <wp:docPr id="59" name="图片 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3-3企业注册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（3）进入全省一体化平台注册页面，点击“企业登录”—“注册”，页面将自动引导建设单位完成注册手续，如下图所示：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drawing>
          <wp:inline distT="0" distB="0" distL="0" distR="0">
            <wp:extent cx="5274310" cy="2297430"/>
            <wp:effectExtent l="0" t="0" r="2540" b="7620"/>
            <wp:docPr id="42" name="图片 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3-4企业注册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（4）完成注册手续后，建设单位需返回审批系统首页：</w:t>
      </w:r>
      <w:r>
        <w:fldChar w:fldCharType="begin"/>
      </w:r>
      <w:r>
        <w:instrText xml:space="preserve"> HYPERLINK "http://www.hntzxm.gov.cn" </w:instrText>
      </w:r>
      <w: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http://www.hntzxm.gov.cn</w:t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fldChar w:fldCharType="end"/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，再次进入企业登录页面，点击“企业注册”，如下图所示：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800985"/>
            <wp:effectExtent l="0" t="0" r="2540" b="0"/>
            <wp:docPr id="60" name="图片 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（5）页面将自动跳转至全省一体化平台登录页面，点击“企业登录”，根据页面提示输入“用户名/手机号码/统一社会信用代码”、“密码”、“验证码”并点击“登录”，如下图所示：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74310" cy="2156460"/>
            <wp:effectExtent l="0" t="0" r="254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3-5企业登录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（6）页面将自动跳转至审批系统建设单位操作界面，如下图所示：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178425" cy="3568700"/>
            <wp:effectExtent l="0" t="0" r="3175" b="12700"/>
            <wp:docPr id="1" name="图片 1" descr="C:\Users\45718\Desktop\1.jpg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45718\Desktop\1.jpg1"/>
                    <pic:cNvPicPr>
                      <a:picLocks noChangeAspect="true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3-6建设单位操作界面</w:t>
      </w:r>
    </w:p>
    <w:p>
      <w:pPr>
        <w:pStyle w:val="5"/>
        <w:spacing w:line="360" w:lineRule="auto"/>
        <w:ind w:firstLine="481" w:firstLineChars="200"/>
        <w:rPr>
          <w:rFonts w:ascii="宋体" w:hAnsi="宋体" w:eastAsia="宋体" w:cs="宋体"/>
          <w:szCs w:val="24"/>
        </w:rPr>
      </w:pPr>
      <w:bookmarkStart w:id="17" w:name="_Toc11059354"/>
      <w:bookmarkStart w:id="18" w:name="_Toc13197"/>
      <w:bookmarkStart w:id="19" w:name="_Toc11059355"/>
      <w:r>
        <w:rPr>
          <w:rFonts w:hint="eastAsia" w:ascii="宋体" w:hAnsi="宋体" w:eastAsia="宋体" w:cs="宋体"/>
          <w:szCs w:val="24"/>
        </w:rPr>
        <w:t>3.2.2 已使用全省一体化平台注册的建设单位登录流程</w:t>
      </w:r>
      <w:bookmarkEnd w:id="17"/>
      <w:bookmarkEnd w:id="18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（1）点击系统首页“我的项目”、“工程建设项目申报”均可进入企业登录页面，如下图所示：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274310" cy="2736215"/>
            <wp:effectExtent l="0" t="0" r="13970" b="6985"/>
            <wp:docPr id="61" name="图片 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3-7我的项目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 w:cs="宋体"/>
          <w:sz w:val="24"/>
          <w:szCs w:val="24"/>
          <w:lang w:val="zh-CN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（2）用户点击”企业注册”，页面将自动跳转至全省一体化平台。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800985"/>
            <wp:effectExtent l="0" t="0" r="13970" b="3175"/>
            <wp:docPr id="62" name="图片 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3-8登录跳转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（3）进入全省一体化平台登录页面，点击“企业登录”，根据页面提示输入“用户名/手机号码/统一社会信用代码”、“密码”、“验证码”并点击“登录”，如下图所示：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drawing>
          <wp:inline distT="0" distB="0" distL="0" distR="0">
            <wp:extent cx="5274310" cy="2156460"/>
            <wp:effectExtent l="0" t="0" r="13970" b="762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3-9企业登录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（4）页面将自动跳转至审批系统建设单位操作界面，如下图所示：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114925" cy="3568700"/>
            <wp:effectExtent l="0" t="0" r="5715" b="12700"/>
            <wp:docPr id="4" name="图片 2" descr="C:\Users\45718\Desktop\1.jpg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45718\Desktop\1.jpg1"/>
                    <pic:cNvPicPr>
                      <a:picLocks noChangeAspect="true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3-10建设单位操作界面</w:t>
      </w:r>
    </w:p>
    <w:p>
      <w:pPr>
        <w:pStyle w:val="5"/>
        <w:spacing w:line="360" w:lineRule="auto"/>
        <w:ind w:firstLine="481" w:firstLineChars="200"/>
        <w:rPr>
          <w:rFonts w:ascii="宋体" w:hAnsi="宋体" w:eastAsia="宋体" w:cs="宋体"/>
          <w:szCs w:val="24"/>
        </w:rPr>
      </w:pPr>
      <w:bookmarkStart w:id="20" w:name="_Toc25264"/>
      <w:r>
        <w:rPr>
          <w:rFonts w:hint="eastAsia" w:ascii="宋体" w:hAnsi="宋体" w:eastAsia="宋体" w:cs="宋体"/>
          <w:szCs w:val="24"/>
        </w:rPr>
        <w:t>3.2.3 “项目代码+密码”登录方式</w:t>
      </w:r>
      <w:bookmarkEnd w:id="19"/>
      <w:bookmarkEnd w:id="20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2019年6月10日前已通过在线平台完成项目申报的建设单位，可沿用“项目代码+密码”的登录方式，查询项目办理进度和下载办件。后续新申报项目，建设单位仍需通过全省一体化平台进行注册。“项目代码+密码”的登录方式如下图所示：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drawing>
          <wp:inline distT="0" distB="0" distL="0" distR="0">
            <wp:extent cx="5274310" cy="2832100"/>
            <wp:effectExtent l="0" t="0" r="2540" b="635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 noChangeArrowheads="true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3-11项目代码登录方式</w:t>
      </w: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21" w:name="_Toc2745"/>
      <w:bookmarkStart w:id="22" w:name="_Toc15504"/>
      <w:r>
        <w:rPr>
          <w:rFonts w:hint="eastAsia" w:ascii="宋体" w:hAnsi="宋体" w:eastAsia="宋体" w:cs="宋体"/>
          <w:sz w:val="24"/>
          <w:szCs w:val="24"/>
        </w:rPr>
        <w:t>3.</w:t>
      </w:r>
      <w:bookmarkEnd w:id="21"/>
      <w:r>
        <w:rPr>
          <w:rFonts w:hint="eastAsia" w:ascii="宋体" w:hAnsi="宋体" w:eastAsia="宋体" w:cs="宋体"/>
          <w:sz w:val="24"/>
          <w:szCs w:val="24"/>
        </w:rPr>
        <w:t>3 新建能源工程建设项目</w:t>
      </w:r>
      <w:bookmarkEnd w:id="22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（1）用户登录成功后，可点击“能源项目”菜单下的“我的项目”模块，点击新建项目按钮进行创建。如下图所示：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2419985"/>
            <wp:effectExtent l="0" t="0" r="2540" b="0"/>
            <wp:docPr id="320" name="图片 3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3-12新建能源项目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（2）在弹出的项目申报窗口，选择对应的项目类型进行申报，如图所示：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921250" cy="5041900"/>
            <wp:effectExtent l="0" t="0" r="6350" b="0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3-13选择项目类型</w:t>
      </w:r>
    </w:p>
    <w:p>
      <w:pPr>
        <w:pStyle w:val="2"/>
        <w:numPr>
          <w:ilvl w:val="0"/>
          <w:numId w:val="2"/>
        </w:num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按工程实际情况填写项目信息申报表单后，点击确认按钮后完成能源项目新建。如下图所示：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6637020"/>
            <wp:effectExtent l="0" t="0" r="1270" b="5080"/>
            <wp:docPr id="7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3-14填写项目基本信息</w:t>
      </w: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23" w:name="_Toc27844"/>
      <w:r>
        <w:rPr>
          <w:rFonts w:hint="eastAsia" w:ascii="宋体" w:hAnsi="宋体" w:eastAsia="宋体" w:cs="宋体"/>
          <w:sz w:val="24"/>
          <w:szCs w:val="24"/>
        </w:rPr>
        <w:t>3.4 新建交通工程建设项目</w:t>
      </w:r>
      <w:bookmarkEnd w:id="23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（1）用户登录成功后，可点击“交通项目”菜单下的“我的项目”模块，点击新建项目按钮进行创建。如下图所示：</w:t>
      </w:r>
    </w:p>
    <w:p>
      <w:pPr>
        <w:pStyle w:val="2"/>
        <w:ind w:firstLine="560" w:firstLineChars="20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3865880"/>
            <wp:effectExtent l="9525" t="9525" r="24130" b="10795"/>
            <wp:docPr id="3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65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3-15新建交通工程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（2）在弹出的项目申报窗口，选择对应的项目类型进行申报，如图所示：</w:t>
      </w:r>
    </w:p>
    <w:p>
      <w:pPr>
        <w:pStyle w:val="2"/>
        <w:ind w:firstLine="560" w:firstLineChars="20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230" cy="2830195"/>
            <wp:effectExtent l="9525" t="9525" r="9525" b="10160"/>
            <wp:docPr id="3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0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3-16选择项目类型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（3）按工程实际情况填写项目信息申报表单后，点击确认按钮后完成能源项目新建。如下图所示：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5963920"/>
            <wp:effectExtent l="0" t="0" r="2540" b="0"/>
            <wp:docPr id="331" name="图片 3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3-17填写项目基本信息</w:t>
      </w: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24" w:name="_Toc1946"/>
      <w:r>
        <w:rPr>
          <w:rFonts w:hint="eastAsia" w:ascii="宋体" w:hAnsi="宋体" w:eastAsia="宋体" w:cs="宋体"/>
          <w:sz w:val="24"/>
          <w:szCs w:val="24"/>
        </w:rPr>
        <w:t>3.5 新建水利工程建设项目</w:t>
      </w:r>
      <w:bookmarkEnd w:id="24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FFFFF"/>
        </w:rPr>
        <w:t>（1）用户登录成功后，可点击“水利项目”菜单下的“我的项目”模块，点击新建项目按钮进行创建。如下图所示：</w:t>
      </w:r>
    </w:p>
    <w:p>
      <w:pPr>
        <w:pStyle w:val="2"/>
        <w:ind w:firstLine="560" w:firstLineChars="20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7960" cy="4073525"/>
            <wp:effectExtent l="0" t="0" r="5080" b="10795"/>
            <wp:docPr id="3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3-19新建水利项目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（2）在弹出的项目申报窗口，选择对应的项目类型进行申报，如图所示：</w:t>
      </w:r>
    </w:p>
    <w:p>
      <w:pPr>
        <w:pStyle w:val="2"/>
        <w:ind w:firstLine="560" w:firstLineChars="20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1135" cy="3045460"/>
            <wp:effectExtent l="0" t="0" r="1905" b="2540"/>
            <wp:docPr id="38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3-20选择项目类型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（3）按工程实际情况填写项目信息申报表单后，点击确认按钮后完成能源项目新建。如下图所示：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7191375"/>
            <wp:effectExtent l="0" t="0" r="2540" b="9525"/>
            <wp:docPr id="334" name="图片 3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33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3-21填写项目基本信息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4"/>
        <w:spacing w:line="360" w:lineRule="auto"/>
        <w:ind w:firstLine="481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25" w:name="_Toc17905"/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 发起“一次征询”</w:t>
      </w:r>
      <w:bookmarkEnd w:id="25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当建设单位新建完工程建设项目后</w:t>
      </w:r>
      <w:r>
        <w:rPr>
          <w:rFonts w:hint="eastAsia" w:ascii="宋体" w:hAnsi="宋体" w:eastAsia="宋体" w:cs="宋体"/>
          <w:sz w:val="24"/>
          <w:szCs w:val="24"/>
        </w:rPr>
        <w:t>，如不清楚该阶段事项的所需办理材料与办理流程。可发起“一次征询”，向主管部门申请各事项的办理帮助。点击“开始征询”发起一次征询，发起一次征询后，可在“我的征询”模块查询征询的办理详情。</w:t>
      </w:r>
    </w:p>
    <w:p>
      <w:r>
        <w:rPr>
          <w:rFonts w:hint="eastAsia"/>
        </w:rPr>
        <w:t xml:space="preserve">     </w:t>
      </w:r>
      <w:r>
        <w:drawing>
          <wp:inline distT="0" distB="0" distL="0" distR="0">
            <wp:extent cx="5274310" cy="2014855"/>
            <wp:effectExtent l="9525" t="9525" r="19685" b="17780"/>
            <wp:docPr id="72" name="图片 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jc w:val="center"/>
        <w:rPr>
          <w:rFonts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Cs w:val="20"/>
        </w:rPr>
        <w:t>一次</w:t>
      </w:r>
      <w:r>
        <w:rPr>
          <w:rFonts w:ascii="宋体" w:hAnsi="宋体" w:eastAsia="宋体" w:cs="宋体"/>
          <w:szCs w:val="20"/>
        </w:rPr>
        <w:t>征询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（1）核对项目基本信息，上传征询附件（如需）后，点击“确认”按钮发起征询并进行确认。</w:t>
      </w:r>
    </w:p>
    <w:p>
      <w:pPr>
        <w:pStyle w:val="2"/>
      </w:pPr>
      <w:r>
        <w:drawing>
          <wp:inline distT="0" distB="0" distL="0" distR="0">
            <wp:extent cx="5274310" cy="8237220"/>
            <wp:effectExtent l="9525" t="9525" r="19685" b="13335"/>
            <wp:docPr id="39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7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jc w:val="center"/>
        <w:rPr>
          <w:rFonts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Cs w:val="20"/>
        </w:rPr>
        <w:t>发起一次</w:t>
      </w:r>
      <w:r>
        <w:rPr>
          <w:rFonts w:ascii="宋体" w:hAnsi="宋体" w:eastAsia="宋体" w:cs="宋体"/>
          <w:szCs w:val="20"/>
        </w:rPr>
        <w:t>征询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</w:t>
      </w:r>
      <w:r>
        <w:rPr>
          <w:rFonts w:ascii="宋体" w:hAnsi="宋体" w:eastAsia="宋体" w:cs="宋体"/>
          <w:sz w:val="24"/>
          <w:szCs w:val="24"/>
        </w:rPr>
        <w:t>提交征询后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ascii="宋体" w:hAnsi="宋体" w:eastAsia="宋体" w:cs="宋体"/>
          <w:sz w:val="24"/>
          <w:szCs w:val="24"/>
        </w:rPr>
        <w:t>可在</w:t>
      </w:r>
      <w:r>
        <w:rPr>
          <w:rFonts w:hint="eastAsia" w:ascii="宋体" w:hAnsi="宋体" w:eastAsia="宋体" w:cs="宋体"/>
          <w:sz w:val="24"/>
          <w:szCs w:val="24"/>
        </w:rPr>
        <w:t>页面查看“预计征询完成时间”。</w:t>
      </w:r>
    </w:p>
    <w:p>
      <w:pPr>
        <w:pStyle w:val="2"/>
      </w:pPr>
      <w:r>
        <w:drawing>
          <wp:inline distT="0" distB="0" distL="0" distR="0">
            <wp:extent cx="5274310" cy="2407920"/>
            <wp:effectExtent l="9525" t="9525" r="19685" b="20955"/>
            <wp:docPr id="44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jc w:val="center"/>
        <w:rPr>
          <w:rFonts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Cs w:val="20"/>
        </w:rPr>
        <w:t>提交征询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“我的征询”中查看征询“办理详情”。</w:t>
      </w:r>
    </w:p>
    <w:p>
      <w:pPr>
        <w:pStyle w:val="2"/>
      </w:pPr>
      <w:r>
        <w:drawing>
          <wp:inline distT="0" distB="0" distL="0" distR="0">
            <wp:extent cx="5274310" cy="2573655"/>
            <wp:effectExtent l="0" t="0" r="13970" b="1905"/>
            <wp:docPr id="75" name="图片 7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jc w:val="center"/>
        <w:rPr>
          <w:rFonts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Cs w:val="20"/>
        </w:rPr>
        <w:t>查看</w:t>
      </w:r>
      <w:r>
        <w:rPr>
          <w:rFonts w:ascii="宋体" w:hAnsi="宋体" w:eastAsia="宋体" w:cs="宋体"/>
          <w:szCs w:val="20"/>
        </w:rPr>
        <w:t>征询详情</w:t>
      </w:r>
    </w:p>
    <w:p>
      <w:pPr>
        <w:pStyle w:val="20"/>
        <w:spacing w:line="360" w:lineRule="auto"/>
        <w:ind w:firstLine="480"/>
        <w:rPr>
          <w:rFonts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“我的征询”中点击“告知单”查看征询结果。</w:t>
      </w:r>
    </w:p>
    <w:p>
      <w:pPr>
        <w:pStyle w:val="20"/>
        <w:spacing w:line="360" w:lineRule="auto"/>
        <w:ind w:firstLine="0" w:firstLineChars="0"/>
        <w:rPr>
          <w:rFonts w:ascii="宋体" w:hAnsi="宋体" w:eastAsia="宋体" w:cs="宋体"/>
          <w:szCs w:val="20"/>
        </w:rPr>
      </w:pPr>
      <w:r>
        <w:drawing>
          <wp:inline distT="0" distB="0" distL="0" distR="0">
            <wp:extent cx="5274310" cy="2480310"/>
            <wp:effectExtent l="0" t="0" r="13970" b="3810"/>
            <wp:docPr id="45" name="图片 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jc w:val="center"/>
        <w:rPr>
          <w:rFonts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Cs w:val="20"/>
        </w:rPr>
        <w:t>查看</w:t>
      </w:r>
      <w:r>
        <w:rPr>
          <w:rFonts w:ascii="宋体" w:hAnsi="宋体" w:eastAsia="宋体" w:cs="宋体"/>
          <w:szCs w:val="20"/>
        </w:rPr>
        <w:t>征询结果</w:t>
      </w:r>
    </w:p>
    <w:p>
      <w:pPr>
        <w:pStyle w:val="20"/>
        <w:spacing w:line="360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ascii="宋体" w:hAnsi="宋体" w:eastAsia="宋体" w:cs="宋体"/>
          <w:sz w:val="24"/>
          <w:szCs w:val="24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）</w:t>
      </w:r>
      <w:r>
        <w:rPr>
          <w:rFonts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</w:rPr>
        <w:t>“我的征询”中点击“继续办理”发起事项申报。</w:t>
      </w:r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0" distR="0">
            <wp:extent cx="5274310" cy="2483485"/>
            <wp:effectExtent l="0" t="0" r="13970" b="635"/>
            <wp:docPr id="46" name="图片 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firstLineChars="0"/>
        <w:jc w:val="center"/>
        <w:rPr>
          <w:rFonts w:ascii="宋体" w:hAnsi="宋体" w:eastAsia="宋体" w:cs="宋体"/>
          <w:szCs w:val="20"/>
        </w:rPr>
      </w:pPr>
      <w:r>
        <w:rPr>
          <w:rFonts w:hint="eastAsia" w:ascii="宋体" w:hAnsi="宋体" w:eastAsia="宋体" w:cs="宋体"/>
          <w:szCs w:val="20"/>
        </w:rPr>
        <w:t>继续办理（申报事项）</w:t>
      </w:r>
      <w:r>
        <w:drawing>
          <wp:inline distT="0" distB="0" distL="0" distR="0">
            <wp:extent cx="5274310" cy="2483485"/>
            <wp:effectExtent l="0" t="0" r="13970" b="635"/>
            <wp:docPr id="47" name="图片 4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26" w:name="_Toc27347"/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</w:rPr>
        <w:t xml:space="preserve"> 事项申报</w:t>
      </w:r>
      <w:bookmarkEnd w:id="26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注：事项申报以能源工程建设项目立项用地规划许可阶段为例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第一步：①选择能源工程建设项目—②我的项目—③项目盒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819910"/>
            <wp:effectExtent l="0" t="0" r="1905" b="8890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3-22进入项目盒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第二步：开始申报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4810760"/>
            <wp:effectExtent l="0" t="0" r="8890" b="2540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3-23开始申报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第三步：填写申请表单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8255635"/>
            <wp:effectExtent l="0" t="0" r="12065" b="12065"/>
            <wp:docPr id="1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3-24填写申报表单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第四步：选择申报事项，点击上传材料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5875655"/>
            <wp:effectExtent l="0" t="0" r="2540" b="4445"/>
            <wp:docPr id="1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3-25上传材料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第五步：上传申请材料，提交申请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1872615"/>
            <wp:effectExtent l="0" t="0" r="11430" b="6985"/>
            <wp:docPr id="1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3-26提交申请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第六步：完成申报(至此，立项用地许可阶段其中一个事项申报完毕)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3132455"/>
            <wp:effectExtent l="0" t="0" r="8890" b="4445"/>
            <wp:docPr id="1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3-27完成申报</w:t>
      </w: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27" w:name="_Toc30505"/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</w:rPr>
        <w:t xml:space="preserve"> 填写进度汇报</w:t>
      </w:r>
      <w:bookmarkEnd w:id="27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一，找到需要填写回到进度的项目，进入项目盒，找到填写进度汇报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1174115"/>
            <wp:effectExtent l="0" t="0" r="8890" b="6985"/>
            <wp:docPr id="17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3-28填写进度汇报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二，填写项目进度汇报，包括基本信息(项目基本信息、开工信息、竣工信息)、年度计划、项目月报、项目文档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1）基本信息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41900" cy="3939540"/>
            <wp:effectExtent l="0" t="0" r="0" b="10160"/>
            <wp:docPr id="1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图3-29基本信息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①完善基本信息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1567180"/>
            <wp:effectExtent l="0" t="0" r="635" b="7620"/>
            <wp:docPr id="9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图3-30完善基本信息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②完善开工信息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2768600"/>
            <wp:effectExtent l="0" t="0" r="635" b="0"/>
            <wp:docPr id="4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图3-31完善开工信息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③完善竣工信息(有竣工文档才能完善)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1198880"/>
            <wp:effectExtent l="0" t="0" r="12065" b="7620"/>
            <wp:docPr id="10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图3-32完善竣工信息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2）年度计划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99050" cy="1339850"/>
            <wp:effectExtent l="0" t="0" r="6350" b="6350"/>
            <wp:docPr id="10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5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图3-33年度计划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新建年度计划(年计划投资额和资金来源要相等)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2096135"/>
            <wp:effectExtent l="0" t="0" r="8890" b="12065"/>
            <wp:docPr id="103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图3-34新建年度计划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3）项目月报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54600" cy="1327150"/>
            <wp:effectExtent l="0" t="0" r="0" b="6350"/>
            <wp:docPr id="10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图3-35项目月报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新建项目月报(有年度计划后，才能新建项目月报)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988695"/>
            <wp:effectExtent l="0" t="0" r="4445" b="1905"/>
            <wp:docPr id="106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"/>
                    <pic:cNvPicPr>
                      <a:picLocks noChangeAspect="true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图3-36新建项目月报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4）项目文档(上传相关项目文档)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1567180"/>
            <wp:effectExtent l="0" t="0" r="0" b="7620"/>
            <wp:docPr id="10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"/>
                    <pic:cNvPicPr>
                      <a:picLocks noChangeAspect="true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图3-37项目文档</w:t>
      </w: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28" w:name="_Toc20773"/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sz w:val="24"/>
          <w:szCs w:val="24"/>
        </w:rPr>
        <w:t xml:space="preserve"> 基本信息变更</w:t>
      </w:r>
      <w:bookmarkEnd w:id="28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对于需要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基本信息变更的项目，建设单位可在我的项目中选择需要变更的项目，进入项目盒选择基本信息变更。基本信息变更在1-4阶段都可进行，变更后，项目开始征询，继续申报按钮置灰，建设单位无法继续申报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事项</w:t>
      </w:r>
      <w:r>
        <w:rPr>
          <w:rFonts w:hint="eastAsia" w:ascii="宋体" w:hAnsi="宋体" w:eastAsia="宋体" w:cs="宋体"/>
          <w:sz w:val="24"/>
          <w:szCs w:val="24"/>
        </w:rPr>
        <w:t>。如下图所示。（阶段信息变更与基本信息变更可同时进行）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046605"/>
            <wp:effectExtent l="0" t="0" r="9525" b="10795"/>
            <wp:docPr id="40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true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图3-38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1）点击基本信息变更，点击申请变更</w:t>
      </w:r>
    </w:p>
    <w:p>
      <w:pPr>
        <w:spacing w:line="360" w:lineRule="auto"/>
        <w:ind w:firstLine="480" w:firstLineChars="200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2405" cy="1118235"/>
            <wp:effectExtent l="0" t="0" r="10795" b="12065"/>
            <wp:docPr id="88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"/>
                    <pic:cNvPicPr>
                      <a:picLocks noChangeAspect="true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65750" cy="783590"/>
            <wp:effectExtent l="0" t="0" r="13970" b="8890"/>
            <wp:docPr id="90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8"/>
                    <pic:cNvPicPr>
                      <a:picLocks noChangeAspect="true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图3-39基本信息变更申请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2）填写基本信息需要变更内容；比如申请变更说明，项目名称，国际行业等。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825240"/>
            <wp:effectExtent l="0" t="0" r="8890" b="10160"/>
            <wp:docPr id="101" name="图片 1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true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图3-40填写基本信息变更内容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点击保存，基本信息变更申请完成(变更状态为征询中)；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1376680"/>
            <wp:effectExtent l="0" t="0" r="10160" b="7620"/>
            <wp:docPr id="1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true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3-41变更状态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待审批系统征询完毕后，确认变更；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810385"/>
            <wp:effectExtent l="0" t="0" r="8890" b="5715"/>
            <wp:docPr id="96" name="图片 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图3-42变更告知单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5）确认变更后，基本信息变更申报完结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717550"/>
            <wp:effectExtent l="0" t="0" r="3810" b="6350"/>
            <wp:docPr id="97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"/>
                    <pic:cNvPicPr>
                      <a:picLocks noChangeAspect="true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图3-43变更完结</w:t>
      </w: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29" w:name="_Toc13927"/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 w:cs="宋体"/>
          <w:sz w:val="24"/>
          <w:szCs w:val="24"/>
        </w:rPr>
        <w:t xml:space="preserve"> 阶段信息变更</w:t>
      </w:r>
      <w:bookmarkEnd w:id="29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对于阶段信息需要变更的项目，建设单位可在我的项目中选择需要变更的项目，进入项目盒选择阶段信息变更。阶段变更仅针对生产建设项目水土保持方案审批 、建设项目环境影响评价审批两个事项。（阶段信息变更与基本信息变更可同时进行）如阶段信息为空或生产建设项目水土保持方案审批 、建设项目环境影响评价审批事项未申报，则无法申报变更。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1）点击阶段信息变更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242185"/>
            <wp:effectExtent l="0" t="0" r="14605" b="13335"/>
            <wp:docPr id="4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true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533400"/>
            <wp:effectExtent l="0" t="0" r="3810" b="0"/>
            <wp:docPr id="6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/>
                    <pic:cNvPicPr>
                      <a:picLocks noChangeAspect="true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图3-44阶段信息变更申请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2）填写需要变更信息，点击提交；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2240280"/>
            <wp:effectExtent l="0" t="0" r="6985" b="0"/>
            <wp:docPr id="8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true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图3-45填写阶段信息变更内容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3）提交变更申请后查可以看阶段信息变更状态和详情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627380"/>
            <wp:effectExtent l="0" t="0" r="1270" b="12700"/>
            <wp:docPr id="89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"/>
                    <pic:cNvPicPr>
                      <a:picLocks noChangeAspect="true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图3-46阶段信息变更状态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4）待审批系统征询完毕后，确认变更，阶段信息变更完毕。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1611630"/>
            <wp:effectExtent l="0" t="0" r="2540" b="3810"/>
            <wp:docPr id="108" name="图片 108" descr="f02ab4034dd9a94c045459a3d73383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f02ab4034dd9a94c045459a3d73383d"/>
                    <pic:cNvPicPr>
                      <a:picLocks noChangeAspect="true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图3-47阶段信息变更征询告知单</w:t>
      </w:r>
    </w:p>
    <w:p>
      <w:pPr>
        <w:pStyle w:val="4"/>
        <w:spacing w:line="360" w:lineRule="auto"/>
        <w:ind w:firstLine="481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30" w:name="_Toc7282"/>
      <w:r>
        <w:rPr>
          <w:rFonts w:hint="eastAsia" w:ascii="宋体" w:hAnsi="宋体" w:eastAsia="宋体" w:cs="宋体"/>
          <w:sz w:val="24"/>
          <w:szCs w:val="24"/>
        </w:rPr>
        <w:t>3.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发起联合验收</w:t>
      </w:r>
      <w:bookmarkEnd w:id="30"/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项目满足联合验收申报条件的，</w:t>
      </w:r>
      <w:r>
        <w:rPr>
          <w:rFonts w:hint="eastAsia" w:ascii="宋体" w:hAnsi="宋体" w:eastAsia="宋体" w:cs="宋体"/>
          <w:sz w:val="24"/>
          <w:szCs w:val="24"/>
        </w:rPr>
        <w:t>申报单位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</w:t>
      </w: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申报端</w:t>
      </w:r>
      <w:r>
        <w:rPr>
          <w:rFonts w:hint="eastAsia" w:ascii="宋体" w:hAnsi="宋体" w:eastAsia="宋体" w:cs="宋体"/>
          <w:sz w:val="24"/>
          <w:szCs w:val="24"/>
        </w:rPr>
        <w:t>，并打开该项目的项目盒，选择竣工验收阶段，点击开始申报，完善阶段表单后勾选5个需要联合验收的事项（档案专项验收、环境保护专项验收、规划核实专项验收、国家安全专项验收、竣工验收），上传并确认材料无误后点确认申请就可以完成申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推送至工程投资项目审批系统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268595" cy="3009900"/>
            <wp:effectExtent l="0" t="0" r="4445" b="7620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31" w:name="_Toc6800"/>
      <w:r>
        <w:rPr>
          <w:rFonts w:hint="eastAsia" w:ascii="宋体" w:hAnsi="宋体" w:eastAsia="宋体" w:cs="宋体"/>
          <w:sz w:val="24"/>
          <w:szCs w:val="24"/>
        </w:rPr>
        <w:t>3.1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 xml:space="preserve"> 材料补正</w:t>
      </w:r>
      <w:bookmarkEnd w:id="31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当审批单位在受理建设单位申报的事项后，再退回给建设单位补正材料，建设单位可以通过以下两种方法在系统进行材料补正；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方法一：建设单位可通过项目盒查看到需补正材料的事项。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2605405"/>
            <wp:effectExtent l="0" t="0" r="1270" b="10795"/>
            <wp:docPr id="9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true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图3-48材料补正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点击“补正材料”，进入材料补正页面，点击【确认】后，该事项不需再次由审批单位受理，直接由退回的审批单位再次办理。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1739265"/>
            <wp:effectExtent l="0" t="0" r="0" b="635"/>
            <wp:docPr id="26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true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图3-49上传材料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方法二：建设单位通过点击【材料补正】菜单，可查看需补正材料的事项列表，点击“补正材料”，可进入补正材料页面；点击“意见详情”，可查看审批单位的退回意见。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1572260"/>
            <wp:effectExtent l="0" t="0" r="3175" b="2540"/>
            <wp:docPr id="28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true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图3-50材料补正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32" w:name="_Toc31339"/>
      <w:r>
        <w:rPr>
          <w:rFonts w:hint="eastAsia" w:ascii="宋体" w:hAnsi="宋体" w:eastAsia="宋体" w:cs="宋体"/>
          <w:sz w:val="24"/>
          <w:szCs w:val="24"/>
        </w:rPr>
        <w:t>3.1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 xml:space="preserve"> 退回办件重新申报</w:t>
      </w:r>
      <w:bookmarkEnd w:id="32"/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当审批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部门</w:t>
      </w:r>
      <w:r>
        <w:rPr>
          <w:rFonts w:hint="eastAsia" w:ascii="宋体" w:hAnsi="宋体" w:eastAsia="宋体" w:cs="宋体"/>
          <w:sz w:val="24"/>
          <w:szCs w:val="24"/>
        </w:rPr>
        <w:t>在受理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报件</w:t>
      </w:r>
      <w:r>
        <w:rPr>
          <w:rFonts w:hint="eastAsia" w:ascii="宋体" w:hAnsi="宋体" w:eastAsia="宋体" w:cs="宋体"/>
          <w:sz w:val="24"/>
          <w:szCs w:val="24"/>
        </w:rPr>
        <w:t>单位申报的事项后，再退件回给建设单位；或者审批单位由于受理部门错误或材料错误而不受理事项时，建设单位可以通国一下两种方法完成重新申报；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方法一：建设单位可通过项目盒查看到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需重新提交申报</w:t>
      </w:r>
      <w:r>
        <w:rPr>
          <w:rFonts w:hint="eastAsia" w:ascii="宋体" w:hAnsi="宋体" w:eastAsia="宋体" w:cs="宋体"/>
          <w:sz w:val="24"/>
          <w:szCs w:val="24"/>
        </w:rPr>
        <w:t>的事项。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160270"/>
            <wp:effectExtent l="0" t="0" r="9525" b="11430"/>
            <wp:docPr id="29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true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图3-51退回办件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方法二：建设单位通过点击【退回办件】菜单，可查看需重新申报的事项列表，点击“重新申报”，可进入事项申报页面；点击“退回原因”，可查看审批单位的退回意见。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2013585"/>
            <wp:effectExtent l="0" t="0" r="3175" b="5715"/>
            <wp:docPr id="8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6"/>
                    <pic:cNvPicPr>
                      <a:picLocks noChangeAspect="true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00" w:firstLineChars="200"/>
        <w:jc w:val="center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0"/>
          <w:szCs w:val="20"/>
        </w:rPr>
        <w:t>图3-52退回办件</w:t>
      </w:r>
    </w:p>
    <w:p>
      <w:pPr>
        <w:pStyle w:val="4"/>
        <w:spacing w:line="360" w:lineRule="auto"/>
        <w:ind w:firstLine="481" w:firstLineChars="200"/>
        <w:rPr>
          <w:rFonts w:ascii="宋体" w:hAnsi="宋体" w:eastAsia="宋体" w:cs="宋体"/>
          <w:sz w:val="24"/>
          <w:szCs w:val="24"/>
        </w:rPr>
      </w:pPr>
      <w:bookmarkStart w:id="33" w:name="_Toc19302"/>
      <w:r>
        <w:rPr>
          <w:rFonts w:hint="eastAsia" w:ascii="宋体" w:hAnsi="宋体" w:eastAsia="宋体" w:cs="宋体"/>
          <w:sz w:val="24"/>
          <w:szCs w:val="24"/>
        </w:rPr>
        <w:t>3.1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 xml:space="preserve"> 其他功能介绍</w:t>
      </w:r>
      <w:bookmarkEnd w:id="33"/>
    </w:p>
    <w:p>
      <w:p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（1）下载批复文件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找到办理状态为办结的事项，点击成果材料详情，点击下载即可下载批复文件，如下图：</w:t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822325"/>
            <wp:effectExtent l="0" t="0" r="2540" b="635"/>
            <wp:docPr id="2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true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877570"/>
            <wp:effectExtent l="0" t="0" r="10160" b="11430"/>
            <wp:docPr id="2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true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1180465"/>
            <wp:effectExtent l="0" t="0" r="3175" b="635"/>
            <wp:docPr id="2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true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firstLine="400" w:firstLineChars="200"/>
        <w:rPr>
          <w:rFonts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3-53批复文件下载</w:t>
      </w:r>
    </w:p>
    <w:p>
      <w:pPr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查看项目进度</w:t>
      </w:r>
    </w:p>
    <w:p>
      <w:pPr>
        <w:pStyle w:val="2"/>
        <w:ind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选择需要查看项目进度的项目，点击项目盒，点击查看项目进度；</w:t>
      </w:r>
    </w:p>
    <w:p>
      <w:pPr>
        <w:pStyle w:val="2"/>
      </w:pPr>
      <w:r>
        <w:drawing>
          <wp:inline distT="0" distB="0" distL="114300" distR="114300">
            <wp:extent cx="5268595" cy="1129665"/>
            <wp:effectExtent l="0" t="0" r="1905" b="635"/>
            <wp:docPr id="2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true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274310" cy="2905125"/>
            <wp:effectExtent l="0" t="0" r="8890" b="3175"/>
            <wp:docPr id="27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true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图 3-54查看项目进度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233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z&#10;SVju0AAAAAUBAAAPAAAAAAAAAAEAIAAAADgAAABkcnMvZG93bnJldi54bWxQSwECFAAUAAAACACH&#10;TuJAF8u0WxYCAAAbBAAADgAAAAAAAAABACAAAAA1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233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WAAAAZHJzL1BLAQIUABQAAAAIAIdO4kCz&#10;SVju0AAAAAUBAAAPAAAAAAAAAAEAIAAAADgAAABkcnMvZG93bnJldi54bWxQSwECFAAUAAAACACH&#10;TuJAF7rpKxYCAAAZBAAADgAAAAAAAAABACAAAAA1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  <w:rPr>
        <w:rFonts w:asciiTheme="minorEastAsia" w:hAnsiTheme="minor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F9197D"/>
    <w:multiLevelType w:val="singleLevel"/>
    <w:tmpl w:val="A7F9197D"/>
    <w:lvl w:ilvl="0" w:tentative="0">
      <w:start w:val="2"/>
      <w:numFmt w:val="chineseCounting"/>
      <w:suff w:val="space"/>
      <w:lvlText w:val="第%1章"/>
      <w:lvlJc w:val="left"/>
      <w:rPr>
        <w:rFonts w:hint="eastAsia"/>
      </w:rPr>
    </w:lvl>
  </w:abstractNum>
  <w:abstractNum w:abstractNumId="1">
    <w:nsid w:val="25B28574"/>
    <w:multiLevelType w:val="singleLevel"/>
    <w:tmpl w:val="25B28574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283DF9B1"/>
    <w:multiLevelType w:val="singleLevel"/>
    <w:tmpl w:val="283DF9B1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4937051E"/>
    <w:multiLevelType w:val="multilevel"/>
    <w:tmpl w:val="4937051E"/>
    <w:lvl w:ilvl="0" w:tentative="0">
      <w:start w:val="1"/>
      <w:numFmt w:val="decimal"/>
      <w:suff w:val="space"/>
      <w:lvlText w:val="图3-%1"/>
      <w:lvlJc w:val="left"/>
      <w:pPr>
        <w:ind w:left="0" w:firstLine="0"/>
      </w:pPr>
      <w:rPr>
        <w:rFonts w:hint="eastAsia"/>
        <w:sz w:val="21"/>
      </w:rPr>
    </w:lvl>
    <w:lvl w:ilvl="1" w:tentative="0">
      <w:start w:val="1"/>
      <w:numFmt w:val="decimal"/>
      <w:suff w:val="space"/>
      <w:lvlText w:val="3.%2"/>
      <w:lvlJc w:val="left"/>
      <w:pPr>
        <w:ind w:left="0" w:firstLine="0"/>
      </w:pPr>
      <w:rPr>
        <w:rFonts w:hint="default" w:ascii="Times New Roman" w:hAnsi="Times New Roman" w:cs="Times New Roman"/>
        <w:b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817"/>
    <w:rsid w:val="000041A4"/>
    <w:rsid w:val="000433F2"/>
    <w:rsid w:val="00044C50"/>
    <w:rsid w:val="00060266"/>
    <w:rsid w:val="0006313B"/>
    <w:rsid w:val="0006568E"/>
    <w:rsid w:val="00074835"/>
    <w:rsid w:val="00076552"/>
    <w:rsid w:val="000809F7"/>
    <w:rsid w:val="00082986"/>
    <w:rsid w:val="000834DD"/>
    <w:rsid w:val="00083CAC"/>
    <w:rsid w:val="000947DB"/>
    <w:rsid w:val="00097ADC"/>
    <w:rsid w:val="000A09E5"/>
    <w:rsid w:val="000A1635"/>
    <w:rsid w:val="000A4D6D"/>
    <w:rsid w:val="000B7693"/>
    <w:rsid w:val="000D1638"/>
    <w:rsid w:val="000D5C6F"/>
    <w:rsid w:val="000D6D49"/>
    <w:rsid w:val="00102F1C"/>
    <w:rsid w:val="0011618F"/>
    <w:rsid w:val="00125C1B"/>
    <w:rsid w:val="00144C2D"/>
    <w:rsid w:val="001456F5"/>
    <w:rsid w:val="00150CC3"/>
    <w:rsid w:val="00170330"/>
    <w:rsid w:val="00170884"/>
    <w:rsid w:val="00172884"/>
    <w:rsid w:val="001729C5"/>
    <w:rsid w:val="0018036E"/>
    <w:rsid w:val="00193CB7"/>
    <w:rsid w:val="00196034"/>
    <w:rsid w:val="001A0D70"/>
    <w:rsid w:val="001C3BCB"/>
    <w:rsid w:val="001C7162"/>
    <w:rsid w:val="001C76C9"/>
    <w:rsid w:val="001D446A"/>
    <w:rsid w:val="001E51D3"/>
    <w:rsid w:val="00216A0A"/>
    <w:rsid w:val="00235E0F"/>
    <w:rsid w:val="00245817"/>
    <w:rsid w:val="00272EFC"/>
    <w:rsid w:val="0027372E"/>
    <w:rsid w:val="00277EFD"/>
    <w:rsid w:val="00291ABB"/>
    <w:rsid w:val="00296FEE"/>
    <w:rsid w:val="002B3329"/>
    <w:rsid w:val="002B7060"/>
    <w:rsid w:val="00304CC4"/>
    <w:rsid w:val="003060B7"/>
    <w:rsid w:val="003075F2"/>
    <w:rsid w:val="003170DD"/>
    <w:rsid w:val="003221B1"/>
    <w:rsid w:val="00341873"/>
    <w:rsid w:val="00360F36"/>
    <w:rsid w:val="00363785"/>
    <w:rsid w:val="00366A2F"/>
    <w:rsid w:val="00371F48"/>
    <w:rsid w:val="00376FD8"/>
    <w:rsid w:val="00380208"/>
    <w:rsid w:val="0038164D"/>
    <w:rsid w:val="00384B40"/>
    <w:rsid w:val="00386C66"/>
    <w:rsid w:val="00395507"/>
    <w:rsid w:val="003A763A"/>
    <w:rsid w:val="003B0454"/>
    <w:rsid w:val="003B0C55"/>
    <w:rsid w:val="003B3760"/>
    <w:rsid w:val="003C0A6D"/>
    <w:rsid w:val="003C1998"/>
    <w:rsid w:val="003C5A04"/>
    <w:rsid w:val="003C5B72"/>
    <w:rsid w:val="003D40D0"/>
    <w:rsid w:val="003E7B39"/>
    <w:rsid w:val="0042006A"/>
    <w:rsid w:val="00424544"/>
    <w:rsid w:val="00431764"/>
    <w:rsid w:val="00433B6D"/>
    <w:rsid w:val="00435B38"/>
    <w:rsid w:val="00452390"/>
    <w:rsid w:val="004524A0"/>
    <w:rsid w:val="0046094D"/>
    <w:rsid w:val="00465D8E"/>
    <w:rsid w:val="00467B90"/>
    <w:rsid w:val="00486F39"/>
    <w:rsid w:val="00487FDD"/>
    <w:rsid w:val="004C6A3A"/>
    <w:rsid w:val="004E40D7"/>
    <w:rsid w:val="004E6665"/>
    <w:rsid w:val="004F1688"/>
    <w:rsid w:val="004F26B9"/>
    <w:rsid w:val="00506C6F"/>
    <w:rsid w:val="005110C0"/>
    <w:rsid w:val="005252FA"/>
    <w:rsid w:val="0052624C"/>
    <w:rsid w:val="005324C8"/>
    <w:rsid w:val="00536D9F"/>
    <w:rsid w:val="005428E8"/>
    <w:rsid w:val="00553339"/>
    <w:rsid w:val="00553F3D"/>
    <w:rsid w:val="00554466"/>
    <w:rsid w:val="005612ED"/>
    <w:rsid w:val="005638C6"/>
    <w:rsid w:val="005764FA"/>
    <w:rsid w:val="005841A7"/>
    <w:rsid w:val="0058582B"/>
    <w:rsid w:val="00591CA3"/>
    <w:rsid w:val="00593FA1"/>
    <w:rsid w:val="005A09B7"/>
    <w:rsid w:val="005A2939"/>
    <w:rsid w:val="005A6E72"/>
    <w:rsid w:val="005D1509"/>
    <w:rsid w:val="005D51BE"/>
    <w:rsid w:val="005E12FB"/>
    <w:rsid w:val="00602D59"/>
    <w:rsid w:val="00610467"/>
    <w:rsid w:val="00614198"/>
    <w:rsid w:val="00627861"/>
    <w:rsid w:val="006813B4"/>
    <w:rsid w:val="00684625"/>
    <w:rsid w:val="006865C0"/>
    <w:rsid w:val="006914DF"/>
    <w:rsid w:val="00697F3F"/>
    <w:rsid w:val="006C4E0F"/>
    <w:rsid w:val="006C7C3A"/>
    <w:rsid w:val="006D53CD"/>
    <w:rsid w:val="006D58E8"/>
    <w:rsid w:val="006E4CFF"/>
    <w:rsid w:val="006F3EBD"/>
    <w:rsid w:val="006F7532"/>
    <w:rsid w:val="00700067"/>
    <w:rsid w:val="0070127E"/>
    <w:rsid w:val="00724334"/>
    <w:rsid w:val="00732705"/>
    <w:rsid w:val="00734ACB"/>
    <w:rsid w:val="007379DC"/>
    <w:rsid w:val="00743C41"/>
    <w:rsid w:val="00751D05"/>
    <w:rsid w:val="00761B7E"/>
    <w:rsid w:val="0077288A"/>
    <w:rsid w:val="00773D1B"/>
    <w:rsid w:val="007836D9"/>
    <w:rsid w:val="007948A9"/>
    <w:rsid w:val="00796F9D"/>
    <w:rsid w:val="007A0A72"/>
    <w:rsid w:val="007A4140"/>
    <w:rsid w:val="007B07D6"/>
    <w:rsid w:val="007D2F42"/>
    <w:rsid w:val="007F1376"/>
    <w:rsid w:val="007F47EF"/>
    <w:rsid w:val="00804628"/>
    <w:rsid w:val="00804BFB"/>
    <w:rsid w:val="00816C86"/>
    <w:rsid w:val="0082165B"/>
    <w:rsid w:val="008404BC"/>
    <w:rsid w:val="0085154C"/>
    <w:rsid w:val="00865FDE"/>
    <w:rsid w:val="008717C3"/>
    <w:rsid w:val="00873060"/>
    <w:rsid w:val="00880DD6"/>
    <w:rsid w:val="00881764"/>
    <w:rsid w:val="008817EB"/>
    <w:rsid w:val="008A680A"/>
    <w:rsid w:val="008B6E22"/>
    <w:rsid w:val="008B7611"/>
    <w:rsid w:val="008C25D2"/>
    <w:rsid w:val="008C3CA1"/>
    <w:rsid w:val="008C7703"/>
    <w:rsid w:val="008D5CD6"/>
    <w:rsid w:val="008D6B46"/>
    <w:rsid w:val="008D7B93"/>
    <w:rsid w:val="008E5946"/>
    <w:rsid w:val="008F242B"/>
    <w:rsid w:val="00912655"/>
    <w:rsid w:val="00934551"/>
    <w:rsid w:val="009421C0"/>
    <w:rsid w:val="009435CE"/>
    <w:rsid w:val="00952827"/>
    <w:rsid w:val="00960505"/>
    <w:rsid w:val="00967A68"/>
    <w:rsid w:val="00975705"/>
    <w:rsid w:val="00976646"/>
    <w:rsid w:val="00976B6B"/>
    <w:rsid w:val="009912AD"/>
    <w:rsid w:val="009954A5"/>
    <w:rsid w:val="0099572A"/>
    <w:rsid w:val="009A0203"/>
    <w:rsid w:val="009B6739"/>
    <w:rsid w:val="009C05AE"/>
    <w:rsid w:val="009C2DA4"/>
    <w:rsid w:val="009C4F08"/>
    <w:rsid w:val="009C6CCC"/>
    <w:rsid w:val="009D2851"/>
    <w:rsid w:val="009E580C"/>
    <w:rsid w:val="009F3BB1"/>
    <w:rsid w:val="009F7E83"/>
    <w:rsid w:val="00A034D4"/>
    <w:rsid w:val="00A22048"/>
    <w:rsid w:val="00A22F24"/>
    <w:rsid w:val="00A54151"/>
    <w:rsid w:val="00A61EA5"/>
    <w:rsid w:val="00A631E6"/>
    <w:rsid w:val="00A714DF"/>
    <w:rsid w:val="00A76B83"/>
    <w:rsid w:val="00A94054"/>
    <w:rsid w:val="00AA1677"/>
    <w:rsid w:val="00AC6D68"/>
    <w:rsid w:val="00AD02CA"/>
    <w:rsid w:val="00AD1106"/>
    <w:rsid w:val="00AD1D8B"/>
    <w:rsid w:val="00AE5216"/>
    <w:rsid w:val="00AF1882"/>
    <w:rsid w:val="00B055CE"/>
    <w:rsid w:val="00B10EA4"/>
    <w:rsid w:val="00B121AD"/>
    <w:rsid w:val="00B22BB0"/>
    <w:rsid w:val="00B27DCC"/>
    <w:rsid w:val="00B3191F"/>
    <w:rsid w:val="00B34413"/>
    <w:rsid w:val="00B35BF4"/>
    <w:rsid w:val="00B425FC"/>
    <w:rsid w:val="00B50D79"/>
    <w:rsid w:val="00B631BD"/>
    <w:rsid w:val="00B90414"/>
    <w:rsid w:val="00B92172"/>
    <w:rsid w:val="00B953F7"/>
    <w:rsid w:val="00BA24D7"/>
    <w:rsid w:val="00BA4162"/>
    <w:rsid w:val="00BA560E"/>
    <w:rsid w:val="00BC04AB"/>
    <w:rsid w:val="00BC14BC"/>
    <w:rsid w:val="00BD762F"/>
    <w:rsid w:val="00C1160B"/>
    <w:rsid w:val="00C20438"/>
    <w:rsid w:val="00C20FFE"/>
    <w:rsid w:val="00C262C1"/>
    <w:rsid w:val="00C42DDF"/>
    <w:rsid w:val="00C56B3C"/>
    <w:rsid w:val="00C60C40"/>
    <w:rsid w:val="00C978D6"/>
    <w:rsid w:val="00CB32FC"/>
    <w:rsid w:val="00CE3D2D"/>
    <w:rsid w:val="00CE7C14"/>
    <w:rsid w:val="00CF1E55"/>
    <w:rsid w:val="00CF4818"/>
    <w:rsid w:val="00D036C6"/>
    <w:rsid w:val="00D12684"/>
    <w:rsid w:val="00D16B40"/>
    <w:rsid w:val="00D1768F"/>
    <w:rsid w:val="00D20AC3"/>
    <w:rsid w:val="00D25F62"/>
    <w:rsid w:val="00D36B2A"/>
    <w:rsid w:val="00D50306"/>
    <w:rsid w:val="00D85630"/>
    <w:rsid w:val="00D9355E"/>
    <w:rsid w:val="00D946E6"/>
    <w:rsid w:val="00DA5C80"/>
    <w:rsid w:val="00DA65D1"/>
    <w:rsid w:val="00DC03EF"/>
    <w:rsid w:val="00DC2FCA"/>
    <w:rsid w:val="00DD275D"/>
    <w:rsid w:val="00DE38C1"/>
    <w:rsid w:val="00DE7A30"/>
    <w:rsid w:val="00DF36C0"/>
    <w:rsid w:val="00DF5270"/>
    <w:rsid w:val="00E0482A"/>
    <w:rsid w:val="00E12387"/>
    <w:rsid w:val="00E1542E"/>
    <w:rsid w:val="00E159CB"/>
    <w:rsid w:val="00E27905"/>
    <w:rsid w:val="00E3299F"/>
    <w:rsid w:val="00E437F3"/>
    <w:rsid w:val="00E47856"/>
    <w:rsid w:val="00E57F12"/>
    <w:rsid w:val="00E71FE5"/>
    <w:rsid w:val="00E75E94"/>
    <w:rsid w:val="00E92481"/>
    <w:rsid w:val="00E97DA6"/>
    <w:rsid w:val="00EA0D8B"/>
    <w:rsid w:val="00EB4188"/>
    <w:rsid w:val="00EC2140"/>
    <w:rsid w:val="00EC3E10"/>
    <w:rsid w:val="00EC4D51"/>
    <w:rsid w:val="00ED1DDB"/>
    <w:rsid w:val="00EE3EE1"/>
    <w:rsid w:val="00F04A84"/>
    <w:rsid w:val="00F055D2"/>
    <w:rsid w:val="00F1786B"/>
    <w:rsid w:val="00F27DF2"/>
    <w:rsid w:val="00F3075B"/>
    <w:rsid w:val="00F52805"/>
    <w:rsid w:val="00F75CF0"/>
    <w:rsid w:val="00F827EC"/>
    <w:rsid w:val="00F954BE"/>
    <w:rsid w:val="00FA35B2"/>
    <w:rsid w:val="00FA67AD"/>
    <w:rsid w:val="00FB7373"/>
    <w:rsid w:val="00FC305E"/>
    <w:rsid w:val="00FC7DFD"/>
    <w:rsid w:val="00FD01D0"/>
    <w:rsid w:val="00FD28D5"/>
    <w:rsid w:val="00FE5275"/>
    <w:rsid w:val="00FE674E"/>
    <w:rsid w:val="00FF0EFF"/>
    <w:rsid w:val="00FF50D5"/>
    <w:rsid w:val="01087626"/>
    <w:rsid w:val="013E41AB"/>
    <w:rsid w:val="06B61DB7"/>
    <w:rsid w:val="07704EC1"/>
    <w:rsid w:val="085C5882"/>
    <w:rsid w:val="09EC71C8"/>
    <w:rsid w:val="0C3B2887"/>
    <w:rsid w:val="0D6B3F57"/>
    <w:rsid w:val="0E746BEB"/>
    <w:rsid w:val="0F1A3286"/>
    <w:rsid w:val="0F437CE6"/>
    <w:rsid w:val="0FFF710A"/>
    <w:rsid w:val="115204D4"/>
    <w:rsid w:val="11E20D46"/>
    <w:rsid w:val="14B860EC"/>
    <w:rsid w:val="15B63911"/>
    <w:rsid w:val="168C243D"/>
    <w:rsid w:val="16D27D17"/>
    <w:rsid w:val="170E02E9"/>
    <w:rsid w:val="18EE33E1"/>
    <w:rsid w:val="194B7794"/>
    <w:rsid w:val="1C7A444D"/>
    <w:rsid w:val="1EDA3A03"/>
    <w:rsid w:val="1FAC7E64"/>
    <w:rsid w:val="20734AC2"/>
    <w:rsid w:val="20BB01E0"/>
    <w:rsid w:val="228A72E9"/>
    <w:rsid w:val="231D4C64"/>
    <w:rsid w:val="234870CF"/>
    <w:rsid w:val="24DE7A8F"/>
    <w:rsid w:val="252D276B"/>
    <w:rsid w:val="254B4192"/>
    <w:rsid w:val="280D759E"/>
    <w:rsid w:val="29E64BF2"/>
    <w:rsid w:val="2AD66BF2"/>
    <w:rsid w:val="2D0E5AE2"/>
    <w:rsid w:val="2DBE0EF0"/>
    <w:rsid w:val="2F0765EE"/>
    <w:rsid w:val="2F1766B9"/>
    <w:rsid w:val="306313F4"/>
    <w:rsid w:val="349D7ED1"/>
    <w:rsid w:val="35383D14"/>
    <w:rsid w:val="35A63A5D"/>
    <w:rsid w:val="360C05F8"/>
    <w:rsid w:val="38C81F7F"/>
    <w:rsid w:val="39C70FAD"/>
    <w:rsid w:val="3A9A5E90"/>
    <w:rsid w:val="3AB4032E"/>
    <w:rsid w:val="3D1609B7"/>
    <w:rsid w:val="3D931737"/>
    <w:rsid w:val="3E1D5C4C"/>
    <w:rsid w:val="412A2A39"/>
    <w:rsid w:val="41EE07A9"/>
    <w:rsid w:val="42C716C0"/>
    <w:rsid w:val="431C3F9F"/>
    <w:rsid w:val="456A7114"/>
    <w:rsid w:val="46886277"/>
    <w:rsid w:val="46D16656"/>
    <w:rsid w:val="46E40C53"/>
    <w:rsid w:val="47F51292"/>
    <w:rsid w:val="48353E02"/>
    <w:rsid w:val="4963175F"/>
    <w:rsid w:val="49C05751"/>
    <w:rsid w:val="49CF3E65"/>
    <w:rsid w:val="4AAE7469"/>
    <w:rsid w:val="4C9E4894"/>
    <w:rsid w:val="4EEC0429"/>
    <w:rsid w:val="4F34407C"/>
    <w:rsid w:val="51267401"/>
    <w:rsid w:val="523C4E39"/>
    <w:rsid w:val="523E76F6"/>
    <w:rsid w:val="53C74A2E"/>
    <w:rsid w:val="5481518C"/>
    <w:rsid w:val="54A55DCA"/>
    <w:rsid w:val="56DB72C1"/>
    <w:rsid w:val="59AE1617"/>
    <w:rsid w:val="59B3390B"/>
    <w:rsid w:val="5A320F77"/>
    <w:rsid w:val="5BCE0B7E"/>
    <w:rsid w:val="5CE63164"/>
    <w:rsid w:val="5F497E99"/>
    <w:rsid w:val="5FFA7346"/>
    <w:rsid w:val="60F3755C"/>
    <w:rsid w:val="627A2ED7"/>
    <w:rsid w:val="62EB5242"/>
    <w:rsid w:val="636D1EAC"/>
    <w:rsid w:val="638C55AF"/>
    <w:rsid w:val="659C3CD7"/>
    <w:rsid w:val="65D8207F"/>
    <w:rsid w:val="66176C5E"/>
    <w:rsid w:val="66693BEE"/>
    <w:rsid w:val="66CB7D6C"/>
    <w:rsid w:val="6ABA5476"/>
    <w:rsid w:val="6AC32DD6"/>
    <w:rsid w:val="6C004239"/>
    <w:rsid w:val="6DC542D5"/>
    <w:rsid w:val="6EA901E0"/>
    <w:rsid w:val="6ECB23F1"/>
    <w:rsid w:val="6F275672"/>
    <w:rsid w:val="6FCC001B"/>
    <w:rsid w:val="700672E4"/>
    <w:rsid w:val="708D2DC5"/>
    <w:rsid w:val="711F1D3D"/>
    <w:rsid w:val="72ED472D"/>
    <w:rsid w:val="73946FE5"/>
    <w:rsid w:val="73990819"/>
    <w:rsid w:val="74807614"/>
    <w:rsid w:val="750B7446"/>
    <w:rsid w:val="78CF0A0A"/>
    <w:rsid w:val="795408B3"/>
    <w:rsid w:val="79FD460A"/>
    <w:rsid w:val="7BB343DE"/>
    <w:rsid w:val="7D80743A"/>
    <w:rsid w:val="7DF45B6B"/>
    <w:rsid w:val="7E71607F"/>
    <w:rsid w:val="7F8D6AF5"/>
    <w:rsid w:val="7F986D2B"/>
    <w:rsid w:val="EEFCB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rFonts w:eastAsiaTheme="majorEastAsia"/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link w:val="25"/>
    <w:unhideWhenUsed/>
    <w:qFormat/>
    <w:uiPriority w:val="99"/>
    <w:pPr>
      <w:spacing w:line="360" w:lineRule="auto"/>
    </w:pPr>
    <w:rPr>
      <w:rFonts w:eastAsia="仿宋"/>
      <w:sz w:val="28"/>
    </w:rPr>
  </w:style>
  <w:style w:type="paragraph" w:styleId="6">
    <w:name w:val="caption"/>
    <w:basedOn w:val="1"/>
    <w:next w:val="1"/>
    <w:link w:val="24"/>
    <w:qFormat/>
    <w:uiPriority w:val="0"/>
    <w:pPr>
      <w:spacing w:line="360" w:lineRule="auto"/>
      <w:jc w:val="center"/>
    </w:pPr>
    <w:rPr>
      <w:rFonts w:ascii="Cambria" w:hAnsi="Cambria" w:eastAsia="黑体"/>
    </w:rPr>
  </w:style>
  <w:style w:type="paragraph" w:styleId="7">
    <w:name w:val="Body Text Indent"/>
    <w:basedOn w:val="1"/>
    <w:link w:val="32"/>
    <w:unhideWhenUsed/>
    <w:qFormat/>
    <w:uiPriority w:val="99"/>
    <w:pPr>
      <w:spacing w:after="120"/>
      <w:ind w:left="420" w:left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33"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6">
    <w:name w:val="Table Grid"/>
    <w:basedOn w:val="1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FollowedHyperlink"/>
    <w:basedOn w:val="17"/>
    <w:semiHidden/>
    <w:unhideWhenUsed/>
    <w:qFormat/>
    <w:uiPriority w:val="99"/>
    <w:rPr>
      <w:color w:val="800080"/>
      <w:u w:val="single"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1 字符"/>
    <w:basedOn w:val="17"/>
    <w:link w:val="3"/>
    <w:qFormat/>
    <w:uiPriority w:val="9"/>
    <w:rPr>
      <w:rFonts w:eastAsiaTheme="majorEastAsia"/>
      <w:b/>
      <w:bCs/>
      <w:kern w:val="44"/>
      <w:sz w:val="44"/>
      <w:szCs w:val="44"/>
    </w:rPr>
  </w:style>
  <w:style w:type="character" w:customStyle="1" w:styleId="22">
    <w:name w:val="标题 2 字符"/>
    <w:basedOn w:val="17"/>
    <w:link w:val="4"/>
    <w:qFormat/>
    <w:uiPriority w:val="9"/>
    <w:rPr>
      <w:rFonts w:eastAsia="黑体" w:asciiTheme="majorHAnsi" w:hAnsiTheme="majorHAnsi" w:cstheme="majorBidi"/>
      <w:b/>
      <w:bCs/>
      <w:sz w:val="32"/>
      <w:szCs w:val="32"/>
    </w:rPr>
  </w:style>
  <w:style w:type="character" w:customStyle="1" w:styleId="23">
    <w:name w:val="标题 3 字符"/>
    <w:basedOn w:val="17"/>
    <w:link w:val="5"/>
    <w:qFormat/>
    <w:uiPriority w:val="9"/>
    <w:rPr>
      <w:b/>
      <w:bCs/>
      <w:sz w:val="24"/>
      <w:szCs w:val="32"/>
    </w:rPr>
  </w:style>
  <w:style w:type="character" w:customStyle="1" w:styleId="24">
    <w:name w:val="题注 字符"/>
    <w:link w:val="6"/>
    <w:qFormat/>
    <w:uiPriority w:val="0"/>
    <w:rPr>
      <w:rFonts w:ascii="Cambria" w:hAnsi="Cambria" w:eastAsia="黑体"/>
    </w:rPr>
  </w:style>
  <w:style w:type="character" w:customStyle="1" w:styleId="25">
    <w:name w:val="正文文本 2 字符"/>
    <w:link w:val="2"/>
    <w:qFormat/>
    <w:uiPriority w:val="99"/>
    <w:rPr>
      <w:rFonts w:eastAsia="仿宋"/>
      <w:sz w:val="28"/>
    </w:rPr>
  </w:style>
  <w:style w:type="character" w:customStyle="1" w:styleId="26">
    <w:name w:val="正文文本 2 Char1"/>
    <w:basedOn w:val="17"/>
    <w:semiHidden/>
    <w:qFormat/>
    <w:uiPriority w:val="99"/>
  </w:style>
  <w:style w:type="paragraph" w:customStyle="1" w:styleId="27">
    <w:name w:val="列出段落1"/>
    <w:basedOn w:val="1"/>
    <w:qFormat/>
    <w:uiPriority w:val="34"/>
    <w:pPr>
      <w:spacing w:line="360" w:lineRule="auto"/>
      <w:ind w:firstLine="420"/>
    </w:pPr>
    <w:rPr>
      <w:rFonts w:ascii="Times New Roman" w:hAnsi="Times New Roman" w:eastAsia="仿宋" w:cs="Times New Roman"/>
      <w:sz w:val="28"/>
    </w:rPr>
  </w:style>
  <w:style w:type="paragraph" w:customStyle="1" w:styleId="28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7"/>
    <w:link w:val="11"/>
    <w:qFormat/>
    <w:uiPriority w:val="99"/>
    <w:rPr>
      <w:sz w:val="18"/>
      <w:szCs w:val="18"/>
    </w:rPr>
  </w:style>
  <w:style w:type="character" w:customStyle="1" w:styleId="30">
    <w:name w:val="页脚 字符"/>
    <w:basedOn w:val="17"/>
    <w:link w:val="10"/>
    <w:qFormat/>
    <w:uiPriority w:val="99"/>
    <w:rPr>
      <w:sz w:val="18"/>
      <w:szCs w:val="18"/>
    </w:rPr>
  </w:style>
  <w:style w:type="paragraph" w:customStyle="1" w:styleId="31">
    <w:name w:val="封面落款"/>
    <w:qFormat/>
    <w:uiPriority w:val="0"/>
    <w:pPr>
      <w:adjustRightInd w:val="0"/>
      <w:snapToGrid w:val="0"/>
      <w:spacing w:line="360" w:lineRule="auto"/>
      <w:jc w:val="center"/>
    </w:pPr>
    <w:rPr>
      <w:rFonts w:ascii="Times New Roman" w:hAnsi="Times New Roman" w:eastAsia="楷体_GB2312" w:cs="Times New Roman"/>
      <w:b/>
      <w:snapToGrid w:val="0"/>
      <w:color w:val="000000"/>
      <w:spacing w:val="60"/>
      <w:sz w:val="30"/>
      <w:szCs w:val="30"/>
      <w:lang w:val="en-US" w:eastAsia="zh-CN" w:bidi="ar-SA"/>
    </w:rPr>
  </w:style>
  <w:style w:type="character" w:customStyle="1" w:styleId="32">
    <w:name w:val="正文文本缩进 字符"/>
    <w:basedOn w:val="17"/>
    <w:link w:val="7"/>
    <w:qFormat/>
    <w:uiPriority w:val="99"/>
    <w:rPr>
      <w:rFonts w:asciiTheme="minorHAnsi" w:hAnsiTheme="minorHAnsi" w:eastAsiaTheme="minorEastAsia"/>
      <w:kern w:val="2"/>
      <w:sz w:val="21"/>
      <w:szCs w:val="22"/>
    </w:rPr>
  </w:style>
  <w:style w:type="character" w:customStyle="1" w:styleId="33">
    <w:name w:val="批注框文本 字符"/>
    <w:basedOn w:val="17"/>
    <w:link w:val="9"/>
    <w:semiHidden/>
    <w:qFormat/>
    <w:uiPriority w:val="99"/>
    <w:rPr>
      <w:rFonts w:asciiTheme="minorHAnsi" w:hAnsiTheme="minorHAnsi" w:eastAsiaTheme="minorEastAsia"/>
      <w:kern w:val="2"/>
      <w:sz w:val="18"/>
      <w:szCs w:val="18"/>
    </w:rPr>
  </w:style>
  <w:style w:type="character" w:customStyle="1" w:styleId="34">
    <w:name w:val="批注框文本 Char"/>
    <w:qFormat/>
    <w:uiPriority w:val="0"/>
    <w:rPr>
      <w:kern w:val="2"/>
      <w:sz w:val="18"/>
      <w:szCs w:val="18"/>
    </w:rPr>
  </w:style>
  <w:style w:type="character" w:customStyle="1" w:styleId="35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58</Pages>
  <Words>1826</Words>
  <Characters>10412</Characters>
  <Lines>86</Lines>
  <Paragraphs>24</Paragraphs>
  <TotalTime>1</TotalTime>
  <ScaleCrop>false</ScaleCrop>
  <LinksUpToDate>false</LinksUpToDate>
  <CharactersWithSpaces>12214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2019-04-28T09:18:00Z</dcterms:created>
  <dc:creator>Administrator</dc:creator>
  <cp:lastModifiedBy>kylin</cp:lastModifiedBy>
  <dcterms:modified xsi:type="dcterms:W3CDTF">2021-10-15T19:50:59Z</dcterms:modified>
  <cp:revision>321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</Properties>
</file>