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1</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方正小标宋简体" w:hAnsi="Times New Roman" w:eastAsia="方正小标宋简体"/>
          <w:sz w:val="48"/>
          <w:szCs w:val="48"/>
        </w:rPr>
      </w:pPr>
      <w:r>
        <w:rPr>
          <w:rFonts w:ascii="方正小标宋简体" w:hAnsi="Times New Roman" w:eastAsia="方正小标宋简体"/>
          <w:sz w:val="48"/>
          <w:szCs w:val="48"/>
        </w:rPr>
        <w:t>2020</w:t>
      </w:r>
      <w:r>
        <w:rPr>
          <w:rFonts w:hint="eastAsia" w:ascii="方正小标宋简体" w:hAnsi="Times New Roman" w:eastAsia="方正小标宋简体"/>
          <w:sz w:val="48"/>
          <w:szCs w:val="48"/>
        </w:rPr>
        <w:t>年度部门整体支出绩效自评报告</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hint="eastAsia" w:ascii="Times New Roman" w:hAnsi="Times New Roman" w:eastAsia="宋体"/>
          <w:sz w:val="36"/>
          <w:szCs w:val="36"/>
          <w:lang w:eastAsia="zh-CN"/>
        </w:rPr>
      </w:pPr>
      <w:r>
        <w:rPr>
          <w:rFonts w:hint="eastAsia" w:ascii="Times New Roman" w:hAnsi="Times New Roman"/>
          <w:sz w:val="36"/>
          <w:szCs w:val="36"/>
        </w:rPr>
        <w:t>单位名称：</w:t>
      </w:r>
      <w:r>
        <w:rPr>
          <w:rFonts w:hint="eastAsia" w:ascii="Times New Roman" w:hAnsi="Times New Roman"/>
          <w:sz w:val="36"/>
          <w:szCs w:val="36"/>
          <w:lang w:eastAsia="zh-CN"/>
        </w:rPr>
        <w:t>衡阳市美术馆</w:t>
      </w:r>
    </w:p>
    <w:p>
      <w:pPr>
        <w:jc w:val="center"/>
        <w:rPr>
          <w:rFonts w:ascii="Times New Roman" w:hAnsi="Times New Roman" w:eastAsia="黑体"/>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2021</w:t>
      </w:r>
      <w:r>
        <w:rPr>
          <w:rFonts w:hint="eastAsia" w:ascii="Times New Roman" w:hAnsi="Times New Roman" w:eastAsia="黑体"/>
          <w:sz w:val="32"/>
          <w:szCs w:val="32"/>
        </w:rPr>
        <w:t>年</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2</w:t>
      </w:r>
      <w:r>
        <w:rPr>
          <w:rFonts w:ascii="Times New Roman" w:hAnsi="Times New Roman" w:eastAsia="黑体"/>
          <w:sz w:val="32"/>
          <w:szCs w:val="32"/>
        </w:rPr>
        <w:t xml:space="preserve"> </w:t>
      </w:r>
      <w:r>
        <w:rPr>
          <w:rFonts w:hint="eastAsia" w:ascii="Times New Roman" w:hAnsi="Times New Roman" w:eastAsia="黑体"/>
          <w:sz w:val="32"/>
          <w:szCs w:val="32"/>
        </w:rPr>
        <w:t>月</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2</w:t>
      </w:r>
      <w:r>
        <w:rPr>
          <w:rFonts w:ascii="Times New Roman" w:hAnsi="Times New Roman" w:eastAsia="黑体"/>
          <w:sz w:val="32"/>
          <w:szCs w:val="32"/>
        </w:rPr>
        <w:t xml:space="preserve"> </w:t>
      </w:r>
      <w:r>
        <w:rPr>
          <w:rFonts w:hint="eastAsia" w:ascii="Times New Roman" w:hAnsi="Times New Roman" w:eastAsia="黑体"/>
          <w:sz w:val="32"/>
          <w:szCs w:val="32"/>
        </w:rPr>
        <w:t>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衡阳市美术馆</w:t>
      </w:r>
      <w:r>
        <w:rPr>
          <w:rFonts w:hint="eastAsia" w:ascii="Times New Roman" w:hAnsi="Times New Roman" w:eastAsia="方正小标宋简体"/>
          <w:sz w:val="44"/>
          <w:szCs w:val="44"/>
        </w:rPr>
        <w:t>整体支出绩效评价报告</w:t>
      </w:r>
    </w:p>
    <w:p>
      <w:pPr>
        <w:rPr>
          <w:rFonts w:ascii="Times New Roman" w:hAnsi="Times New Roman" w:eastAsia="方正小标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楷体" w:hAnsi="楷体" w:eastAsia="楷体" w:cs="楷体"/>
          <w:b/>
          <w:bCs/>
          <w:sz w:val="28"/>
          <w:szCs w:val="28"/>
          <w:lang w:val="en-US" w:eastAsia="zh-CN"/>
        </w:rPr>
      </w:pPr>
      <w:r>
        <w:rPr>
          <w:rFonts w:hint="eastAsia" w:eastAsia="黑体"/>
          <w:sz w:val="28"/>
          <w:szCs w:val="28"/>
        </w:rPr>
        <w:t>一、部门、单位基本情况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衡阳市美术馆为全额拨款事业单位，系衡阳市文化旅游广电体育局二级单位，对外加挂衡阳市书画院牌子。衡阳市美术馆共设四个部门，分别为：办公室、展览陈列部、学术典藏部和对外交流部，办公室下设财务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截至2020年12月31日，衡阳市美术馆事业编制12人，在职人员9人，退休人员7人，长期聘用人员4人。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部门职能职责</w:t>
      </w:r>
    </w:p>
    <w:p>
      <w:pPr>
        <w:ind w:firstLine="560" w:firstLineChars="200"/>
        <w:rPr>
          <w:rFonts w:hint="eastAsia"/>
          <w:sz w:val="28"/>
          <w:szCs w:val="28"/>
        </w:rPr>
      </w:pPr>
      <w:r>
        <w:rPr>
          <w:rFonts w:hint="eastAsia"/>
          <w:sz w:val="28"/>
          <w:szCs w:val="28"/>
          <w:lang w:val="en-US" w:eastAsia="zh-CN"/>
        </w:rPr>
        <w:t>1、</w:t>
      </w:r>
      <w:r>
        <w:rPr>
          <w:rFonts w:hint="eastAsia"/>
          <w:b/>
          <w:sz w:val="28"/>
          <w:szCs w:val="28"/>
        </w:rPr>
        <w:t>办公室</w:t>
      </w:r>
      <w:r>
        <w:rPr>
          <w:rFonts w:hint="eastAsia"/>
          <w:b/>
          <w:sz w:val="28"/>
          <w:szCs w:val="28"/>
          <w:lang w:eastAsia="zh-CN"/>
        </w:rPr>
        <w:t>：</w:t>
      </w:r>
      <w:r>
        <w:rPr>
          <w:rFonts w:hint="eastAsia"/>
          <w:sz w:val="28"/>
          <w:szCs w:val="28"/>
        </w:rPr>
        <w:t>办公室是我馆综合协调管理部门，担负着美术馆的财务、人事、计生、综治、档案文书、宣传报道和图书资料工作；负责安排各种会议、日常接待、对外联络、信访工作以及协助馆长完成其他日常事务与各部门之间的协调工作等。负责美术馆的供配电、给排水、空调、消防、监控、音响、照明、电话、电脑等设备的运行操作、维修保养，保证美术馆各设备系统、后勤系统的良好运转。负责对日常物业、安保的管理、监督。</w:t>
      </w:r>
    </w:p>
    <w:p>
      <w:pPr>
        <w:ind w:firstLine="560" w:firstLineChars="200"/>
        <w:rPr>
          <w:rFonts w:hint="eastAsia" w:ascii="宋体" w:hAnsi="宋体" w:cs="宋体"/>
          <w:sz w:val="28"/>
          <w:szCs w:val="28"/>
        </w:rPr>
      </w:pPr>
      <w:r>
        <w:rPr>
          <w:rFonts w:hint="eastAsia"/>
          <w:sz w:val="28"/>
          <w:szCs w:val="28"/>
          <w:lang w:val="en-US" w:eastAsia="zh-CN"/>
        </w:rPr>
        <w:t>2、</w:t>
      </w:r>
      <w:r>
        <w:rPr>
          <w:rFonts w:hint="eastAsia" w:ascii="宋体" w:hAnsi="宋体" w:cs="宋体"/>
          <w:b/>
          <w:bCs/>
          <w:sz w:val="28"/>
          <w:szCs w:val="28"/>
        </w:rPr>
        <w:t>展览陈列部</w:t>
      </w:r>
      <w:r>
        <w:rPr>
          <w:rFonts w:hint="eastAsia" w:ascii="宋体" w:hAnsi="宋体" w:cs="宋体"/>
          <w:b/>
          <w:sz w:val="28"/>
          <w:szCs w:val="28"/>
        </w:rPr>
        <w:t>：</w:t>
      </w:r>
      <w:r>
        <w:rPr>
          <w:rFonts w:hint="eastAsia" w:ascii="宋体" w:hAnsi="宋体" w:cs="宋体"/>
          <w:sz w:val="28"/>
          <w:szCs w:val="28"/>
        </w:rPr>
        <w:t>担负着美术馆各种展览活动的设计、制作、布展等工作。承担展览的策划、安排，各类展览的洽谈工作，相关的运输、布展等方面的工作，合理安排各类固定陈列展与活动展览的比例，编辑出版展览作品集、展览图录及有关刊物，并做好各类展览的全程事务的协调工作和</w:t>
      </w:r>
      <w:r>
        <w:rPr>
          <w:rFonts w:hint="eastAsia"/>
          <w:sz w:val="28"/>
          <w:szCs w:val="28"/>
        </w:rPr>
        <w:t>宣传报道工作</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b/>
          <w:bCs/>
          <w:sz w:val="28"/>
          <w:szCs w:val="28"/>
        </w:rPr>
        <w:t>典藏创作部</w:t>
      </w:r>
      <w:r>
        <w:rPr>
          <w:rFonts w:hint="eastAsia" w:ascii="宋体" w:hAnsi="宋体" w:cs="宋体"/>
          <w:b/>
          <w:sz w:val="28"/>
          <w:szCs w:val="28"/>
        </w:rPr>
        <w:t>：</w:t>
      </w:r>
      <w:r>
        <w:rPr>
          <w:rFonts w:hint="eastAsia" w:ascii="宋体" w:hAnsi="宋体" w:cs="宋体"/>
          <w:sz w:val="28"/>
          <w:szCs w:val="28"/>
        </w:rPr>
        <w:t>担负着美术馆藏品的征集、保管、修复与研究，学术展览的策划与展品的筹措以及学术研究，编辑出版藏品展览作品集、展览图录及有关刊物；搜集整理本地域美术资料、信息等工作。组织、指导本馆和本地书画家的艺术创作，征集、组织、选送作品参加全国、省、市各类书画展览竞赛。</w:t>
      </w:r>
    </w:p>
    <w:p>
      <w:pPr>
        <w:ind w:firstLine="560" w:firstLineChars="200"/>
        <w:rPr>
          <w:rFonts w:hint="eastAsia"/>
          <w:sz w:val="28"/>
          <w:szCs w:val="28"/>
        </w:rPr>
      </w:pPr>
      <w:r>
        <w:rPr>
          <w:rFonts w:hint="eastAsia" w:ascii="宋体" w:hAnsi="宋体" w:cs="宋体"/>
          <w:sz w:val="28"/>
          <w:szCs w:val="28"/>
          <w:lang w:val="en-US" w:eastAsia="zh-CN"/>
        </w:rPr>
        <w:t>4、</w:t>
      </w:r>
      <w:r>
        <w:rPr>
          <w:rFonts w:hint="eastAsia" w:ascii="宋体" w:hAnsi="宋体" w:cs="宋体"/>
          <w:b/>
          <w:bCs/>
          <w:sz w:val="28"/>
          <w:szCs w:val="28"/>
        </w:rPr>
        <w:t>对外事务部：</w:t>
      </w:r>
      <w:r>
        <w:rPr>
          <w:rFonts w:hint="eastAsia" w:ascii="宋体" w:hAnsi="宋体" w:cs="宋体"/>
          <w:sz w:val="28"/>
          <w:szCs w:val="28"/>
        </w:rPr>
        <w:t>负责开展各类学术交流活动。积极履行美术馆书画艺委会作为专家权威咨询机构的职能，组织书画家进行采风、笔会、</w:t>
      </w:r>
      <w:r>
        <w:rPr>
          <w:rFonts w:hint="eastAsia" w:ascii="宋体" w:hAnsi="宋体" w:cs="宋体"/>
          <w:color w:val="000000"/>
          <w:sz w:val="28"/>
          <w:szCs w:val="28"/>
        </w:rPr>
        <w:t>联谊会等活动，采取走出去、请进来的方式，联络各地对口专业艺术机构和著名艺术家，每年举办书画学术交流活动、专题研讨和笔会、</w:t>
      </w:r>
      <w:r>
        <w:rPr>
          <w:rFonts w:hint="eastAsia"/>
          <w:sz w:val="28"/>
          <w:szCs w:val="28"/>
        </w:rPr>
        <w:t>以及网站和微信平台的维护工作</w:t>
      </w:r>
    </w:p>
    <w:p>
      <w:pPr>
        <w:ind w:firstLine="560" w:firstLineChars="200"/>
        <w:rPr>
          <w:rFonts w:hint="eastAsia" w:ascii="宋体" w:hAnsi="宋体" w:cs="宋体"/>
          <w:sz w:val="28"/>
          <w:szCs w:val="28"/>
        </w:rPr>
      </w:pPr>
      <w:r>
        <w:rPr>
          <w:rFonts w:hint="eastAsia"/>
          <w:sz w:val="28"/>
          <w:szCs w:val="28"/>
          <w:lang w:val="en-US" w:eastAsia="zh-CN"/>
        </w:rPr>
        <w:t>5、</w:t>
      </w:r>
      <w:r>
        <w:rPr>
          <w:rFonts w:hint="eastAsia"/>
          <w:sz w:val="28"/>
          <w:szCs w:val="28"/>
        </w:rPr>
        <w:t xml:space="preserve"> </w:t>
      </w:r>
      <w:r>
        <w:rPr>
          <w:rFonts w:hint="eastAsia" w:ascii="宋体" w:hAnsi="宋体" w:cs="宋体"/>
          <w:b/>
          <w:bCs/>
          <w:sz w:val="28"/>
          <w:szCs w:val="28"/>
        </w:rPr>
        <w:t>教育拓展部</w:t>
      </w:r>
      <w:r>
        <w:rPr>
          <w:rFonts w:hint="eastAsia" w:ascii="宋体" w:hAnsi="宋体" w:cs="宋体"/>
          <w:b/>
          <w:sz w:val="28"/>
          <w:szCs w:val="28"/>
        </w:rPr>
        <w:t>：</w:t>
      </w:r>
      <w:r>
        <w:rPr>
          <w:rFonts w:hint="eastAsia" w:ascii="宋体" w:hAnsi="宋体" w:cs="宋体"/>
          <w:sz w:val="28"/>
          <w:szCs w:val="28"/>
        </w:rPr>
        <w:t>负责美术馆相关文创产业的开发，做好美术馆与社会各界的联络工作。利用美术馆的艺术资源优势，推动美术的社会普及工作，举办各种艺术培训、审美知识辅导讲座、志愿者活动、书画辅导等，扩大美术馆的社会效应和公益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我馆常年实行免费开放，具有学术研究、精品收藏、作品展示、公共教育、艺术普及和推广等重要社会职能。</w:t>
      </w:r>
    </w:p>
    <w:p>
      <w:pPr>
        <w:pStyle w:val="5"/>
        <w:widowControl/>
        <w:rPr>
          <w:rFonts w:hint="eastAsia" w:eastAsia="黑体"/>
          <w:sz w:val="28"/>
          <w:szCs w:val="28"/>
        </w:rPr>
      </w:pPr>
    </w:p>
    <w:p>
      <w:pPr>
        <w:pStyle w:val="5"/>
        <w:widowControl/>
        <w:rPr>
          <w:rFonts w:eastAsia="黑体"/>
          <w:sz w:val="28"/>
          <w:szCs w:val="28"/>
        </w:rPr>
      </w:pPr>
      <w:r>
        <w:rPr>
          <w:rFonts w:hint="eastAsia" w:eastAsia="黑体"/>
          <w:sz w:val="28"/>
          <w:szCs w:val="28"/>
        </w:rPr>
        <w:t>二、一般公共预算支出情况</w:t>
      </w:r>
    </w:p>
    <w:p>
      <w:pPr>
        <w:pStyle w:val="5"/>
        <w:widowControl/>
        <w:ind w:firstLine="643"/>
        <w:rPr>
          <w:rFonts w:hint="eastAsia" w:eastAsia="楷体"/>
          <w:b/>
          <w:sz w:val="28"/>
          <w:szCs w:val="28"/>
        </w:rPr>
      </w:pPr>
      <w:r>
        <w:rPr>
          <w:rFonts w:hint="eastAsia" w:eastAsia="楷体"/>
          <w:b/>
          <w:sz w:val="28"/>
          <w:szCs w:val="28"/>
        </w:rPr>
        <w:t>（一）基本支出情况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 w:hAnsi="仿宋" w:eastAsia="仿宋"/>
          <w:color w:val="414141"/>
          <w:sz w:val="28"/>
          <w:szCs w:val="28"/>
          <w:lang w:eastAsia="zh-CN"/>
        </w:rPr>
      </w:pPr>
      <w:r>
        <w:rPr>
          <w:rFonts w:hint="eastAsia" w:ascii="仿宋" w:hAnsi="仿宋" w:eastAsia="仿宋"/>
          <w:color w:val="414141"/>
          <w:sz w:val="28"/>
          <w:szCs w:val="28"/>
          <w:lang w:val="en-US" w:eastAsia="zh-CN"/>
        </w:rPr>
        <w:t>2020</w:t>
      </w:r>
      <w:r>
        <w:rPr>
          <w:rFonts w:hint="eastAsia" w:ascii="仿宋" w:hAnsi="仿宋" w:eastAsia="仿宋"/>
          <w:color w:val="414141"/>
          <w:sz w:val="28"/>
          <w:szCs w:val="28"/>
        </w:rPr>
        <w:t>年年初预算</w:t>
      </w:r>
      <w:r>
        <w:rPr>
          <w:rFonts w:hint="eastAsia" w:ascii="仿宋" w:hAnsi="仿宋" w:eastAsia="仿宋"/>
          <w:color w:val="414141"/>
          <w:sz w:val="28"/>
          <w:szCs w:val="28"/>
          <w:lang w:eastAsia="zh-CN"/>
        </w:rPr>
        <w:t>批复的一般公共预算财政拨款基本支出</w:t>
      </w:r>
      <w:r>
        <w:rPr>
          <w:rFonts w:hint="eastAsia" w:ascii="仿宋" w:hAnsi="仿宋" w:eastAsia="仿宋"/>
          <w:color w:val="414141"/>
          <w:sz w:val="28"/>
          <w:szCs w:val="28"/>
          <w:lang w:val="en-US" w:eastAsia="zh-CN"/>
        </w:rPr>
        <w:t>285.22</w:t>
      </w:r>
      <w:r>
        <w:rPr>
          <w:rFonts w:hint="eastAsia" w:ascii="仿宋" w:hAnsi="仿宋" w:eastAsia="仿宋"/>
          <w:color w:val="414141"/>
          <w:sz w:val="28"/>
          <w:szCs w:val="28"/>
        </w:rPr>
        <w:t>万元</w:t>
      </w:r>
      <w:r>
        <w:rPr>
          <w:rFonts w:hint="eastAsia" w:ascii="仿宋" w:hAnsi="仿宋" w:eastAsia="仿宋"/>
          <w:color w:val="414141"/>
          <w:sz w:val="28"/>
          <w:szCs w:val="28"/>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 w:hAnsi="仿宋" w:eastAsia="仿宋"/>
          <w:color w:val="414141"/>
          <w:sz w:val="28"/>
          <w:szCs w:val="28"/>
          <w:lang w:val="en-US" w:eastAsia="zh-CN"/>
        </w:rPr>
      </w:pPr>
      <w:r>
        <w:rPr>
          <w:rFonts w:hint="eastAsia" w:ascii="仿宋" w:hAnsi="仿宋" w:eastAsia="仿宋"/>
          <w:color w:val="414141"/>
          <w:sz w:val="28"/>
          <w:szCs w:val="28"/>
          <w:lang w:val="en-US" w:eastAsia="zh-CN"/>
        </w:rPr>
        <w:t>2020年一般公共预算财政拨款决算基本支出197.89万元，其中人员经费185.56万元，日常公用经费12.33万元。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 w:hAnsi="仿宋" w:eastAsia="仿宋"/>
          <w:color w:val="414141"/>
          <w:sz w:val="28"/>
          <w:szCs w:val="28"/>
          <w:lang w:val="en-US" w:eastAsia="zh-CN"/>
        </w:rPr>
      </w:pPr>
      <w:r>
        <w:rPr>
          <w:rFonts w:hint="eastAsia" w:ascii="仿宋" w:hAnsi="仿宋" w:eastAsia="仿宋"/>
          <w:color w:val="414141"/>
          <w:sz w:val="28"/>
          <w:szCs w:val="28"/>
          <w:lang w:val="en-US" w:eastAsia="zh-CN"/>
        </w:rPr>
        <w:t>按经济科目分类,其中工资福利支出168.6万元，商品和服务支出12.33万元，对个人和家庭的补助16.96万元。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ascii="微软雅黑" w:hAnsi="微软雅黑" w:eastAsia="微软雅黑"/>
          <w:color w:val="414141"/>
          <w:sz w:val="28"/>
          <w:szCs w:val="28"/>
        </w:rPr>
      </w:pPr>
      <w:r>
        <w:rPr>
          <w:rFonts w:hint="eastAsia" w:ascii="仿宋" w:hAnsi="仿宋" w:eastAsia="仿宋"/>
          <w:color w:val="414141"/>
          <w:sz w:val="28"/>
          <w:szCs w:val="28"/>
          <w:lang w:val="en-US" w:eastAsia="zh-CN"/>
        </w:rPr>
        <w:t>按支出功能分类：一般公共服务支出1.53万元，文化旅游体育与传媒支出153.6万元，社会保障和就业支出17.62万元，卫生健康支出14.44万元，住房保障支出10.7万元。</w:t>
      </w:r>
    </w:p>
    <w:p>
      <w:pPr>
        <w:pStyle w:val="5"/>
        <w:widowControl/>
        <w:ind w:firstLine="643"/>
        <w:rPr>
          <w:rFonts w:eastAsia="楷体"/>
          <w:b/>
          <w:sz w:val="28"/>
          <w:szCs w:val="28"/>
        </w:rPr>
      </w:pPr>
      <w:r>
        <w:rPr>
          <w:rFonts w:hint="eastAsia" w:eastAsia="楷体"/>
          <w:b/>
          <w:sz w:val="28"/>
          <w:szCs w:val="28"/>
        </w:rPr>
        <w:t>（二）项目支出情况</w:t>
      </w:r>
    </w:p>
    <w:p>
      <w:pPr>
        <w:widowControl/>
        <w:ind w:firstLine="560" w:firstLineChars="200"/>
        <w:rPr>
          <w:rFonts w:hint="default" w:ascii="Times New Roman" w:hAnsi="Times New Roman" w:eastAsia="楷体" w:cs="Times New Roman"/>
          <w:b/>
          <w:kern w:val="2"/>
          <w:sz w:val="28"/>
          <w:szCs w:val="28"/>
          <w:lang w:val="en-US" w:eastAsia="zh-CN" w:bidi="ar-SA"/>
        </w:rPr>
      </w:pPr>
      <w:r>
        <w:rPr>
          <w:rFonts w:hint="eastAsia" w:ascii="Times New Roman" w:hAnsi="Times New Roman" w:eastAsia="仿宋"/>
          <w:sz w:val="28"/>
          <w:szCs w:val="28"/>
          <w:lang w:val="en-US" w:eastAsia="zh-CN"/>
        </w:rPr>
        <w:t>1.</w:t>
      </w:r>
      <w:r>
        <w:rPr>
          <w:rFonts w:hint="eastAsia" w:ascii="Times New Roman" w:hAnsi="Times New Roman" w:eastAsia="楷体" w:cs="Times New Roman"/>
          <w:b/>
          <w:kern w:val="2"/>
          <w:sz w:val="28"/>
          <w:szCs w:val="28"/>
          <w:lang w:val="en-US" w:eastAsia="zh-CN" w:bidi="ar-SA"/>
        </w:rPr>
        <w:t>项目支出总体情况</w:t>
      </w:r>
    </w:p>
    <w:p>
      <w:pPr>
        <w:widowControl/>
        <w:ind w:firstLine="560" w:firstLineChars="200"/>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2020年年初预算批复的一般公共预算财政拨款项目支出43万元，年中调增110.93万元，2020年一般公共预算财政拨款决算项目支出153.93万元。</w:t>
      </w:r>
    </w:p>
    <w:p>
      <w:pPr>
        <w:widowControl/>
        <w:ind w:firstLine="560" w:firstLineChars="200"/>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按经济科目分类，其中工资福利支出10.51万元，商品和服务支出110.72万元，对个人和家庭的补助0.25万元，资本性支出32.45万元。</w:t>
      </w:r>
    </w:p>
    <w:p>
      <w:pPr>
        <w:widowControl/>
        <w:ind w:firstLine="560" w:firstLineChars="200"/>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按支出功能分类：一般公共服务支出38.37万元，文化旅游体育与传媒支出115.56万元。</w:t>
      </w:r>
    </w:p>
    <w:p>
      <w:pPr>
        <w:pStyle w:val="5"/>
        <w:widowControl/>
        <w:numPr>
          <w:ilvl w:val="0"/>
          <w:numId w:val="2"/>
        </w:numPr>
        <w:ind w:firstLine="640"/>
        <w:rPr>
          <w:rFonts w:hint="eastAsia" w:eastAsia="黑体"/>
          <w:sz w:val="28"/>
          <w:szCs w:val="28"/>
        </w:rPr>
      </w:pPr>
      <w:r>
        <w:rPr>
          <w:rFonts w:hint="eastAsia" w:eastAsia="黑体"/>
          <w:sz w:val="28"/>
          <w:szCs w:val="28"/>
        </w:rPr>
        <w:t>政府性基金预算支出情况</w:t>
      </w:r>
      <w:r>
        <w:rPr>
          <w:rFonts w:hint="eastAsia" w:eastAsia="黑体"/>
          <w:sz w:val="28"/>
          <w:szCs w:val="28"/>
          <w:lang w:val="en-US" w:eastAsia="zh-CN"/>
        </w:rPr>
        <w:t xml:space="preserve">  无</w:t>
      </w:r>
    </w:p>
    <w:p>
      <w:pPr>
        <w:pStyle w:val="5"/>
        <w:widowControl/>
        <w:ind w:firstLine="640"/>
        <w:rPr>
          <w:rFonts w:hint="default" w:eastAsia="黑体"/>
          <w:sz w:val="28"/>
          <w:szCs w:val="28"/>
          <w:lang w:val="en-US" w:eastAsia="zh-CN"/>
        </w:rPr>
      </w:pPr>
      <w:r>
        <w:rPr>
          <w:rFonts w:hint="eastAsia" w:eastAsia="黑体"/>
          <w:sz w:val="28"/>
          <w:szCs w:val="28"/>
        </w:rPr>
        <w:t>四、国有资本经营预算支出情况</w:t>
      </w:r>
      <w:r>
        <w:rPr>
          <w:rFonts w:hint="eastAsia" w:eastAsia="黑体"/>
          <w:sz w:val="28"/>
          <w:szCs w:val="28"/>
          <w:lang w:val="en-US" w:eastAsia="zh-CN"/>
        </w:rPr>
        <w:t xml:space="preserve">  无</w:t>
      </w:r>
    </w:p>
    <w:p>
      <w:pPr>
        <w:pStyle w:val="5"/>
        <w:widowControl/>
        <w:ind w:firstLine="640"/>
        <w:rPr>
          <w:rFonts w:hint="eastAsia" w:eastAsia="黑体"/>
          <w:sz w:val="28"/>
          <w:szCs w:val="28"/>
          <w:lang w:val="en-US" w:eastAsia="zh-CN"/>
        </w:rPr>
      </w:pPr>
      <w:r>
        <w:rPr>
          <w:rFonts w:hint="eastAsia" w:eastAsia="黑体"/>
          <w:sz w:val="28"/>
          <w:szCs w:val="28"/>
        </w:rPr>
        <w:t>五、社会保险基金预算支出情况</w:t>
      </w:r>
      <w:r>
        <w:rPr>
          <w:rFonts w:hint="eastAsia" w:eastAsia="黑体"/>
          <w:sz w:val="28"/>
          <w:szCs w:val="28"/>
          <w:lang w:val="en-US" w:eastAsia="zh-CN"/>
        </w:rPr>
        <w:t xml:space="preserve">  无</w:t>
      </w:r>
    </w:p>
    <w:p>
      <w:pPr>
        <w:widowControl/>
        <w:ind w:firstLine="560" w:firstLineChars="200"/>
        <w:rPr>
          <w:rFonts w:ascii="Times New Roman" w:hAnsi="Times New Roman" w:eastAsia="黑体"/>
          <w:sz w:val="28"/>
          <w:szCs w:val="28"/>
        </w:rPr>
      </w:pPr>
      <w:r>
        <w:rPr>
          <w:rFonts w:hint="eastAsia" w:ascii="Times New Roman" w:hAnsi="Times New Roman" w:eastAsia="黑体"/>
          <w:sz w:val="28"/>
          <w:szCs w:val="28"/>
        </w:rPr>
        <w:t>六、部门整体支出绩效情况</w:t>
      </w:r>
    </w:p>
    <w:p>
      <w:pPr>
        <w:widowControl/>
        <w:ind w:firstLine="560" w:firstLineChars="200"/>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（一）产出指标完成情况分析。包括数量指标、质量指标、实效指标。</w:t>
      </w:r>
    </w:p>
    <w:p>
      <w:pPr>
        <w:widowControl/>
        <w:ind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1、数量指标：基本完成2020年的工作任务。</w:t>
      </w:r>
    </w:p>
    <w:p>
      <w:pPr>
        <w:widowControl/>
        <w:ind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2、质量指标：高质量的完成了2020年工作任务。</w:t>
      </w:r>
    </w:p>
    <w:p>
      <w:pPr>
        <w:widowControl/>
        <w:ind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3、时效指标：基本在绩效目标确定的时限内完成了个项工作。</w:t>
      </w:r>
    </w:p>
    <w:p>
      <w:pPr>
        <w:widowControl/>
        <w:ind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（二）效益指标完成情况分析。包括经济效益、社会效益、生态效益和可持续效益。</w:t>
      </w:r>
    </w:p>
    <w:p>
      <w:pPr>
        <w:widowControl/>
        <w:ind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2020年，我馆较好的完成了年初制定的工作目标任务，各个项目得以顺利开展，较好地实现社会效益和可持续效益目标。</w:t>
      </w:r>
    </w:p>
    <w:p>
      <w:pPr>
        <w:widowControl/>
        <w:numPr>
          <w:ilvl w:val="0"/>
          <w:numId w:val="1"/>
        </w:numPr>
        <w:ind w:left="0" w:leftChars="0"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满意度指标完成情况分析。</w:t>
      </w:r>
    </w:p>
    <w:p>
      <w:pPr>
        <w:widowControl/>
        <w:numPr>
          <w:ilvl w:val="0"/>
          <w:numId w:val="0"/>
        </w:numPr>
        <w:ind w:left="0" w:leftChars="0" w:firstLine="560" w:firstLineChars="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我馆免费开放的各个展览实施和整体社会效益及满意度等各项指标进行调查，群众对展览呈现的效果满意度达到90%，达到了预期效果，扩大了文化艺术修养的传播。</w:t>
      </w:r>
    </w:p>
    <w:p>
      <w:pPr>
        <w:widowControl/>
        <w:ind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从整体情况来看，我单位在预算编制，预算执行、支出绩效方面，严格规定执行，涉及“三重一大”事项必须经馆领导班子讨论决定。严格按照资金管理办法，做到项目资金专项专用，无截留、无挪用等现象，使财政资金发挥最大使用效益。市美术馆的公共文化场馆免费开放与国家公共文化服务体系建设更加紧密结合在一起，依托文化场馆设施，全市公共文化服务供给不断丰富，服务方式更加快捷，群众文化获得感空前增强。</w:t>
      </w:r>
    </w:p>
    <w:p>
      <w:pPr>
        <w:widowControl/>
        <w:numPr>
          <w:ilvl w:val="0"/>
          <w:numId w:val="0"/>
        </w:numPr>
        <w:ind w:left="0" w:leftChars="0" w:firstLine="560" w:firstLineChars="0"/>
        <w:rPr>
          <w:rFonts w:hint="eastAsia" w:ascii="Times New Roman" w:hAnsi="Times New Roman" w:eastAsia="仿宋"/>
          <w:color w:val="000000"/>
          <w:sz w:val="28"/>
          <w:szCs w:val="28"/>
          <w:lang w:val="en-US" w:eastAsia="zh-CN"/>
        </w:rPr>
      </w:pPr>
    </w:p>
    <w:p>
      <w:pPr>
        <w:widowControl/>
        <w:numPr>
          <w:ilvl w:val="0"/>
          <w:numId w:val="0"/>
        </w:numPr>
        <w:ind w:left="0" w:leftChars="0" w:firstLine="560" w:firstLineChars="0"/>
        <w:rPr>
          <w:rFonts w:hint="default" w:ascii="Times New Roman" w:hAnsi="Times New Roman" w:eastAsia="仿宋"/>
          <w:color w:val="000000"/>
          <w:sz w:val="28"/>
          <w:szCs w:val="28"/>
          <w:lang w:val="en-US" w:eastAsia="zh-CN"/>
        </w:rPr>
      </w:pPr>
    </w:p>
    <w:p>
      <w:pPr>
        <w:pStyle w:val="5"/>
        <w:widowControl/>
        <w:ind w:firstLine="640"/>
        <w:rPr>
          <w:rFonts w:eastAsia="黑体"/>
          <w:sz w:val="28"/>
          <w:szCs w:val="28"/>
        </w:rPr>
      </w:pPr>
      <w:r>
        <w:rPr>
          <w:rFonts w:hint="eastAsia" w:eastAsia="黑体"/>
          <w:sz w:val="28"/>
          <w:szCs w:val="28"/>
        </w:rPr>
        <w:t>七、存在的问题及原因分析</w:t>
      </w:r>
    </w:p>
    <w:p>
      <w:pPr>
        <w:widowControl/>
        <w:ind w:firstLine="560" w:firstLineChars="200"/>
        <w:rPr>
          <w:rFonts w:hint="eastAsia" w:ascii="Times New Roman" w:hAnsi="Times New Roman" w:eastAsia="仿宋"/>
          <w:color w:val="000000"/>
          <w:sz w:val="28"/>
          <w:szCs w:val="28"/>
          <w:lang w:val="en-US" w:eastAsia="zh-CN"/>
        </w:rPr>
      </w:pPr>
      <w:r>
        <w:rPr>
          <w:rFonts w:hint="eastAsia" w:ascii="Times New Roman" w:hAnsi="Times New Roman" w:eastAsia="仿宋"/>
          <w:color w:val="000000"/>
          <w:sz w:val="28"/>
          <w:szCs w:val="28"/>
          <w:lang w:val="en-US" w:eastAsia="zh-CN"/>
        </w:rPr>
        <w:t>资产管理不够严谨规范。资产名称的编制不完整，资产编号未对应，资产卡片编制不够详细等问题。主要因单位的岗位设置未配备专人进行管理，现由办公室代为管理，也是长久以来遗留问题。</w:t>
      </w:r>
    </w:p>
    <w:p>
      <w:pPr>
        <w:widowControl/>
        <w:numPr>
          <w:ilvl w:val="0"/>
          <w:numId w:val="3"/>
        </w:numPr>
        <w:ind w:firstLine="560" w:firstLineChars="200"/>
        <w:rPr>
          <w:rFonts w:hint="eastAsia" w:ascii="Times New Roman" w:hAnsi="Times New Roman" w:eastAsia="黑体"/>
          <w:sz w:val="28"/>
          <w:szCs w:val="28"/>
          <w:lang w:val="en-US" w:eastAsia="zh-CN"/>
        </w:rPr>
      </w:pPr>
      <w:r>
        <w:rPr>
          <w:rFonts w:hint="eastAsia" w:ascii="Times New Roman" w:hAnsi="Times New Roman" w:eastAsia="黑体"/>
          <w:sz w:val="28"/>
          <w:szCs w:val="28"/>
        </w:rPr>
        <w:t>下一步改进措施</w:t>
      </w:r>
      <w:r>
        <w:rPr>
          <w:rFonts w:hint="eastAsia" w:ascii="Times New Roman" w:hAnsi="Times New Roman" w:eastAsia="黑体"/>
          <w:sz w:val="28"/>
          <w:szCs w:val="28"/>
          <w:lang w:val="en-US" w:eastAsia="zh-CN"/>
        </w:rPr>
        <w:t xml:space="preserve"> </w:t>
      </w:r>
    </w:p>
    <w:p>
      <w:pPr>
        <w:widowControl/>
        <w:numPr>
          <w:ilvl w:val="0"/>
          <w:numId w:val="0"/>
        </w:numPr>
        <w:rPr>
          <w:rFonts w:hint="default" w:ascii="Times New Roman" w:hAnsi="Times New Roman" w:eastAsia="仿宋"/>
          <w:color w:val="000000"/>
          <w:sz w:val="28"/>
          <w:szCs w:val="28"/>
          <w:lang w:val="en-US" w:eastAsia="zh-CN"/>
        </w:rPr>
      </w:pPr>
      <w:r>
        <w:rPr>
          <w:rFonts w:hint="eastAsia" w:ascii="Times New Roman" w:hAnsi="Times New Roman" w:eastAsia="黑体"/>
          <w:sz w:val="28"/>
          <w:szCs w:val="28"/>
          <w:lang w:val="en-US" w:eastAsia="zh-CN"/>
        </w:rPr>
        <w:t xml:space="preserve">     </w:t>
      </w:r>
      <w:r>
        <w:rPr>
          <w:rFonts w:hint="eastAsia" w:ascii="Times New Roman" w:hAnsi="Times New Roman" w:eastAsia="仿宋"/>
          <w:color w:val="000000"/>
          <w:sz w:val="28"/>
          <w:szCs w:val="28"/>
          <w:lang w:val="en-US" w:eastAsia="zh-CN"/>
        </w:rPr>
        <w:t xml:space="preserve"> 加强资产管理工作，对新购入的资产及时入账并录入国有资产管理系统，资产卡片严格按照资产管理制度进行详细录入，做到账实相符，资产增减变动做到及时入账。</w:t>
      </w: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bookmarkStart w:id="0" w:name="_GoBack"/>
      <w:bookmarkEnd w:id="0"/>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rPr>
          <w:rFonts w:ascii="Times New Roman" w:hAnsi="Times New Roman" w:eastAsia="仿宋"/>
          <w:sz w:val="32"/>
          <w:szCs w:val="32"/>
        </w:rPr>
      </w:pPr>
      <w:r>
        <w:rPr>
          <w:rFonts w:hint="eastAsia" w:ascii="Times New Roman" w:hAnsi="Times New Roman" w:eastAsia="仿宋"/>
          <w:sz w:val="32"/>
          <w:szCs w:val="32"/>
        </w:rPr>
        <w:t>附件</w:t>
      </w:r>
      <w:r>
        <w:rPr>
          <w:rFonts w:ascii="Times New Roman" w:hAnsi="Times New Roman" w:eastAsia="仿宋"/>
          <w:sz w:val="32"/>
          <w:szCs w:val="32"/>
        </w:rPr>
        <w:t xml:space="preserve">2     </w:t>
      </w:r>
      <w:r>
        <w:rPr>
          <w:rFonts w:hint="eastAsia" w:ascii="Times New Roman" w:hAnsi="Times New Roman" w:eastAsia="方正小标宋简体"/>
          <w:kern w:val="0"/>
          <w:sz w:val="36"/>
          <w:szCs w:val="36"/>
        </w:rPr>
        <w:t>部门整体支出绩效评价指标评分表</w:t>
      </w:r>
    </w:p>
    <w:tbl>
      <w:tblPr>
        <w:tblStyle w:val="3"/>
        <w:tblW w:w="9958" w:type="dxa"/>
        <w:jc w:val="center"/>
        <w:tblLayout w:type="fixed"/>
        <w:tblCellMar>
          <w:top w:w="0" w:type="dxa"/>
          <w:left w:w="108" w:type="dxa"/>
          <w:bottom w:w="0" w:type="dxa"/>
          <w:right w:w="108" w:type="dxa"/>
        </w:tblCellMar>
      </w:tblPr>
      <w:tblGrid>
        <w:gridCol w:w="709"/>
        <w:gridCol w:w="677"/>
        <w:gridCol w:w="1014"/>
        <w:gridCol w:w="483"/>
        <w:gridCol w:w="2948"/>
        <w:gridCol w:w="3490"/>
        <w:gridCol w:w="63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 w:val="20"/>
                <w:szCs w:val="20"/>
              </w:rPr>
            </w:pPr>
            <w:r>
              <w:rPr>
                <w:rFonts w:hint="eastAsia" w:ascii="Times New Roman" w:hAnsi="Times New Roman"/>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三级</w:t>
            </w:r>
          </w:p>
          <w:p>
            <w:pPr>
              <w:widowControl/>
              <w:jc w:val="center"/>
              <w:rPr>
                <w:rFonts w:ascii="Times New Roman" w:hAnsi="Times New Roman" w:eastAsia="黑体"/>
                <w:kern w:val="0"/>
                <w:sz w:val="20"/>
                <w:szCs w:val="20"/>
              </w:rPr>
            </w:pPr>
            <w:r>
              <w:rPr>
                <w:rFonts w:hint="eastAsia" w:ascii="Times New Roman" w:hAnsi="Times New Roman"/>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分值</w:t>
            </w:r>
          </w:p>
        </w:tc>
        <w:tc>
          <w:tcPr>
            <w:tcW w:w="29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评价标准</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得分</w:t>
            </w:r>
          </w:p>
        </w:tc>
      </w:tr>
      <w:tr>
        <w:tblPrEx>
          <w:tblCellMar>
            <w:top w:w="0" w:type="dxa"/>
            <w:left w:w="108" w:type="dxa"/>
            <w:bottom w:w="0" w:type="dxa"/>
            <w:right w:w="108" w:type="dxa"/>
          </w:tblCellMar>
        </w:tblPrEx>
        <w:trPr>
          <w:trHeight w:val="908" w:hRule="atLeast"/>
          <w:jc w:val="center"/>
        </w:trPr>
        <w:tc>
          <w:tcPr>
            <w:tcW w:w="709" w:type="dxa"/>
            <w:vMerge w:val="restart"/>
            <w:tcBorders>
              <w:top w:val="nil"/>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投</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入</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10</w:t>
            </w:r>
            <w:r>
              <w:rPr>
                <w:rFonts w:hint="eastAsia" w:ascii="Times New Roman" w:hAnsi="Times New Roman"/>
                <w:kern w:val="0"/>
                <w:sz w:val="20"/>
                <w:szCs w:val="20"/>
              </w:rPr>
              <w:t>分</w:t>
            </w:r>
          </w:p>
          <w:p>
            <w:pPr>
              <w:jc w:val="center"/>
              <w:rPr>
                <w:rFonts w:ascii="Times New Roman" w:hAnsi="Times New Roman" w:eastAsia="Times New Roman"/>
                <w:kern w:val="0"/>
                <w:sz w:val="20"/>
                <w:szCs w:val="20"/>
              </w:rPr>
            </w:pPr>
          </w:p>
        </w:tc>
        <w:tc>
          <w:tcPr>
            <w:tcW w:w="677" w:type="dxa"/>
            <w:vMerge w:val="restart"/>
            <w:tcBorders>
              <w:top w:val="nil"/>
              <w:left w:val="nil"/>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目标设定</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6</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绩效目标合理性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top w:val="nil"/>
              <w:left w:val="nil"/>
              <w:bottom w:val="single" w:color="auto" w:sz="4" w:space="0"/>
              <w:right w:val="nil"/>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评价要点：</w:t>
            </w:r>
            <w:r>
              <w:rPr>
                <w:rFonts w:ascii="Times New Roman" w:hAnsi="Times New Roman" w:eastAsia="Times New Roman"/>
                <w:kern w:val="0"/>
                <w:sz w:val="20"/>
                <w:szCs w:val="20"/>
              </w:rPr>
              <w:br w:type="textWrapping"/>
            </w:r>
            <w:r>
              <w:rPr>
                <w:rFonts w:ascii="Times New Roman" w:hAnsi="Times New Roman"/>
                <w:kern w:val="0"/>
                <w:sz w:val="20"/>
                <w:szCs w:val="20"/>
              </w:rPr>
              <w:t>①</w:t>
            </w:r>
            <w:r>
              <w:rPr>
                <w:rFonts w:hint="eastAsia" w:ascii="Times New Roman" w:hAnsi="Times New Roman"/>
                <w:kern w:val="0"/>
                <w:sz w:val="20"/>
                <w:szCs w:val="20"/>
              </w:rPr>
              <w:t>是否符合国家法律法规、国民经济和社会发展总体规划；</w:t>
            </w:r>
            <w:r>
              <w:rPr>
                <w:rFonts w:ascii="Times New Roman" w:hAnsi="Times New Roman" w:eastAsia="Times New Roman"/>
                <w:kern w:val="0"/>
                <w:sz w:val="20"/>
                <w:szCs w:val="20"/>
              </w:rPr>
              <w:br w:type="textWrapping"/>
            </w:r>
            <w:r>
              <w:rPr>
                <w:rFonts w:ascii="Times New Roman" w:hAnsi="Times New Roman"/>
                <w:kern w:val="0"/>
                <w:sz w:val="20"/>
                <w:szCs w:val="20"/>
              </w:rPr>
              <w:t>②</w:t>
            </w:r>
            <w:r>
              <w:rPr>
                <w:rFonts w:hint="eastAsia" w:ascii="Times New Roman" w:hAnsi="Times New Roman"/>
                <w:kern w:val="0"/>
                <w:sz w:val="20"/>
                <w:szCs w:val="20"/>
              </w:rPr>
              <w:t>是否符合部门</w:t>
            </w:r>
            <w:r>
              <w:rPr>
                <w:rFonts w:ascii="Times New Roman" w:hAnsi="Times New Roman"/>
                <w:kern w:val="0"/>
                <w:sz w:val="20"/>
                <w:szCs w:val="20"/>
              </w:rPr>
              <w:t>“</w:t>
            </w:r>
            <w:r>
              <w:rPr>
                <w:rFonts w:hint="eastAsia" w:ascii="Times New Roman" w:hAnsi="Times New Roman"/>
                <w:kern w:val="0"/>
                <w:sz w:val="20"/>
                <w:szCs w:val="20"/>
              </w:rPr>
              <w:t>三定</w:t>
            </w:r>
            <w:r>
              <w:rPr>
                <w:rFonts w:ascii="Times New Roman" w:hAnsi="Times New Roman"/>
                <w:kern w:val="0"/>
                <w:sz w:val="20"/>
                <w:szCs w:val="20"/>
              </w:rPr>
              <w:t>”</w:t>
            </w:r>
            <w:r>
              <w:rPr>
                <w:rFonts w:hint="eastAsia" w:ascii="Times New Roman" w:hAnsi="Times New Roman"/>
                <w:kern w:val="0"/>
                <w:sz w:val="20"/>
                <w:szCs w:val="20"/>
              </w:rPr>
              <w:t>方案确定的职责；</w:t>
            </w:r>
            <w:r>
              <w:rPr>
                <w:rFonts w:ascii="Times New Roman" w:hAnsi="Times New Roman" w:eastAsia="Times New Roman"/>
                <w:kern w:val="0"/>
                <w:sz w:val="20"/>
                <w:szCs w:val="20"/>
              </w:rPr>
              <w:br w:type="textWrapping"/>
            </w:r>
            <w:r>
              <w:rPr>
                <w:rFonts w:ascii="Times New Roman" w:hAnsi="Times New Roman"/>
                <w:kern w:val="0"/>
                <w:sz w:val="20"/>
                <w:szCs w:val="20"/>
              </w:rPr>
              <w:t>③</w:t>
            </w:r>
            <w:r>
              <w:rPr>
                <w:rFonts w:hint="eastAsia" w:ascii="Times New Roman" w:hAnsi="Times New Roman"/>
                <w:kern w:val="0"/>
                <w:sz w:val="20"/>
                <w:szCs w:val="20"/>
              </w:rPr>
              <w:t>是否符合部门制定的中长期实施规划。</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3</w:t>
            </w:r>
          </w:p>
        </w:tc>
      </w:tr>
      <w:tr>
        <w:tblPrEx>
          <w:tblCellMar>
            <w:top w:w="0" w:type="dxa"/>
            <w:left w:w="108" w:type="dxa"/>
            <w:bottom w:w="0" w:type="dxa"/>
            <w:right w:w="108" w:type="dxa"/>
          </w:tblCellMar>
        </w:tblPrEx>
        <w:trPr>
          <w:trHeight w:val="907" w:hRule="atLeast"/>
          <w:jc w:val="center"/>
        </w:trPr>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绩效指标</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明确性</w:t>
            </w:r>
          </w:p>
        </w:tc>
        <w:tc>
          <w:tcPr>
            <w:tcW w:w="483" w:type="dxa"/>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left w:val="nil"/>
              <w:bottom w:val="single" w:color="auto" w:sz="4" w:space="0"/>
              <w:right w:val="nil"/>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部门依据整体绩效目标所设定的绩效指针是否清晰、细化、可衡量，用以反映和考核部门整体绩效目标的明细化情况。</w:t>
            </w:r>
          </w:p>
        </w:tc>
        <w:tc>
          <w:tcPr>
            <w:tcW w:w="349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评价要点：</w:t>
            </w:r>
            <w:r>
              <w:rPr>
                <w:rFonts w:ascii="Times New Roman" w:hAnsi="Times New Roman" w:eastAsia="Times New Roman"/>
                <w:kern w:val="0"/>
                <w:sz w:val="20"/>
                <w:szCs w:val="20"/>
              </w:rPr>
              <w:br w:type="textWrapping"/>
            </w:r>
            <w:r>
              <w:rPr>
                <w:rFonts w:ascii="Times New Roman" w:hAnsi="Times New Roman"/>
                <w:kern w:val="0"/>
                <w:sz w:val="20"/>
                <w:szCs w:val="20"/>
              </w:rPr>
              <w:t>①</w:t>
            </w:r>
            <w:r>
              <w:rPr>
                <w:rFonts w:hint="eastAsia" w:ascii="Times New Roman" w:hAnsi="Times New Roman"/>
                <w:kern w:val="0"/>
                <w:sz w:val="20"/>
                <w:szCs w:val="20"/>
              </w:rPr>
              <w:t>是否将部门整体的绩效目标细化分解为具体的工作任务；</w:t>
            </w:r>
            <w:r>
              <w:rPr>
                <w:rFonts w:ascii="Times New Roman" w:hAnsi="Times New Roman" w:eastAsia="Times New Roman"/>
                <w:kern w:val="0"/>
                <w:sz w:val="20"/>
                <w:szCs w:val="20"/>
              </w:rPr>
              <w:br w:type="textWrapping"/>
            </w:r>
            <w:r>
              <w:rPr>
                <w:rFonts w:ascii="Times New Roman" w:hAnsi="Times New Roman"/>
                <w:kern w:val="0"/>
                <w:sz w:val="20"/>
                <w:szCs w:val="20"/>
              </w:rPr>
              <w:t>②</w:t>
            </w:r>
            <w:r>
              <w:rPr>
                <w:rFonts w:hint="eastAsia" w:ascii="Times New Roman" w:hAnsi="Times New Roman"/>
                <w:kern w:val="0"/>
                <w:sz w:val="20"/>
                <w:szCs w:val="20"/>
              </w:rPr>
              <w:t>是否通过清晰、可衡量的指标值予以体现。</w:t>
            </w:r>
            <w:r>
              <w:rPr>
                <w:rFonts w:ascii="Times New Roman" w:hAnsi="Times New Roman"/>
                <w:kern w:val="0"/>
                <w:sz w:val="20"/>
                <w:szCs w:val="20"/>
              </w:rPr>
              <w:t xml:space="preserve">    ③</w:t>
            </w:r>
            <w:r>
              <w:rPr>
                <w:rFonts w:hint="eastAsia" w:ascii="Times New Roman" w:hAnsi="Times New Roman"/>
                <w:kern w:val="0"/>
                <w:sz w:val="20"/>
                <w:szCs w:val="20"/>
              </w:rPr>
              <w:t>是否与部门年度的任务数或计划数相对应；</w:t>
            </w:r>
            <w:r>
              <w:rPr>
                <w:rFonts w:ascii="Times New Roman" w:hAnsi="Times New Roman" w:eastAsia="Times New Roman"/>
                <w:kern w:val="0"/>
                <w:sz w:val="20"/>
                <w:szCs w:val="20"/>
              </w:rPr>
              <w:br w:type="textWrapping"/>
            </w:r>
            <w:r>
              <w:rPr>
                <w:rFonts w:ascii="Times New Roman" w:hAnsi="Times New Roman"/>
                <w:kern w:val="0"/>
                <w:sz w:val="20"/>
                <w:szCs w:val="20"/>
              </w:rPr>
              <w:t>④</w:t>
            </w:r>
            <w:r>
              <w:rPr>
                <w:rFonts w:hint="eastAsia" w:ascii="Times New Roman" w:hAnsi="Times New Roman"/>
                <w:kern w:val="0"/>
                <w:sz w:val="20"/>
                <w:szCs w:val="20"/>
              </w:rPr>
              <w:t>是否与本年度部门预算资金相匹配。</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3</w:t>
            </w:r>
          </w:p>
        </w:tc>
      </w:tr>
      <w:tr>
        <w:tblPrEx>
          <w:tblCellMar>
            <w:top w:w="0" w:type="dxa"/>
            <w:left w:w="108" w:type="dxa"/>
            <w:bottom w:w="0" w:type="dxa"/>
            <w:right w:w="108" w:type="dxa"/>
          </w:tblCellMar>
        </w:tblPrEx>
        <w:trPr>
          <w:trHeight w:val="1814" w:hRule="atLeast"/>
          <w:jc w:val="center"/>
        </w:trPr>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restart"/>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预算配置</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4</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nil"/>
              <w:right w:val="nil"/>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，在职人员数：部门（单位）实际在职人数，以财政局确定的部门决算编制口径为准。</w:t>
            </w:r>
            <w:r>
              <w:rPr>
                <w:rFonts w:ascii="Times New Roman" w:hAnsi="Times New Roman" w:eastAsia="Times New Roman"/>
                <w:kern w:val="0"/>
                <w:sz w:val="20"/>
                <w:szCs w:val="20"/>
              </w:rPr>
              <w:br w:type="textWrapping"/>
            </w: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重点支出</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安排率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重点支出安排率</w:t>
            </w:r>
            <w:r>
              <w:rPr>
                <w:rFonts w:ascii="Times New Roman" w:hAnsi="Times New Roman"/>
                <w:kern w:val="0"/>
                <w:sz w:val="20"/>
                <w:szCs w:val="20"/>
              </w:rPr>
              <w:t>=</w:t>
            </w:r>
            <w:r>
              <w:rPr>
                <w:rFonts w:hint="eastAsia" w:ascii="Times New Roman" w:hAnsi="Times New Roman"/>
                <w:kern w:val="0"/>
                <w:sz w:val="20"/>
                <w:szCs w:val="20"/>
              </w:rPr>
              <w:t>（重点项目支出</w:t>
            </w:r>
            <w:r>
              <w:rPr>
                <w:rFonts w:ascii="Times New Roman" w:hAnsi="Times New Roman"/>
                <w:kern w:val="0"/>
                <w:sz w:val="20"/>
                <w:szCs w:val="20"/>
              </w:rPr>
              <w:t>/</w:t>
            </w:r>
            <w:r>
              <w:rPr>
                <w:rFonts w:hint="eastAsia" w:ascii="Times New Roman" w:hAnsi="Times New Roman"/>
                <w:kern w:val="0"/>
                <w:sz w:val="20"/>
                <w:szCs w:val="20"/>
              </w:rPr>
              <w:t>项目总支出）</w:t>
            </w:r>
            <w:r>
              <w:rPr>
                <w:rFonts w:ascii="Times New Roman" w:hAnsi="Times New Roman"/>
                <w:kern w:val="0"/>
                <w:sz w:val="20"/>
                <w:szCs w:val="20"/>
              </w:rPr>
              <w:t>×100%</w:t>
            </w:r>
            <w:r>
              <w:rPr>
                <w:rFonts w:hint="eastAsia" w:ascii="Times New Roman" w:hAnsi="Times New Roman"/>
                <w:kern w:val="0"/>
                <w:sz w:val="20"/>
                <w:szCs w:val="20"/>
              </w:rPr>
              <w:t>。</w:t>
            </w:r>
            <w:r>
              <w:rPr>
                <w:rFonts w:ascii="Times New Roman" w:hAnsi="Times New Roman" w:eastAsia="Times New Roman"/>
                <w:kern w:val="0"/>
                <w:sz w:val="20"/>
                <w:szCs w:val="20"/>
              </w:rPr>
              <w:br w:type="textWrapping"/>
            </w:r>
            <w:r>
              <w:rPr>
                <w:rFonts w:hint="eastAsia" w:ascii="Times New Roman" w:hAnsi="Times New Roman"/>
                <w:kern w:val="0"/>
                <w:sz w:val="20"/>
                <w:szCs w:val="20"/>
              </w:rPr>
              <w:t>重点项目支出：部门年度预算安排的，与本部门履职和发展密切相关、具有明显社会和经济影响、党委政府关心或社会比较关注的项目支出总额。</w:t>
            </w:r>
            <w:r>
              <w:rPr>
                <w:rFonts w:ascii="Times New Roman" w:hAnsi="Times New Roman" w:eastAsia="Times New Roman"/>
                <w:kern w:val="0"/>
                <w:sz w:val="20"/>
                <w:szCs w:val="20"/>
              </w:rPr>
              <w:br w:type="textWrapping"/>
            </w:r>
            <w:r>
              <w:rPr>
                <w:rFonts w:hint="eastAsia" w:ascii="Times New Roman" w:hAnsi="Times New Roman"/>
                <w:kern w:val="0"/>
                <w:sz w:val="20"/>
                <w:szCs w:val="20"/>
              </w:rPr>
              <w:t>项目总支出：部门年度预算安排的项目支出总额。</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1457"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过程</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p>
            <w:pPr>
              <w:jc w:val="center"/>
              <w:rPr>
                <w:rFonts w:ascii="Times New Roman" w:hAnsi="Times New Roman" w:eastAsia="Times New Roman"/>
                <w:kern w:val="0"/>
                <w:sz w:val="20"/>
                <w:szCs w:val="20"/>
              </w:rPr>
            </w:pPr>
          </w:p>
          <w:p>
            <w:pPr>
              <w:jc w:val="center"/>
              <w:rPr>
                <w:rFonts w:ascii="Times New Roman" w:hAnsi="Times New Roman" w:eastAsia="Times New Roman"/>
                <w:kern w:val="0"/>
                <w:sz w:val="20"/>
                <w:szCs w:val="20"/>
              </w:rPr>
            </w:pPr>
          </w:p>
        </w:tc>
        <w:tc>
          <w:tcPr>
            <w:tcW w:w="677"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kern w:val="0"/>
                <w:sz w:val="20"/>
                <w:szCs w:val="20"/>
              </w:rPr>
            </w:pPr>
            <w:r>
              <w:rPr>
                <w:rFonts w:hint="eastAsia" w:ascii="Times New Roman" w:hAnsi="Times New Roman"/>
                <w:kern w:val="0"/>
                <w:sz w:val="20"/>
                <w:szCs w:val="20"/>
              </w:rPr>
              <w:t>预算执行</w:t>
            </w:r>
            <w:r>
              <w:rPr>
                <w:rFonts w:ascii="Times New Roman" w:hAnsi="Times New Roman"/>
                <w:kern w:val="0"/>
                <w:sz w:val="20"/>
                <w:szCs w:val="20"/>
              </w:rPr>
              <w:t>15</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≥98%</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1273" w:hRule="atLeast"/>
          <w:jc w:val="center"/>
        </w:trPr>
        <w:tc>
          <w:tcPr>
            <w:tcW w:w="709" w:type="dxa"/>
            <w:vMerge w:val="continue"/>
            <w:tcBorders>
              <w:top w:val="single" w:color="auto" w:sz="4" w:space="0"/>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1.5</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0.5</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r>
              <w:rPr>
                <w:rFonts w:ascii="Times New Roman" w:hAnsi="Times New Roman"/>
                <w:kern w:val="0"/>
                <w:sz w:val="20"/>
                <w:szCs w:val="20"/>
              </w:rPr>
              <w:t>=</w:t>
            </w:r>
            <w:r>
              <w:rPr>
                <w:rFonts w:hint="eastAsia" w:ascii="Times New Roman" w:hAnsi="Times New Roman"/>
                <w:kern w:val="0"/>
                <w:sz w:val="20"/>
                <w:szCs w:val="20"/>
              </w:rPr>
              <w:t>（预算调整数</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支付进度率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符合要求计满分，否则计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支付进度率</w:t>
            </w:r>
            <w:r>
              <w:rPr>
                <w:rFonts w:ascii="Times New Roman" w:hAnsi="Times New Roman"/>
                <w:kern w:val="0"/>
                <w:sz w:val="20"/>
                <w:szCs w:val="20"/>
              </w:rPr>
              <w:t>=</w:t>
            </w:r>
            <w:r>
              <w:rPr>
                <w:rFonts w:hint="eastAsia" w:ascii="Times New Roman" w:hAnsi="Times New Roman"/>
                <w:kern w:val="0"/>
                <w:sz w:val="20"/>
                <w:szCs w:val="20"/>
              </w:rPr>
              <w:t>（实际支付进度</w:t>
            </w:r>
            <w:r>
              <w:rPr>
                <w:rFonts w:ascii="Times New Roman" w:hAnsi="Times New Roman"/>
                <w:kern w:val="0"/>
                <w:sz w:val="20"/>
                <w:szCs w:val="20"/>
              </w:rPr>
              <w:t>/</w:t>
            </w:r>
            <w:r>
              <w:rPr>
                <w:rFonts w:hint="eastAsia" w:ascii="Times New Roman" w:hAnsi="Times New Roman"/>
                <w:kern w:val="0"/>
                <w:sz w:val="20"/>
                <w:szCs w:val="20"/>
              </w:rPr>
              <w:t>既定支付进度）</w:t>
            </w:r>
            <w:r>
              <w:rPr>
                <w:rFonts w:ascii="Times New Roman" w:hAnsi="Times New Roman"/>
                <w:kern w:val="0"/>
                <w:sz w:val="20"/>
                <w:szCs w:val="20"/>
              </w:rPr>
              <w:t>×100%</w:t>
            </w:r>
            <w:r>
              <w:rPr>
                <w:rFonts w:hint="eastAsia" w:ascii="Times New Roman" w:hAnsi="Times New Roman"/>
                <w:kern w:val="0"/>
                <w:sz w:val="20"/>
                <w:szCs w:val="20"/>
              </w:rPr>
              <w:t>。</w:t>
            </w:r>
            <w:r>
              <w:rPr>
                <w:rFonts w:ascii="Times New Roman" w:hAnsi="Times New Roman" w:eastAsia="Times New Roman"/>
                <w:kern w:val="0"/>
                <w:sz w:val="20"/>
                <w:szCs w:val="20"/>
              </w:rPr>
              <w:br w:type="textWrapping"/>
            </w:r>
            <w:r>
              <w:rPr>
                <w:rFonts w:hint="eastAsia" w:ascii="Times New Roman" w:hAnsi="Times New Roman"/>
                <w:kern w:val="0"/>
                <w:sz w:val="20"/>
                <w:szCs w:val="20"/>
              </w:rPr>
              <w:t>实际支付进度：部门在某一时点的支出预算执行总数与年度支出预算数的比率。</w:t>
            </w:r>
            <w:r>
              <w:rPr>
                <w:rFonts w:ascii="Times New Roman" w:hAnsi="Times New Roman" w:eastAsia="Times New Roman"/>
                <w:kern w:val="0"/>
                <w:sz w:val="20"/>
                <w:szCs w:val="20"/>
              </w:rPr>
              <w:br w:type="textWrapping"/>
            </w:r>
            <w:r>
              <w:rPr>
                <w:rFonts w:hint="eastAsia" w:ascii="Times New Roman" w:hAnsi="Times New Roman"/>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结转结余</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eastAsia="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结转结余变动率</w:t>
            </w:r>
            <w:r>
              <w:rPr>
                <w:rFonts w:ascii="Times New Roman" w:hAnsi="Times New Roman"/>
                <w:kern w:val="0"/>
                <w:sz w:val="20"/>
                <w:szCs w:val="20"/>
              </w:rPr>
              <w:t>=[</w:t>
            </w:r>
            <w:r>
              <w:rPr>
                <w:rFonts w:hint="eastAsia" w:ascii="Times New Roman" w:hAnsi="Times New Roman"/>
                <w:kern w:val="0"/>
                <w:sz w:val="20"/>
                <w:szCs w:val="20"/>
              </w:rPr>
              <w:t>（本年度累计结转结余资金总额</w:t>
            </w:r>
            <w:r>
              <w:rPr>
                <w:rFonts w:ascii="Times New Roman" w:hAnsi="Times New Roman"/>
                <w:kern w:val="0"/>
                <w:sz w:val="20"/>
                <w:szCs w:val="20"/>
              </w:rPr>
              <w:t>-</w:t>
            </w:r>
            <w:r>
              <w:rPr>
                <w:rFonts w:hint="eastAsia" w:ascii="Times New Roman" w:hAnsi="Times New Roman"/>
                <w:kern w:val="0"/>
                <w:sz w:val="20"/>
                <w:szCs w:val="20"/>
              </w:rPr>
              <w:t>上年度累计结转结余资金总额）</w:t>
            </w:r>
            <w:r>
              <w:rPr>
                <w:rFonts w:ascii="Times New Roman" w:hAnsi="Times New Roman"/>
                <w:kern w:val="0"/>
                <w:sz w:val="20"/>
                <w:szCs w:val="20"/>
              </w:rPr>
              <w:t>/</w:t>
            </w:r>
            <w:r>
              <w:rPr>
                <w:rFonts w:hint="eastAsia" w:ascii="Times New Roman" w:hAnsi="Times New Roman"/>
                <w:kern w:val="0"/>
                <w:sz w:val="20"/>
                <w:szCs w:val="20"/>
              </w:rPr>
              <w:t>上年度累计结转结余资金总额</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r>
              <w:rPr>
                <w:rFonts w:ascii="Times New Roman" w:hAnsi="Times New Roman" w:eastAsia="Times New Roman"/>
                <w:kern w:val="0"/>
                <w:sz w:val="20"/>
                <w:szCs w:val="20"/>
              </w:rPr>
              <w:br w:type="textWrapping"/>
            </w: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3</w:t>
            </w:r>
          </w:p>
        </w:tc>
      </w:tr>
      <w:tr>
        <w:tblPrEx>
          <w:tblCellMar>
            <w:top w:w="0" w:type="dxa"/>
            <w:left w:w="108" w:type="dxa"/>
            <w:bottom w:w="0" w:type="dxa"/>
            <w:right w:w="108" w:type="dxa"/>
          </w:tblCellMar>
        </w:tblPrEx>
        <w:trPr>
          <w:trHeight w:val="818"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734"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left"/>
              <w:rPr>
                <w:rFonts w:ascii="Times New Roman" w:hAnsi="Times New Roman" w:eastAsia="仿宋"/>
                <w:sz w:val="20"/>
                <w:szCs w:val="20"/>
              </w:rPr>
            </w:pPr>
            <w:r>
              <w:rPr>
                <w:rFonts w:hint="eastAsia" w:ascii="Times New Roman" w:hAnsi="Times New Roman"/>
                <w:sz w:val="20"/>
                <w:szCs w:val="20"/>
              </w:rPr>
              <w:t>政府采购节资率</w:t>
            </w:r>
          </w:p>
          <w:p>
            <w:pPr>
              <w:widowControl/>
              <w:jc w:val="left"/>
              <w:rPr>
                <w:rFonts w:ascii="Times New Roman" w:hAnsi="Times New Roman" w:eastAsia="Times New Roman"/>
                <w:color w:val="FF0000"/>
                <w:kern w:val="0"/>
                <w:sz w:val="20"/>
                <w:szCs w:val="20"/>
              </w:rPr>
            </w:pP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节资率</w:t>
            </w:r>
            <w:r>
              <w:rPr>
                <w:rFonts w:ascii="Times New Roman" w:hAnsi="Times New Roman"/>
                <w:kern w:val="0"/>
                <w:sz w:val="20"/>
                <w:szCs w:val="20"/>
              </w:rPr>
              <w:t>=</w:t>
            </w:r>
            <w:r>
              <w:rPr>
                <w:rFonts w:hint="eastAsia" w:ascii="Times New Roman" w:hAnsi="Times New Roman"/>
                <w:kern w:val="0"/>
                <w:sz w:val="20"/>
                <w:szCs w:val="20"/>
              </w:rPr>
              <w:t>（预算资金</w:t>
            </w:r>
            <w:r>
              <w:rPr>
                <w:rFonts w:ascii="Times New Roman" w:hAnsi="Times New Roman"/>
                <w:kern w:val="0"/>
                <w:sz w:val="20"/>
                <w:szCs w:val="20"/>
              </w:rPr>
              <w:t>-</w:t>
            </w:r>
            <w:r>
              <w:rPr>
                <w:rFonts w:hint="eastAsia" w:ascii="Times New Roman" w:hAnsi="Times New Roman"/>
                <w:kern w:val="0"/>
                <w:sz w:val="20"/>
                <w:szCs w:val="20"/>
              </w:rPr>
              <w:t>实际采购资金）</w:t>
            </w:r>
            <w:r>
              <w:rPr>
                <w:rFonts w:ascii="Times New Roman" w:hAnsi="Times New Roman"/>
                <w:kern w:val="0"/>
                <w:sz w:val="20"/>
                <w:szCs w:val="20"/>
              </w:rPr>
              <w:t>/</w:t>
            </w:r>
            <w:r>
              <w:rPr>
                <w:rFonts w:hint="eastAsia" w:ascii="Times New Roman" w:hAnsi="Times New Roman"/>
                <w:kern w:val="0"/>
                <w:sz w:val="20"/>
                <w:szCs w:val="20"/>
              </w:rPr>
              <w:t>预算资金</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w:t>
            </w:r>
          </w:p>
        </w:tc>
      </w:tr>
      <w:tr>
        <w:tblPrEx>
          <w:tblCellMar>
            <w:top w:w="0" w:type="dxa"/>
            <w:left w:w="108" w:type="dxa"/>
            <w:bottom w:w="0" w:type="dxa"/>
            <w:right w:w="108" w:type="dxa"/>
          </w:tblCellMar>
        </w:tblPrEx>
        <w:trPr>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等于</w:t>
            </w: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（实际履约验收个数</w:t>
            </w:r>
            <w:r>
              <w:rPr>
                <w:rFonts w:ascii="Times New Roman" w:hAnsi="Times New Roman"/>
                <w:kern w:val="0"/>
                <w:sz w:val="20"/>
                <w:szCs w:val="20"/>
              </w:rPr>
              <w:t>/</w:t>
            </w:r>
            <w:r>
              <w:rPr>
                <w:rFonts w:hint="eastAsia" w:ascii="Times New Roman" w:hAnsi="Times New Roman"/>
                <w:kern w:val="0"/>
                <w:sz w:val="20"/>
                <w:szCs w:val="20"/>
              </w:rPr>
              <w:t>政府采购个数）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2856" w:hRule="atLeast"/>
          <w:jc w:val="center"/>
        </w:trPr>
        <w:tc>
          <w:tcPr>
            <w:tcW w:w="70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Times New Roman"/>
                <w:kern w:val="0"/>
                <w:sz w:val="20"/>
                <w:szCs w:val="20"/>
              </w:rPr>
            </w:pPr>
          </w:p>
        </w:tc>
        <w:tc>
          <w:tcPr>
            <w:tcW w:w="67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rPr>
                <w:rFonts w:ascii="Times New Roman" w:hAnsi="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②</w:t>
            </w:r>
            <w:r>
              <w:rPr>
                <w:rFonts w:hint="eastAsia" w:ascii="Times New Roman" w:hAnsi="Times New Roman"/>
                <w:kern w:val="0"/>
                <w:sz w:val="20"/>
                <w:szCs w:val="20"/>
              </w:rPr>
              <w:t>有本部门厉行节约制度；</w:t>
            </w:r>
            <w:r>
              <w:rPr>
                <w:rFonts w:ascii="Times New Roman" w:hAnsi="Times New Roman" w:eastAsia="Times New Roman"/>
                <w:kern w:val="0"/>
                <w:sz w:val="20"/>
                <w:szCs w:val="20"/>
              </w:rPr>
              <w:br w:type="textWrapping"/>
            </w:r>
            <w:r>
              <w:rPr>
                <w:rFonts w:ascii="Times New Roman" w:hAnsi="Times New Roman"/>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④</w:t>
            </w:r>
            <w:r>
              <w:rPr>
                <w:rFonts w:hint="eastAsia" w:ascii="Times New Roman" w:hAnsi="Times New Roman"/>
                <w:kern w:val="0"/>
                <w:sz w:val="20"/>
                <w:szCs w:val="20"/>
              </w:rPr>
              <w:t>相关管理制度得到有效执行。</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3566"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过程</w:t>
            </w:r>
          </w:p>
          <w:p>
            <w:pPr>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预算管理</w:t>
            </w:r>
          </w:p>
          <w:p>
            <w:pPr>
              <w:widowControl/>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10</w:t>
            </w:r>
            <w:r>
              <w:rPr>
                <w:rFonts w:hint="eastAsia" w:ascii="Times New Roman" w:hAnsi="Times New Roman"/>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4</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ascii="Times New Roman" w:hAnsi="Times New Roman"/>
                <w:kern w:val="0"/>
                <w:sz w:val="20"/>
                <w:szCs w:val="20"/>
              </w:rPr>
              <w:t>②</w:t>
            </w:r>
            <w:r>
              <w:rPr>
                <w:rFonts w:hint="eastAsia" w:ascii="Times New Roman" w:hAnsi="Times New Roman"/>
                <w:kern w:val="0"/>
                <w:sz w:val="20"/>
                <w:szCs w:val="20"/>
              </w:rPr>
              <w:t>资金拨付有完整的审批程序和手续；</w:t>
            </w:r>
            <w:r>
              <w:rPr>
                <w:rFonts w:ascii="Times New Roman" w:hAnsi="Times New Roman"/>
                <w:kern w:val="0"/>
                <w:sz w:val="20"/>
                <w:szCs w:val="20"/>
              </w:rPr>
              <w:t>③</w:t>
            </w:r>
            <w:r>
              <w:rPr>
                <w:rFonts w:hint="eastAsia" w:ascii="Times New Roman" w:hAnsi="Times New Roman"/>
                <w:kern w:val="0"/>
                <w:sz w:val="20"/>
                <w:szCs w:val="20"/>
              </w:rPr>
              <w:t>项目支出按规定经过评估论证；</w:t>
            </w:r>
            <w:r>
              <w:rPr>
                <w:rFonts w:ascii="Times New Roman" w:hAnsi="Times New Roman"/>
                <w:kern w:val="0"/>
                <w:sz w:val="20"/>
                <w:szCs w:val="20"/>
              </w:rPr>
              <w:t>④</w:t>
            </w:r>
            <w:r>
              <w:rPr>
                <w:rFonts w:hint="eastAsia" w:ascii="Times New Roman" w:hAnsi="Times New Roman"/>
                <w:kern w:val="0"/>
                <w:sz w:val="20"/>
                <w:szCs w:val="20"/>
              </w:rPr>
              <w:t>支出符合部门预算批复的用途；</w:t>
            </w:r>
            <w:r>
              <w:rPr>
                <w:rFonts w:ascii="Times New Roman" w:hAnsi="Times New Roman"/>
                <w:kern w:val="0"/>
                <w:sz w:val="20"/>
                <w:szCs w:val="20"/>
              </w:rPr>
              <w:t>⑤</w:t>
            </w:r>
            <w:r>
              <w:rPr>
                <w:rFonts w:hint="eastAsia" w:ascii="Times New Roman" w:hAnsi="Times New Roman"/>
                <w:kern w:val="0"/>
                <w:sz w:val="20"/>
                <w:szCs w:val="20"/>
              </w:rPr>
              <w:t>资金使用无截留、挤占、挪用、虚列支出等情况。</w:t>
            </w:r>
            <w:r>
              <w:rPr>
                <w:rFonts w:ascii="Times New Roman" w:hAnsi="Times New Roman" w:eastAsia="Times New Roman"/>
                <w:kern w:val="0"/>
                <w:sz w:val="20"/>
                <w:szCs w:val="20"/>
              </w:rPr>
              <w:br w:type="textWrapping"/>
            </w: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4</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1758"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基础信息完善性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tcPr>
          <w:p>
            <w:pPr>
              <w:widowControl/>
              <w:rPr>
                <w:rFonts w:ascii="Times New Roman" w:hAnsi="Times New Roman" w:eastAsia="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基础数据信息和会计信息数据真实计，计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②</w:t>
            </w:r>
            <w:r>
              <w:rPr>
                <w:rFonts w:hint="eastAsia" w:ascii="Times New Roman" w:hAnsi="Times New Roman"/>
                <w:kern w:val="0"/>
                <w:sz w:val="20"/>
                <w:szCs w:val="20"/>
              </w:rPr>
              <w:t>基础数据信息和会计信息数据完整，计</w:t>
            </w:r>
            <w:r>
              <w:rPr>
                <w:rFonts w:ascii="Times New Roman" w:hAnsi="Times New Roman"/>
                <w:kern w:val="0"/>
                <w:sz w:val="20"/>
                <w:szCs w:val="20"/>
              </w:rPr>
              <w:t>0.5</w:t>
            </w:r>
            <w:r>
              <w:rPr>
                <w:rFonts w:hint="eastAsia" w:ascii="Times New Roman" w:hAnsi="Times New Roman"/>
                <w:kern w:val="0"/>
                <w:sz w:val="20"/>
                <w:szCs w:val="20"/>
              </w:rPr>
              <w:t>分；</w:t>
            </w:r>
            <w:r>
              <w:rPr>
                <w:rFonts w:ascii="Times New Roman" w:hAnsi="Times New Roman"/>
                <w:kern w:val="0"/>
                <w:sz w:val="20"/>
                <w:szCs w:val="20"/>
              </w:rPr>
              <w:t>③</w:t>
            </w:r>
            <w:r>
              <w:rPr>
                <w:rFonts w:hint="eastAsia" w:ascii="Times New Roman" w:hAnsi="Times New Roman"/>
                <w:kern w:val="0"/>
                <w:sz w:val="20"/>
                <w:szCs w:val="20"/>
              </w:rPr>
              <w:t>基础数据信息和会计信息数据准确，计</w:t>
            </w:r>
            <w:r>
              <w:rPr>
                <w:rFonts w:ascii="Times New Roman" w:hAnsi="Times New Roman"/>
                <w:kern w:val="0"/>
                <w:sz w:val="20"/>
                <w:szCs w:val="20"/>
              </w:rPr>
              <w:t>0.5</w:t>
            </w:r>
            <w:r>
              <w:rPr>
                <w:rFonts w:hint="eastAsia" w:ascii="Times New Roman" w:hAnsi="Times New Roman"/>
                <w:kern w:val="0"/>
                <w:sz w:val="20"/>
                <w:szCs w:val="20"/>
              </w:rPr>
              <w:t>。</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r>
      <w:tr>
        <w:tblPrEx>
          <w:tblCellMar>
            <w:top w:w="0" w:type="dxa"/>
            <w:left w:w="108" w:type="dxa"/>
            <w:bottom w:w="0" w:type="dxa"/>
            <w:right w:w="108" w:type="dxa"/>
          </w:tblCellMar>
        </w:tblPrEx>
        <w:trPr>
          <w:trHeight w:val="2125"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restart"/>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资产管理</w:t>
            </w:r>
          </w:p>
          <w:p>
            <w:pPr>
              <w:widowControl/>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5</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已制定或具有资产管理制度，计</w:t>
            </w:r>
            <w:r>
              <w:rPr>
                <w:rFonts w:ascii="Times New Roman" w:hAnsi="Times New Roman"/>
                <w:kern w:val="0"/>
                <w:sz w:val="20"/>
                <w:szCs w:val="20"/>
              </w:rPr>
              <w:t>0.3</w:t>
            </w:r>
            <w:r>
              <w:rPr>
                <w:rFonts w:hint="eastAsia" w:ascii="Times New Roman" w:hAnsi="Times New Roman"/>
                <w:kern w:val="0"/>
                <w:sz w:val="20"/>
                <w:szCs w:val="20"/>
              </w:rPr>
              <w:t>分；</w:t>
            </w:r>
            <w:r>
              <w:rPr>
                <w:rFonts w:ascii="Times New Roman" w:hAnsi="Times New Roman"/>
                <w:kern w:val="0"/>
                <w:sz w:val="20"/>
                <w:szCs w:val="20"/>
              </w:rPr>
              <w:t xml:space="preserve">  ②</w:t>
            </w:r>
            <w:r>
              <w:rPr>
                <w:rFonts w:hint="eastAsia" w:ascii="Times New Roman" w:hAnsi="Times New Roman"/>
                <w:kern w:val="0"/>
                <w:sz w:val="20"/>
                <w:szCs w:val="20"/>
              </w:rPr>
              <w:t>相关资产管理制度是否合法、合规、完整，计</w:t>
            </w:r>
            <w:r>
              <w:rPr>
                <w:rFonts w:ascii="Times New Roman" w:hAnsi="Times New Roman"/>
                <w:kern w:val="0"/>
                <w:sz w:val="20"/>
                <w:szCs w:val="20"/>
              </w:rPr>
              <w:t>0.2</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③</w:t>
            </w:r>
            <w:r>
              <w:rPr>
                <w:rFonts w:hint="eastAsia" w:ascii="Times New Roman" w:hAnsi="Times New Roman"/>
                <w:kern w:val="0"/>
                <w:sz w:val="20"/>
                <w:szCs w:val="20"/>
              </w:rPr>
              <w:t>相关资产管理制度是否得到有效执行，</w:t>
            </w:r>
            <w:r>
              <w:rPr>
                <w:rFonts w:ascii="Times New Roman" w:hAnsi="Times New Roman"/>
                <w:kern w:val="0"/>
                <w:sz w:val="20"/>
                <w:szCs w:val="20"/>
              </w:rPr>
              <w:t>0.5</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w:t>
            </w:r>
          </w:p>
        </w:tc>
      </w:tr>
      <w:tr>
        <w:tblPrEx>
          <w:tblCellMar>
            <w:top w:w="0" w:type="dxa"/>
            <w:left w:w="108" w:type="dxa"/>
            <w:bottom w:w="0" w:type="dxa"/>
            <w:right w:w="108" w:type="dxa"/>
          </w:tblCellMar>
        </w:tblPrEx>
        <w:trPr>
          <w:trHeight w:val="265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资产管理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安全性</w:t>
            </w:r>
          </w:p>
        </w:tc>
        <w:tc>
          <w:tcPr>
            <w:tcW w:w="48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资产保存完整，计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②</w:t>
            </w:r>
            <w:r>
              <w:rPr>
                <w:rFonts w:hint="eastAsia" w:ascii="Times New Roman" w:hAnsi="Times New Roman"/>
                <w:kern w:val="0"/>
                <w:sz w:val="20"/>
                <w:szCs w:val="20"/>
              </w:rPr>
              <w:t>资产配置合理，符合省定标准，计</w:t>
            </w:r>
            <w:r>
              <w:rPr>
                <w:rFonts w:ascii="Times New Roman" w:hAnsi="Times New Roman"/>
                <w:kern w:val="0"/>
                <w:sz w:val="20"/>
                <w:szCs w:val="20"/>
              </w:rPr>
              <w:t>0.5</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③</w:t>
            </w:r>
            <w:r>
              <w:rPr>
                <w:rFonts w:hint="eastAsia" w:ascii="Times New Roman" w:hAnsi="Times New Roman"/>
                <w:kern w:val="0"/>
                <w:sz w:val="20"/>
                <w:szCs w:val="20"/>
              </w:rPr>
              <w:t>资产处置规范，计</w:t>
            </w:r>
            <w:r>
              <w:rPr>
                <w:rFonts w:ascii="Times New Roman" w:hAnsi="Times New Roman"/>
                <w:kern w:val="0"/>
                <w:sz w:val="20"/>
                <w:szCs w:val="20"/>
              </w:rPr>
              <w:t>0.5</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④</w:t>
            </w:r>
            <w:r>
              <w:rPr>
                <w:rFonts w:hint="eastAsia" w:ascii="Times New Roman" w:hAnsi="Times New Roman"/>
                <w:kern w:val="0"/>
                <w:sz w:val="20"/>
                <w:szCs w:val="20"/>
              </w:rPr>
              <w:t>资产账务管理合规，帐实相符，计</w:t>
            </w:r>
            <w:r>
              <w:rPr>
                <w:rFonts w:ascii="Times New Roman" w:hAnsi="Times New Roman"/>
                <w:kern w:val="0"/>
                <w:sz w:val="20"/>
                <w:szCs w:val="20"/>
              </w:rPr>
              <w:t>0.5</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⑤</w:t>
            </w:r>
            <w:r>
              <w:rPr>
                <w:rFonts w:hint="eastAsia" w:ascii="Times New Roman" w:hAnsi="Times New Roman"/>
                <w:kern w:val="0"/>
                <w:sz w:val="20"/>
                <w:szCs w:val="20"/>
              </w:rPr>
              <w:t>资产有偿使用及处置收入及时足额上缴，计</w:t>
            </w:r>
            <w:r>
              <w:rPr>
                <w:rFonts w:ascii="Times New Roman" w:hAnsi="Times New Roman"/>
                <w:kern w:val="0"/>
                <w:sz w:val="20"/>
                <w:szCs w:val="20"/>
              </w:rPr>
              <w:t>0.5</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3</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固定资产</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利用率</w:t>
            </w:r>
          </w:p>
        </w:tc>
        <w:tc>
          <w:tcPr>
            <w:tcW w:w="48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利用率为</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1</w:t>
            </w:r>
            <w:r>
              <w:rPr>
                <w:rFonts w:hint="eastAsia" w:ascii="Times New Roman" w:hAnsi="Times New Roman"/>
                <w:kern w:val="0"/>
                <w:sz w:val="20"/>
                <w:szCs w:val="20"/>
              </w:rPr>
              <w:t>分，每减少</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0.2</w:t>
            </w:r>
            <w:r>
              <w:rPr>
                <w:rFonts w:hint="eastAsia" w:ascii="Times New Roman" w:hAnsi="Times New Roman"/>
                <w:kern w:val="0"/>
                <w:sz w:val="20"/>
                <w:szCs w:val="20"/>
              </w:rPr>
              <w:t>分，扣完为止。</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固定资产利用率</w:t>
            </w:r>
            <w:r>
              <w:rPr>
                <w:rFonts w:ascii="Times New Roman" w:hAnsi="Times New Roman"/>
                <w:kern w:val="0"/>
                <w:sz w:val="20"/>
                <w:szCs w:val="20"/>
              </w:rPr>
              <w:t>=</w:t>
            </w:r>
            <w:r>
              <w:rPr>
                <w:rFonts w:hint="eastAsia" w:ascii="Times New Roman" w:hAnsi="Times New Roman"/>
                <w:kern w:val="0"/>
                <w:sz w:val="20"/>
                <w:szCs w:val="20"/>
              </w:rPr>
              <w:t>（实际在用固定资产总额</w:t>
            </w:r>
            <w:r>
              <w:rPr>
                <w:rFonts w:ascii="Times New Roman" w:hAnsi="Times New Roman"/>
                <w:kern w:val="0"/>
                <w:sz w:val="20"/>
                <w:szCs w:val="20"/>
              </w:rPr>
              <w:t>/</w:t>
            </w:r>
            <w:r>
              <w:rPr>
                <w:rFonts w:hint="eastAsia" w:ascii="Times New Roman" w:hAnsi="Times New Roman"/>
                <w:kern w:val="0"/>
                <w:sz w:val="20"/>
                <w:szCs w:val="20"/>
              </w:rPr>
              <w:t>所有固定资产总额）</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w:t>
            </w:r>
          </w:p>
        </w:tc>
      </w:tr>
      <w:tr>
        <w:tblPrEx>
          <w:tblCellMar>
            <w:top w:w="0" w:type="dxa"/>
            <w:left w:w="108" w:type="dxa"/>
            <w:bottom w:w="0" w:type="dxa"/>
            <w:right w:w="108" w:type="dxa"/>
          </w:tblCellMar>
        </w:tblPrEx>
        <w:trPr>
          <w:trHeight w:val="520" w:hRule="atLeast"/>
          <w:jc w:val="center"/>
        </w:trPr>
        <w:tc>
          <w:tcPr>
            <w:tcW w:w="70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产</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出</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职责履行</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实际完成率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10</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10</w:t>
            </w:r>
            <w:r>
              <w:rPr>
                <w:rFonts w:hint="eastAsia" w:ascii="Times New Roman" w:hAnsi="Times New Roman"/>
                <w:kern w:val="0"/>
                <w:sz w:val="20"/>
                <w:szCs w:val="20"/>
              </w:rPr>
              <w:t>分；</w:t>
            </w:r>
            <w:r>
              <w:rPr>
                <w:rFonts w:ascii="Times New Roman" w:hAnsi="Times New Roman"/>
                <w:kern w:val="0"/>
                <w:sz w:val="20"/>
                <w:szCs w:val="20"/>
              </w:rPr>
              <w:t>95%</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85%</w:t>
            </w:r>
            <w:r>
              <w:rPr>
                <w:rFonts w:hint="eastAsia" w:ascii="Times New Roman" w:hAnsi="Times New Roman"/>
                <w:kern w:val="0"/>
                <w:sz w:val="20"/>
                <w:szCs w:val="20"/>
              </w:rPr>
              <w:t>（含）</w:t>
            </w:r>
            <w:r>
              <w:rPr>
                <w:rFonts w:ascii="Times New Roman" w:hAnsi="Times New Roman"/>
                <w:kern w:val="0"/>
                <w:sz w:val="20"/>
                <w:szCs w:val="20"/>
              </w:rPr>
              <w:t>-95%</w:t>
            </w:r>
            <w:r>
              <w:rPr>
                <w:rFonts w:hint="eastAsia" w:ascii="Times New Roman" w:hAnsi="Times New Roman"/>
                <w:kern w:val="0"/>
                <w:sz w:val="20"/>
                <w:szCs w:val="20"/>
              </w:rPr>
              <w:t>，计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70%-85%</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实际完成率</w:t>
            </w:r>
            <w:r>
              <w:rPr>
                <w:rFonts w:ascii="Times New Roman" w:hAnsi="Times New Roman"/>
                <w:kern w:val="0"/>
                <w:sz w:val="20"/>
                <w:szCs w:val="20"/>
              </w:rPr>
              <w:t>=</w:t>
            </w:r>
            <w:r>
              <w:rPr>
                <w:rFonts w:hint="eastAsia" w:ascii="Times New Roman" w:hAnsi="Times New Roman"/>
                <w:kern w:val="0"/>
                <w:sz w:val="20"/>
                <w:szCs w:val="20"/>
              </w:rPr>
              <w:t>（实际完成工作数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r>
              <w:rPr>
                <w:rFonts w:ascii="Times New Roman" w:hAnsi="Times New Roman" w:eastAsia="Times New Roman"/>
                <w:kern w:val="0"/>
                <w:sz w:val="20"/>
                <w:szCs w:val="20"/>
              </w:rPr>
              <w:br w:type="textWrapping"/>
            </w:r>
            <w:r>
              <w:rPr>
                <w:rFonts w:hint="eastAsia" w:ascii="Times New Roman" w:hAnsi="Times New Roman"/>
                <w:kern w:val="0"/>
                <w:sz w:val="20"/>
                <w:szCs w:val="20"/>
              </w:rPr>
              <w:t>实际完成工作数：一定时期（年度或规划期）内部门实际完成工作任务的数量。</w:t>
            </w:r>
            <w:r>
              <w:rPr>
                <w:rFonts w:ascii="Times New Roman" w:hAnsi="Times New Roman" w:eastAsia="Times New Roman"/>
                <w:kern w:val="0"/>
                <w:sz w:val="20"/>
                <w:szCs w:val="20"/>
              </w:rPr>
              <w:br w:type="textWrapping"/>
            </w:r>
            <w:r>
              <w:rPr>
                <w:rFonts w:hint="eastAsia" w:ascii="Times New Roman" w:hAnsi="Times New Roman"/>
                <w:kern w:val="0"/>
                <w:sz w:val="20"/>
                <w:szCs w:val="20"/>
              </w:rPr>
              <w:t>计划工作数：部门整体绩效目标确定的一定时期（年度或规划期）内预计完成工作任务的数量。</w:t>
            </w:r>
          </w:p>
        </w:tc>
        <w:tc>
          <w:tcPr>
            <w:tcW w:w="63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10</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完成及时率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6</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kern w:val="0"/>
                <w:sz w:val="20"/>
                <w:szCs w:val="20"/>
              </w:rPr>
              <w:t xml:space="preserve"> 80%</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完成及时率</w:t>
            </w:r>
            <w:r>
              <w:rPr>
                <w:rFonts w:ascii="Times New Roman" w:hAnsi="Times New Roman"/>
                <w:kern w:val="0"/>
                <w:sz w:val="20"/>
                <w:szCs w:val="20"/>
              </w:rPr>
              <w:t>=</w:t>
            </w:r>
            <w:r>
              <w:rPr>
                <w:rFonts w:hint="eastAsia" w:ascii="Times New Roman" w:hAnsi="Times New Roman"/>
                <w:kern w:val="0"/>
                <w:sz w:val="20"/>
                <w:szCs w:val="20"/>
              </w:rPr>
              <w:t>（及时完成实际工作数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r>
              <w:rPr>
                <w:rFonts w:ascii="Times New Roman" w:hAnsi="Times New Roman" w:eastAsia="Times New Roman"/>
                <w:kern w:val="0"/>
                <w:sz w:val="20"/>
                <w:szCs w:val="20"/>
              </w:rPr>
              <w:br w:type="textWrapping"/>
            </w:r>
            <w:r>
              <w:rPr>
                <w:rFonts w:hint="eastAsia" w:ascii="Times New Roman" w:hAnsi="Times New Roman"/>
                <w:kern w:val="0"/>
                <w:sz w:val="20"/>
                <w:szCs w:val="20"/>
              </w:rPr>
              <w:t>及时完成实际工作数：部门按照整体绩效目标确定的时限实际完成的工作任务数量。</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品质达标率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6</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kern w:val="0"/>
                <w:sz w:val="20"/>
                <w:szCs w:val="20"/>
              </w:rPr>
              <w:t xml:space="preserve"> 80%</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质量达标率</w:t>
            </w:r>
            <w:r>
              <w:rPr>
                <w:rFonts w:ascii="Times New Roman" w:hAnsi="Times New Roman"/>
                <w:kern w:val="0"/>
                <w:sz w:val="20"/>
                <w:szCs w:val="20"/>
              </w:rPr>
              <w:t>=</w:t>
            </w:r>
            <w:r>
              <w:rPr>
                <w:rFonts w:hint="eastAsia" w:ascii="Times New Roman" w:hAnsi="Times New Roman"/>
                <w:kern w:val="0"/>
                <w:sz w:val="20"/>
                <w:szCs w:val="20"/>
              </w:rPr>
              <w:t>（质量达标实际工作数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r>
              <w:rPr>
                <w:rFonts w:ascii="Times New Roman" w:hAnsi="Times New Roman" w:eastAsia="Times New Roman"/>
                <w:kern w:val="0"/>
                <w:sz w:val="20"/>
                <w:szCs w:val="20"/>
              </w:rPr>
              <w:br w:type="textWrapping"/>
            </w:r>
            <w:r>
              <w:rPr>
                <w:rFonts w:hint="eastAsia" w:ascii="Times New Roman" w:hAnsi="Times New Roman"/>
                <w:kern w:val="0"/>
                <w:sz w:val="20"/>
                <w:szCs w:val="20"/>
              </w:rPr>
              <w:t>质量达标实际工作数：一定时期（年度或规划期）内部门实际完成工作数中达到部门绩效目标要求（绩效标准值）的工作任务数量。</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重点工作办结率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8</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根据市绩效办</w:t>
            </w:r>
            <w:r>
              <w:rPr>
                <w:rFonts w:ascii="Times New Roman" w:hAnsi="Times New Roman"/>
                <w:kern w:val="0"/>
                <w:sz w:val="20"/>
                <w:szCs w:val="20"/>
              </w:rPr>
              <w:t>2019</w:t>
            </w:r>
            <w:r>
              <w:rPr>
                <w:rFonts w:hint="eastAsia" w:ascii="Times New Roman" w:hAnsi="Times New Roman"/>
                <w:kern w:val="0"/>
                <w:sz w:val="20"/>
                <w:szCs w:val="20"/>
              </w:rPr>
              <w:t>年对各部门为民办实事和部门重点工程与重点工作考核分数折算。</w:t>
            </w:r>
            <w:r>
              <w:rPr>
                <w:rFonts w:ascii="Times New Roman" w:hAnsi="Times New Roman" w:eastAsia="Times New Roman"/>
                <w:kern w:val="0"/>
                <w:sz w:val="20"/>
                <w:szCs w:val="20"/>
              </w:rPr>
              <w:br w:type="textWrapping"/>
            </w: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w:t>
            </w:r>
            <w:r>
              <w:rPr>
                <w:rFonts w:hint="eastAsia" w:ascii="Times New Roman" w:hAnsi="Times New Roman"/>
                <w:kern w:val="0"/>
                <w:sz w:val="20"/>
                <w:szCs w:val="20"/>
              </w:rPr>
              <w:t>该部分总分）</w:t>
            </w:r>
            <w:r>
              <w:rPr>
                <w:rFonts w:ascii="Times New Roman" w:hAnsi="Times New Roman"/>
                <w:kern w:val="0"/>
                <w:sz w:val="20"/>
                <w:szCs w:val="20"/>
              </w:rPr>
              <w:t>×8</w:t>
            </w:r>
            <w:r>
              <w:rPr>
                <w:rFonts w:hint="eastAsia" w:ascii="Times New Roman" w:hAnsi="Times New Roman"/>
                <w:kern w:val="0"/>
                <w:sz w:val="20"/>
                <w:szCs w:val="20"/>
              </w:rPr>
              <w:t>。</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重点工作办结率</w:t>
            </w:r>
            <w:r>
              <w:rPr>
                <w:rFonts w:ascii="Times New Roman" w:hAnsi="Times New Roman"/>
                <w:kern w:val="0"/>
                <w:sz w:val="20"/>
                <w:szCs w:val="20"/>
              </w:rPr>
              <w:t>=</w:t>
            </w:r>
            <w:r>
              <w:rPr>
                <w:rFonts w:hint="eastAsia" w:ascii="Times New Roman" w:hAnsi="Times New Roman"/>
                <w:kern w:val="0"/>
                <w:sz w:val="20"/>
                <w:szCs w:val="20"/>
              </w:rPr>
              <w:t>（重点工作实际完成数</w:t>
            </w:r>
            <w:r>
              <w:rPr>
                <w:rFonts w:ascii="Times New Roman" w:hAnsi="Times New Roman"/>
                <w:kern w:val="0"/>
                <w:sz w:val="20"/>
                <w:szCs w:val="20"/>
              </w:rPr>
              <w:t>/</w:t>
            </w:r>
            <w:r>
              <w:rPr>
                <w:rFonts w:hint="eastAsia" w:ascii="Times New Roman" w:hAnsi="Times New Roman"/>
                <w:kern w:val="0"/>
                <w:sz w:val="20"/>
                <w:szCs w:val="20"/>
              </w:rPr>
              <w:t>交办或下达数）</w:t>
            </w:r>
            <w:r>
              <w:rPr>
                <w:rFonts w:ascii="Times New Roman" w:hAnsi="Times New Roman"/>
                <w:kern w:val="0"/>
                <w:sz w:val="20"/>
                <w:szCs w:val="20"/>
              </w:rPr>
              <w:t>×100%</w:t>
            </w:r>
            <w:r>
              <w:rPr>
                <w:rFonts w:hint="eastAsia" w:ascii="Times New Roman" w:hAnsi="Times New Roman"/>
                <w:kern w:val="0"/>
                <w:sz w:val="20"/>
                <w:szCs w:val="20"/>
              </w:rPr>
              <w:t>。</w:t>
            </w:r>
            <w:r>
              <w:rPr>
                <w:rFonts w:ascii="Times New Roman" w:hAnsi="Times New Roman" w:eastAsia="Times New Roman"/>
                <w:kern w:val="0"/>
                <w:sz w:val="20"/>
                <w:szCs w:val="20"/>
              </w:rPr>
              <w:br w:type="textWrapping"/>
            </w:r>
            <w:r>
              <w:rPr>
                <w:rFonts w:hint="eastAsia" w:ascii="Times New Roman" w:hAnsi="Times New Roman"/>
                <w:kern w:val="0"/>
                <w:sz w:val="20"/>
                <w:szCs w:val="20"/>
              </w:rPr>
              <w:t>重点工作是指党委、政府、人大、相关部门交办或下达的工作任务。</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8</w:t>
            </w:r>
          </w:p>
        </w:tc>
      </w:tr>
      <w:tr>
        <w:tblPrEx>
          <w:tblCellMar>
            <w:top w:w="0" w:type="dxa"/>
            <w:left w:w="108" w:type="dxa"/>
            <w:bottom w:w="0" w:type="dxa"/>
            <w:right w:w="108" w:type="dxa"/>
          </w:tblCellMar>
        </w:tblPrEx>
        <w:trPr>
          <w:trHeight w:val="308"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效</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果</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履职效益</w:t>
            </w:r>
          </w:p>
          <w:p>
            <w:pPr>
              <w:widowControl/>
              <w:jc w:val="center"/>
              <w:rPr>
                <w:rFonts w:ascii="Times New Roman" w:hAnsi="Times New Roman" w:eastAsia="Times New Roman"/>
                <w:kern w:val="0"/>
                <w:sz w:val="20"/>
                <w:szCs w:val="20"/>
              </w:rPr>
            </w:pPr>
          </w:p>
          <w:p>
            <w:pPr>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1014" w:type="dxa"/>
            <w:tcBorders>
              <w:top w:val="nil"/>
              <w:left w:val="nil"/>
              <w:bottom w:val="nil"/>
              <w:right w:val="single" w:color="auto" w:sz="4" w:space="0"/>
            </w:tcBorders>
            <w:vAlign w:val="center"/>
          </w:tcPr>
          <w:p>
            <w:pPr>
              <w:widowControl/>
              <w:jc w:val="left"/>
              <w:rPr>
                <w:rFonts w:ascii="Times New Roman" w:hAnsi="Times New Roman" w:eastAsia="Times New Roman"/>
                <w:kern w:val="0"/>
                <w:sz w:val="20"/>
                <w:szCs w:val="20"/>
              </w:rPr>
            </w:pPr>
          </w:p>
        </w:tc>
        <w:tc>
          <w:tcPr>
            <w:tcW w:w="483" w:type="dxa"/>
            <w:tcBorders>
              <w:top w:val="nil"/>
              <w:left w:val="nil"/>
              <w:right w:val="single" w:color="auto" w:sz="4" w:space="0"/>
            </w:tcBorders>
            <w:vAlign w:val="center"/>
          </w:tcPr>
          <w:p>
            <w:pPr>
              <w:widowControl/>
              <w:jc w:val="center"/>
              <w:rPr>
                <w:rFonts w:ascii="Times New Roman" w:hAnsi="Times New Roman" w:eastAsia="Times New Roman"/>
                <w:kern w:val="0"/>
                <w:sz w:val="20"/>
                <w:szCs w:val="20"/>
              </w:rPr>
            </w:pPr>
          </w:p>
        </w:tc>
        <w:tc>
          <w:tcPr>
            <w:tcW w:w="6438" w:type="dxa"/>
            <w:gridSpan w:val="2"/>
            <w:tcBorders>
              <w:top w:val="nil"/>
              <w:left w:val="nil"/>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nil"/>
              <w:left w:val="nil"/>
              <w:right w:val="single" w:color="auto" w:sz="4" w:space="0"/>
            </w:tcBorders>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30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经济效益</w:t>
            </w:r>
          </w:p>
        </w:tc>
        <w:tc>
          <w:tcPr>
            <w:tcW w:w="483" w:type="dxa"/>
            <w:vMerge w:val="restart"/>
            <w:tcBorders>
              <w:top w:val="nil"/>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15</w:t>
            </w:r>
          </w:p>
        </w:tc>
        <w:tc>
          <w:tcPr>
            <w:tcW w:w="6438" w:type="dxa"/>
            <w:gridSpan w:val="2"/>
            <w:vMerge w:val="restart"/>
            <w:tcBorders>
              <w:left w:val="single" w:color="auto" w:sz="4" w:space="0"/>
              <w:right w:val="single" w:color="000000"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此三项指标为设置部门整体支出绩效评价指标时必须考虑的共性要素，可根据部门实际情况有选择的进行设置，并将其细化为相应的个性化指标。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15</w:t>
            </w:r>
          </w:p>
        </w:tc>
      </w:tr>
      <w:tr>
        <w:tblPrEx>
          <w:tblCellMar>
            <w:top w:w="0" w:type="dxa"/>
            <w:left w:w="108" w:type="dxa"/>
            <w:bottom w:w="0" w:type="dxa"/>
            <w:right w:w="108" w:type="dxa"/>
          </w:tblCellMar>
        </w:tblPrEx>
        <w:trPr>
          <w:trHeight w:val="31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社会效益</w:t>
            </w:r>
          </w:p>
        </w:tc>
        <w:tc>
          <w:tcPr>
            <w:tcW w:w="483" w:type="dxa"/>
            <w:vMerge w:val="continue"/>
            <w:tcBorders>
              <w:left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438" w:type="dxa"/>
            <w:gridSpan w:val="2"/>
            <w:vMerge w:val="continue"/>
            <w:tcBorders>
              <w:left w:val="single" w:color="auto" w:sz="4" w:space="0"/>
              <w:right w:val="single" w:color="000000" w:sz="4" w:space="0"/>
            </w:tcBorders>
            <w:vAlign w:val="center"/>
          </w:tcPr>
          <w:p>
            <w:pPr>
              <w:widowControl/>
              <w:jc w:val="left"/>
              <w:rPr>
                <w:rFonts w:ascii="Times New Roman" w:hAnsi="Times New Roman" w:eastAsia="Times New Roman"/>
                <w:kern w:val="0"/>
                <w:sz w:val="20"/>
                <w:szCs w:val="20"/>
              </w:rPr>
            </w:pPr>
          </w:p>
        </w:tc>
        <w:tc>
          <w:tcPr>
            <w:tcW w:w="637" w:type="dxa"/>
            <w:vMerge w:val="restart"/>
            <w:tcBorders>
              <w:top w:val="nil"/>
              <w:left w:val="nil"/>
              <w:right w:val="single" w:color="auto" w:sz="4" w:space="0"/>
            </w:tcBorders>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31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生态效益</w:t>
            </w:r>
          </w:p>
        </w:tc>
        <w:tc>
          <w:tcPr>
            <w:tcW w:w="483" w:type="dxa"/>
            <w:vMerge w:val="continue"/>
            <w:tcBorders>
              <w:left w:val="single" w:color="auto" w:sz="4" w:space="0"/>
              <w:bottom w:val="nil"/>
              <w:right w:val="single" w:color="auto" w:sz="4" w:space="0"/>
            </w:tcBorders>
            <w:vAlign w:val="center"/>
          </w:tcPr>
          <w:p>
            <w:pPr>
              <w:widowControl/>
              <w:jc w:val="left"/>
              <w:rPr>
                <w:rFonts w:ascii="Times New Roman" w:hAnsi="Times New Roman" w:eastAsia="Times New Roman"/>
                <w:kern w:val="0"/>
                <w:sz w:val="20"/>
                <w:szCs w:val="20"/>
              </w:rPr>
            </w:pPr>
          </w:p>
        </w:tc>
        <w:tc>
          <w:tcPr>
            <w:tcW w:w="6438" w:type="dxa"/>
            <w:gridSpan w:val="2"/>
            <w:vMerge w:val="continue"/>
            <w:tcBorders>
              <w:left w:val="single" w:color="auto" w:sz="4" w:space="0"/>
              <w:bottom w:val="nil"/>
              <w:right w:val="single" w:color="000000" w:sz="4" w:space="0"/>
            </w:tcBorders>
            <w:vAlign w:val="center"/>
          </w:tcPr>
          <w:p>
            <w:pPr>
              <w:widowControl/>
              <w:jc w:val="left"/>
              <w:rPr>
                <w:rFonts w:ascii="Times New Roman" w:hAnsi="Times New Roman" w:eastAsia="Times New Roman"/>
                <w:kern w:val="0"/>
                <w:sz w:val="20"/>
                <w:szCs w:val="20"/>
              </w:rPr>
            </w:pPr>
          </w:p>
        </w:tc>
        <w:tc>
          <w:tcPr>
            <w:tcW w:w="637" w:type="dxa"/>
            <w:vMerge w:val="continue"/>
            <w:tcBorders>
              <w:left w:val="nil"/>
              <w:bottom w:val="nil"/>
              <w:right w:val="single" w:color="auto" w:sz="4" w:space="0"/>
            </w:tcBorders>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162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6</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促进部门改进工作作风，加强资金及资产管理，推动提质增效，降低运行成本，效果较好的计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9</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r>
              <w:rPr>
                <w:rFonts w:ascii="Times New Roman" w:hAnsi="Times New Roman" w:eastAsia="Times New Roman"/>
                <w:kern w:val="0"/>
                <w:sz w:val="20"/>
                <w:szCs w:val="20"/>
              </w:rPr>
              <w:br w:type="textWrapping"/>
            </w: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9</w:t>
            </w:r>
          </w:p>
        </w:tc>
      </w:tr>
    </w:tbl>
    <w:p>
      <w:pPr>
        <w:rPr>
          <w:rFonts w:hint="eastAsia" w:eastAsia="宋体"/>
          <w:lang w:eastAsia="zh-CN"/>
        </w:rPr>
      </w:pPr>
    </w:p>
    <w:p>
      <w:pPr>
        <w:rPr>
          <w:rFonts w:hint="eastAsia" w:eastAsia="宋体"/>
          <w:lang w:eastAsia="zh-CN"/>
        </w:rPr>
      </w:pPr>
    </w:p>
    <w:p>
      <w:pPr>
        <w:widowControl/>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rPr>
        <w:t>附件</w:t>
      </w:r>
      <w:r>
        <w:rPr>
          <w:rFonts w:ascii="Times New Roman" w:hAnsi="Times New Roman" w:eastAsia="仿宋"/>
          <w:color w:val="000000"/>
          <w:kern w:val="0"/>
          <w:sz w:val="32"/>
          <w:szCs w:val="32"/>
        </w:rPr>
        <w:t xml:space="preserve">3        </w:t>
      </w:r>
      <w:r>
        <w:rPr>
          <w:rFonts w:hint="eastAsia" w:ascii="Times New Roman" w:hAnsi="Times New Roman"/>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kern w:val="0"/>
          <w:sz w:val="24"/>
        </w:rPr>
      </w:pPr>
      <w:r>
        <w:rPr>
          <w:rFonts w:hint="eastAsia" w:ascii="Times New Roman" w:hAnsi="Times New Roman"/>
          <w:kern w:val="0"/>
          <w:sz w:val="24"/>
        </w:rPr>
        <w:t>填报单位：</w:t>
      </w:r>
      <w:r>
        <w:rPr>
          <w:rFonts w:hint="eastAsia" w:ascii="Times New Roman" w:hAnsi="Times New Roman"/>
          <w:kern w:val="0"/>
          <w:sz w:val="24"/>
          <w:lang w:eastAsia="zh-CN"/>
        </w:rPr>
        <w:t>衡阳市美术馆</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3"/>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20年实际在职人数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12</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9</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201</w:t>
            </w:r>
            <w:r>
              <w:rPr>
                <w:rFonts w:hint="eastAsia" w:ascii="Times New Roman" w:hAnsi="Times New Roman"/>
                <w:b/>
                <w:bCs/>
                <w:kern w:val="0"/>
                <w:szCs w:val="21"/>
              </w:rPr>
              <w:t>9年决算数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20年预算数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20年决算数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198.69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242.22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197.89</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11.74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64.24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12.33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1.16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2.38</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7.22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5.19</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0.85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2.44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0.46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hint="eastAsia"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w:t>
            </w:r>
            <w:r>
              <w:rPr>
                <w:rFonts w:hint="eastAsia" w:ascii="Times New Roman" w:hAnsi="Times New Roman"/>
                <w:kern w:val="0"/>
                <w:szCs w:val="21"/>
              </w:rPr>
              <w:t>、公务接待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“清风掠过-刘云展”项目经费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33</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33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33</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收藏经费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3</w:t>
            </w:r>
            <w:r>
              <w:rPr>
                <w:rFonts w:hint="eastAsia" w:ascii="Times New Roman" w:hAnsi="Times New Roman"/>
                <w:kern w:val="0"/>
                <w:szCs w:val="21"/>
              </w:rPr>
              <w:t>、市级专项资金（一个专项一行）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市级文化综合发展专项资金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32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　</w:t>
            </w: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66.05</w:t>
            </w:r>
            <w:r>
              <w:rPr>
                <w:rFonts w:hint="eastAsia" w:ascii="Times New Roman" w:hAnsi="Times New Roman"/>
                <w:kern w:val="0"/>
                <w:szCs w:val="21"/>
              </w:rPr>
              <w:t>　</w:t>
            </w:r>
          </w:p>
        </w:tc>
      </w:tr>
      <w:tr>
        <w:tblPrEx>
          <w:tblCellMar>
            <w:top w:w="0" w:type="dxa"/>
            <w:left w:w="108" w:type="dxa"/>
            <w:bottom w:w="0" w:type="dxa"/>
            <w:right w:w="108" w:type="dxa"/>
          </w:tblCellMar>
        </w:tblPrEx>
        <w:trPr>
          <w:trHeight w:val="214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eastAsia="zh-CN"/>
              </w:rPr>
              <w:t>坚持从严从简，勤俭办事，依法依规，严格控制经费支出总额。按照预算支出有序安排资金，合理开支，降低各项公务成本。</w:t>
            </w:r>
            <w:r>
              <w:rPr>
                <w:rFonts w:hint="eastAsia" w:ascii="Times New Roman" w:hAnsi="Times New Roman"/>
                <w:kern w:val="0"/>
                <w:szCs w:val="21"/>
              </w:rPr>
              <w:t>　</w:t>
            </w:r>
          </w:p>
        </w:tc>
      </w:tr>
    </w:tbl>
    <w:p>
      <w:pPr>
        <w:rPr>
          <w:rFonts w:hint="eastAsia" w:eastAsia="宋体"/>
          <w:lang w:eastAsia="zh-CN"/>
        </w:rPr>
      </w:pPr>
      <w:r>
        <w:rPr>
          <w:rFonts w:hint="eastAsia" w:ascii="Times New Roman" w:hAnsi="Times New Roman"/>
          <w:kern w:val="0"/>
          <w:sz w:val="22"/>
        </w:rPr>
        <w:t>说明：</w:t>
      </w:r>
      <w:r>
        <w:rPr>
          <w:rFonts w:ascii="Times New Roman" w:hAnsi="Times New Roman"/>
          <w:kern w:val="0"/>
          <w:sz w:val="22"/>
        </w:rPr>
        <w:t>“</w:t>
      </w:r>
      <w:r>
        <w:rPr>
          <w:rFonts w:hint="eastAsia" w:ascii="Times New Roman" w:hAnsi="Times New Roman"/>
          <w:kern w:val="0"/>
          <w:sz w:val="22"/>
        </w:rPr>
        <w:t>项目支出</w:t>
      </w:r>
      <w:r>
        <w:rPr>
          <w:rFonts w:ascii="Times New Roman" w:hAnsi="Times New Roman"/>
          <w:kern w:val="0"/>
          <w:sz w:val="22"/>
        </w:rPr>
        <w:t>”</w:t>
      </w:r>
      <w:r>
        <w:rPr>
          <w:rFonts w:hint="eastAsia" w:ascii="Times New Roman" w:hAnsi="Times New Roman"/>
          <w:kern w:val="0"/>
          <w:sz w:val="22"/>
        </w:rPr>
        <w:t>需要填报基本支出以外的所有项目支出情况，包括业务工作项目、运行维护项目和市级专项资金等；</w:t>
      </w:r>
      <w:r>
        <w:rPr>
          <w:rFonts w:ascii="Times New Roman" w:hAnsi="Times New Roman"/>
          <w:kern w:val="0"/>
          <w:sz w:val="22"/>
        </w:rPr>
        <w:t>“</w:t>
      </w:r>
      <w:r>
        <w:rPr>
          <w:rFonts w:hint="eastAsia" w:ascii="Times New Roman" w:hAnsi="Times New Roman"/>
          <w:kern w:val="0"/>
          <w:sz w:val="22"/>
        </w:rPr>
        <w:t>公用经费</w:t>
      </w:r>
      <w:r>
        <w:rPr>
          <w:rFonts w:ascii="Times New Roman" w:hAnsi="Times New Roman"/>
          <w:kern w:val="0"/>
          <w:sz w:val="22"/>
        </w:rPr>
        <w:t>”</w:t>
      </w:r>
      <w:r>
        <w:rPr>
          <w:rFonts w:hint="eastAsia" w:ascii="Times New Roman" w:hAnsi="Times New Roman"/>
          <w:kern w:val="0"/>
          <w:sz w:val="22"/>
        </w:rPr>
        <w:t>填报基本支出中的一般商品和服务支出。</w:t>
      </w:r>
      <w:r>
        <w:rPr>
          <w:rFonts w:ascii="Times New Roman" w:hAnsi="Times New Roman" w:eastAsia="Times New Roman"/>
          <w:kern w:val="0"/>
          <w:sz w:val="2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PMingLiU">
    <w:panose1 w:val="02020300000000000000"/>
    <w:charset w:val="88"/>
    <w:family w:val="roman"/>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397DE"/>
    <w:multiLevelType w:val="singleLevel"/>
    <w:tmpl w:val="9D5397DE"/>
    <w:lvl w:ilvl="0" w:tentative="0">
      <w:start w:val="3"/>
      <w:numFmt w:val="chineseCounting"/>
      <w:suff w:val="nothing"/>
      <w:lvlText w:val="%1、"/>
      <w:lvlJc w:val="left"/>
      <w:rPr>
        <w:rFonts w:hint="eastAsia"/>
      </w:rPr>
    </w:lvl>
  </w:abstractNum>
  <w:abstractNum w:abstractNumId="1">
    <w:nsid w:val="4B2F929E"/>
    <w:multiLevelType w:val="singleLevel"/>
    <w:tmpl w:val="4B2F929E"/>
    <w:lvl w:ilvl="0" w:tentative="0">
      <w:start w:val="2"/>
      <w:numFmt w:val="chineseCounting"/>
      <w:suff w:val="nothing"/>
      <w:lvlText w:val="（%1）"/>
      <w:lvlJc w:val="left"/>
      <w:rPr>
        <w:rFonts w:hint="eastAsia"/>
      </w:rPr>
    </w:lvl>
  </w:abstractNum>
  <w:abstractNum w:abstractNumId="2">
    <w:nsid w:val="6A953921"/>
    <w:multiLevelType w:val="singleLevel"/>
    <w:tmpl w:val="6A953921"/>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65E34"/>
    <w:rsid w:val="10365E34"/>
    <w:rsid w:val="15FB60BB"/>
    <w:rsid w:val="203A7A41"/>
    <w:rsid w:val="2239347F"/>
    <w:rsid w:val="44351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2021-09-29T02:41:00Z</dcterms:created>
  <dc:creator>Administrator</dc:creator>
  <cp:lastModifiedBy>Administrator</cp:lastModifiedBy>
  <cp:lastPrinted>2021-09-29T08:57:00Z</cp:lastPrinted>
  <dcterms:modified xsi:type="dcterms:W3CDTF">2021-10-09T02:24:42Z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