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hint="eastAsia" w:ascii="Times New Roman" w:hAnsi="Times New Roman" w:eastAsiaTheme="minorEastAsia"/>
          <w:sz w:val="36"/>
          <w:szCs w:val="36"/>
          <w:lang w:val="en-US" w:eastAsia="zh-CN"/>
        </w:rPr>
      </w:pPr>
      <w:r>
        <w:rPr>
          <w:rFonts w:ascii="Times New Roman" w:hAnsi="Times New Roman"/>
          <w:sz w:val="36"/>
          <w:szCs w:val="36"/>
        </w:rPr>
        <w:t>单位名称</w:t>
      </w:r>
      <w:r>
        <w:rPr>
          <w:rFonts w:hint="eastAsia" w:ascii="Times New Roman" w:hAnsi="Times New Roman"/>
          <w:sz w:val="36"/>
          <w:szCs w:val="36"/>
          <w:lang w:eastAsia="zh-CN"/>
        </w:rPr>
        <w:t>：衡阳市信访局</w:t>
      </w:r>
    </w:p>
    <w:p>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日</w:t>
      </w:r>
    </w:p>
    <w:p>
      <w:pPr>
        <w:rPr>
          <w:rFonts w:hint="eastAsia" w:ascii="微软雅黑" w:hAnsi="微软雅黑" w:eastAsia="微软雅黑" w:cs="微软雅黑"/>
          <w:b/>
          <w:bCs/>
          <w:kern w:val="0"/>
          <w:sz w:val="36"/>
          <w:szCs w:val="36"/>
        </w:rPr>
      </w:pPr>
      <w:r>
        <w:rPr>
          <w:rFonts w:hint="eastAsia" w:ascii="微软雅黑" w:hAnsi="微软雅黑" w:eastAsia="微软雅黑" w:cs="微软雅黑"/>
          <w:b/>
          <w:bCs/>
          <w:kern w:val="0"/>
          <w:sz w:val="36"/>
          <w:szCs w:val="36"/>
        </w:rPr>
        <w:br w:type="page"/>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Theme="majorEastAsia" w:hAnsiTheme="majorEastAsia" w:eastAsiaTheme="majorEastAsia" w:cstheme="majorEastAsia"/>
          <w:b/>
          <w:bCs/>
          <w:kern w:val="0"/>
          <w:sz w:val="32"/>
          <w:szCs w:val="32"/>
          <w:lang w:eastAsia="zh-CN"/>
        </w:rPr>
      </w:pPr>
      <w:r>
        <w:rPr>
          <w:rFonts w:hint="eastAsia" w:asciiTheme="majorEastAsia" w:hAnsiTheme="majorEastAsia" w:eastAsiaTheme="majorEastAsia" w:cstheme="majorEastAsia"/>
          <w:b/>
          <w:bCs/>
          <w:kern w:val="0"/>
          <w:sz w:val="32"/>
          <w:szCs w:val="32"/>
        </w:rPr>
        <w:t>单位基本</w:t>
      </w:r>
      <w:r>
        <w:rPr>
          <w:rFonts w:hint="eastAsia" w:asciiTheme="majorEastAsia" w:hAnsiTheme="majorEastAsia" w:eastAsiaTheme="majorEastAsia" w:cstheme="majorEastAsia"/>
          <w:b/>
          <w:bCs/>
          <w:kern w:val="0"/>
          <w:sz w:val="32"/>
          <w:szCs w:val="32"/>
          <w:lang w:eastAsia="zh-CN"/>
        </w:rPr>
        <w:t>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（一）部门职能职责</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衡阳市信访局是市政府工作部门,其主要职责是：</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1、贯彻执行中央和省颁发的各项信访工作法律、法规及规章制度，并拟订实施意见。</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2、负责受理、交办、转送信访人向市委、市政府提出的信访事项。负责做好市委、市政府领导同志接待上访群众的组织服务工作。</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3、承办中央和国家机关、省委和省人民政府及市委、市人民政府交办的信访事项，督促检查领导同志有关信访批示件的落实情况；向县市区和市直部门交办信访事项，督促检查信访事项的处理和落实情况。</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4、综合反映群众信访中的重要情况和带政策性、倾向性、苗头性问题和社会动态，研究、统计、分析信访情况，及时向市委、市政府提出完善政策和改进工作的建议。</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5、协同有关部门处理跨地区、跨部门的重大信访问题；协调处理群众到市赴省进京上访和异常、突发性信访事项；协调指导全市各级党政机关的信访工作。</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6、承担市信访工作联席会议的日常工作，督促落实联席会议决定的事项；承担市人民政府信访事项复查复核办公室的日常工作，负责市人民政府信访事项的复查复核工作。</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7、开展信访工作宣传和理论研讨，总结推广信访工作经验，提出改进和加强信访工作的意见；对全市各级党政单位的信访工作进行指导、督促、协调、检查、考核。</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8、负责全市网上投诉处理工作；指导全市信访信息系统建设和应用，指导信访部门办公自动化建设。</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9、掌握全市信访工作队伍建设情况，提出加强信访队伍建设措施；对信访工作中失职、渎职行为提出处理建议；组织信访干部培训。</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10、承办市委、市人民政府以及市委办公室、市政府办公室交办的其他事项。</w:t>
      </w:r>
    </w:p>
    <w:p>
      <w:pPr>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（二）机构设置及人员编制情况</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末我局编制人数35人，与上年持平，其中公务员编制2８人，工勤人员编制3人,事业编制4人；年末实有在职人数33人，退休人员16人。临聘人员9人，实践锻炼人员12人。内设10个科室，属市一级预算单位。下设1个正科级直属单位，为公益一类事业单位。</w:t>
      </w:r>
    </w:p>
    <w:p>
      <w:pPr>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二、一般公共预算支出情况</w:t>
      </w:r>
    </w:p>
    <w:p>
      <w:pPr>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（一）基本支出情况</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2021年基本支出736.48万元，占预算支出39.42％。我局基本支出的范围主要用于人员经费和日常公用经费开支，具体包括工资福利支出、商品和服务支出、对个人和家庭补助支出等。</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１．工资福利支出543.63万元。其中，基本工资145.07万元、津贴补贴88.59万元、绩效工资112.91万元、机关事业单位基本养老保险费59.34万元、职业年金缴费15.28万元、职工基本医疗保险缴费63.93万元、公务员医疗补助缴费9.44万元、住房公积金47.09万元、其他工资福利支出1.97万元。</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２．商品和服务支出170.06万元。其中，办公费11.9万元、印刷费8.01万元、水费0.78万元、电费10.65万元、邮电费2.69万元、物业管理费27.61万元、差旅费0.23万元、维修（护）费5.38万元、培训费5.13万元、劳务费24.53万元、工会经费3.08万元、福利费32.72万元、公务用车运行维护费5.27万元、其他交通费用27.57万元。</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３．对个人和家庭的补助22.52万元。其中奖励金20.32万元、其他个人和家庭的补助支出1.6万元。</w:t>
      </w:r>
    </w:p>
    <w:p>
      <w:pPr>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（二）项目支出情况</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2021年项目支出1131.64万元，占预算支出60.58％。我局项目支出管理情况按照资金性质分为：业务工作经费、运行维护经费。</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工作经费：主要是为保障信访业务工作开展设立的专项经费，主要用于上访群众接济、信访干部培训、信访信息系统运行维护、信访理论课题研究、办公设备购置等。通过业务工作的开展，畅通信访渠道，抓好初信初访的受理办理，及时就地化解矛盾、解决问题，化解信访积案，利用信访回访核实系统抽查信访群众对信访件的办理是否满意，对一些典型案例实地督查，对不作为、乱作为、失职渎职行为进行追责问责，促进信访工作水平上台阶。</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运行维护经费：主要用于北京维稳劝返办及长沙信访接待站日常维护和管理。及时做好接返带离工作；加强后续处理工作的督查督办、加大问责力度，严格实行责任倒查。</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１．工资福利支出115.94万元。其中，津贴补贴108.53万元、伙食补助费7.41万元。</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商品和服务支出983.68万元。其中，办公费54.33万元、印刷费4.52万元、水费1.85万元、电费6.18万元、邮电费4.67万元、物业管理费3.8万元、差旅费64.79万元、维修（护）费13.59万元、租赁费345.33万元、会议费5.53万元、培训费5.65万元、公务接待费2.54万元、劳务费30.48万元、公务用车运行维护费3.45万元、其他商品和服务支出283.1万元。</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3．资本性支出32.02万元。其中，办公设备购置10.77万元、大型修缮21.25万元。</w:t>
      </w:r>
    </w:p>
    <w:p>
      <w:pPr>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eastAsia="zh-CN"/>
        </w:rPr>
        <w:t>三</w:t>
      </w:r>
      <w:r>
        <w:rPr>
          <w:rFonts w:hint="eastAsia" w:asciiTheme="majorEastAsia" w:hAnsiTheme="majorEastAsia" w:eastAsiaTheme="majorEastAsia" w:cstheme="majorEastAsia"/>
          <w:b/>
          <w:bCs/>
          <w:kern w:val="0"/>
          <w:sz w:val="32"/>
          <w:szCs w:val="32"/>
        </w:rPr>
        <w:t>、部门整体支出绩效情况</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全市信访工作2021年度自评分98.00分（详见附件），部门整体支出绩效为“优”。</w:t>
      </w:r>
    </w:p>
    <w:p>
      <w:pPr>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w:t>
      </w:r>
      <w:r>
        <w:rPr>
          <w:rFonts w:hint="eastAsia" w:ascii="楷体" w:hAnsi="楷体" w:eastAsia="楷体" w:cs="楷体"/>
          <w:b/>
          <w:bCs/>
          <w:kern w:val="0"/>
          <w:sz w:val="32"/>
          <w:szCs w:val="32"/>
          <w:lang w:eastAsia="zh-CN"/>
        </w:rPr>
        <w:t>产出指标</w:t>
      </w:r>
      <w:r>
        <w:rPr>
          <w:rFonts w:hint="eastAsia" w:ascii="楷体" w:hAnsi="楷体" w:eastAsia="楷体" w:cs="楷体"/>
          <w:b/>
          <w:bCs/>
          <w:kern w:val="0"/>
          <w:sz w:val="32"/>
          <w:szCs w:val="32"/>
        </w:rPr>
        <w:t>评价</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kern w:val="0"/>
          <w:sz w:val="32"/>
          <w:szCs w:val="32"/>
        </w:rPr>
        <w:t> </w:t>
      </w:r>
      <w:r>
        <w:rPr>
          <w:rFonts w:hint="eastAsia" w:ascii="仿宋" w:hAnsi="仿宋" w:eastAsia="仿宋" w:cs="仿宋"/>
          <w:sz w:val="32"/>
          <w:szCs w:val="32"/>
          <w:lang w:val="en-US" w:eastAsia="zh-CN"/>
        </w:rPr>
        <w:t>2021年，市信访工作坚持以建党100周年信访服务保障为主线，把解决群众合理合法诉求作为工作的出发点和落脚点，在健全机制、提升规范、落实责任、解决问题、夯实基础上持续发力、久久为功，实现了信访总量明显下降、信访形势持续好转、群众满意率不断提升的良好态势。截至12月31日，全市共受理办理群众来信3036件、网上投诉7583件、意见建议95件、省长信箱536件，</w:t>
      </w:r>
      <w:r>
        <w:rPr>
          <w:rFonts w:hint="default" w:ascii="仿宋" w:hAnsi="仿宋" w:eastAsia="仿宋" w:cs="仿宋"/>
          <w:sz w:val="32"/>
          <w:szCs w:val="32"/>
          <w:lang w:val="en-US" w:eastAsia="zh-CN"/>
        </w:rPr>
        <w:t>接待群众到市上访</w:t>
      </w:r>
      <w:r>
        <w:rPr>
          <w:rFonts w:hint="eastAsia" w:ascii="仿宋" w:hAnsi="仿宋" w:eastAsia="仿宋" w:cs="仿宋"/>
          <w:sz w:val="32"/>
          <w:szCs w:val="32"/>
          <w:lang w:val="en-US" w:eastAsia="zh-CN"/>
        </w:rPr>
        <w:t>1525</w:t>
      </w:r>
      <w:r>
        <w:rPr>
          <w:rFonts w:hint="default" w:ascii="仿宋" w:hAnsi="仿宋" w:eastAsia="仿宋" w:cs="仿宋"/>
          <w:sz w:val="32"/>
          <w:szCs w:val="32"/>
          <w:lang w:val="en-US" w:eastAsia="zh-CN"/>
        </w:rPr>
        <w:t>批</w:t>
      </w:r>
      <w:r>
        <w:rPr>
          <w:rFonts w:hint="eastAsia" w:ascii="仿宋" w:hAnsi="仿宋" w:eastAsia="仿宋" w:cs="仿宋"/>
          <w:sz w:val="32"/>
          <w:szCs w:val="32"/>
          <w:lang w:val="en-US" w:eastAsia="zh-CN"/>
        </w:rPr>
        <w:t>5089</w:t>
      </w:r>
      <w:r>
        <w:rPr>
          <w:rFonts w:hint="default" w:ascii="仿宋" w:hAnsi="仿宋" w:eastAsia="仿宋" w:cs="仿宋"/>
          <w:sz w:val="32"/>
          <w:szCs w:val="32"/>
          <w:lang w:val="en-US" w:eastAsia="zh-CN"/>
        </w:rPr>
        <w:t>人次</w:t>
      </w:r>
      <w:r>
        <w:rPr>
          <w:rFonts w:hint="eastAsia" w:ascii="仿宋" w:hAnsi="仿宋" w:eastAsia="仿宋" w:cs="仿宋"/>
          <w:sz w:val="32"/>
          <w:szCs w:val="32"/>
          <w:lang w:val="en-US" w:eastAsia="zh-CN"/>
        </w:rPr>
        <w:t>，与2019年相比下降59.5%，到</w:t>
      </w:r>
      <w:r>
        <w:rPr>
          <w:rFonts w:hint="default" w:ascii="仿宋" w:hAnsi="仿宋" w:eastAsia="仿宋" w:cs="仿宋"/>
          <w:sz w:val="32"/>
          <w:szCs w:val="32"/>
          <w:lang w:val="en-US" w:eastAsia="zh-CN"/>
        </w:rPr>
        <w:t>省</w:t>
      </w:r>
      <w:r>
        <w:rPr>
          <w:rFonts w:hint="eastAsia" w:ascii="仿宋" w:hAnsi="仿宋" w:eastAsia="仿宋" w:cs="仿宋"/>
          <w:sz w:val="32"/>
          <w:szCs w:val="32"/>
          <w:lang w:val="en-US" w:eastAsia="zh-CN"/>
        </w:rPr>
        <w:t>访登记1247</w:t>
      </w:r>
      <w:r>
        <w:rPr>
          <w:rFonts w:hint="default" w:ascii="仿宋" w:hAnsi="仿宋" w:eastAsia="仿宋" w:cs="仿宋"/>
          <w:sz w:val="32"/>
          <w:szCs w:val="32"/>
          <w:lang w:val="en-US" w:eastAsia="zh-CN"/>
        </w:rPr>
        <w:t>批</w:t>
      </w:r>
      <w:r>
        <w:rPr>
          <w:rFonts w:hint="eastAsia" w:ascii="仿宋" w:hAnsi="仿宋" w:eastAsia="仿宋" w:cs="仿宋"/>
          <w:sz w:val="32"/>
          <w:szCs w:val="32"/>
          <w:lang w:val="en-US" w:eastAsia="zh-CN"/>
        </w:rPr>
        <w:t>1946</w:t>
      </w:r>
      <w:r>
        <w:rPr>
          <w:rFonts w:hint="default" w:ascii="仿宋" w:hAnsi="仿宋" w:eastAsia="仿宋" w:cs="仿宋"/>
          <w:sz w:val="32"/>
          <w:szCs w:val="32"/>
          <w:lang w:val="en-US" w:eastAsia="zh-CN"/>
        </w:rPr>
        <w:t>人次</w:t>
      </w:r>
      <w:r>
        <w:rPr>
          <w:rFonts w:hint="eastAsia" w:ascii="仿宋" w:hAnsi="仿宋" w:eastAsia="仿宋" w:cs="仿宋"/>
          <w:sz w:val="32"/>
          <w:szCs w:val="32"/>
          <w:lang w:val="en-US" w:eastAsia="zh-CN"/>
        </w:rPr>
        <w:t>，同比下降22.7%，</w:t>
      </w:r>
      <w:r>
        <w:rPr>
          <w:rFonts w:hint="default" w:ascii="仿宋" w:hAnsi="仿宋" w:eastAsia="仿宋" w:cs="仿宋"/>
          <w:sz w:val="32"/>
          <w:szCs w:val="32"/>
          <w:lang w:val="en-US" w:eastAsia="zh-CN"/>
        </w:rPr>
        <w:t>进京</w:t>
      </w:r>
      <w:r>
        <w:rPr>
          <w:rFonts w:hint="eastAsia" w:ascii="仿宋" w:hAnsi="仿宋" w:eastAsia="仿宋" w:cs="仿宋"/>
          <w:sz w:val="32"/>
          <w:szCs w:val="32"/>
          <w:lang w:val="en-US" w:eastAsia="zh-CN"/>
        </w:rPr>
        <w:t>访</w:t>
      </w:r>
      <w:r>
        <w:rPr>
          <w:rFonts w:hint="default" w:ascii="仿宋" w:hAnsi="仿宋" w:eastAsia="仿宋" w:cs="仿宋"/>
          <w:sz w:val="32"/>
          <w:szCs w:val="32"/>
          <w:lang w:val="en-US" w:eastAsia="zh-CN"/>
        </w:rPr>
        <w:t>登记</w:t>
      </w:r>
      <w:r>
        <w:rPr>
          <w:rFonts w:hint="eastAsia" w:ascii="仿宋" w:hAnsi="仿宋" w:eastAsia="仿宋" w:cs="仿宋"/>
          <w:sz w:val="32"/>
          <w:szCs w:val="32"/>
          <w:lang w:val="en-US" w:eastAsia="zh-CN"/>
        </w:rPr>
        <w:t>451</w:t>
      </w:r>
      <w:r>
        <w:rPr>
          <w:rFonts w:hint="default" w:ascii="仿宋" w:hAnsi="仿宋" w:eastAsia="仿宋" w:cs="仿宋"/>
          <w:sz w:val="32"/>
          <w:szCs w:val="32"/>
          <w:lang w:val="en-US" w:eastAsia="zh-CN"/>
        </w:rPr>
        <w:t>批</w:t>
      </w:r>
      <w:r>
        <w:rPr>
          <w:rFonts w:hint="eastAsia" w:ascii="仿宋" w:hAnsi="仿宋" w:eastAsia="仿宋" w:cs="仿宋"/>
          <w:sz w:val="32"/>
          <w:szCs w:val="32"/>
          <w:lang w:val="en-US" w:eastAsia="zh-CN"/>
        </w:rPr>
        <w:t>507</w:t>
      </w:r>
      <w:r>
        <w:rPr>
          <w:rFonts w:hint="default" w:ascii="仿宋" w:hAnsi="仿宋" w:eastAsia="仿宋" w:cs="仿宋"/>
          <w:sz w:val="32"/>
          <w:szCs w:val="32"/>
          <w:lang w:val="en-US" w:eastAsia="zh-CN"/>
        </w:rPr>
        <w:t>人次</w:t>
      </w:r>
      <w:r>
        <w:rPr>
          <w:rFonts w:hint="eastAsia" w:ascii="仿宋" w:hAnsi="仿宋" w:eastAsia="仿宋" w:cs="仿宋"/>
          <w:sz w:val="32"/>
          <w:szCs w:val="32"/>
          <w:lang w:val="en-US" w:eastAsia="zh-CN"/>
        </w:rPr>
        <w:t>，同比下降34.2%，进京</w:t>
      </w:r>
      <w:r>
        <w:rPr>
          <w:rFonts w:hint="default" w:ascii="仿宋" w:hAnsi="仿宋" w:eastAsia="仿宋" w:cs="仿宋"/>
          <w:sz w:val="32"/>
          <w:szCs w:val="32"/>
          <w:lang w:val="en-US" w:eastAsia="zh-CN"/>
        </w:rPr>
        <w:t>非接待场所访</w:t>
      </w:r>
      <w:r>
        <w:rPr>
          <w:rFonts w:hint="eastAsia" w:ascii="仿宋" w:hAnsi="仿宋" w:eastAsia="仿宋" w:cs="仿宋"/>
          <w:sz w:val="32"/>
          <w:szCs w:val="32"/>
          <w:lang w:val="en-US" w:eastAsia="zh-CN"/>
        </w:rPr>
        <w:t>登记6</w:t>
      </w:r>
      <w:r>
        <w:rPr>
          <w:rFonts w:hint="default" w:ascii="仿宋" w:hAnsi="仿宋" w:eastAsia="仿宋" w:cs="仿宋"/>
          <w:sz w:val="32"/>
          <w:szCs w:val="32"/>
          <w:lang w:val="en-US" w:eastAsia="zh-CN"/>
        </w:rPr>
        <w:t>人</w:t>
      </w:r>
      <w:r>
        <w:rPr>
          <w:rFonts w:hint="eastAsia" w:ascii="仿宋" w:hAnsi="仿宋" w:eastAsia="仿宋" w:cs="仿宋"/>
          <w:sz w:val="32"/>
          <w:szCs w:val="32"/>
          <w:lang w:val="en-US" w:eastAsia="zh-CN"/>
        </w:rPr>
        <w:t>次，同比下降87.5%，全年未发生6人以上进京集访和21人以上赴省集访，全国两会及建党100周年大庆特护期间我市两次被评为全省先进</w:t>
      </w:r>
      <w:r>
        <w:rPr>
          <w:rFonts w:hint="default"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二</w:t>
      </w:r>
      <w:r>
        <w:rPr>
          <w:rFonts w:hint="eastAsia" w:ascii="楷体" w:hAnsi="楷体" w:eastAsia="楷体" w:cs="楷体"/>
          <w:b/>
          <w:bCs/>
          <w:kern w:val="0"/>
          <w:sz w:val="32"/>
          <w:szCs w:val="32"/>
        </w:rPr>
        <w:t>）社会效益评价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一是基层治理与信访实现深度融合。</w:t>
      </w:r>
      <w:r>
        <w:rPr>
          <w:rFonts w:hint="eastAsia" w:ascii="仿宋" w:hAnsi="仿宋" w:eastAsia="仿宋" w:cs="仿宋"/>
          <w:sz w:val="32"/>
          <w:szCs w:val="32"/>
          <w:lang w:val="en-US" w:eastAsia="zh-CN"/>
        </w:rPr>
        <w:t>市委召开“屋场恳谈会”推进会议，原市委书记邓群策出席会议并强调，要坚持以人民为中心，把推动屋</w:t>
      </w:r>
      <w:bookmarkStart w:id="0" w:name="_GoBack"/>
      <w:bookmarkEnd w:id="0"/>
      <w:r>
        <w:rPr>
          <w:rFonts w:hint="eastAsia" w:ascii="仿宋" w:hAnsi="仿宋" w:eastAsia="仿宋" w:cs="仿宋"/>
          <w:sz w:val="32"/>
          <w:szCs w:val="32"/>
          <w:lang w:val="en-US" w:eastAsia="zh-CN"/>
        </w:rPr>
        <w:t>场恳谈会工作作为“一把手工程”，实现全市覆盖，确保走深走实，努力打造新时代“枫桥经验”的衡阳名片。一年来，</w:t>
      </w:r>
      <w:r>
        <w:rPr>
          <w:rFonts w:hint="default" w:ascii="仿宋" w:hAnsi="仿宋" w:eastAsia="仿宋" w:cs="仿宋"/>
          <w:sz w:val="32"/>
          <w:szCs w:val="32"/>
          <w:lang w:val="en-US" w:eastAsia="zh-CN"/>
        </w:rPr>
        <w:t>各级各部门召开</w:t>
      </w:r>
      <w:r>
        <w:rPr>
          <w:rFonts w:hint="eastAsia" w:ascii="仿宋" w:hAnsi="仿宋" w:eastAsia="仿宋" w:cs="仿宋"/>
          <w:sz w:val="32"/>
          <w:szCs w:val="32"/>
          <w:lang w:val="en-US" w:eastAsia="zh-CN"/>
        </w:rPr>
        <w:t>“信访</w:t>
      </w:r>
      <w:r>
        <w:rPr>
          <w:rFonts w:hint="default" w:ascii="仿宋" w:hAnsi="仿宋" w:eastAsia="仿宋" w:cs="仿宋"/>
          <w:sz w:val="32"/>
          <w:szCs w:val="32"/>
          <w:lang w:val="en-US" w:eastAsia="zh-CN"/>
        </w:rPr>
        <w:t>+屋场恳谈会</w:t>
      </w:r>
      <w:r>
        <w:rPr>
          <w:rFonts w:hint="eastAsia" w:ascii="仿宋" w:hAnsi="仿宋" w:eastAsia="仿宋" w:cs="仿宋"/>
          <w:sz w:val="32"/>
          <w:szCs w:val="32"/>
          <w:lang w:val="en-US" w:eastAsia="zh-CN"/>
        </w:rPr>
        <w:t>”300</w:t>
      </w:r>
      <w:r>
        <w:rPr>
          <w:rFonts w:hint="default" w:ascii="仿宋" w:hAnsi="仿宋" w:eastAsia="仿宋" w:cs="仿宋"/>
          <w:sz w:val="32"/>
          <w:szCs w:val="32"/>
          <w:lang w:val="en-US" w:eastAsia="zh-CN"/>
        </w:rPr>
        <w:t>余场，化解矛盾纠纷</w:t>
      </w:r>
      <w:r>
        <w:rPr>
          <w:rFonts w:hint="eastAsia" w:ascii="仿宋" w:hAnsi="仿宋" w:eastAsia="仿宋" w:cs="仿宋"/>
          <w:sz w:val="32"/>
          <w:szCs w:val="32"/>
          <w:lang w:val="en-US" w:eastAsia="zh-CN"/>
        </w:rPr>
        <w:t>460</w:t>
      </w:r>
      <w:r>
        <w:rPr>
          <w:rFonts w:hint="default" w:ascii="仿宋" w:hAnsi="仿宋" w:eastAsia="仿宋" w:cs="仿宋"/>
          <w:sz w:val="32"/>
          <w:szCs w:val="32"/>
          <w:lang w:val="en-US" w:eastAsia="zh-CN"/>
        </w:rPr>
        <w:t>余件，解决信访问题1</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0余起。</w:t>
      </w:r>
      <w:r>
        <w:rPr>
          <w:rFonts w:hint="eastAsia" w:ascii="仿宋" w:hAnsi="仿宋" w:eastAsia="仿宋" w:cs="仿宋"/>
          <w:sz w:val="32"/>
          <w:szCs w:val="32"/>
          <w:lang w:val="en-US" w:eastAsia="zh-CN"/>
        </w:rPr>
        <w:t>衡南县“屋场恳谈会”经验被省信访联席办在全省推介，珠晖区“里巷工作法”被人民日报报道，雁峰区“五色花”、衡阳县“梅花经验”、耒阳市“湾村明白人”、石鼓区</w:t>
      </w:r>
      <w:r>
        <w:rPr>
          <w:rFonts w:hint="eastAsia" w:ascii="仿宋" w:hAnsi="仿宋" w:eastAsia="仿宋" w:cs="仿宋"/>
          <w:sz w:val="32"/>
          <w:szCs w:val="32"/>
        </w:rPr>
        <w:t>“</w:t>
      </w:r>
      <w:r>
        <w:rPr>
          <w:rFonts w:ascii="仿宋" w:hAnsi="仿宋" w:eastAsia="仿宋" w:cs="仿宋"/>
          <w:sz w:val="32"/>
          <w:szCs w:val="32"/>
        </w:rPr>
        <w:t>135+</w:t>
      </w:r>
      <w:r>
        <w:rPr>
          <w:rFonts w:hint="eastAsia" w:ascii="仿宋" w:hAnsi="仿宋" w:eastAsia="仿宋" w:cs="仿宋"/>
          <w:sz w:val="32"/>
          <w:szCs w:val="32"/>
        </w:rPr>
        <w:t>”小区党建</w:t>
      </w:r>
      <w:r>
        <w:rPr>
          <w:rFonts w:hint="eastAsia" w:ascii="仿宋" w:hAnsi="仿宋" w:eastAsia="仿宋" w:cs="仿宋"/>
          <w:sz w:val="32"/>
          <w:szCs w:val="32"/>
          <w:lang w:val="en-US" w:eastAsia="zh-CN"/>
        </w:rPr>
        <w:t>等基层治理经验在推动矛盾就地化解中发挥了重要作用，多次湖南日报报道。</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b w:val="0"/>
          <w:bCs w:val="0"/>
          <w:i w:val="0"/>
          <w:caps w:val="0"/>
          <w:color w:val="000000"/>
          <w:spacing w:val="0"/>
          <w:kern w:val="2"/>
          <w:sz w:val="32"/>
          <w:szCs w:val="32"/>
          <w:vertAlign w:val="baseline"/>
          <w:lang w:val="en-US" w:eastAsia="zh-CN" w:bidi="ar"/>
        </w:rPr>
      </w:pPr>
      <w:r>
        <w:rPr>
          <w:rFonts w:hint="eastAsia" w:ascii="楷体" w:hAnsi="楷体" w:eastAsia="楷体" w:cs="楷体"/>
          <w:b/>
          <w:bCs/>
          <w:sz w:val="32"/>
          <w:szCs w:val="32"/>
          <w:lang w:val="en-US" w:eastAsia="zh-CN"/>
        </w:rPr>
        <w:t>二是全力营造信访法治氛围。</w:t>
      </w:r>
      <w:r>
        <w:rPr>
          <w:rFonts w:hint="eastAsia" w:ascii="仿宋" w:hAnsi="仿宋" w:eastAsia="仿宋" w:cs="仿宋"/>
          <w:b w:val="0"/>
          <w:bCs w:val="0"/>
          <w:i w:val="0"/>
          <w:caps w:val="0"/>
          <w:color w:val="000000"/>
          <w:spacing w:val="0"/>
          <w:kern w:val="2"/>
          <w:sz w:val="32"/>
          <w:szCs w:val="32"/>
          <w:vertAlign w:val="baseline"/>
          <w:lang w:val="en-US" w:eastAsia="zh-CN" w:bidi="ar"/>
        </w:rPr>
        <w:t>以《湖南省信访条例》颁布实施15周年为契机开展“信访宣传月”活动，共组织形式多样的信访法治宣传活动52场，参加单位236个，发放宣传资料4万余份，现场答疑解惑1000余次，为推进信访法治化建设、引导群众依法理性维权营造了良好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三是全面加强违法信访行为教育处置。</w:t>
      </w:r>
      <w:r>
        <w:rPr>
          <w:rFonts w:hint="eastAsia" w:ascii="仿宋" w:hAnsi="仿宋" w:eastAsia="仿宋"/>
          <w:sz w:val="32"/>
          <w:szCs w:val="32"/>
          <w:lang w:eastAsia="zh-CN"/>
        </w:rPr>
        <w:t>联合市委政法委、市公安局、市司法局等单位揭牌成立市法制教育站，进一步规范了到市非访重点人员、群体的教育稳控和处置工作。加强依法治访力度，</w:t>
      </w:r>
      <w:r>
        <w:rPr>
          <w:rFonts w:hint="eastAsia" w:ascii="仿宋" w:hAnsi="仿宋" w:eastAsia="仿宋"/>
          <w:sz w:val="32"/>
          <w:szCs w:val="32"/>
          <w:lang w:val="en-US" w:eastAsia="zh-CN"/>
        </w:rPr>
        <w:t>2021</w:t>
      </w:r>
      <w:r>
        <w:rPr>
          <w:rFonts w:hint="eastAsia" w:ascii="仿宋" w:hAnsi="仿宋" w:eastAsia="仿宋"/>
          <w:sz w:val="32"/>
          <w:szCs w:val="32"/>
          <w:lang w:eastAsia="zh-CN"/>
        </w:rPr>
        <w:t>年以来各县市区共依法教育处置违法信访行为人</w:t>
      </w:r>
      <w:r>
        <w:rPr>
          <w:rFonts w:hint="eastAsia" w:ascii="仿宋" w:hAnsi="仿宋" w:eastAsia="仿宋"/>
          <w:sz w:val="32"/>
          <w:szCs w:val="32"/>
          <w:lang w:val="en-US" w:eastAsia="zh-CN"/>
        </w:rPr>
        <w:t>130名，对到党委、政府门前等非接待场所缠访闹访和以访谋利等不良行为起到了较强的震慑作用，维护了全市正常信访秩序。</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eastAsia="zh-CN"/>
        </w:rPr>
        <w:t>四</w:t>
      </w:r>
      <w:r>
        <w:rPr>
          <w:rFonts w:hint="eastAsia" w:asciiTheme="majorEastAsia" w:hAnsiTheme="majorEastAsia" w:eastAsiaTheme="majorEastAsia" w:cstheme="majorEastAsia"/>
          <w:b/>
          <w:bCs/>
          <w:kern w:val="0"/>
          <w:sz w:val="32"/>
          <w:szCs w:val="32"/>
        </w:rPr>
        <w:t>、存在的主要问题及</w:t>
      </w:r>
      <w:r>
        <w:rPr>
          <w:rFonts w:hint="eastAsia" w:asciiTheme="majorEastAsia" w:hAnsiTheme="majorEastAsia" w:eastAsiaTheme="majorEastAsia" w:cstheme="majorEastAsia"/>
          <w:b/>
          <w:bCs/>
          <w:kern w:val="0"/>
          <w:sz w:val="32"/>
          <w:szCs w:val="32"/>
          <w:lang w:eastAsia="zh-CN"/>
        </w:rPr>
        <w:t>整改</w:t>
      </w:r>
      <w:r>
        <w:rPr>
          <w:rFonts w:hint="eastAsia" w:asciiTheme="majorEastAsia" w:hAnsiTheme="majorEastAsia" w:eastAsiaTheme="majorEastAsia" w:cstheme="majorEastAsia"/>
          <w:b/>
          <w:bCs/>
          <w:kern w:val="0"/>
          <w:sz w:val="32"/>
          <w:szCs w:val="32"/>
        </w:rPr>
        <w:t>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一、预算编制不够合理，个别项目预算支出与实际执行出现偏差：</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这个现象，我局一是加强内部机构的预算管理意识。明确了预算绩效管理不仅仅是财务部门的工作，所有部门均有涉及，财务部门仅仅是绩效管理牵头和核算部门，资金支出的实际绩效成果是由使用资金的部门来完成的，切实提高全员绩效意识。二是细化预算绩效目标设置内容。将预算绩效目标设置与工作目标设置相统筹、相衔接，切实做到绩效目标设置具有较强的可操作性和可实现性。</w:t>
      </w:r>
    </w:p>
    <w:p>
      <w:pPr>
        <w:keepNext w:val="0"/>
        <w:keepLines w:val="0"/>
        <w:pageBreakBefore w:val="0"/>
        <w:kinsoku/>
        <w:wordWrap/>
        <w:overflowPunct/>
        <w:topLinePunct w:val="0"/>
        <w:autoSpaceDE/>
        <w:autoSpaceDN/>
        <w:bidi w:val="0"/>
        <w:adjustRightInd/>
        <w:snapToGrid/>
        <w:spacing w:beforeAutospacing="0" w:afterAutospacing="0"/>
        <w:ind w:firstLine="643" w:firstLineChars="200"/>
        <w:textAlignment w:val="auto"/>
        <w:rPr>
          <w:rFonts w:hint="eastAsia" w:ascii="仿宋" w:hAnsi="仿宋" w:eastAsia="仿宋" w:cs="仿宋"/>
          <w:b/>
          <w:kern w:val="0"/>
          <w:sz w:val="32"/>
          <w:szCs w:val="32"/>
          <w:lang w:eastAsia="zh-CN"/>
        </w:rPr>
      </w:pPr>
      <w:r>
        <w:rPr>
          <w:rFonts w:hint="eastAsia" w:ascii="楷体" w:hAnsi="楷体" w:eastAsia="楷体" w:cs="楷体"/>
          <w:b/>
          <w:bCs/>
          <w:sz w:val="32"/>
          <w:szCs w:val="32"/>
          <w:lang w:val="en-US" w:eastAsia="zh-CN"/>
        </w:rPr>
        <w:t>二、财务管理方面需进一步规范。</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此，我局一是进一步强化制度执行。严格执行内控制度中的各项规章制度要求，不让制度仅存于纸面上；二是加强监督管理。对预算资金的使用情况进行跟踪检查，要求定期向局党组报告资金使用情况，对预算的执行过程和完成结果实行全面的追踪问效；三是规范账务处理程序。通过不断组织开展财务技能和会计职业道德的培训，进一步规范全局账务处理程序。</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 </w:t>
      </w:r>
    </w:p>
    <w:p>
      <w:pPr>
        <w:numPr>
          <w:ilvl w:val="0"/>
          <w:numId w:val="0"/>
        </w:num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部门整体支出绩效评价基础数据表</w:t>
      </w:r>
    </w:p>
    <w:p>
      <w:pPr>
        <w:numPr>
          <w:ilvl w:val="0"/>
          <w:numId w:val="0"/>
        </w:numPr>
        <w:ind w:firstLine="640" w:firstLineChars="200"/>
        <w:rPr>
          <w:rFonts w:hint="eastAsia" w:ascii="Times New Roman" w:hAnsi="Times New Roman" w:eastAsia="仿宋_GB2312"/>
          <w:kern w:val="0"/>
          <w:sz w:val="36"/>
          <w:szCs w:val="36"/>
          <w:lang w:val="en-US" w:eastAsia="zh-CN"/>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部门整体支出绩效自评表</w:t>
      </w:r>
      <w:r>
        <w:br w:type="page"/>
      </w:r>
      <w:r>
        <w:rPr>
          <w:rFonts w:hint="eastAsia" w:ascii="黑体" w:hAnsi="黑体" w:eastAsia="黑体" w:cs="黑体"/>
          <w:kern w:val="0"/>
          <w:sz w:val="32"/>
          <w:szCs w:val="32"/>
        </w:rPr>
        <w:t>附件</w:t>
      </w:r>
      <w:r>
        <w:rPr>
          <w:rFonts w:hint="eastAsia" w:ascii="Times New Roman" w:hAnsi="Times New Roman" w:eastAsia="仿宋_GB2312"/>
          <w:kern w:val="0"/>
          <w:sz w:val="32"/>
          <w:szCs w:val="32"/>
          <w:lang w:val="en-US" w:eastAsia="zh-CN"/>
        </w:rPr>
        <w:t>1</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6"/>
          <w:szCs w:val="36"/>
          <w:lang w:val="en-US" w:eastAsia="zh-CN"/>
        </w:rPr>
        <w:t xml:space="preserve"> </w:t>
      </w:r>
    </w:p>
    <w:p>
      <w:pPr>
        <w:ind w:left="359" w:leftChars="171" w:right="640" w:firstLine="1440" w:firstLineChars="4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r>
        <w:rPr>
          <w:rFonts w:hint="eastAsia" w:ascii="方正小标宋简体" w:hAnsi="方正小标宋简体" w:eastAsia="方正小标宋简体" w:cs="方正小标宋简体"/>
          <w:sz w:val="36"/>
          <w:szCs w:val="36"/>
          <w:lang w:val="en-US" w:eastAsia="zh-CN"/>
        </w:rPr>
        <w:t xml:space="preserve">  </w:t>
      </w:r>
    </w:p>
    <w:p>
      <w:pPr>
        <w:ind w:right="640"/>
        <w:jc w:val="both"/>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5"/>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Theme="minorEastAsia"/>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35</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33</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94.29%</w:t>
            </w: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7994136.21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Cs w:val="21"/>
                <w:lang w:val="en-US" w:eastAsia="zh-CN"/>
              </w:rPr>
            </w:pPr>
            <w:r>
              <w:rPr>
                <w:rFonts w:ascii="仿宋" w:hAnsi="仿宋" w:eastAsia="仿宋" w:cs="仿宋"/>
              </w:rPr>
              <w:t>48354</w:t>
            </w:r>
            <w:r>
              <w:rPr>
                <w:rFonts w:hint="eastAsia" w:ascii="仿宋" w:hAnsi="仿宋" w:eastAsia="仿宋" w:cs="仿宋"/>
                <w:lang w:val="en-US" w:eastAsia="zh-CN"/>
              </w:rPr>
              <w:t>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7485623.96</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2411357.68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Cs w:val="21"/>
                <w:lang w:val="en-US" w:eastAsia="zh-CN"/>
              </w:rPr>
            </w:pPr>
            <w:r>
              <w:rPr>
                <w:rFonts w:ascii="仿宋" w:hAnsi="仿宋" w:eastAsia="仿宋" w:cs="仿宋"/>
              </w:rPr>
              <w:t>11884</w:t>
            </w:r>
            <w:r>
              <w:rPr>
                <w:rFonts w:hint="eastAsia" w:ascii="仿宋" w:hAnsi="仿宋" w:eastAsia="仿宋" w:cs="仿宋"/>
                <w:lang w:val="en-US" w:eastAsia="zh-CN"/>
              </w:rPr>
              <w:t>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1703338.17</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390870.40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118,982.86</w:t>
            </w:r>
          </w:p>
        </w:tc>
      </w:tr>
      <w:tr>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172269.29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116638.15</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79036.6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51,286.50</w:t>
            </w:r>
          </w:p>
        </w:tc>
      </w:tr>
      <w:tr>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79,452.72</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87,313.22</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Theme="minorEastAsia"/>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79,452.72</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87,313.22</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Theme="minorEastAsia"/>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126,605.90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127000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26,644.00</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8592020.49</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Cs w:val="21"/>
                <w:lang w:val="en-US" w:eastAsia="zh-CN"/>
              </w:rPr>
            </w:pPr>
            <w:r>
              <w:rPr>
                <w:rFonts w:hint="eastAsia" w:ascii="仿宋" w:hAnsi="仿宋" w:eastAsia="仿宋" w:cs="仿宋"/>
                <w:lang w:val="en-US" w:eastAsia="zh-CN"/>
              </w:rPr>
              <w:t>336</w:t>
            </w:r>
            <w:r>
              <w:rPr>
                <w:rFonts w:hint="eastAsia" w:ascii="Times New Roman" w:hAnsi="Times New Roman" w:eastAsia="仿宋"/>
                <w:kern w:val="0"/>
                <w:szCs w:val="21"/>
                <w:lang w:val="en-US" w:eastAsia="zh-CN"/>
              </w:rPr>
              <w:t>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仿宋_GB2312"/>
                <w:color w:val="000000"/>
                <w:kern w:val="0"/>
                <w:szCs w:val="21"/>
                <w:lang w:val="en-US" w:eastAsia="zh-CN"/>
              </w:rPr>
              <w:t>11316424.78</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1、</w:t>
            </w:r>
            <w:r>
              <w:rPr>
                <w:rFonts w:hint="eastAsia" w:ascii="Times New Roman" w:hAnsi="Times New Roman"/>
                <w:kern w:val="0"/>
                <w:szCs w:val="21"/>
                <w:lang w:eastAsia="zh-CN"/>
              </w:rPr>
              <w:t>信访</w:t>
            </w:r>
            <w:r>
              <w:rPr>
                <w:rFonts w:hint="eastAsia" w:ascii="Times New Roman" w:hAnsi="Times New Roman"/>
                <w:kern w:val="0"/>
                <w:szCs w:val="21"/>
              </w:rPr>
              <w:t>业务工作经费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4981111.36</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1200000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4228850.48</w:t>
            </w:r>
            <w:r>
              <w:rPr>
                <w:rFonts w:ascii="Times New Roman" w:hAnsi="Times New Roman"/>
                <w:kern w:val="0"/>
                <w:szCs w:val="21"/>
              </w:rPr>
              <w:t>　</w:t>
            </w:r>
          </w:p>
        </w:tc>
      </w:tr>
      <w:tr>
        <w:tblPrEx>
          <w:tblCellMar>
            <w:top w:w="0" w:type="dxa"/>
            <w:left w:w="108" w:type="dxa"/>
            <w:bottom w:w="0" w:type="dxa"/>
            <w:right w:w="108" w:type="dxa"/>
          </w:tblCellMar>
        </w:tblPrEx>
        <w:trPr>
          <w:trHeight w:val="47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Theme="minorEastAsia"/>
                <w:kern w:val="0"/>
                <w:szCs w:val="21"/>
                <w:lang w:eastAsia="zh-CN"/>
              </w:rPr>
            </w:pPr>
            <w:r>
              <w:rPr>
                <w:rFonts w:hint="eastAsia" w:ascii="Times New Roman" w:hAnsi="Times New Roman"/>
                <w:kern w:val="0"/>
                <w:szCs w:val="21"/>
                <w:lang w:val="en-US" w:eastAsia="zh-CN"/>
              </w:rPr>
              <w:t>2</w:t>
            </w:r>
            <w:r>
              <w:rPr>
                <w:rFonts w:ascii="Times New Roman" w:hAnsi="Times New Roman"/>
                <w:kern w:val="0"/>
                <w:szCs w:val="21"/>
              </w:rPr>
              <w:t>、</w:t>
            </w:r>
            <w:r>
              <w:rPr>
                <w:rFonts w:hint="eastAsia" w:ascii="Times New Roman" w:hAnsi="Times New Roman"/>
                <w:kern w:val="0"/>
                <w:szCs w:val="21"/>
                <w:lang w:eastAsia="zh-CN"/>
              </w:rPr>
              <w:t>驻京办、驻长站运行维护经费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3610909.13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2160000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7087574.3</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仿宋" w:hAnsi="仿宋" w:eastAsia="仿宋" w:cs="仿宋"/>
              </w:rPr>
              <w:t>2139</w:t>
            </w:r>
            <w:r>
              <w:rPr>
                <w:rFonts w:hint="eastAsia" w:ascii="仿宋" w:hAnsi="仿宋" w:eastAsia="仿宋" w:cs="仿宋"/>
                <w:lang w:val="en-US" w:eastAsia="zh-CN"/>
              </w:rPr>
              <w:t>00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250000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2952329</w:t>
            </w:r>
            <w:r>
              <w:rPr>
                <w:rFonts w:ascii="Times New Roman" w:hAnsi="Times New Roman"/>
                <w:kern w:val="0"/>
                <w:szCs w:val="21"/>
              </w:rPr>
              <w:t>　</w:t>
            </w:r>
          </w:p>
        </w:tc>
      </w:tr>
      <w:tr>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Theme="minorEastAsia"/>
                <w:kern w:val="0"/>
                <w:szCs w:val="21"/>
                <w:lang w:val="en-US" w:eastAsia="zh-CN"/>
              </w:rPr>
            </w:pPr>
            <w:r>
              <w:rPr>
                <w:rFonts w:hint="eastAsia" w:ascii="Times New Roman" w:hAnsi="Times New Roman"/>
                <w:kern w:val="0"/>
                <w:szCs w:val="21"/>
                <w:lang w:val="en-US" w:eastAsia="zh-CN"/>
              </w:rPr>
              <w:t>1、节约用水用电；2、严格办公经费及办公用品管理；3、从严控制会议和公务接待经费开支</w:t>
            </w:r>
            <w:r>
              <w:rPr>
                <w:rFonts w:hint="eastAsia" w:ascii="Times New Roman" w:hAnsi="Times New Roman"/>
                <w:kern w:val="0"/>
                <w:szCs w:val="21"/>
                <w:lang w:eastAsia="zh-CN"/>
              </w:rPr>
              <w:t>；</w:t>
            </w:r>
            <w:r>
              <w:rPr>
                <w:rFonts w:hint="eastAsia" w:ascii="Times New Roman" w:hAnsi="Times New Roman"/>
                <w:kern w:val="0"/>
                <w:szCs w:val="21"/>
                <w:lang w:val="en-US" w:eastAsia="zh-CN"/>
              </w:rPr>
              <w:t>4、从严控制公务接待；5、加强公车管理和出差管理。</w:t>
            </w:r>
          </w:p>
        </w:tc>
      </w:tr>
    </w:tbl>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eastAsia="黑体"/>
          <w:sz w:val="32"/>
          <w:szCs w:val="32"/>
        </w:rPr>
      </w:pPr>
      <w:r>
        <w:rPr>
          <w:rFonts w:ascii="Times New Roman" w:hAnsi="Times New Roman" w:eastAsia="仿宋_GB2312"/>
          <w:sz w:val="24"/>
        </w:rPr>
        <w:t>填表人：       填报日期：        联系电话：       单位负责人签字：</w:t>
      </w:r>
    </w:p>
    <w:p>
      <w:pPr>
        <w:rPr>
          <w:rFonts w:ascii="Times New Roman" w:hAnsi="Times New Roman" w:eastAsia="黑体"/>
          <w:sz w:val="32"/>
          <w:szCs w:val="32"/>
        </w:rPr>
      </w:pPr>
    </w:p>
    <w:p>
      <w:pPr>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tbl>
      <w:tblPr>
        <w:tblStyle w:val="5"/>
        <w:tblW w:w="9999" w:type="dxa"/>
        <w:jc w:val="center"/>
        <w:tblLayout w:type="fixed"/>
        <w:tblCellMar>
          <w:top w:w="0" w:type="dxa"/>
          <w:left w:w="108" w:type="dxa"/>
          <w:bottom w:w="0" w:type="dxa"/>
          <w:right w:w="108" w:type="dxa"/>
        </w:tblCellMar>
      </w:tblPr>
      <w:tblGrid>
        <w:gridCol w:w="1216"/>
        <w:gridCol w:w="1091"/>
        <w:gridCol w:w="1131"/>
        <w:gridCol w:w="1180"/>
        <w:gridCol w:w="1302"/>
        <w:gridCol w:w="63"/>
        <w:gridCol w:w="987"/>
        <w:gridCol w:w="183"/>
        <w:gridCol w:w="810"/>
        <w:gridCol w:w="765"/>
        <w:gridCol w:w="300"/>
        <w:gridCol w:w="971"/>
      </w:tblGrid>
      <w:tr>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 （盖章）</w:t>
            </w:r>
            <w:r>
              <w:rPr>
                <w:rFonts w:hint="eastAsia" w:ascii="Times New Roman" w:hAnsi="Times New Roman"/>
                <w:color w:val="000000"/>
                <w:kern w:val="0"/>
                <w:sz w:val="22"/>
                <w:lang w:val="en-US" w:eastAsia="zh-CN"/>
              </w:rPr>
              <w:t xml:space="preserve">                 （2021年度）</w:t>
            </w:r>
          </w:p>
        </w:tc>
      </w:tr>
      <w:tr>
        <w:tblPrEx>
          <w:tblCellMar>
            <w:top w:w="0" w:type="dxa"/>
            <w:left w:w="108" w:type="dxa"/>
            <w:bottom w:w="0" w:type="dxa"/>
            <w:right w:w="108" w:type="dxa"/>
          </w:tblCellMar>
        </w:tblPrEx>
        <w:trPr>
          <w:trHeight w:val="480" w:hRule="atLeast"/>
          <w:jc w:val="center"/>
        </w:trPr>
        <w:tc>
          <w:tcPr>
            <w:tcW w:w="121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76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衡阳市信访局</w:t>
            </w:r>
            <w:r>
              <w:rPr>
                <w:rFonts w:ascii="Times New Roman" w:hAnsi="Times New Roman" w:eastAsia="仿宋_GB2312"/>
                <w:color w:val="000000"/>
                <w:kern w:val="0"/>
                <w:szCs w:val="21"/>
              </w:rPr>
              <w:t>　</w:t>
            </w:r>
          </w:p>
        </w:tc>
        <w:tc>
          <w:tcPr>
            <w:tcW w:w="98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执行数</w:t>
            </w:r>
          </w:p>
        </w:tc>
        <w:tc>
          <w:tcPr>
            <w:tcW w:w="993" w:type="dxa"/>
            <w:gridSpan w:val="2"/>
            <w:tcBorders>
              <w:top w:val="single" w:color="auto" w:sz="4" w:space="0"/>
              <w:left w:val="nil"/>
              <w:bottom w:val="single" w:color="auto"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得分</w:t>
            </w:r>
          </w:p>
        </w:tc>
      </w:tr>
      <w:tr>
        <w:tblPrEx>
          <w:tblCellMar>
            <w:top w:w="0" w:type="dxa"/>
            <w:left w:w="108" w:type="dxa"/>
            <w:bottom w:w="0" w:type="dxa"/>
            <w:right w:w="108" w:type="dxa"/>
          </w:tblCellMar>
        </w:tblPrEx>
        <w:trPr>
          <w:trHeight w:val="555" w:hRule="atLeast"/>
          <w:jc w:val="center"/>
        </w:trPr>
        <w:tc>
          <w:tcPr>
            <w:tcW w:w="1216"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76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s="Times New Roman"/>
                <w:kern w:val="0"/>
                <w:szCs w:val="21"/>
                <w:lang w:val="en-US" w:eastAsia="zh-CN"/>
              </w:rPr>
              <w:t>18802048.74</w:t>
            </w:r>
            <w:r>
              <w:rPr>
                <w:rFonts w:hint="default" w:ascii="Times New Roman" w:hAnsi="Times New Roman" w:eastAsia="仿宋_GB2312" w:cs="Times New Roman"/>
                <w:kern w:val="0"/>
                <w:szCs w:val="21"/>
              </w:rPr>
              <w:t>元</w:t>
            </w:r>
          </w:p>
        </w:tc>
        <w:tc>
          <w:tcPr>
            <w:tcW w:w="987"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18802048.74元</w:t>
            </w:r>
          </w:p>
        </w:tc>
        <w:tc>
          <w:tcPr>
            <w:tcW w:w="9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98</w:t>
            </w:r>
          </w:p>
        </w:tc>
      </w:tr>
      <w:tr>
        <w:tblPrEx>
          <w:tblCellMar>
            <w:top w:w="0" w:type="dxa"/>
            <w:left w:w="108" w:type="dxa"/>
            <w:bottom w:w="0" w:type="dxa"/>
            <w:right w:w="108" w:type="dxa"/>
          </w:tblCellMar>
        </w:tblPrEx>
        <w:trPr>
          <w:trHeight w:val="516" w:hRule="atLeast"/>
          <w:jc w:val="center"/>
        </w:trPr>
        <w:tc>
          <w:tcPr>
            <w:tcW w:w="1216"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6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lang w:val="en-US" w:eastAsia="zh-CN"/>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按支出性质分：</w:t>
            </w:r>
          </w:p>
        </w:tc>
      </w:tr>
      <w:tr>
        <w:tblPrEx>
          <w:tblCellMar>
            <w:top w:w="0" w:type="dxa"/>
            <w:left w:w="108" w:type="dxa"/>
            <w:bottom w:w="0" w:type="dxa"/>
            <w:right w:w="108" w:type="dxa"/>
          </w:tblCellMar>
        </w:tblPrEx>
        <w:trPr>
          <w:trHeight w:val="488" w:hRule="atLeast"/>
          <w:jc w:val="center"/>
        </w:trPr>
        <w:tc>
          <w:tcPr>
            <w:tcW w:w="1216"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6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18484915.74</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其中：基本支出：7485623.96</w:t>
            </w:r>
          </w:p>
        </w:tc>
      </w:tr>
      <w:tr>
        <w:tblPrEx>
          <w:tblCellMar>
            <w:top w:w="0" w:type="dxa"/>
            <w:left w:w="108" w:type="dxa"/>
            <w:bottom w:w="0" w:type="dxa"/>
            <w:right w:w="108" w:type="dxa"/>
          </w:tblCellMar>
        </w:tblPrEx>
        <w:trPr>
          <w:trHeight w:val="504" w:hRule="atLeast"/>
          <w:jc w:val="center"/>
        </w:trPr>
        <w:tc>
          <w:tcPr>
            <w:tcW w:w="1216"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6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项目支出：11316424.78</w:t>
            </w:r>
          </w:p>
        </w:tc>
      </w:tr>
      <w:tr>
        <w:tblPrEx>
          <w:tblCellMar>
            <w:top w:w="0" w:type="dxa"/>
            <w:left w:w="108" w:type="dxa"/>
            <w:bottom w:w="0" w:type="dxa"/>
            <w:right w:w="108" w:type="dxa"/>
          </w:tblCellMar>
        </w:tblPrEx>
        <w:trPr>
          <w:trHeight w:val="545" w:hRule="atLeast"/>
          <w:jc w:val="center"/>
        </w:trPr>
        <w:tc>
          <w:tcPr>
            <w:tcW w:w="1216"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6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484" w:hRule="atLeast"/>
          <w:jc w:val="center"/>
        </w:trPr>
        <w:tc>
          <w:tcPr>
            <w:tcW w:w="1216"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6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120780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2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783"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kern w:val="0"/>
                <w:szCs w:val="21"/>
              </w:rPr>
            </w:pPr>
            <w:r>
              <w:rPr>
                <w:rFonts w:hint="eastAsia" w:ascii="仿宋" w:hAnsi="仿宋" w:eastAsia="仿宋" w:cs="仿宋"/>
                <w:kern w:val="0"/>
                <w:szCs w:val="21"/>
              </w:rPr>
              <w:t>（一）贯彻执行中央和省颁发的各项信访工作法律、法规及规章制度，并拟订实施意见。</w:t>
            </w:r>
          </w:p>
          <w:p>
            <w:pPr>
              <w:widowControl/>
              <w:rPr>
                <w:rFonts w:hint="eastAsia" w:ascii="仿宋" w:hAnsi="仿宋" w:eastAsia="仿宋" w:cs="仿宋"/>
                <w:kern w:val="0"/>
                <w:szCs w:val="21"/>
              </w:rPr>
            </w:pPr>
            <w:r>
              <w:rPr>
                <w:rFonts w:hint="eastAsia" w:ascii="仿宋" w:hAnsi="仿宋" w:eastAsia="仿宋" w:cs="仿宋"/>
                <w:kern w:val="0"/>
                <w:szCs w:val="21"/>
              </w:rPr>
              <w:t>（二）负责受理、交办、转送信访人向市委、市政府提出的信访事项。负责做好市委、市政府领导同志接待上访群众的组织服务工作。</w:t>
            </w:r>
          </w:p>
          <w:p>
            <w:pPr>
              <w:widowControl/>
              <w:rPr>
                <w:rFonts w:hint="eastAsia" w:ascii="仿宋" w:hAnsi="仿宋" w:eastAsia="仿宋" w:cs="仿宋"/>
                <w:kern w:val="0"/>
                <w:szCs w:val="21"/>
              </w:rPr>
            </w:pPr>
            <w:r>
              <w:rPr>
                <w:rFonts w:hint="eastAsia" w:ascii="仿宋" w:hAnsi="仿宋" w:eastAsia="仿宋" w:cs="仿宋"/>
                <w:kern w:val="0"/>
                <w:szCs w:val="21"/>
              </w:rPr>
              <w:t>（三）承办中央和国家机关、省委和省人民政府及市委、市人民政府交办的信访事项，督促检查领导同志有关信访批示件的落实情况；向县市区和市直部门交办信访事项，督促检查信访事项的处理和落实情况。</w:t>
            </w:r>
          </w:p>
          <w:p>
            <w:pPr>
              <w:widowControl/>
              <w:rPr>
                <w:rFonts w:hint="eastAsia" w:ascii="仿宋" w:hAnsi="仿宋" w:eastAsia="仿宋" w:cs="仿宋"/>
                <w:kern w:val="0"/>
                <w:szCs w:val="21"/>
              </w:rPr>
            </w:pPr>
            <w:r>
              <w:rPr>
                <w:rFonts w:hint="eastAsia" w:ascii="仿宋" w:hAnsi="仿宋" w:eastAsia="仿宋" w:cs="仿宋"/>
                <w:kern w:val="0"/>
                <w:szCs w:val="21"/>
              </w:rPr>
              <w:t>（四）综合反映群众信访中的重要情况和带政策性、倾向性、苗头性问题和社会动态，研究、统计、分析信访情况，及时向市委、市政府提出完善政策和改进工作的建议。</w:t>
            </w:r>
          </w:p>
          <w:p>
            <w:pPr>
              <w:widowControl/>
              <w:rPr>
                <w:rFonts w:hint="eastAsia" w:ascii="仿宋" w:hAnsi="仿宋" w:eastAsia="仿宋" w:cs="仿宋"/>
                <w:kern w:val="0"/>
                <w:szCs w:val="21"/>
              </w:rPr>
            </w:pPr>
            <w:r>
              <w:rPr>
                <w:rFonts w:hint="eastAsia" w:ascii="仿宋" w:hAnsi="仿宋" w:eastAsia="仿宋" w:cs="仿宋"/>
                <w:kern w:val="0"/>
                <w:szCs w:val="21"/>
              </w:rPr>
              <w:t>（五）协同有关部门处理跨地区、跨部门的重大信访问题；协调处理群众到市赴省进京上访和异常、突发性信访事项；协调指导全市各级党政机关的信访工作。</w:t>
            </w:r>
          </w:p>
          <w:p>
            <w:pPr>
              <w:widowControl/>
              <w:rPr>
                <w:rFonts w:hint="eastAsia" w:ascii="仿宋" w:hAnsi="仿宋" w:eastAsia="仿宋" w:cs="仿宋"/>
                <w:kern w:val="0"/>
                <w:szCs w:val="21"/>
              </w:rPr>
            </w:pPr>
            <w:r>
              <w:rPr>
                <w:rFonts w:hint="eastAsia" w:ascii="仿宋" w:hAnsi="仿宋" w:eastAsia="仿宋" w:cs="仿宋"/>
                <w:kern w:val="0"/>
                <w:szCs w:val="21"/>
              </w:rPr>
              <w:t>（六）承担市信访工作联席会议的日常工作，督促落实联席会议决定的事项；承担市人民政府信访事项复查复核办公室的日常工作，负责市人民政府信访事项的复查复核工作。</w:t>
            </w:r>
          </w:p>
          <w:p>
            <w:pPr>
              <w:widowControl/>
              <w:rPr>
                <w:rFonts w:hint="eastAsia" w:ascii="仿宋" w:hAnsi="仿宋" w:eastAsia="仿宋" w:cs="仿宋"/>
                <w:kern w:val="0"/>
                <w:szCs w:val="21"/>
              </w:rPr>
            </w:pPr>
            <w:r>
              <w:rPr>
                <w:rFonts w:hint="eastAsia" w:ascii="仿宋" w:hAnsi="仿宋" w:eastAsia="仿宋" w:cs="仿宋"/>
                <w:kern w:val="0"/>
                <w:szCs w:val="21"/>
              </w:rPr>
              <w:t>（七）开展信访工作宣传和理论研讨，总结推广信访工作经验，提出改进和加强信访工作的意见；对全市各级党政单位的信访工作进行指导、督促、协调、检查、考核。</w:t>
            </w:r>
          </w:p>
          <w:p>
            <w:pPr>
              <w:widowControl/>
              <w:rPr>
                <w:rFonts w:hint="eastAsia" w:ascii="仿宋" w:hAnsi="仿宋" w:eastAsia="仿宋" w:cs="仿宋"/>
                <w:kern w:val="0"/>
                <w:szCs w:val="21"/>
              </w:rPr>
            </w:pPr>
            <w:r>
              <w:rPr>
                <w:rFonts w:hint="eastAsia" w:ascii="仿宋" w:hAnsi="仿宋" w:eastAsia="仿宋" w:cs="仿宋"/>
                <w:kern w:val="0"/>
                <w:szCs w:val="21"/>
              </w:rPr>
              <w:t>（八）负责全市网上投诉处理工作；指导全市信访信息系统建设和应用，指导信访部门办公自动化建设。</w:t>
            </w:r>
          </w:p>
          <w:p>
            <w:pPr>
              <w:widowControl/>
              <w:rPr>
                <w:rFonts w:hint="eastAsia" w:ascii="仿宋" w:hAnsi="仿宋" w:eastAsia="仿宋" w:cs="仿宋"/>
                <w:kern w:val="0"/>
                <w:szCs w:val="21"/>
              </w:rPr>
            </w:pPr>
            <w:r>
              <w:rPr>
                <w:rFonts w:hint="eastAsia" w:ascii="仿宋" w:hAnsi="仿宋" w:eastAsia="仿宋" w:cs="仿宋"/>
                <w:kern w:val="0"/>
                <w:szCs w:val="21"/>
              </w:rPr>
              <w:t>（九）掌握全市信访工作队伍建设情况，提出加强信访队伍建设措施；对信访工作中失职、渎职行为提出处理建议；组织信访干部培训。</w:t>
            </w:r>
          </w:p>
          <w:p>
            <w:pPr>
              <w:widowControl/>
              <w:rPr>
                <w:rFonts w:hint="eastAsia" w:ascii="仿宋" w:hAnsi="仿宋" w:eastAsia="仿宋" w:cs="仿宋"/>
                <w:kern w:val="0"/>
                <w:szCs w:val="21"/>
              </w:rPr>
            </w:pPr>
            <w:r>
              <w:rPr>
                <w:rFonts w:hint="eastAsia" w:ascii="仿宋" w:hAnsi="仿宋" w:eastAsia="仿宋" w:cs="仿宋"/>
                <w:kern w:val="0"/>
                <w:szCs w:val="21"/>
              </w:rPr>
              <w:t>（十）承办市委、市人民政府以及市委办公室、市政府办公室交办的其他事项。</w:t>
            </w:r>
          </w:p>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1196" w:hRule="atLeast"/>
          <w:jc w:val="center"/>
        </w:trPr>
        <w:tc>
          <w:tcPr>
            <w:tcW w:w="12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783"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default" w:ascii="Times New Roman" w:hAnsi="Times New Roman" w:eastAsia="仿宋_GB2312" w:cs="Times New Roman"/>
                <w:kern w:val="0"/>
                <w:szCs w:val="21"/>
              </w:rPr>
              <w:t>衔接信访工作，疏通信访渠道，规范信访秩序，化解信访问题，扭转信访形势，维护我市形象。</w:t>
            </w:r>
          </w:p>
        </w:tc>
      </w:tr>
      <w:tr>
        <w:tblPrEx>
          <w:tblCellMar>
            <w:top w:w="0" w:type="dxa"/>
            <w:left w:w="108" w:type="dxa"/>
            <w:bottom w:w="0" w:type="dxa"/>
            <w:right w:w="108" w:type="dxa"/>
          </w:tblCellMar>
        </w:tblPrEx>
        <w:trPr>
          <w:trHeight w:val="763" w:hRule="atLeast"/>
          <w:jc w:val="center"/>
        </w:trPr>
        <w:tc>
          <w:tcPr>
            <w:tcW w:w="121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9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23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905" w:hRule="atLeast"/>
          <w:jc w:val="center"/>
        </w:trPr>
        <w:tc>
          <w:tcPr>
            <w:tcW w:w="1216"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9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50</w:t>
            </w:r>
            <w:r>
              <w:rPr>
                <w:rFonts w:ascii="Times New Roman" w:hAnsi="Times New Roman" w:eastAsia="仿宋_GB2312"/>
                <w:color w:val="000000"/>
                <w:kern w:val="0"/>
                <w:szCs w:val="21"/>
              </w:rPr>
              <w:t>分)</w:t>
            </w: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全市信访总量下降率</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全市信访总量与去年同期相比下降5%以上</w:t>
            </w:r>
          </w:p>
        </w:tc>
        <w:tc>
          <w:tcPr>
            <w:tcW w:w="1233"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全市信访总量与去年同期相比下降</w:t>
            </w:r>
            <w:r>
              <w:rPr>
                <w:rFonts w:hint="eastAsia" w:ascii="Times New Roman" w:hAnsi="Times New Roman" w:eastAsia="仿宋_GB2312"/>
                <w:color w:val="000000"/>
                <w:kern w:val="0"/>
                <w:sz w:val="18"/>
                <w:szCs w:val="18"/>
                <w:lang w:val="en-US" w:eastAsia="zh-CN"/>
              </w:rPr>
              <w:t>22</w:t>
            </w:r>
            <w:r>
              <w:rPr>
                <w:rFonts w:hint="eastAsia" w:ascii="Times New Roman" w:hAnsi="Times New Roman" w:eastAsia="仿宋_GB2312"/>
                <w:color w:val="000000"/>
                <w:kern w:val="0"/>
                <w:sz w:val="18"/>
                <w:szCs w:val="18"/>
              </w:rPr>
              <w:t>%</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60" w:hRule="atLeast"/>
          <w:jc w:val="center"/>
        </w:trPr>
        <w:tc>
          <w:tcPr>
            <w:tcW w:w="1216"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9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信访事项及时受理率</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信访事项及时受理率达95%以上</w:t>
            </w:r>
          </w:p>
        </w:tc>
        <w:tc>
          <w:tcPr>
            <w:tcW w:w="1233"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信访事项及时受理率9</w:t>
            </w:r>
            <w:r>
              <w:rPr>
                <w:rFonts w:hint="eastAsia" w:ascii="Times New Roman" w:hAnsi="Times New Roman" w:eastAsia="仿宋_GB2312"/>
                <w:color w:val="000000"/>
                <w:kern w:val="0"/>
                <w:sz w:val="18"/>
                <w:szCs w:val="18"/>
                <w:lang w:val="en-US" w:eastAsia="zh-CN"/>
              </w:rPr>
              <w:t>8.8</w:t>
            </w:r>
            <w:r>
              <w:rPr>
                <w:rFonts w:hint="eastAsia" w:ascii="Times New Roman" w:hAnsi="Times New Roman" w:eastAsia="仿宋_GB2312"/>
                <w:color w:val="000000"/>
                <w:kern w:val="0"/>
                <w:sz w:val="18"/>
                <w:szCs w:val="18"/>
              </w:rPr>
              <w:t>%</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33" w:hRule="atLeast"/>
          <w:jc w:val="center"/>
        </w:trPr>
        <w:tc>
          <w:tcPr>
            <w:tcW w:w="1216"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9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信访事项按期办结率</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信访事项按期办结率达85%以上</w:t>
            </w:r>
          </w:p>
        </w:tc>
        <w:tc>
          <w:tcPr>
            <w:tcW w:w="1233"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信访事项按期办结率</w:t>
            </w:r>
            <w:r>
              <w:rPr>
                <w:rFonts w:hint="eastAsia" w:ascii="Times New Roman" w:hAnsi="Times New Roman" w:eastAsia="仿宋_GB2312"/>
                <w:color w:val="000000"/>
                <w:kern w:val="0"/>
                <w:sz w:val="18"/>
                <w:szCs w:val="18"/>
                <w:lang w:val="en-US" w:eastAsia="zh-CN"/>
              </w:rPr>
              <w:t>96.6</w:t>
            </w:r>
            <w:r>
              <w:rPr>
                <w:rFonts w:hint="eastAsia" w:ascii="Times New Roman" w:hAnsi="Times New Roman" w:eastAsia="仿宋_GB2312"/>
                <w:color w:val="000000"/>
                <w:kern w:val="0"/>
                <w:sz w:val="18"/>
                <w:szCs w:val="18"/>
              </w:rPr>
              <w:t>%</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583" w:hRule="atLeast"/>
          <w:jc w:val="center"/>
        </w:trPr>
        <w:tc>
          <w:tcPr>
            <w:tcW w:w="1216"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91"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val="en-US" w:eastAsia="zh-CN"/>
              </w:rPr>
              <w:t>成本控制</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val="en-US" w:eastAsia="zh-CN"/>
              </w:rPr>
              <w:t>成本控制在预算批复资金内</w:t>
            </w:r>
          </w:p>
        </w:tc>
        <w:tc>
          <w:tcPr>
            <w:tcW w:w="1233"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val="en-US" w:eastAsia="zh-CN"/>
              </w:rPr>
              <w:t>1880.2万</w:t>
            </w:r>
            <w:r>
              <w:rPr>
                <w:rFonts w:hint="default" w:ascii="Times New Roman" w:hAnsi="Times New Roman" w:eastAsia="仿宋_GB2312"/>
                <w:color w:val="000000"/>
                <w:kern w:val="0"/>
                <w:sz w:val="18"/>
                <w:szCs w:val="18"/>
              </w:rPr>
              <w:t>元</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585" w:hRule="atLeast"/>
          <w:jc w:val="center"/>
        </w:trPr>
        <w:tc>
          <w:tcPr>
            <w:tcW w:w="1216"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9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lang w:eastAsia="zh-CN"/>
              </w:rPr>
            </w:pPr>
            <w:r>
              <w:rPr>
                <w:rFonts w:hint="eastAsia" w:ascii="Times New Roman" w:hAnsi="Times New Roman" w:eastAsia="仿宋_GB2312"/>
                <w:color w:val="000000"/>
                <w:kern w:val="0"/>
                <w:sz w:val="18"/>
                <w:szCs w:val="18"/>
                <w:lang w:eastAsia="zh-CN"/>
              </w:rPr>
              <w:t>不适用</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　</w:t>
            </w:r>
          </w:p>
        </w:tc>
        <w:tc>
          <w:tcPr>
            <w:tcW w:w="1233"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　</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119" w:hRule="atLeast"/>
          <w:jc w:val="center"/>
        </w:trPr>
        <w:tc>
          <w:tcPr>
            <w:tcW w:w="1216"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91"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rPr>
              <w:t>化解信访积案、解决信访难题</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olor w:val="000000"/>
                <w:kern w:val="0"/>
                <w:sz w:val="18"/>
                <w:szCs w:val="18"/>
                <w:lang w:val="en-US"/>
              </w:rPr>
            </w:pPr>
            <w:r>
              <w:rPr>
                <w:rFonts w:hint="eastAsia" w:ascii="Times New Roman" w:hAnsi="Times New Roman" w:eastAsia="仿宋_GB2312"/>
                <w:color w:val="000000"/>
                <w:kern w:val="0"/>
                <w:sz w:val="18"/>
                <w:szCs w:val="18"/>
                <w:lang w:val="en-US" w:eastAsia="zh-CN"/>
              </w:rPr>
              <w:t>当年中央联席办交办的重信重访信访案件按期办结率95%以上</w:t>
            </w:r>
          </w:p>
        </w:tc>
        <w:tc>
          <w:tcPr>
            <w:tcW w:w="1233"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olor w:val="000000"/>
                <w:kern w:val="0"/>
                <w:sz w:val="18"/>
                <w:szCs w:val="18"/>
                <w:lang w:val="en-US"/>
              </w:rPr>
            </w:pPr>
            <w:r>
              <w:rPr>
                <w:rFonts w:hint="eastAsia" w:ascii="Times New Roman" w:hAnsi="Times New Roman" w:eastAsia="仿宋_GB2312"/>
                <w:color w:val="000000"/>
                <w:kern w:val="0"/>
                <w:sz w:val="18"/>
                <w:szCs w:val="18"/>
                <w:lang w:val="en-US" w:eastAsia="zh-CN"/>
              </w:rPr>
              <w:t>当年中央联席办交办的重信重访信访案件按期办结率100%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585" w:hRule="atLeast"/>
          <w:jc w:val="center"/>
        </w:trPr>
        <w:tc>
          <w:tcPr>
            <w:tcW w:w="1216"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91"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eastAsia="zh-CN"/>
              </w:rPr>
              <w:t>不适用</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　</w:t>
            </w:r>
          </w:p>
        </w:tc>
        <w:tc>
          <w:tcPr>
            <w:tcW w:w="123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173" w:hRule="atLeast"/>
          <w:jc w:val="center"/>
        </w:trPr>
        <w:tc>
          <w:tcPr>
            <w:tcW w:w="1216"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91"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建立健全长效管理机制</w:t>
            </w:r>
          </w:p>
        </w:tc>
        <w:tc>
          <w:tcPr>
            <w:tcW w:w="13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强化信访形势分析研判，持续开展矛盾隐患排查化解工作</w:t>
            </w:r>
          </w:p>
        </w:tc>
        <w:tc>
          <w:tcPr>
            <w:tcW w:w="123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全力营造信访法治氛围</w:t>
            </w:r>
            <w:r>
              <w:rPr>
                <w:rFonts w:hint="eastAsia" w:ascii="Times New Roman" w:hAnsi="Times New Roman" w:eastAsia="仿宋_GB2312"/>
                <w:color w:val="000000"/>
                <w:kern w:val="0"/>
                <w:sz w:val="18"/>
                <w:szCs w:val="18"/>
                <w:lang w:eastAsia="zh-CN"/>
              </w:rPr>
              <w:t>，</w:t>
            </w:r>
            <w:r>
              <w:rPr>
                <w:rFonts w:hint="eastAsia" w:ascii="Times New Roman" w:hAnsi="Times New Roman" w:eastAsia="仿宋_GB2312"/>
                <w:color w:val="000000"/>
                <w:kern w:val="0"/>
                <w:sz w:val="18"/>
                <w:szCs w:val="18"/>
              </w:rPr>
              <w:t>全面加强违法信访行为教育处置</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18</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028" w:hRule="atLeast"/>
          <w:jc w:val="center"/>
        </w:trPr>
        <w:tc>
          <w:tcPr>
            <w:tcW w:w="1216"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1"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31" w:type="dxa"/>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回访满意度</w:t>
            </w:r>
          </w:p>
        </w:tc>
        <w:tc>
          <w:tcPr>
            <w:tcW w:w="13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信访</w:t>
            </w:r>
            <w:r>
              <w:rPr>
                <w:rFonts w:hint="eastAsia" w:ascii="Times New Roman" w:hAnsi="Times New Roman" w:eastAsia="仿宋_GB2312"/>
                <w:color w:val="000000"/>
                <w:kern w:val="0"/>
                <w:sz w:val="18"/>
                <w:szCs w:val="18"/>
                <w:lang w:eastAsia="zh-CN"/>
              </w:rPr>
              <w:t>案件回访</w:t>
            </w:r>
            <w:r>
              <w:rPr>
                <w:rFonts w:hint="eastAsia" w:ascii="Times New Roman" w:hAnsi="Times New Roman" w:eastAsia="仿宋_GB2312"/>
                <w:color w:val="000000"/>
                <w:kern w:val="0"/>
                <w:sz w:val="18"/>
                <w:szCs w:val="18"/>
              </w:rPr>
              <w:t>群众对信访部门满意度</w:t>
            </w:r>
            <w:r>
              <w:rPr>
                <w:rFonts w:hint="eastAsia" w:ascii="Times New Roman" w:hAnsi="Times New Roman" w:eastAsia="仿宋_GB2312"/>
                <w:color w:val="000000"/>
                <w:kern w:val="0"/>
                <w:sz w:val="18"/>
                <w:szCs w:val="18"/>
                <w:lang w:eastAsia="zh-CN"/>
              </w:rPr>
              <w:t>达</w:t>
            </w:r>
            <w:r>
              <w:rPr>
                <w:rFonts w:hint="eastAsia" w:ascii="Times New Roman" w:hAnsi="Times New Roman" w:eastAsia="仿宋_GB2312"/>
                <w:color w:val="000000"/>
                <w:kern w:val="0"/>
                <w:sz w:val="18"/>
                <w:szCs w:val="18"/>
                <w:lang w:val="en-US" w:eastAsia="zh-CN"/>
              </w:rPr>
              <w:t>70</w:t>
            </w:r>
            <w:r>
              <w:rPr>
                <w:rFonts w:hint="eastAsia" w:ascii="Times New Roman" w:hAnsi="Times New Roman" w:eastAsia="仿宋_GB2312"/>
                <w:color w:val="000000"/>
                <w:kern w:val="0"/>
                <w:sz w:val="18"/>
                <w:szCs w:val="18"/>
              </w:rPr>
              <w:t>%</w:t>
            </w:r>
            <w:r>
              <w:rPr>
                <w:rFonts w:hint="eastAsia" w:ascii="Times New Roman" w:hAnsi="Times New Roman" w:eastAsia="仿宋_GB2312"/>
                <w:color w:val="000000"/>
                <w:kern w:val="0"/>
                <w:sz w:val="18"/>
                <w:szCs w:val="18"/>
                <w:lang w:eastAsia="zh-CN"/>
              </w:rPr>
              <w:t>以上</w:t>
            </w:r>
          </w:p>
        </w:tc>
        <w:tc>
          <w:tcPr>
            <w:tcW w:w="12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rPr>
              <w:t>信访</w:t>
            </w:r>
            <w:r>
              <w:rPr>
                <w:rFonts w:hint="eastAsia" w:ascii="Times New Roman" w:hAnsi="Times New Roman" w:eastAsia="仿宋_GB2312"/>
                <w:color w:val="000000"/>
                <w:kern w:val="0"/>
                <w:sz w:val="18"/>
                <w:szCs w:val="18"/>
                <w:lang w:eastAsia="zh-CN"/>
              </w:rPr>
              <w:t>案件回访</w:t>
            </w:r>
            <w:r>
              <w:rPr>
                <w:rFonts w:hint="eastAsia" w:ascii="Times New Roman" w:hAnsi="Times New Roman" w:eastAsia="仿宋_GB2312"/>
                <w:color w:val="000000"/>
                <w:kern w:val="0"/>
                <w:sz w:val="18"/>
                <w:szCs w:val="18"/>
              </w:rPr>
              <w:t>群众对信访部门满意度</w:t>
            </w:r>
            <w:r>
              <w:rPr>
                <w:rFonts w:hint="eastAsia" w:ascii="Times New Roman" w:hAnsi="Times New Roman" w:eastAsia="仿宋_GB2312"/>
                <w:color w:val="000000"/>
                <w:kern w:val="0"/>
                <w:sz w:val="18"/>
                <w:szCs w:val="18"/>
                <w:lang w:val="en-US" w:eastAsia="zh-CN"/>
              </w:rPr>
              <w:t>85%</w:t>
            </w:r>
          </w:p>
        </w:tc>
        <w:tc>
          <w:tcPr>
            <w:tcW w:w="8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654" w:hRule="atLeast"/>
          <w:jc w:val="center"/>
        </w:trPr>
        <w:tc>
          <w:tcPr>
            <w:tcW w:w="715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98</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spacing w:beforeLines="50"/>
        <w:rPr>
          <w:rFonts w:ascii="Times New Roman" w:hAnsi="Times New Roman" w:eastAsia="仿宋_GB2312"/>
          <w:sz w:val="24"/>
        </w:rPr>
      </w:pPr>
    </w:p>
    <w:p>
      <w:pPr>
        <w:spacing w:beforeLines="50"/>
        <w:rPr>
          <w:rFonts w:ascii="Times New Roman" w:hAnsi="Times New Roman" w:eastAsia="黑体"/>
          <w:sz w:val="32"/>
          <w:szCs w:val="32"/>
        </w:rPr>
      </w:pPr>
      <w:r>
        <w:rPr>
          <w:rFonts w:ascii="Times New Roman" w:hAnsi="Times New Roman" w:eastAsia="仿宋_GB2312"/>
          <w:sz w:val="24"/>
        </w:rPr>
        <w:t>填表人：       填报日期：        联系电话：       单位负责人签字：</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EC757"/>
    <w:multiLevelType w:val="singleLevel"/>
    <w:tmpl w:val="77FEC7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OTFlZDdlOTM1MDZmNzNmODgxNDg5MGY1ZTM1MzQifQ=="/>
  </w:docVars>
  <w:rsids>
    <w:rsidRoot w:val="00305E74"/>
    <w:rsid w:val="00037047"/>
    <w:rsid w:val="000561B4"/>
    <w:rsid w:val="0006167F"/>
    <w:rsid w:val="00083845"/>
    <w:rsid w:val="000946DB"/>
    <w:rsid w:val="000B00C6"/>
    <w:rsid w:val="00135B41"/>
    <w:rsid w:val="001626CB"/>
    <w:rsid w:val="001A6F00"/>
    <w:rsid w:val="0026079C"/>
    <w:rsid w:val="00281415"/>
    <w:rsid w:val="00295316"/>
    <w:rsid w:val="002A4D49"/>
    <w:rsid w:val="00305E74"/>
    <w:rsid w:val="00352A25"/>
    <w:rsid w:val="003568E8"/>
    <w:rsid w:val="00380A90"/>
    <w:rsid w:val="003B5C19"/>
    <w:rsid w:val="00400A65"/>
    <w:rsid w:val="00410F83"/>
    <w:rsid w:val="00411B16"/>
    <w:rsid w:val="00434A56"/>
    <w:rsid w:val="00447016"/>
    <w:rsid w:val="004D6BCA"/>
    <w:rsid w:val="0052746A"/>
    <w:rsid w:val="00530D12"/>
    <w:rsid w:val="00537487"/>
    <w:rsid w:val="005B6C65"/>
    <w:rsid w:val="005C0A45"/>
    <w:rsid w:val="005C32E9"/>
    <w:rsid w:val="005D4D64"/>
    <w:rsid w:val="0064034D"/>
    <w:rsid w:val="0066437B"/>
    <w:rsid w:val="006914F6"/>
    <w:rsid w:val="006A04A2"/>
    <w:rsid w:val="00723F89"/>
    <w:rsid w:val="007719E1"/>
    <w:rsid w:val="00772F76"/>
    <w:rsid w:val="007A07C4"/>
    <w:rsid w:val="007C2E60"/>
    <w:rsid w:val="008602EE"/>
    <w:rsid w:val="008621B1"/>
    <w:rsid w:val="008F34A1"/>
    <w:rsid w:val="0090243A"/>
    <w:rsid w:val="00972E7B"/>
    <w:rsid w:val="0098736B"/>
    <w:rsid w:val="009C79AF"/>
    <w:rsid w:val="009F0EE6"/>
    <w:rsid w:val="00A42F00"/>
    <w:rsid w:val="00A524A6"/>
    <w:rsid w:val="00A52B13"/>
    <w:rsid w:val="00A66AE9"/>
    <w:rsid w:val="00B02FA1"/>
    <w:rsid w:val="00B925F8"/>
    <w:rsid w:val="00B96936"/>
    <w:rsid w:val="00BE4B21"/>
    <w:rsid w:val="00C4168C"/>
    <w:rsid w:val="00C569A8"/>
    <w:rsid w:val="00CB457E"/>
    <w:rsid w:val="00DA22CE"/>
    <w:rsid w:val="00DD4DDF"/>
    <w:rsid w:val="00E81A2C"/>
    <w:rsid w:val="00E8732A"/>
    <w:rsid w:val="00EB4075"/>
    <w:rsid w:val="00F31779"/>
    <w:rsid w:val="00F824EA"/>
    <w:rsid w:val="00FD390D"/>
    <w:rsid w:val="034641CA"/>
    <w:rsid w:val="036E4EB4"/>
    <w:rsid w:val="05974C5A"/>
    <w:rsid w:val="0627126E"/>
    <w:rsid w:val="07A31679"/>
    <w:rsid w:val="08C84A70"/>
    <w:rsid w:val="0AC110ED"/>
    <w:rsid w:val="0AE80A40"/>
    <w:rsid w:val="0B2669F9"/>
    <w:rsid w:val="0B835EE6"/>
    <w:rsid w:val="0D4A3843"/>
    <w:rsid w:val="0DCE668E"/>
    <w:rsid w:val="0E857957"/>
    <w:rsid w:val="0EA14CFE"/>
    <w:rsid w:val="10733107"/>
    <w:rsid w:val="10DE709A"/>
    <w:rsid w:val="115F7D59"/>
    <w:rsid w:val="11D81D3B"/>
    <w:rsid w:val="127B158B"/>
    <w:rsid w:val="13303EAF"/>
    <w:rsid w:val="13857CA0"/>
    <w:rsid w:val="15EC3AEE"/>
    <w:rsid w:val="16221D47"/>
    <w:rsid w:val="1738335E"/>
    <w:rsid w:val="18742FFE"/>
    <w:rsid w:val="188E75F7"/>
    <w:rsid w:val="18FD5086"/>
    <w:rsid w:val="1A7226F6"/>
    <w:rsid w:val="1AB31BB7"/>
    <w:rsid w:val="1B175DE3"/>
    <w:rsid w:val="1B2D45AC"/>
    <w:rsid w:val="1B7156DA"/>
    <w:rsid w:val="1BDE6904"/>
    <w:rsid w:val="1DDB3901"/>
    <w:rsid w:val="20C04176"/>
    <w:rsid w:val="212E5E1B"/>
    <w:rsid w:val="21913D3E"/>
    <w:rsid w:val="24870DFC"/>
    <w:rsid w:val="26995161"/>
    <w:rsid w:val="26D043B8"/>
    <w:rsid w:val="27100086"/>
    <w:rsid w:val="27657872"/>
    <w:rsid w:val="27E65A8D"/>
    <w:rsid w:val="280633FA"/>
    <w:rsid w:val="28E51F5A"/>
    <w:rsid w:val="29122110"/>
    <w:rsid w:val="2A440221"/>
    <w:rsid w:val="2A496F8A"/>
    <w:rsid w:val="2B4B5034"/>
    <w:rsid w:val="2CD71115"/>
    <w:rsid w:val="2D557DF7"/>
    <w:rsid w:val="2DC32DE5"/>
    <w:rsid w:val="2E8C56B8"/>
    <w:rsid w:val="2F7D2448"/>
    <w:rsid w:val="30520E7C"/>
    <w:rsid w:val="30B33C47"/>
    <w:rsid w:val="31036461"/>
    <w:rsid w:val="32DD0626"/>
    <w:rsid w:val="337D43C4"/>
    <w:rsid w:val="35A554CC"/>
    <w:rsid w:val="38B6003A"/>
    <w:rsid w:val="3A306308"/>
    <w:rsid w:val="3AC645DD"/>
    <w:rsid w:val="3AF36F59"/>
    <w:rsid w:val="3B693880"/>
    <w:rsid w:val="3BBE07FB"/>
    <w:rsid w:val="3C37738E"/>
    <w:rsid w:val="3D255CA4"/>
    <w:rsid w:val="3E9B4C09"/>
    <w:rsid w:val="401D592F"/>
    <w:rsid w:val="421A58D4"/>
    <w:rsid w:val="43814AFD"/>
    <w:rsid w:val="449000D0"/>
    <w:rsid w:val="454516CB"/>
    <w:rsid w:val="45BC4EF4"/>
    <w:rsid w:val="46A82796"/>
    <w:rsid w:val="477C0F65"/>
    <w:rsid w:val="47FA50C6"/>
    <w:rsid w:val="48577B25"/>
    <w:rsid w:val="49607A88"/>
    <w:rsid w:val="49AE3481"/>
    <w:rsid w:val="4A0B0B3E"/>
    <w:rsid w:val="4AA70C5D"/>
    <w:rsid w:val="4CF80C4F"/>
    <w:rsid w:val="4D4052E5"/>
    <w:rsid w:val="4DDC1D76"/>
    <w:rsid w:val="4F3E697A"/>
    <w:rsid w:val="4F6A4F9A"/>
    <w:rsid w:val="50B46629"/>
    <w:rsid w:val="532211DE"/>
    <w:rsid w:val="56282173"/>
    <w:rsid w:val="5B7F765A"/>
    <w:rsid w:val="5BEF64E0"/>
    <w:rsid w:val="5DD14E01"/>
    <w:rsid w:val="5E61596C"/>
    <w:rsid w:val="5EC70D38"/>
    <w:rsid w:val="5EC92967"/>
    <w:rsid w:val="5F3C5AD9"/>
    <w:rsid w:val="60FB2E15"/>
    <w:rsid w:val="616C4FF4"/>
    <w:rsid w:val="6282132E"/>
    <w:rsid w:val="63244F15"/>
    <w:rsid w:val="64B02894"/>
    <w:rsid w:val="64C81D51"/>
    <w:rsid w:val="66794318"/>
    <w:rsid w:val="66D61EE7"/>
    <w:rsid w:val="673D6A15"/>
    <w:rsid w:val="6AC45DE2"/>
    <w:rsid w:val="6CF92406"/>
    <w:rsid w:val="6E881C01"/>
    <w:rsid w:val="71D62D16"/>
    <w:rsid w:val="71D92EEC"/>
    <w:rsid w:val="71FC15C0"/>
    <w:rsid w:val="720B5F42"/>
    <w:rsid w:val="7270316B"/>
    <w:rsid w:val="72AE2FCA"/>
    <w:rsid w:val="73AC676B"/>
    <w:rsid w:val="73AD5CD0"/>
    <w:rsid w:val="75110E80"/>
    <w:rsid w:val="79A16A12"/>
    <w:rsid w:val="7C513297"/>
    <w:rsid w:val="7D11473F"/>
    <w:rsid w:val="7D1D5170"/>
    <w:rsid w:val="7E3200C4"/>
    <w:rsid w:val="7F4C4618"/>
    <w:rsid w:val="7F590152"/>
    <w:rsid w:val="7F66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2">
    <w:name w:val="heading 4"/>
    <w:basedOn w:val="1"/>
    <w:next w:val="1"/>
    <w:unhideWhenUsed/>
    <w:qFormat/>
    <w:uiPriority w:val="0"/>
    <w:pPr>
      <w:keepNext/>
      <w:keepLines/>
      <w:spacing w:before="240" w:after="240" w:line="360" w:lineRule="auto"/>
      <w:outlineLvl w:val="3"/>
    </w:pPr>
    <w:rPr>
      <w:rFonts w:ascii="Calibri Light" w:hAnsi="Calibri Light" w:cs="Times New Roman"/>
      <w:b/>
      <w:bCs/>
      <w:sz w:val="32"/>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paragraph" w:customStyle="1" w:styleId="9">
    <w:name w:val="BodyText"/>
    <w:basedOn w:val="1"/>
    <w:next w:val="10"/>
    <w:qFormat/>
    <w:uiPriority w:val="0"/>
    <w:pPr>
      <w:spacing w:line="360" w:lineRule="auto"/>
      <w:ind w:firstLine="420" w:firstLineChars="200"/>
      <w:textAlignment w:val="baseline"/>
    </w:pPr>
    <w:rPr>
      <w:rFonts w:ascii="宋体" w:hAnsi="宋体" w:eastAsia="仿宋"/>
      <w:sz w:val="32"/>
      <w:lang w:val="zh-CN" w:bidi="zh-CN"/>
    </w:rPr>
  </w:style>
  <w:style w:type="paragraph" w:customStyle="1" w:styleId="10">
    <w:name w:val="TOC5"/>
    <w:next w:val="1"/>
    <w:qFormat/>
    <w:uiPriority w:val="0"/>
    <w:pPr>
      <w:ind w:left="1680" w:leftChars="800"/>
      <w:jc w:val="both"/>
      <w:textAlignment w:val="baseline"/>
    </w:pPr>
    <w:rPr>
      <w:rFonts w:ascii="Times New Roman" w:hAnsi="Times New Roman" w:eastAsia="宋体" w:cs="Times New Roman"/>
      <w:kern w:val="2"/>
      <w:sz w:val="21"/>
      <w:lang w:val="en-US" w:eastAsia="zh-CN" w:bidi="ar-SA"/>
    </w:rPr>
  </w:style>
  <w:style w:type="character" w:customStyle="1" w:styleId="11">
    <w:name w:val="标题 3 Char"/>
    <w:basedOn w:val="7"/>
    <w:link w:val="3"/>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4765</Words>
  <Characters>5446</Characters>
  <Lines>39</Lines>
  <Paragraphs>11</Paragraphs>
  <TotalTime>32</TotalTime>
  <ScaleCrop>false</ScaleCrop>
  <LinksUpToDate>false</LinksUpToDate>
  <CharactersWithSpaces>5660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2021-03-31T08:57:00Z</dcterms:created>
  <dc:creator>Administrator</dc:creator>
  <cp:lastModifiedBy>好好先生</cp:lastModifiedBy>
  <cp:lastPrinted>2022-06-07T00:51:00Z</cp:lastPrinted>
  <dcterms:modified xsi:type="dcterms:W3CDTF">2024-04-10T01:43:45Z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D00A22F5BFF64994A9FE01B916ED5688_13</vt:lpwstr>
  </property>
</Properties>
</file>