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16E" w:rsidRDefault="0069516E">
      <w:pPr>
        <w:pStyle w:val="1"/>
      </w:pPr>
      <w:bookmarkStart w:id="0" w:name="_GoBack"/>
      <w:bookmarkEnd w:id="0"/>
    </w:p>
    <w:p w:rsidR="0069516E" w:rsidRDefault="00D2282B">
      <w:pPr>
        <w:spacing w:afterLines="100" w:after="312"/>
        <w:rPr>
          <w:rFonts w:ascii="仿宋_GB2312" w:eastAsia="仿宋_GB2312" w:hAnsi="Times New Roman"/>
          <w:kern w:val="0"/>
          <w:sz w:val="32"/>
          <w:szCs w:val="32"/>
        </w:rPr>
      </w:pPr>
      <w:r>
        <w:rPr>
          <w:rFonts w:ascii="仿宋_GB2312" w:eastAsia="仿宋_GB2312" w:hAnsi="Times New Roman" w:hint="eastAsia"/>
          <w:kern w:val="0"/>
          <w:sz w:val="32"/>
          <w:szCs w:val="32"/>
        </w:rPr>
        <w:t>附件</w:t>
      </w:r>
      <w:r>
        <w:rPr>
          <w:rFonts w:ascii="仿宋_GB2312" w:eastAsia="仿宋_GB2312" w:hAnsi="Times New Roman"/>
          <w:kern w:val="0"/>
          <w:sz w:val="32"/>
          <w:szCs w:val="32"/>
        </w:rPr>
        <w:t>1</w:t>
      </w:r>
    </w:p>
    <w:p w:rsidR="0069516E" w:rsidRDefault="0069516E">
      <w:pPr>
        <w:rPr>
          <w:rFonts w:ascii="Times New Roman" w:eastAsia="黑体" w:hAnsi="Times New Roman"/>
          <w:sz w:val="32"/>
          <w:szCs w:val="32"/>
        </w:rPr>
      </w:pPr>
    </w:p>
    <w:p w:rsidR="0069516E" w:rsidRDefault="0069516E">
      <w:pPr>
        <w:rPr>
          <w:rFonts w:ascii="Times New Roman" w:eastAsia="黑体" w:hAnsi="Times New Roman"/>
          <w:sz w:val="32"/>
          <w:szCs w:val="32"/>
        </w:rPr>
      </w:pPr>
    </w:p>
    <w:p w:rsidR="0069516E" w:rsidRPr="001140C2" w:rsidRDefault="0069516E">
      <w:pPr>
        <w:rPr>
          <w:rFonts w:ascii="Times New Roman" w:eastAsia="黑体" w:hAnsi="Times New Roman"/>
          <w:sz w:val="32"/>
          <w:szCs w:val="32"/>
        </w:rPr>
      </w:pPr>
    </w:p>
    <w:p w:rsidR="0069516E" w:rsidRDefault="0069516E">
      <w:pPr>
        <w:rPr>
          <w:rFonts w:ascii="Times New Roman" w:eastAsia="黑体" w:hAnsi="Times New Roman"/>
          <w:sz w:val="32"/>
          <w:szCs w:val="32"/>
        </w:rPr>
      </w:pPr>
    </w:p>
    <w:p w:rsidR="0069516E" w:rsidRDefault="00D2282B">
      <w:pPr>
        <w:jc w:val="center"/>
        <w:rPr>
          <w:rFonts w:ascii="方正小标宋简体" w:eastAsia="方正小标宋简体" w:hAnsi="Times New Roman"/>
          <w:sz w:val="48"/>
          <w:szCs w:val="48"/>
        </w:rPr>
      </w:pPr>
      <w:r>
        <w:rPr>
          <w:rFonts w:ascii="方正小标宋简体" w:eastAsia="方正小标宋简体" w:hAnsi="Times New Roman"/>
          <w:sz w:val="48"/>
          <w:szCs w:val="48"/>
        </w:rPr>
        <w:t>202</w:t>
      </w:r>
      <w:r>
        <w:rPr>
          <w:rFonts w:ascii="方正小标宋简体" w:eastAsia="方正小标宋简体" w:hAnsi="Times New Roman" w:hint="eastAsia"/>
          <w:sz w:val="48"/>
          <w:szCs w:val="48"/>
        </w:rPr>
        <w:t>1年度部门整体支出绩效自评报告</w:t>
      </w:r>
    </w:p>
    <w:p w:rsidR="0069516E" w:rsidRDefault="0069516E">
      <w:pPr>
        <w:jc w:val="cente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69516E">
      <w:pP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69516E">
      <w:pPr>
        <w:jc w:val="center"/>
        <w:rPr>
          <w:rFonts w:ascii="Times New Roman" w:eastAsia="黑体" w:hAnsi="Times New Roman"/>
          <w:sz w:val="32"/>
          <w:szCs w:val="32"/>
        </w:rPr>
      </w:pPr>
    </w:p>
    <w:p w:rsidR="0069516E" w:rsidRDefault="00D2282B">
      <w:pPr>
        <w:jc w:val="center"/>
        <w:rPr>
          <w:rFonts w:ascii="Times New Roman" w:hAnsi="Times New Roman"/>
          <w:sz w:val="36"/>
          <w:szCs w:val="36"/>
        </w:rPr>
      </w:pPr>
      <w:r>
        <w:rPr>
          <w:rFonts w:ascii="Times New Roman" w:hAnsi="Times New Roman" w:hint="eastAsia"/>
          <w:sz w:val="36"/>
          <w:szCs w:val="36"/>
        </w:rPr>
        <w:t>单位名称：衡阳市商务和粮食综合执法支队</w:t>
      </w:r>
    </w:p>
    <w:p w:rsidR="0069516E" w:rsidRDefault="0069516E">
      <w:pPr>
        <w:jc w:val="center"/>
        <w:rPr>
          <w:rFonts w:ascii="Times New Roman" w:hAnsi="Times New Roman"/>
          <w:sz w:val="36"/>
          <w:szCs w:val="36"/>
        </w:rPr>
      </w:pPr>
    </w:p>
    <w:p w:rsidR="0069516E" w:rsidRDefault="00D2282B">
      <w:pPr>
        <w:ind w:firstLineChars="400" w:firstLine="1440"/>
        <w:rPr>
          <w:rFonts w:ascii="Times New Roman" w:hAnsi="Times New Roman"/>
          <w:sz w:val="36"/>
          <w:szCs w:val="36"/>
        </w:rPr>
      </w:pPr>
      <w:r>
        <w:rPr>
          <w:rFonts w:ascii="Times New Roman" w:hAnsi="Times New Roman" w:hint="eastAsia"/>
          <w:sz w:val="36"/>
          <w:szCs w:val="36"/>
        </w:rPr>
        <w:t>单位公章：</w:t>
      </w:r>
    </w:p>
    <w:p w:rsidR="0069516E" w:rsidRDefault="0069516E">
      <w:pPr>
        <w:ind w:firstLineChars="200" w:firstLine="720"/>
        <w:rPr>
          <w:rFonts w:ascii="Times New Roman" w:hAnsi="Times New Roman"/>
          <w:sz w:val="36"/>
          <w:szCs w:val="36"/>
        </w:rPr>
      </w:pPr>
    </w:p>
    <w:p w:rsidR="0069516E" w:rsidRDefault="00D2282B">
      <w:pPr>
        <w:jc w:val="center"/>
        <w:rPr>
          <w:rFonts w:ascii="Times New Roman" w:eastAsia="黑体" w:hAnsi="Times New Roman"/>
          <w:sz w:val="32"/>
          <w:szCs w:val="32"/>
        </w:rPr>
      </w:pPr>
      <w:r>
        <w:rPr>
          <w:rFonts w:ascii="Times New Roman" w:eastAsia="黑体" w:hAnsi="Times New Roman" w:hint="eastAsia"/>
          <w:sz w:val="32"/>
          <w:szCs w:val="32"/>
        </w:rPr>
        <w:t xml:space="preserve">    2022</w:t>
      </w:r>
      <w:r>
        <w:rPr>
          <w:rFonts w:ascii="Times New Roman" w:eastAsia="黑体" w:hAnsi="Times New Roman" w:hint="eastAsia"/>
          <w:sz w:val="32"/>
          <w:szCs w:val="32"/>
        </w:rPr>
        <w:t>年</w:t>
      </w:r>
      <w:r>
        <w:rPr>
          <w:rFonts w:ascii="Times New Roman" w:eastAsia="黑体" w:hAnsi="Times New Roman" w:hint="eastAsia"/>
          <w:sz w:val="32"/>
          <w:szCs w:val="32"/>
        </w:rPr>
        <w:t>8</w:t>
      </w:r>
      <w:r>
        <w:rPr>
          <w:rFonts w:ascii="Times New Roman" w:eastAsia="黑体" w:hAnsi="Times New Roman" w:hint="eastAsia"/>
          <w:sz w:val="32"/>
          <w:szCs w:val="32"/>
        </w:rPr>
        <w:t>月</w:t>
      </w:r>
      <w:r>
        <w:rPr>
          <w:rFonts w:ascii="Times New Roman" w:eastAsia="黑体" w:hAnsi="Times New Roman" w:hint="eastAsia"/>
          <w:sz w:val="32"/>
          <w:szCs w:val="32"/>
        </w:rPr>
        <w:t>30</w:t>
      </w:r>
      <w:r>
        <w:rPr>
          <w:rFonts w:ascii="Times New Roman" w:eastAsia="黑体" w:hAnsi="Times New Roman" w:hint="eastAsia"/>
          <w:sz w:val="32"/>
          <w:szCs w:val="32"/>
        </w:rPr>
        <w:t>日</w:t>
      </w:r>
    </w:p>
    <w:p w:rsidR="0069516E" w:rsidRDefault="0069516E">
      <w:pPr>
        <w:jc w:val="center"/>
        <w:rPr>
          <w:rFonts w:ascii="Times New Roman" w:eastAsia="黑体" w:hAnsi="Times New Roman"/>
          <w:sz w:val="32"/>
          <w:szCs w:val="32"/>
        </w:rPr>
      </w:pPr>
    </w:p>
    <w:p w:rsidR="0069516E" w:rsidRDefault="00D2282B">
      <w:pPr>
        <w:spacing w:line="600" w:lineRule="exact"/>
        <w:jc w:val="center"/>
        <w:rPr>
          <w:rFonts w:ascii="黑体" w:eastAsia="黑体" w:hAnsi="黑体" w:cs="黑体"/>
          <w:sz w:val="44"/>
          <w:szCs w:val="44"/>
        </w:rPr>
      </w:pPr>
      <w:r>
        <w:rPr>
          <w:rFonts w:ascii="黑体" w:eastAsia="黑体" w:hAnsi="黑体" w:cs="黑体" w:hint="eastAsia"/>
          <w:sz w:val="44"/>
          <w:szCs w:val="44"/>
        </w:rPr>
        <w:lastRenderedPageBreak/>
        <w:t>部门整体支出绩效评价报告</w:t>
      </w:r>
    </w:p>
    <w:p w:rsidR="0069516E" w:rsidRDefault="0069516E">
      <w:pPr>
        <w:spacing w:line="600" w:lineRule="exact"/>
        <w:jc w:val="center"/>
        <w:rPr>
          <w:rFonts w:asciiTheme="minorEastAsia" w:eastAsiaTheme="minorEastAsia" w:hAnsiTheme="minorEastAsia" w:cstheme="minorEastAsia"/>
          <w:sz w:val="44"/>
          <w:szCs w:val="44"/>
        </w:rPr>
      </w:pPr>
    </w:p>
    <w:p w:rsidR="0069516E" w:rsidRDefault="00D2282B">
      <w:pPr>
        <w:pStyle w:val="ae"/>
        <w:widowControl/>
        <w:numPr>
          <w:ilvl w:val="0"/>
          <w:numId w:val="1"/>
        </w:numPr>
        <w:spacing w:line="480" w:lineRule="auto"/>
        <w:ind w:firstLine="640"/>
        <w:rPr>
          <w:rFonts w:ascii="黑体" w:eastAsia="黑体" w:hAnsi="黑体" w:cs="黑体"/>
          <w:sz w:val="32"/>
          <w:szCs w:val="32"/>
        </w:rPr>
      </w:pPr>
      <w:r>
        <w:rPr>
          <w:rFonts w:ascii="黑体" w:eastAsia="黑体" w:hAnsi="黑体" w:cs="黑体" w:hint="eastAsia"/>
          <w:sz w:val="32"/>
          <w:szCs w:val="32"/>
        </w:rPr>
        <w:t>部门基本情况</w:t>
      </w:r>
    </w:p>
    <w:p w:rsidR="0069516E" w:rsidRDefault="00D2282B">
      <w:pPr>
        <w:pStyle w:val="ae"/>
        <w:widowControl/>
        <w:spacing w:line="480" w:lineRule="auto"/>
        <w:ind w:firstLineChars="0" w:firstLine="640"/>
        <w:rPr>
          <w:rFonts w:ascii="仿宋" w:eastAsia="仿宋" w:hAnsi="仿宋" w:cs="仿宋"/>
          <w:sz w:val="32"/>
          <w:szCs w:val="32"/>
        </w:rPr>
      </w:pPr>
      <w:r>
        <w:rPr>
          <w:rFonts w:ascii="仿宋" w:eastAsia="仿宋" w:hAnsi="仿宋" w:cs="仿宋" w:hint="eastAsia"/>
          <w:sz w:val="32"/>
          <w:szCs w:val="32"/>
        </w:rPr>
        <w:t>原衡阳市商务和粮食综合执法支队于2020年3月按照上级机构改革的要求整建制整合至衡阳市市场监管综合行政执法支队，并于2020年9月在</w:t>
      </w:r>
      <w:r w:rsidR="00C1121A">
        <w:rPr>
          <w:rFonts w:ascii="仿宋" w:eastAsia="仿宋" w:hAnsi="仿宋" w:cs="仿宋" w:hint="eastAsia"/>
          <w:sz w:val="32"/>
          <w:szCs w:val="32"/>
        </w:rPr>
        <w:t>市委编办</w:t>
      </w:r>
      <w:r>
        <w:rPr>
          <w:rFonts w:ascii="仿宋" w:eastAsia="仿宋" w:hAnsi="仿宋" w:cs="仿宋" w:hint="eastAsia"/>
          <w:sz w:val="32"/>
          <w:szCs w:val="32"/>
        </w:rPr>
        <w:t>完成了单位注销手续。因机构改革尚未完全落地，机构和人员编制性质未定，衡阳市市场监管综合行政执法支队单位登记、财务独立等手续暂无法办理，故市财政局保留</w:t>
      </w:r>
      <w:proofErr w:type="gramStart"/>
      <w:r>
        <w:rPr>
          <w:rFonts w:ascii="仿宋" w:eastAsia="仿宋" w:hAnsi="仿宋" w:cs="仿宋" w:hint="eastAsia"/>
          <w:sz w:val="32"/>
          <w:szCs w:val="32"/>
        </w:rPr>
        <w:t>了原商粮</w:t>
      </w:r>
      <w:proofErr w:type="gramEnd"/>
      <w:r>
        <w:rPr>
          <w:rFonts w:ascii="仿宋" w:eastAsia="仿宋" w:hAnsi="仿宋" w:cs="仿宋" w:hint="eastAsia"/>
          <w:sz w:val="32"/>
          <w:szCs w:val="32"/>
        </w:rPr>
        <w:t>支队财政账户和编码。</w:t>
      </w:r>
    </w:p>
    <w:p w:rsidR="0069516E" w:rsidRDefault="00D2282B">
      <w:pPr>
        <w:pStyle w:val="ae"/>
        <w:widowControl/>
        <w:numPr>
          <w:ilvl w:val="0"/>
          <w:numId w:val="1"/>
        </w:numPr>
        <w:spacing w:line="480" w:lineRule="auto"/>
        <w:ind w:firstLine="640"/>
        <w:rPr>
          <w:rFonts w:eastAsia="黑体"/>
          <w:sz w:val="32"/>
          <w:szCs w:val="32"/>
        </w:rPr>
      </w:pPr>
      <w:r>
        <w:rPr>
          <w:rFonts w:eastAsia="黑体" w:hint="eastAsia"/>
          <w:sz w:val="32"/>
          <w:szCs w:val="32"/>
        </w:rPr>
        <w:t>部门主要职能</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1、认真做好酒类、肉类、粮食等食品安全监管工作，确保100%不出现食品安全事故；</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2、切实加强成品油市场监管，认真开展成品油市场的打非治违工作，依法查处违法加油设施，维护市场秩序，切实消除成品油市场安全隐患；</w:t>
      </w:r>
    </w:p>
    <w:p w:rsidR="0069516E" w:rsidRDefault="00D2282B">
      <w:pPr>
        <w:pStyle w:val="ae"/>
        <w:widowControl/>
        <w:numPr>
          <w:ilvl w:val="0"/>
          <w:numId w:val="1"/>
        </w:numPr>
        <w:spacing w:line="480" w:lineRule="auto"/>
        <w:ind w:firstLine="640"/>
        <w:rPr>
          <w:rFonts w:eastAsia="黑体"/>
          <w:sz w:val="32"/>
          <w:szCs w:val="32"/>
        </w:rPr>
      </w:pPr>
      <w:r>
        <w:rPr>
          <w:rFonts w:eastAsia="黑体" w:hint="eastAsia"/>
          <w:sz w:val="32"/>
          <w:szCs w:val="32"/>
        </w:rPr>
        <w:t>一般公共预算支出情况</w:t>
      </w:r>
    </w:p>
    <w:p w:rsidR="0069516E" w:rsidRDefault="00D2282B">
      <w:pPr>
        <w:pStyle w:val="ae"/>
        <w:widowControl/>
        <w:numPr>
          <w:ilvl w:val="0"/>
          <w:numId w:val="2"/>
        </w:numPr>
        <w:spacing w:line="480" w:lineRule="auto"/>
        <w:ind w:firstLine="640"/>
        <w:rPr>
          <w:rFonts w:ascii="仿宋" w:eastAsia="仿宋" w:hAnsi="仿宋" w:cs="仿宋"/>
          <w:sz w:val="32"/>
          <w:szCs w:val="32"/>
        </w:rPr>
      </w:pPr>
      <w:r>
        <w:rPr>
          <w:rFonts w:ascii="仿宋" w:eastAsia="仿宋" w:hAnsi="仿宋" w:cs="仿宋" w:hint="eastAsia"/>
          <w:sz w:val="32"/>
          <w:szCs w:val="32"/>
        </w:rPr>
        <w:t>在2021年度的部门决算中，单位总支出 2745800元。其中人员经费：2502500元，占总支出的91.14%；日常公用经费243300元，占总支出的8.87%。</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2、年初预算完成情况</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本年度支出年初预算数为2519900.00元，决算数为2745800.00元，与年初预算数相比增加了225900.00元，增加0.1%。其中：基本</w:t>
      </w:r>
      <w:r>
        <w:rPr>
          <w:rFonts w:ascii="仿宋" w:eastAsia="仿宋" w:hAnsi="仿宋" w:cs="仿宋" w:hint="eastAsia"/>
          <w:sz w:val="32"/>
          <w:szCs w:val="32"/>
        </w:rPr>
        <w:lastRenderedPageBreak/>
        <w:t>支出年初预算数为2101500.00元，决算数为2232400.00元，与年初预算数相比增加130900.00元，预算执行率为102%；其原因是预算中在职人员晋升工资水平提高，人员经费支出增加。</w:t>
      </w:r>
    </w:p>
    <w:p w:rsidR="0069516E" w:rsidRDefault="00D2282B">
      <w:pPr>
        <w:pStyle w:val="ae"/>
        <w:widowControl/>
        <w:spacing w:line="480" w:lineRule="auto"/>
        <w:ind w:firstLine="640"/>
        <w:rPr>
          <w:rFonts w:ascii="黑体" w:eastAsia="黑体" w:hAnsi="黑体" w:cs="黑体"/>
          <w:sz w:val="32"/>
          <w:szCs w:val="32"/>
        </w:rPr>
      </w:pPr>
      <w:r>
        <w:rPr>
          <w:rFonts w:ascii="黑体" w:eastAsia="黑体" w:hAnsi="黑体" w:cs="黑体" w:hint="eastAsia"/>
          <w:sz w:val="32"/>
          <w:szCs w:val="32"/>
        </w:rPr>
        <w:t>四、部门整体支出及项目实施情况</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1、工资福利预算支出(人员支出)：主要用于单位人员的工资及奖金支出，包括基本工资(职务工资、级别工资等)、津贴补贴(工作性津贴、生活性补贴、改革性补贴等)、社会保障费(失业保险金、基本医疗保险金)以及政府综合目标奖等。</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2、对个人和家庭补助预算支出：主要用于单位人员的住房保障支出和养老、医疗保险等，包括住房公积金、养老保险、医疗保险、职业年金。</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3、商品及服务预算支出(公用支出)：主要用于单位办公设备设施的日常维护及人员的办公费用等，保障单位正常运行的公费支出，包括办公费、维修（护）费、差旅费、会议费、邮电费、交通费、印刷费等。</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4、基本支出</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基本支出主要用于我单位人员工资福利、住房保障以及办公用品的购买、公务用车的运行费、接待费等公用经费支出，包括工资福利支出(人员支出)、商品及服务支出(公用支出)和对个人及家庭补助支出、其他资本性支出四项内容。2021年我单位基本支出实际为2745800.00元，具体情况如下：</w:t>
      </w:r>
    </w:p>
    <w:p w:rsidR="0069516E" w:rsidRDefault="00D2282B">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工资福利支出：2745800.00元，其中基本工资</w:t>
      </w:r>
    </w:p>
    <w:p w:rsidR="0069516E" w:rsidRDefault="00D2282B">
      <w:pPr>
        <w:pStyle w:val="ae"/>
        <w:widowControl/>
        <w:spacing w:line="480" w:lineRule="auto"/>
        <w:ind w:firstLineChars="0" w:firstLine="0"/>
        <w:rPr>
          <w:rFonts w:eastAsia="黑体"/>
          <w:sz w:val="32"/>
          <w:szCs w:val="32"/>
        </w:rPr>
      </w:pPr>
      <w:r>
        <w:rPr>
          <w:rFonts w:ascii="仿宋" w:eastAsia="仿宋" w:hAnsi="仿宋" w:cs="仿宋" w:hint="eastAsia"/>
          <w:sz w:val="32"/>
          <w:szCs w:val="32"/>
        </w:rPr>
        <w:lastRenderedPageBreak/>
        <w:t>718686.00元，津贴补贴422850.00元，职工基本医疗补助费362764.27元，公务员医疗补助费137083.99元，绩效工资567098.6元，机关事业单位基本养老保险缴费239211.02元，职业年金缴费45340.52元，住房公积金225162.00元，与预算相比基本一致。</w:t>
      </w:r>
    </w:p>
    <w:p w:rsidR="0069516E" w:rsidRDefault="00D2282B">
      <w:pPr>
        <w:widowControl/>
        <w:spacing w:line="480"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五、部门整体支出绩效情况</w:t>
      </w:r>
    </w:p>
    <w:p w:rsidR="0069516E" w:rsidRDefault="00D2282B">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1、基本支出改善了我单位办公条件及人员的生活、营养和文化教育的条件，有利地调动了人员的积极性，保证了单位日常工作有序开展。</w:t>
      </w:r>
    </w:p>
    <w:p w:rsidR="0069516E" w:rsidRDefault="00D2282B">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项目支出对于我单位有良好的作用，有利于强化行业监管，规范市场秩序。继续开展扫黑除恶、农贸市场专项整治、公平竞争等工作，及时做好投诉处理，发挥监管作用，维护公平竞争市场秩序，保护消费者权益，提高消费者满意度。</w:t>
      </w:r>
    </w:p>
    <w:p w:rsidR="0069516E" w:rsidRDefault="00D2282B">
      <w:pPr>
        <w:widowControl/>
        <w:spacing w:line="480" w:lineRule="auto"/>
        <w:ind w:firstLineChars="200" w:firstLine="640"/>
        <w:rPr>
          <w:rFonts w:ascii="黑体" w:eastAsia="黑体" w:hAnsi="黑体" w:cs="黑体"/>
          <w:sz w:val="32"/>
          <w:szCs w:val="32"/>
        </w:rPr>
      </w:pPr>
      <w:r>
        <w:rPr>
          <w:rFonts w:ascii="黑体" w:eastAsia="黑体" w:hAnsi="黑体" w:cs="黑体" w:hint="eastAsia"/>
          <w:sz w:val="32"/>
          <w:szCs w:val="32"/>
        </w:rPr>
        <w:t>六、改进及措施</w:t>
      </w:r>
    </w:p>
    <w:p w:rsidR="0069516E" w:rsidRDefault="00D2282B">
      <w:pPr>
        <w:widowControl/>
        <w:spacing w:line="480" w:lineRule="auto"/>
        <w:rPr>
          <w:rFonts w:ascii="仿宋" w:eastAsia="仿宋" w:hAnsi="仿宋" w:cs="仿宋"/>
          <w:sz w:val="32"/>
          <w:szCs w:val="32"/>
        </w:rPr>
      </w:pPr>
      <w:r>
        <w:rPr>
          <w:rFonts w:ascii="仿宋" w:eastAsia="仿宋" w:hAnsi="仿宋" w:cs="仿宋" w:hint="eastAsia"/>
          <w:sz w:val="32"/>
          <w:szCs w:val="32"/>
        </w:rPr>
        <w:t xml:space="preserve">    我单位将不断加强预算编制的前瞻性，按照新</w:t>
      </w:r>
      <w:r w:rsidR="001140C2">
        <w:rPr>
          <w:rFonts w:ascii="仿宋" w:eastAsia="仿宋" w:hAnsi="仿宋" w:cs="仿宋" w:hint="eastAsia"/>
          <w:sz w:val="32"/>
          <w:szCs w:val="32"/>
        </w:rPr>
        <w:t>《中华人民共和国预算法》</w:t>
      </w:r>
      <w:r>
        <w:rPr>
          <w:rFonts w:ascii="仿宋" w:eastAsia="仿宋" w:hAnsi="仿宋" w:cs="仿宋" w:hint="eastAsia"/>
          <w:sz w:val="32"/>
          <w:szCs w:val="32"/>
        </w:rPr>
        <w:t>及其实施条例的相关规定，按政策规定及本单位的发展规划，结合上一年度预算执行情况和本年度预算收支变化因素，科学、合理地编制下一年预算，避免预算支出与实际执行出现较大偏差的情况。</w:t>
      </w:r>
    </w:p>
    <w:sectPr w:rsidR="0069516E">
      <w:footerReference w:type="even" r:id="rId7"/>
      <w:footerReference w:type="default" r:id="rId8"/>
      <w:pgSz w:w="11906" w:h="16838"/>
      <w:pgMar w:top="1440" w:right="1080" w:bottom="1440" w:left="1080"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F9B" w:rsidRDefault="00242F9B">
      <w:r>
        <w:separator/>
      </w:r>
    </w:p>
  </w:endnote>
  <w:endnote w:type="continuationSeparator" w:id="0">
    <w:p w:rsidR="00242F9B" w:rsidRDefault="0024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16E" w:rsidRDefault="00D2282B">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69516E" w:rsidRDefault="0069516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16E" w:rsidRDefault="00D2282B">
    <w:pPr>
      <w:pStyle w:val="a7"/>
      <w:framePr w:wrap="around" w:vAnchor="text" w:hAnchor="margin" w:xAlign="outside" w:y="1"/>
      <w:rPr>
        <w:rStyle w:val="ac"/>
        <w:rFonts w:ascii="Times New Roman" w:hAnsi="Times New Roman"/>
        <w:sz w:val="28"/>
        <w:szCs w:val="28"/>
      </w:rPr>
    </w:pPr>
    <w:r>
      <w:rPr>
        <w:rStyle w:val="ac"/>
        <w:rFonts w:ascii="Times New Roman" w:hAnsi="Times New Roman"/>
        <w:sz w:val="28"/>
        <w:szCs w:val="28"/>
      </w:rPr>
      <w:fldChar w:fldCharType="begin"/>
    </w:r>
    <w:r>
      <w:rPr>
        <w:rStyle w:val="ac"/>
        <w:rFonts w:ascii="Times New Roman" w:hAnsi="Times New Roman"/>
        <w:sz w:val="28"/>
        <w:szCs w:val="28"/>
      </w:rPr>
      <w:instrText xml:space="preserve">PAGE  </w:instrText>
    </w:r>
    <w:r>
      <w:rPr>
        <w:rStyle w:val="ac"/>
        <w:rFonts w:ascii="Times New Roman" w:hAnsi="Times New Roman"/>
        <w:sz w:val="28"/>
        <w:szCs w:val="28"/>
      </w:rPr>
      <w:fldChar w:fldCharType="separate"/>
    </w:r>
    <w:r>
      <w:rPr>
        <w:rStyle w:val="ac"/>
        <w:rFonts w:ascii="Times New Roman" w:hAnsi="Times New Roman"/>
        <w:sz w:val="28"/>
        <w:szCs w:val="28"/>
      </w:rPr>
      <w:t>- 3 -</w:t>
    </w:r>
    <w:r>
      <w:rPr>
        <w:rStyle w:val="ac"/>
        <w:rFonts w:ascii="Times New Roman" w:hAnsi="Times New Roman"/>
        <w:sz w:val="28"/>
        <w:szCs w:val="28"/>
      </w:rPr>
      <w:fldChar w:fldCharType="end"/>
    </w:r>
  </w:p>
  <w:p w:rsidR="0069516E" w:rsidRDefault="0069516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F9B" w:rsidRDefault="00242F9B">
      <w:r>
        <w:separator/>
      </w:r>
    </w:p>
  </w:footnote>
  <w:footnote w:type="continuationSeparator" w:id="0">
    <w:p w:rsidR="00242F9B" w:rsidRDefault="0024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271E"/>
    <w:multiLevelType w:val="singleLevel"/>
    <w:tmpl w:val="0F2A271E"/>
    <w:lvl w:ilvl="0">
      <w:start w:val="1"/>
      <w:numFmt w:val="chineseCounting"/>
      <w:suff w:val="nothing"/>
      <w:lvlText w:val="%1、"/>
      <w:lvlJc w:val="left"/>
      <w:rPr>
        <w:rFonts w:hint="eastAsia"/>
      </w:rPr>
    </w:lvl>
  </w:abstractNum>
  <w:abstractNum w:abstractNumId="1" w15:restartNumberingAfterBreak="0">
    <w:nsid w:val="3EB2E5DF"/>
    <w:multiLevelType w:val="singleLevel"/>
    <w:tmpl w:val="3EB2E5D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ljNjQ3NjQxNWY2YjI2OGUxNDViMzhhOTFhNTllNzcifQ=="/>
  </w:docVars>
  <w:rsids>
    <w:rsidRoot w:val="00C553EF"/>
    <w:rsid w:val="00012C93"/>
    <w:rsid w:val="000734E3"/>
    <w:rsid w:val="000773D5"/>
    <w:rsid w:val="00080625"/>
    <w:rsid w:val="00093B9D"/>
    <w:rsid w:val="00094646"/>
    <w:rsid w:val="000F775C"/>
    <w:rsid w:val="001140C2"/>
    <w:rsid w:val="00135395"/>
    <w:rsid w:val="00184AF2"/>
    <w:rsid w:val="001B56F4"/>
    <w:rsid w:val="001B69B6"/>
    <w:rsid w:val="002238BB"/>
    <w:rsid w:val="002320EB"/>
    <w:rsid w:val="00242F9B"/>
    <w:rsid w:val="002F05A3"/>
    <w:rsid w:val="003126FC"/>
    <w:rsid w:val="00323CF3"/>
    <w:rsid w:val="0032533F"/>
    <w:rsid w:val="003B7F5C"/>
    <w:rsid w:val="003E1FD6"/>
    <w:rsid w:val="004148E0"/>
    <w:rsid w:val="004217FE"/>
    <w:rsid w:val="00474AD0"/>
    <w:rsid w:val="00487AC5"/>
    <w:rsid w:val="00496F05"/>
    <w:rsid w:val="00551D43"/>
    <w:rsid w:val="005851E9"/>
    <w:rsid w:val="00591495"/>
    <w:rsid w:val="00594AEE"/>
    <w:rsid w:val="0069516E"/>
    <w:rsid w:val="006964D9"/>
    <w:rsid w:val="006F37DA"/>
    <w:rsid w:val="007123D7"/>
    <w:rsid w:val="00751BF0"/>
    <w:rsid w:val="00771B0E"/>
    <w:rsid w:val="007A6F2C"/>
    <w:rsid w:val="007E2D1B"/>
    <w:rsid w:val="007E3E71"/>
    <w:rsid w:val="00847A3C"/>
    <w:rsid w:val="00893AEC"/>
    <w:rsid w:val="00A148B9"/>
    <w:rsid w:val="00A3605E"/>
    <w:rsid w:val="00A55C61"/>
    <w:rsid w:val="00AC12C1"/>
    <w:rsid w:val="00AF15ED"/>
    <w:rsid w:val="00B702EE"/>
    <w:rsid w:val="00BD4955"/>
    <w:rsid w:val="00BE148E"/>
    <w:rsid w:val="00C1121A"/>
    <w:rsid w:val="00C23636"/>
    <w:rsid w:val="00C553EF"/>
    <w:rsid w:val="00C641BD"/>
    <w:rsid w:val="00CC6012"/>
    <w:rsid w:val="00CD7E4E"/>
    <w:rsid w:val="00D2282B"/>
    <w:rsid w:val="00D8620A"/>
    <w:rsid w:val="00D90B2D"/>
    <w:rsid w:val="00DC0F55"/>
    <w:rsid w:val="00DD4AA2"/>
    <w:rsid w:val="00DD5A15"/>
    <w:rsid w:val="00E323CD"/>
    <w:rsid w:val="00E8571A"/>
    <w:rsid w:val="00E94B12"/>
    <w:rsid w:val="00F55DE1"/>
    <w:rsid w:val="00FA2BB2"/>
    <w:rsid w:val="00FC450D"/>
    <w:rsid w:val="00FD081E"/>
    <w:rsid w:val="00FE4826"/>
    <w:rsid w:val="0225694A"/>
    <w:rsid w:val="0A875F23"/>
    <w:rsid w:val="0F262ACD"/>
    <w:rsid w:val="135F520B"/>
    <w:rsid w:val="15DA6FC6"/>
    <w:rsid w:val="1DC67E45"/>
    <w:rsid w:val="26410E91"/>
    <w:rsid w:val="2E4C00A7"/>
    <w:rsid w:val="2E660FDE"/>
    <w:rsid w:val="37500513"/>
    <w:rsid w:val="42F00D2B"/>
    <w:rsid w:val="47054421"/>
    <w:rsid w:val="497A2DA5"/>
    <w:rsid w:val="4DF27705"/>
    <w:rsid w:val="4EEB0E64"/>
    <w:rsid w:val="58B50CC7"/>
    <w:rsid w:val="69DB153D"/>
    <w:rsid w:val="6FAC4EF1"/>
    <w:rsid w:val="772B47F5"/>
    <w:rsid w:val="79C95BF3"/>
    <w:rsid w:val="7DB34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A401DB-81FB-4E34-B2E0-5EE41ABC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hAnsi="Times New Roman"/>
      <w:szCs w:val="24"/>
    </w:rPr>
  </w:style>
  <w:style w:type="paragraph" w:styleId="a5">
    <w:name w:val="Balloon Text"/>
    <w:basedOn w:val="a"/>
    <w:link w:val="a6"/>
    <w:uiPriority w:val="99"/>
    <w:qFormat/>
    <w:rPr>
      <w:rFonts w:ascii="Times New Roman" w:hAnsi="Times New Roman"/>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c">
    <w:name w:val="page number"/>
    <w:basedOn w:val="a0"/>
    <w:uiPriority w:val="99"/>
    <w:rPr>
      <w:rFonts w:cs="Times New Roman"/>
    </w:rPr>
  </w:style>
  <w:style w:type="character" w:styleId="ad">
    <w:name w:val="annotation reference"/>
    <w:basedOn w:val="a0"/>
    <w:uiPriority w:val="99"/>
    <w:rPr>
      <w:rFonts w:cs="Times New Roman"/>
      <w:sz w:val="21"/>
      <w:szCs w:val="21"/>
    </w:rPr>
  </w:style>
  <w:style w:type="character" w:customStyle="1" w:styleId="a4">
    <w:name w:val="批注文字 字符"/>
    <w:basedOn w:val="a0"/>
    <w:link w:val="a3"/>
    <w:uiPriority w:val="99"/>
    <w:qFormat/>
    <w:locked/>
    <w:rPr>
      <w:rFonts w:ascii="Times New Roman" w:eastAsia="宋体" w:hAnsi="Times New Roman" w:cs="Times New Roman"/>
      <w:sz w:val="24"/>
      <w:szCs w:val="24"/>
    </w:rPr>
  </w:style>
  <w:style w:type="character" w:customStyle="1" w:styleId="a6">
    <w:name w:val="批注框文本 字符"/>
    <w:basedOn w:val="a0"/>
    <w:link w:val="a5"/>
    <w:uiPriority w:val="99"/>
    <w:qFormat/>
    <w:locked/>
    <w:rPr>
      <w:rFonts w:ascii="Times New Roman" w:eastAsia="宋体" w:hAnsi="Times New Roman" w:cs="Times New Roman"/>
      <w:sz w:val="18"/>
      <w:szCs w:val="18"/>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locked/>
    <w:rPr>
      <w:rFonts w:cs="Times New Roman"/>
      <w:sz w:val="18"/>
      <w:szCs w:val="18"/>
    </w:rPr>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e">
    <w:name w:val="List Paragraph"/>
    <w:basedOn w:val="a"/>
    <w:uiPriority w:val="99"/>
    <w:qFormat/>
    <w:pPr>
      <w:ind w:firstLineChars="200" w:firstLine="420"/>
    </w:pPr>
    <w:rPr>
      <w:rFonts w:ascii="Times New Roman" w:hAnsi="Times New Roman"/>
      <w:szCs w:val="24"/>
    </w:rPr>
  </w:style>
  <w:style w:type="paragraph" w:customStyle="1" w:styleId="10">
    <w:name w:val="修订1"/>
    <w:hidden/>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233</Words>
  <Characters>1332</Characters>
  <Application>Microsoft Office Word</Application>
  <DocSecurity>0</DocSecurity>
  <Lines>11</Lines>
  <Paragraphs>3</Paragraphs>
  <ScaleCrop>false</ScaleCrop>
  <Company>中国</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cp:revision>
  <cp:lastPrinted>2021-01-26T07:12:00Z</cp:lastPrinted>
  <dcterms:created xsi:type="dcterms:W3CDTF">2021-01-21T07:42:00Z</dcterms:created>
  <dcterms:modified xsi:type="dcterms:W3CDTF">2025-03-28T07:51:00Z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C703B8D5EA074AD7A383AF9F6DEE9879</vt:lpwstr>
  </property>
</Properties>
</file>