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544DD">
      <w:pPr>
        <w:jc w:val="center"/>
        <w:rPr>
          <w:rFonts w:ascii="Times New Roman" w:hAnsi="Times New Roman" w:eastAsia="方正小标宋简体"/>
          <w:sz w:val="48"/>
          <w:szCs w:val="48"/>
        </w:rPr>
      </w:pPr>
    </w:p>
    <w:p w14:paraId="6AB91565">
      <w:pPr>
        <w:jc w:val="center"/>
        <w:rPr>
          <w:rFonts w:ascii="Times New Roman" w:hAnsi="Times New Roman" w:eastAsia="方正小标宋简体"/>
          <w:sz w:val="48"/>
          <w:szCs w:val="48"/>
        </w:rPr>
      </w:pPr>
    </w:p>
    <w:p w14:paraId="5A8B3CD3">
      <w:pPr>
        <w:jc w:val="center"/>
        <w:rPr>
          <w:rFonts w:ascii="Times New Roman" w:hAnsi="Times New Roman" w:eastAsia="方正小标宋简体"/>
          <w:sz w:val="48"/>
          <w:szCs w:val="48"/>
        </w:rPr>
      </w:pPr>
    </w:p>
    <w:p w14:paraId="3A25DA6A">
      <w:pPr>
        <w:jc w:val="center"/>
        <w:rPr>
          <w:rFonts w:ascii="Times New Roman" w:hAnsi="Times New Roman" w:eastAsia="方正小标宋简体"/>
          <w:sz w:val="48"/>
          <w:szCs w:val="48"/>
        </w:rPr>
      </w:pPr>
    </w:p>
    <w:p w14:paraId="4B44782F">
      <w:pPr>
        <w:rPr>
          <w:rFonts w:ascii="Times New Roman" w:hAnsi="Times New Roman" w:eastAsia="方正小标宋简体"/>
          <w:sz w:val="48"/>
          <w:szCs w:val="48"/>
        </w:rPr>
      </w:pPr>
    </w:p>
    <w:p w14:paraId="15EFBD33">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42B89088">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2021年度</w:t>
      </w:r>
      <w:r>
        <w:rPr>
          <w:rFonts w:hint="eastAsia" w:ascii="Times New Roman" w:hAnsi="Times New Roman" w:eastAsia="方正小标宋简体"/>
          <w:sz w:val="36"/>
          <w:szCs w:val="36"/>
        </w:rPr>
        <w:t>）</w:t>
      </w:r>
    </w:p>
    <w:p w14:paraId="06468090">
      <w:pPr>
        <w:jc w:val="center"/>
        <w:rPr>
          <w:rFonts w:ascii="Times New Roman" w:hAnsi="Times New Roman" w:eastAsia="黑体"/>
          <w:sz w:val="32"/>
          <w:szCs w:val="32"/>
        </w:rPr>
      </w:pPr>
    </w:p>
    <w:p w14:paraId="2BB0E05F">
      <w:pPr>
        <w:jc w:val="center"/>
        <w:rPr>
          <w:rFonts w:ascii="Times New Roman" w:hAnsi="Times New Roman" w:eastAsia="黑体"/>
          <w:sz w:val="32"/>
          <w:szCs w:val="32"/>
        </w:rPr>
      </w:pPr>
    </w:p>
    <w:p w14:paraId="3980AA49">
      <w:pPr>
        <w:jc w:val="center"/>
        <w:rPr>
          <w:rFonts w:ascii="Times New Roman" w:hAnsi="Times New Roman" w:eastAsia="黑体"/>
          <w:sz w:val="32"/>
          <w:szCs w:val="32"/>
        </w:rPr>
      </w:pPr>
    </w:p>
    <w:p w14:paraId="1209A5C7">
      <w:pPr>
        <w:jc w:val="center"/>
        <w:rPr>
          <w:rFonts w:ascii="Times New Roman" w:hAnsi="Times New Roman" w:eastAsia="黑体"/>
          <w:sz w:val="32"/>
          <w:szCs w:val="32"/>
        </w:rPr>
      </w:pPr>
    </w:p>
    <w:p w14:paraId="13581EA0">
      <w:pPr>
        <w:rPr>
          <w:rFonts w:ascii="Times New Roman" w:hAnsi="Times New Roman" w:eastAsia="黑体"/>
          <w:sz w:val="32"/>
          <w:szCs w:val="32"/>
        </w:rPr>
      </w:pPr>
    </w:p>
    <w:p w14:paraId="68A767CD">
      <w:pPr>
        <w:jc w:val="center"/>
        <w:rPr>
          <w:rFonts w:ascii="Times New Roman" w:hAnsi="Times New Roman"/>
          <w:sz w:val="36"/>
          <w:szCs w:val="36"/>
        </w:rPr>
      </w:pPr>
    </w:p>
    <w:p w14:paraId="5CB069CD">
      <w:pPr>
        <w:jc w:val="center"/>
        <w:rPr>
          <w:rFonts w:ascii="Times New Roman" w:hAnsi="Times New Roman"/>
          <w:sz w:val="36"/>
          <w:szCs w:val="36"/>
        </w:rPr>
      </w:pPr>
    </w:p>
    <w:p w14:paraId="67B84312">
      <w:pPr>
        <w:jc w:val="center"/>
        <w:rPr>
          <w:rFonts w:ascii="Times New Roman" w:hAnsi="Times New Roman"/>
          <w:sz w:val="36"/>
          <w:szCs w:val="36"/>
        </w:rPr>
      </w:pPr>
    </w:p>
    <w:p w14:paraId="3517085C">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：衡阳市绿色建筑事务中心</w:t>
      </w:r>
    </w:p>
    <w:p w14:paraId="30918A29">
      <w:pPr>
        <w:jc w:val="center"/>
        <w:rPr>
          <w:rFonts w:ascii="Times New Roman" w:hAnsi="Times New Roman" w:eastAsia="黑体"/>
          <w:sz w:val="36"/>
          <w:szCs w:val="36"/>
        </w:rPr>
      </w:pPr>
    </w:p>
    <w:p w14:paraId="2600BF93">
      <w:pPr>
        <w:jc w:val="center"/>
        <w:rPr>
          <w:rFonts w:ascii="Times New Roman" w:hAnsi="Times New Roman" w:eastAsia="黑体"/>
          <w:sz w:val="36"/>
          <w:szCs w:val="36"/>
        </w:rPr>
      </w:pPr>
    </w:p>
    <w:p w14:paraId="738275C6">
      <w:pPr>
        <w:jc w:val="center"/>
        <w:rPr>
          <w:rFonts w:ascii="Times New Roman" w:hAnsi="Times New Roman" w:eastAsia="黑体"/>
          <w:sz w:val="32"/>
          <w:szCs w:val="32"/>
        </w:rPr>
      </w:pPr>
      <w:r>
        <w:rPr>
          <w:rFonts w:hint="eastAsia" w:ascii="Times New Roman" w:hAnsi="Times New Roman" w:eastAsia="黑体"/>
          <w:sz w:val="32"/>
          <w:szCs w:val="32"/>
        </w:rPr>
        <w:t>2022</w:t>
      </w:r>
      <w:r>
        <w:rPr>
          <w:rFonts w:ascii="Times New Roman" w:hAnsi="Times New Roman" w:eastAsia="黑体"/>
          <w:sz w:val="32"/>
          <w:szCs w:val="32"/>
        </w:rPr>
        <w:t xml:space="preserve">年 </w:t>
      </w:r>
      <w:r>
        <w:rPr>
          <w:rFonts w:hint="eastAsia" w:ascii="Times New Roman" w:hAnsi="Times New Roman" w:eastAsia="黑体"/>
          <w:sz w:val="32"/>
          <w:szCs w:val="32"/>
        </w:rPr>
        <w:t>3</w:t>
      </w:r>
      <w:r>
        <w:rPr>
          <w:rFonts w:ascii="Times New Roman" w:hAnsi="Times New Roman" w:eastAsia="黑体"/>
          <w:sz w:val="32"/>
          <w:szCs w:val="32"/>
        </w:rPr>
        <w:t xml:space="preserve">月  </w:t>
      </w:r>
      <w:r>
        <w:rPr>
          <w:rFonts w:hint="eastAsia" w:ascii="Times New Roman" w:hAnsi="Times New Roman" w:eastAsia="黑体"/>
          <w:sz w:val="32"/>
          <w:szCs w:val="32"/>
        </w:rPr>
        <w:t xml:space="preserve">23 </w:t>
      </w:r>
      <w:r>
        <w:rPr>
          <w:rFonts w:ascii="Times New Roman" w:hAnsi="Times New Roman" w:eastAsia="黑体"/>
          <w:sz w:val="32"/>
          <w:szCs w:val="32"/>
        </w:rPr>
        <w:t>日</w:t>
      </w:r>
    </w:p>
    <w:p w14:paraId="0DE29828">
      <w:pPr>
        <w:jc w:val="center"/>
        <w:rPr>
          <w:rFonts w:ascii="Times New Roman" w:hAnsi="Times New Roman" w:eastAsia="黑体"/>
          <w:sz w:val="32"/>
          <w:szCs w:val="32"/>
        </w:rPr>
      </w:pPr>
    </w:p>
    <w:p w14:paraId="490B0210">
      <w:pPr>
        <w:spacing w:line="600" w:lineRule="exact"/>
        <w:rPr>
          <w:rFonts w:ascii="Times New Roman" w:hAnsi="Times New Roman" w:eastAsia="方正小标宋简体"/>
          <w:sz w:val="44"/>
          <w:szCs w:val="44"/>
        </w:rPr>
      </w:pPr>
    </w:p>
    <w:p w14:paraId="5158B915">
      <w:pPr>
        <w:spacing w:line="600" w:lineRule="exact"/>
        <w:jc w:val="center"/>
        <w:rPr>
          <w:rFonts w:ascii="Times New Roman" w:hAnsi="Times New Roman" w:eastAsia="方正小标宋简体"/>
          <w:sz w:val="44"/>
          <w:szCs w:val="44"/>
        </w:rPr>
      </w:pPr>
    </w:p>
    <w:p w14:paraId="3CC1F4C2">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3FD14EB0">
      <w:pPr>
        <w:rPr>
          <w:rFonts w:ascii="Times New Roman" w:hAnsi="Times New Roman" w:eastAsia="方正小标宋_GBK"/>
          <w:sz w:val="32"/>
          <w:szCs w:val="32"/>
        </w:rPr>
      </w:pPr>
    </w:p>
    <w:p w14:paraId="52A59DD8">
      <w:pPr>
        <w:pStyle w:val="4"/>
        <w:widowControl/>
        <w:ind w:firstLine="640"/>
        <w:rPr>
          <w:rFonts w:eastAsia="黑体"/>
          <w:sz w:val="32"/>
          <w:szCs w:val="32"/>
        </w:rPr>
      </w:pPr>
      <w:r>
        <w:rPr>
          <w:rFonts w:eastAsia="黑体"/>
          <w:sz w:val="32"/>
          <w:szCs w:val="32"/>
        </w:rPr>
        <w:t>一、部门、单位基本情况</w:t>
      </w:r>
    </w:p>
    <w:p w14:paraId="4F525097">
      <w:pPr>
        <w:spacing w:line="560" w:lineRule="exact"/>
        <w:ind w:firstLine="645"/>
        <w:jc w:val="left"/>
        <w:rPr>
          <w:rFonts w:ascii="仿宋_GB2312" w:hAnsi="黑体" w:eastAsia="仿宋_GB2312"/>
          <w:sz w:val="32"/>
          <w:szCs w:val="32"/>
        </w:rPr>
      </w:pPr>
      <w:r>
        <w:rPr>
          <w:rFonts w:hint="eastAsia" w:ascii="仿宋_GB2312" w:eastAsia="仿宋_GB2312" w:cs="宋体"/>
          <w:color w:val="000000"/>
          <w:kern w:val="0"/>
          <w:sz w:val="32"/>
          <w:szCs w:val="32"/>
        </w:rPr>
        <w:t>1．主要职能：</w:t>
      </w:r>
      <w:r>
        <w:rPr>
          <w:rFonts w:hint="eastAsia" w:ascii="仿宋_GB2312" w:hAnsi="黑体" w:eastAsia="仿宋_GB2312"/>
          <w:sz w:val="32"/>
          <w:szCs w:val="32"/>
        </w:rPr>
        <w:t>主要负责绿色建筑及相关的建筑节能、推广散装水泥、墙体材料革新和推广装配式建筑等事务性工作。</w:t>
      </w:r>
    </w:p>
    <w:p w14:paraId="70831B7D">
      <w:pPr>
        <w:snapToGrid w:val="0"/>
        <w:spacing w:line="560" w:lineRule="exact"/>
        <w:ind w:firstLine="640" w:firstLineChars="200"/>
        <w:rPr>
          <w:rFonts w:ascii="仿宋_GB2312" w:hAnsi="黑体" w:eastAsia="仿宋_GB2312"/>
          <w:sz w:val="32"/>
          <w:szCs w:val="32"/>
        </w:rPr>
      </w:pPr>
      <w:r>
        <w:rPr>
          <w:rFonts w:hint="eastAsia" w:ascii="仿宋_GB2312" w:eastAsia="仿宋_GB2312" w:cs="宋体"/>
          <w:color w:val="000000"/>
          <w:kern w:val="0"/>
          <w:sz w:val="32"/>
          <w:szCs w:val="32"/>
        </w:rPr>
        <w:t>2．机构情况：</w:t>
      </w:r>
      <w:r>
        <w:rPr>
          <w:rFonts w:hint="eastAsia" w:ascii="仿宋_GB2312" w:hAnsi="黑体" w:eastAsia="仿宋_GB2312"/>
          <w:sz w:val="32"/>
          <w:szCs w:val="32"/>
        </w:rPr>
        <w:t>根据衡编办函[2019]19号文件精神，撤销衡阳市散装水泥管理办公室和衡阳市墙体材料改革办公室，整合相关公益职能，组建衡阳市绿色建筑事务中心，为市住房和城乡建设局所属正科级事业单位。核准编制24人，为原市墙办和原市散办编制数之和，核配领导岗位4人，实配3人。2021年机构无变化。</w:t>
      </w:r>
    </w:p>
    <w:p w14:paraId="2051BD52">
      <w:pPr>
        <w:snapToGrid w:val="0"/>
        <w:spacing w:line="560" w:lineRule="exact"/>
        <w:ind w:firstLine="640" w:firstLineChars="200"/>
        <w:rPr>
          <w:rFonts w:ascii="仿宋_GB2312" w:hAnsi="仿宋" w:eastAsia="仿宋_GB2312"/>
          <w:sz w:val="32"/>
          <w:szCs w:val="32"/>
        </w:rPr>
      </w:pPr>
      <w:r>
        <w:rPr>
          <w:rFonts w:hint="eastAsia" w:ascii="仿宋_GB2312" w:eastAsia="仿宋_GB2312" w:cs="宋体"/>
          <w:color w:val="000000"/>
          <w:kern w:val="0"/>
          <w:sz w:val="32"/>
          <w:szCs w:val="32"/>
        </w:rPr>
        <w:t>3．人员情况：</w:t>
      </w:r>
      <w:r>
        <w:rPr>
          <w:rFonts w:hint="eastAsia" w:ascii="仿宋_GB2312" w:hAnsi="仿宋" w:eastAsia="仿宋_GB2312"/>
          <w:sz w:val="32"/>
          <w:szCs w:val="32"/>
        </w:rPr>
        <w:t>在编17人，退休30人。</w:t>
      </w:r>
    </w:p>
    <w:p w14:paraId="28F6B60D">
      <w:pPr>
        <w:pStyle w:val="4"/>
        <w:widowControl/>
        <w:ind w:firstLine="640"/>
        <w:rPr>
          <w:rFonts w:eastAsia="黑体"/>
          <w:sz w:val="32"/>
          <w:szCs w:val="32"/>
        </w:rPr>
      </w:pPr>
      <w:r>
        <w:rPr>
          <w:rFonts w:eastAsia="黑体"/>
          <w:sz w:val="32"/>
          <w:szCs w:val="32"/>
        </w:rPr>
        <w:t>二、一般公共预算支出情况</w:t>
      </w:r>
    </w:p>
    <w:p w14:paraId="7E64B8E3">
      <w:pPr>
        <w:pStyle w:val="4"/>
        <w:widowControl/>
        <w:ind w:firstLine="643"/>
        <w:rPr>
          <w:rFonts w:eastAsia="楷体"/>
          <w:b/>
          <w:sz w:val="32"/>
          <w:szCs w:val="32"/>
        </w:rPr>
      </w:pPr>
      <w:r>
        <w:rPr>
          <w:rFonts w:eastAsia="楷体"/>
          <w:b/>
          <w:sz w:val="32"/>
          <w:szCs w:val="32"/>
        </w:rPr>
        <w:t>（一）基本支出情况</w:t>
      </w:r>
    </w:p>
    <w:p w14:paraId="11F346B7">
      <w:pPr>
        <w:pStyle w:val="4"/>
        <w:widowControl/>
        <w:ind w:firstLine="640"/>
        <w:rPr>
          <w:rFonts w:eastAsia="仿宋"/>
          <w:sz w:val="32"/>
          <w:szCs w:val="32"/>
        </w:rPr>
      </w:pPr>
      <w:r>
        <w:rPr>
          <w:rFonts w:hint="eastAsia" w:eastAsia="仿宋"/>
          <w:sz w:val="32"/>
          <w:szCs w:val="32"/>
        </w:rPr>
        <w:t>2021年年初一般公共预算拨款预算支出</w:t>
      </w:r>
      <w:r>
        <w:rPr>
          <w:rFonts w:ascii="仿宋_GB2312" w:hAnsi="仿宋" w:eastAsia="仿宋_GB2312"/>
          <w:sz w:val="32"/>
          <w:szCs w:val="32"/>
        </w:rPr>
        <w:t>296</w:t>
      </w:r>
      <w:r>
        <w:rPr>
          <w:rFonts w:hint="eastAsia" w:ascii="仿宋_GB2312" w:hAnsi="仿宋" w:eastAsia="仿宋_GB2312"/>
          <w:sz w:val="32"/>
          <w:szCs w:val="32"/>
        </w:rPr>
        <w:t>.</w:t>
      </w:r>
      <w:r>
        <w:rPr>
          <w:rFonts w:ascii="仿宋_GB2312" w:hAnsi="仿宋" w:eastAsia="仿宋_GB2312"/>
          <w:sz w:val="32"/>
          <w:szCs w:val="32"/>
        </w:rPr>
        <w:t>61</w:t>
      </w:r>
      <w:r>
        <w:rPr>
          <w:rFonts w:hint="eastAsia" w:eastAsia="仿宋"/>
          <w:sz w:val="32"/>
          <w:szCs w:val="32"/>
        </w:rPr>
        <w:t>万元，调整预算数</w:t>
      </w:r>
      <w:r>
        <w:rPr>
          <w:rFonts w:hint="eastAsia" w:ascii="仿宋_GB2312" w:hAnsi="仿宋" w:eastAsia="仿宋_GB2312"/>
          <w:sz w:val="32"/>
          <w:szCs w:val="32"/>
        </w:rPr>
        <w:t>350.61</w:t>
      </w:r>
      <w:r>
        <w:rPr>
          <w:rFonts w:hint="eastAsia" w:eastAsia="仿宋"/>
          <w:sz w:val="32"/>
          <w:szCs w:val="32"/>
        </w:rPr>
        <w:t>万元，一般公共预算实际基本支出</w:t>
      </w:r>
      <w:r>
        <w:rPr>
          <w:rFonts w:hint="eastAsia" w:ascii="仿宋_GB2312" w:hAnsi="仿宋" w:eastAsia="仿宋_GB2312"/>
          <w:sz w:val="32"/>
          <w:szCs w:val="32"/>
        </w:rPr>
        <w:t>350.61</w:t>
      </w:r>
      <w:r>
        <w:rPr>
          <w:rFonts w:hint="eastAsia" w:eastAsia="仿宋"/>
          <w:sz w:val="32"/>
          <w:szCs w:val="32"/>
        </w:rPr>
        <w:t>万元，其中人员经费310.41万元，公用经费40.20万元。</w:t>
      </w:r>
    </w:p>
    <w:p w14:paraId="220AA195">
      <w:pPr>
        <w:pStyle w:val="4"/>
        <w:widowControl/>
        <w:ind w:firstLine="643"/>
        <w:rPr>
          <w:rFonts w:eastAsia="楷体"/>
          <w:b/>
          <w:sz w:val="32"/>
          <w:szCs w:val="32"/>
        </w:rPr>
      </w:pPr>
      <w:r>
        <w:rPr>
          <w:rFonts w:eastAsia="楷体"/>
          <w:b/>
          <w:sz w:val="32"/>
          <w:szCs w:val="32"/>
        </w:rPr>
        <w:t>（二）项目支出情况</w:t>
      </w:r>
    </w:p>
    <w:p w14:paraId="5AC6D5C4">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2021年无项目支出。</w:t>
      </w:r>
    </w:p>
    <w:p w14:paraId="7EC84893">
      <w:pPr>
        <w:pStyle w:val="4"/>
        <w:widowControl/>
        <w:ind w:firstLine="640"/>
        <w:rPr>
          <w:rFonts w:eastAsia="黑体"/>
          <w:sz w:val="32"/>
          <w:szCs w:val="32"/>
        </w:rPr>
      </w:pPr>
      <w:r>
        <w:rPr>
          <w:rFonts w:hint="eastAsia" w:eastAsia="黑体"/>
          <w:sz w:val="32"/>
          <w:szCs w:val="32"/>
        </w:rPr>
        <w:t>三、政府性基金预算支出情况</w:t>
      </w:r>
    </w:p>
    <w:p w14:paraId="122112AC">
      <w:pPr>
        <w:pStyle w:val="4"/>
        <w:widowControl/>
        <w:ind w:firstLine="640"/>
        <w:rPr>
          <w:rFonts w:eastAsia="仿宋"/>
          <w:sz w:val="32"/>
          <w:szCs w:val="32"/>
        </w:rPr>
      </w:pPr>
      <w:r>
        <w:rPr>
          <w:rFonts w:hint="eastAsia" w:eastAsia="仿宋"/>
          <w:sz w:val="32"/>
          <w:szCs w:val="32"/>
        </w:rPr>
        <w:t>无。</w:t>
      </w:r>
    </w:p>
    <w:p w14:paraId="24572048">
      <w:pPr>
        <w:pStyle w:val="4"/>
        <w:widowControl/>
        <w:ind w:firstLine="640"/>
        <w:rPr>
          <w:rFonts w:eastAsia="黑体"/>
          <w:sz w:val="32"/>
          <w:szCs w:val="32"/>
        </w:rPr>
      </w:pPr>
      <w:r>
        <w:rPr>
          <w:rFonts w:hint="eastAsia" w:eastAsia="黑体"/>
          <w:sz w:val="32"/>
          <w:szCs w:val="32"/>
        </w:rPr>
        <w:t>四、国有资本经营预算支出情况</w:t>
      </w:r>
    </w:p>
    <w:p w14:paraId="5FDA8193">
      <w:pPr>
        <w:pStyle w:val="4"/>
        <w:widowControl/>
        <w:ind w:firstLine="640"/>
        <w:rPr>
          <w:rFonts w:eastAsia="仿宋"/>
          <w:sz w:val="32"/>
          <w:szCs w:val="32"/>
        </w:rPr>
      </w:pPr>
      <w:r>
        <w:rPr>
          <w:rFonts w:hint="eastAsia" w:eastAsia="仿宋"/>
          <w:sz w:val="32"/>
          <w:szCs w:val="32"/>
        </w:rPr>
        <w:t>无。</w:t>
      </w:r>
    </w:p>
    <w:p w14:paraId="27E8E0EA">
      <w:pPr>
        <w:pStyle w:val="4"/>
        <w:widowControl/>
        <w:ind w:firstLine="640"/>
        <w:rPr>
          <w:rFonts w:eastAsia="黑体"/>
          <w:sz w:val="32"/>
          <w:szCs w:val="32"/>
        </w:rPr>
      </w:pPr>
      <w:r>
        <w:rPr>
          <w:rFonts w:hint="eastAsia" w:eastAsia="黑体"/>
          <w:sz w:val="32"/>
          <w:szCs w:val="32"/>
        </w:rPr>
        <w:t>五、社会保险基金预算支出情况</w:t>
      </w:r>
    </w:p>
    <w:p w14:paraId="3DEC080E">
      <w:pPr>
        <w:pStyle w:val="4"/>
        <w:widowControl/>
        <w:ind w:firstLine="640"/>
        <w:rPr>
          <w:rFonts w:eastAsia="仿宋"/>
          <w:sz w:val="32"/>
          <w:szCs w:val="32"/>
        </w:rPr>
      </w:pPr>
      <w:r>
        <w:rPr>
          <w:rFonts w:hint="eastAsia" w:eastAsia="仿宋"/>
          <w:sz w:val="32"/>
          <w:szCs w:val="32"/>
        </w:rPr>
        <w:t>无。</w:t>
      </w:r>
    </w:p>
    <w:p w14:paraId="40F89FC9">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6DD1F9BC">
      <w:pPr>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本单位全年绩效目标任务顺利完成，具体</w:t>
      </w:r>
      <w:bookmarkStart w:id="0" w:name="_GoBack"/>
      <w:bookmarkEnd w:id="0"/>
      <w:r>
        <w:rPr>
          <w:rFonts w:hint="eastAsia" w:ascii="仿宋_GB2312" w:eastAsia="仿宋_GB2312"/>
          <w:kern w:val="0"/>
          <w:sz w:val="32"/>
          <w:szCs w:val="32"/>
          <w:lang w:eastAsia="zh-CN"/>
        </w:rPr>
        <w:t>为</w:t>
      </w:r>
      <w:r>
        <w:rPr>
          <w:rFonts w:hint="eastAsia" w:ascii="仿宋_GB2312" w:eastAsia="仿宋_GB2312"/>
          <w:kern w:val="0"/>
          <w:sz w:val="32"/>
          <w:szCs w:val="32"/>
        </w:rPr>
        <w:t>使用预算资金维持机构运转并开展绿色建筑事务推广工作，促使全市2021年散装水泥供应量维持在600万吨以上，全市散装率维持在60%以上，并在全市内推广使用预拌砂浆，</w:t>
      </w:r>
      <w:r>
        <w:rPr>
          <w:rFonts w:hint="eastAsia" w:ascii="仿宋_GB2312" w:eastAsia="仿宋_GB2312" w:cs="宋体"/>
          <w:kern w:val="0"/>
          <w:sz w:val="32"/>
          <w:szCs w:val="32"/>
        </w:rPr>
        <w:t>进一步推进新型墙材推广使用；加快绿色建筑和建筑节能推广进程；加深社会大众</w:t>
      </w:r>
      <w:r>
        <w:rPr>
          <w:rFonts w:hint="eastAsia" w:ascii="仿宋_GB2312" w:eastAsia="仿宋_GB2312" w:cs="宋体"/>
          <w:kern w:val="0"/>
          <w:sz w:val="32"/>
          <w:szCs w:val="32"/>
          <w:lang w:eastAsia="zh-CN"/>
        </w:rPr>
        <w:t>对</w:t>
      </w:r>
      <w:r>
        <w:rPr>
          <w:rFonts w:hint="eastAsia" w:ascii="仿宋_GB2312" w:eastAsia="仿宋_GB2312" w:cs="宋体"/>
          <w:kern w:val="0"/>
          <w:sz w:val="32"/>
          <w:szCs w:val="32"/>
        </w:rPr>
        <w:t>装配式建筑的了解和应用。</w:t>
      </w:r>
    </w:p>
    <w:p w14:paraId="05381E48">
      <w:pPr>
        <w:ind w:firstLine="640" w:firstLineChars="200"/>
        <w:jc w:val="left"/>
        <w:rPr>
          <w:rFonts w:ascii="仿宋_GB2312" w:eastAsia="仿宋_GB2312"/>
          <w:sz w:val="32"/>
          <w:szCs w:val="32"/>
        </w:rPr>
      </w:pPr>
      <w:r>
        <w:rPr>
          <w:rFonts w:hint="eastAsia" w:ascii="仿宋_GB2312" w:eastAsia="仿宋_GB2312"/>
          <w:sz w:val="32"/>
          <w:szCs w:val="32"/>
        </w:rPr>
        <w:t>（一）经济性分析：</w:t>
      </w:r>
      <w:r>
        <w:rPr>
          <w:rFonts w:hint="eastAsia" w:ascii="仿宋_GB2312" w:eastAsia="仿宋_GB2312" w:cs="宋体"/>
          <w:color w:val="000000"/>
          <w:kern w:val="0"/>
          <w:sz w:val="32"/>
          <w:szCs w:val="32"/>
        </w:rPr>
        <w:t>2021年收入</w:t>
      </w:r>
      <w:r>
        <w:rPr>
          <w:rFonts w:hint="eastAsia" w:ascii="仿宋_GB2312" w:hAnsi="仿宋" w:eastAsia="仿宋_GB2312"/>
          <w:sz w:val="32"/>
          <w:szCs w:val="32"/>
        </w:rPr>
        <w:t>较上年减少16.17万元，缩减3.85%，本年支出较上年减少0.84万元，缩减0.2%。</w:t>
      </w:r>
      <w:r>
        <w:rPr>
          <w:rFonts w:hint="eastAsia" w:ascii="仿宋_GB2312" w:eastAsia="仿宋_GB2312" w:cs="宋体"/>
          <w:color w:val="000000"/>
          <w:kern w:val="0"/>
          <w:sz w:val="32"/>
          <w:szCs w:val="32"/>
        </w:rPr>
        <w:t>“三公”经费支出1.28万元，均为公务用车运行维护费，较去年减少1.16万元，节约了47.35%，</w:t>
      </w:r>
      <w:r>
        <w:rPr>
          <w:rFonts w:hint="eastAsia" w:ascii="仿宋_GB2312" w:eastAsia="仿宋_GB2312"/>
          <w:sz w:val="32"/>
          <w:szCs w:val="32"/>
        </w:rPr>
        <w:t>成本得到有效控制。</w:t>
      </w:r>
    </w:p>
    <w:p w14:paraId="542E1D64">
      <w:p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（二）效率性分析：使用财政拨款维持机构日常运转，并高效率地开展了业务工作。</w:t>
      </w:r>
      <w:r>
        <w:rPr>
          <w:rFonts w:hint="eastAsia" w:ascii="仿宋_GB2312" w:eastAsia="仿宋_GB2312"/>
          <w:kern w:val="0"/>
          <w:sz w:val="32"/>
          <w:szCs w:val="32"/>
        </w:rPr>
        <w:t>本单位全年绩效目标任务顺利完成，具体</w:t>
      </w:r>
      <w:r>
        <w:rPr>
          <w:rFonts w:hint="eastAsia" w:ascii="仿宋_GB2312" w:eastAsia="仿宋_GB2312"/>
          <w:kern w:val="0"/>
          <w:sz w:val="32"/>
          <w:szCs w:val="32"/>
          <w:lang w:eastAsia="zh-CN"/>
        </w:rPr>
        <w:t>为</w:t>
      </w:r>
      <w:r>
        <w:rPr>
          <w:rFonts w:hint="eastAsia" w:ascii="仿宋_GB2312" w:eastAsia="仿宋_GB2312"/>
          <w:kern w:val="0"/>
          <w:sz w:val="32"/>
          <w:szCs w:val="32"/>
        </w:rPr>
        <w:t>使用预算资金维持机构运转并开展绿色建筑事务推广工作，促使全市2021年散装水泥供应量维持在600万吨左右，全市散装率维持在60%以上，并在全市内推广使用预拌砂浆，</w:t>
      </w:r>
      <w:r>
        <w:rPr>
          <w:rFonts w:hint="eastAsia" w:ascii="仿宋_GB2312" w:eastAsia="仿宋_GB2312" w:cs="宋体"/>
          <w:kern w:val="0"/>
          <w:sz w:val="32"/>
          <w:szCs w:val="32"/>
        </w:rPr>
        <w:t>进一步推进新型墙材推广使用；加快绿色建筑和建筑节能推广进程；加深社会大众</w:t>
      </w:r>
      <w:r>
        <w:rPr>
          <w:rFonts w:hint="eastAsia" w:ascii="仿宋_GB2312" w:eastAsia="仿宋_GB2312" w:cs="宋体"/>
          <w:kern w:val="0"/>
          <w:sz w:val="32"/>
          <w:szCs w:val="32"/>
          <w:lang w:eastAsia="zh-CN"/>
        </w:rPr>
        <w:t>对</w:t>
      </w:r>
      <w:r>
        <w:rPr>
          <w:rFonts w:hint="eastAsia" w:ascii="仿宋_GB2312" w:eastAsia="仿宋_GB2312" w:cs="宋体"/>
          <w:kern w:val="0"/>
          <w:sz w:val="32"/>
          <w:szCs w:val="32"/>
        </w:rPr>
        <w:t>装配式建筑的了解和应用。</w:t>
      </w:r>
    </w:p>
    <w:p w14:paraId="40424E7E">
      <w:pPr>
        <w:spacing w:line="560" w:lineRule="exact"/>
        <w:ind w:firstLine="640"/>
        <w:rPr>
          <w:rFonts w:ascii="仿宋_GB2312" w:eastAsia="仿宋_GB2312"/>
          <w:sz w:val="32"/>
          <w:szCs w:val="32"/>
        </w:rPr>
      </w:pPr>
      <w:r>
        <w:rPr>
          <w:rFonts w:hint="eastAsia" w:ascii="仿宋" w:hAnsi="仿宋" w:eastAsia="仿宋"/>
          <w:sz w:val="32"/>
          <w:szCs w:val="32"/>
        </w:rPr>
        <w:t>（三）</w:t>
      </w:r>
      <w:r>
        <w:rPr>
          <w:rFonts w:hint="eastAsia" w:ascii="仿宋_GB2312" w:eastAsia="仿宋_GB2312"/>
          <w:sz w:val="32"/>
          <w:szCs w:val="32"/>
        </w:rPr>
        <w:t>有效性分析：其中，使用广告宣传费用开展绿色建筑和节能宣传活动，使用差旅费下乡下县进行工地巡查和调研等都收到了较好的社会效益和生态效益，社会效益为推广绿色建材，提高建筑工程质量和作业效率，减少劳动力，实现多、快、好、省。生态效益为减少粉尘、废气排放，节约包装用纸、标煤、电力、用水，发挥了散装水泥、新型墙材、绿色建材等在保护环境、节约能源上的特有优势。</w:t>
      </w:r>
    </w:p>
    <w:p w14:paraId="42F48BFA">
      <w:pPr>
        <w:ind w:firstLine="640" w:firstLineChars="200"/>
        <w:rPr>
          <w:rFonts w:ascii="仿宋_GB2312" w:eastAsia="仿宋_GB2312"/>
          <w:sz w:val="32"/>
          <w:szCs w:val="32"/>
        </w:rPr>
      </w:pPr>
      <w:r>
        <w:rPr>
          <w:rFonts w:hint="eastAsia" w:ascii="仿宋_GB2312" w:eastAsia="仿宋_GB2312"/>
          <w:sz w:val="32"/>
          <w:szCs w:val="32"/>
        </w:rPr>
        <w:t>（四）可持续性分析：装配式建筑、建筑节能、预拌砂浆等新兴绿色建筑行业有利于发展循环经济，促进可持续发展，后续还有进一步加强宣传、出台并完善政策法规等多项工作待开展。</w:t>
      </w:r>
    </w:p>
    <w:p w14:paraId="0750441E">
      <w:pPr>
        <w:ind w:firstLine="640" w:firstLineChars="200"/>
        <w:rPr>
          <w:rFonts w:ascii="仿宋_GB2312" w:eastAsia="仿宋_GB2312"/>
          <w:sz w:val="32"/>
          <w:szCs w:val="32"/>
        </w:rPr>
      </w:pPr>
      <w:r>
        <w:rPr>
          <w:rFonts w:eastAsia="黑体"/>
          <w:sz w:val="32"/>
          <w:szCs w:val="32"/>
        </w:rPr>
        <w:t>七、存在的问题及原因分析</w:t>
      </w:r>
    </w:p>
    <w:p w14:paraId="7909146E">
      <w:pPr>
        <w:pStyle w:val="4"/>
        <w:widowControl/>
        <w:ind w:firstLine="640"/>
        <w:rPr>
          <w:rFonts w:eastAsia="仿宋"/>
          <w:sz w:val="32"/>
          <w:szCs w:val="32"/>
        </w:rPr>
      </w:pPr>
      <w:r>
        <w:rPr>
          <w:rFonts w:hint="eastAsia" w:eastAsia="仿宋"/>
          <w:sz w:val="32"/>
          <w:szCs w:val="32"/>
        </w:rPr>
        <w:t>年初预算财政以其他收入形式拨款192万用于进行绿色建筑（装配式建筑）等推广应用，实际收到拨款60万，资金的不足影响了推广工作的进一步开展。</w:t>
      </w:r>
    </w:p>
    <w:p w14:paraId="68C0F68C">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14:paraId="543D5ED2">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严格预算编制，积极争取工作经费，进一步发挥资金效能。</w:t>
      </w:r>
    </w:p>
    <w:p w14:paraId="11FCE006">
      <w:pPr>
        <w:widowControl/>
        <w:ind w:firstLine="640" w:firstLineChars="200"/>
        <w:rPr>
          <w:rFonts w:ascii="Times New Roman" w:hAnsi="Times New Roman" w:eastAsia="黑体"/>
          <w:sz w:val="32"/>
          <w:szCs w:val="32"/>
        </w:rPr>
      </w:pPr>
      <w:r>
        <w:rPr>
          <w:rFonts w:ascii="Times New Roman" w:hAnsi="Times New Roman" w:eastAsia="黑体"/>
          <w:sz w:val="32"/>
          <w:szCs w:val="32"/>
        </w:rPr>
        <w:t>九、其他需要说明的情况</w:t>
      </w:r>
    </w:p>
    <w:p w14:paraId="2A6BFCAA">
      <w:pPr>
        <w:widowControl/>
        <w:ind w:firstLine="640" w:firstLineChars="200"/>
        <w:rPr>
          <w:rFonts w:ascii="Times New Roman" w:hAnsi="Times New Roman" w:eastAsiaTheme="minorEastAsia"/>
          <w:sz w:val="32"/>
          <w:szCs w:val="32"/>
        </w:rPr>
      </w:pPr>
      <w:r>
        <w:rPr>
          <w:rFonts w:hint="eastAsia" w:ascii="Times New Roman" w:hAnsi="Times New Roman" w:eastAsiaTheme="minorEastAsia"/>
          <w:sz w:val="32"/>
          <w:szCs w:val="32"/>
        </w:rPr>
        <w:t>无。</w:t>
      </w:r>
    </w:p>
    <w:p w14:paraId="0474DCF0">
      <w:pPr>
        <w:widowControl/>
        <w:ind w:firstLine="640" w:firstLineChars="200"/>
        <w:rPr>
          <w:rFonts w:ascii="Times New Roman" w:hAnsi="Times New Roman" w:eastAsia="仿宋"/>
          <w:sz w:val="32"/>
          <w:szCs w:val="32"/>
        </w:rPr>
      </w:pPr>
    </w:p>
    <w:p w14:paraId="38D194A2">
      <w:pPr>
        <w:widowControl/>
        <w:ind w:firstLine="640" w:firstLineChars="200"/>
        <w:rPr>
          <w:rFonts w:hint="eastAsia" w:ascii="Times New Roman" w:hAnsi="Times New Roman" w:eastAsia="仿宋"/>
          <w:sz w:val="32"/>
          <w:szCs w:val="32"/>
        </w:rPr>
      </w:pPr>
    </w:p>
    <w:p w14:paraId="396A9A01">
      <w:pPr>
        <w:widowControl/>
        <w:ind w:firstLine="640" w:firstLineChars="200"/>
        <w:rPr>
          <w:rFonts w:ascii="Times New Roman" w:hAnsi="Times New Roman" w:eastAsia="仿宋"/>
          <w:sz w:val="32"/>
          <w:szCs w:val="32"/>
        </w:rPr>
      </w:pPr>
      <w:r>
        <w:rPr>
          <w:rFonts w:ascii="Times New Roman" w:hAnsi="Times New Roman" w:eastAsia="仿宋"/>
          <w:sz w:val="32"/>
          <w:szCs w:val="32"/>
        </w:rPr>
        <w:t>附件：</w:t>
      </w:r>
    </w:p>
    <w:p w14:paraId="2856FDE1">
      <w:pPr>
        <w:ind w:firstLine="640" w:firstLineChars="200"/>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14:paraId="7D6BF4DE">
      <w:pPr>
        <w:ind w:firstLine="640" w:firstLineChars="200"/>
        <w:rPr>
          <w:rFonts w:ascii="Times New Roman" w:hAnsi="Times New Roman" w:eastAsia="仿宋_GB2312"/>
          <w:sz w:val="32"/>
          <w:szCs w:val="32"/>
        </w:rPr>
      </w:pPr>
      <w:r>
        <w:rPr>
          <w:rFonts w:ascii="Times New Roman" w:hAnsi="Times New Roman" w:eastAsia="仿宋_GB2312"/>
          <w:sz w:val="32"/>
          <w:szCs w:val="32"/>
        </w:rPr>
        <w:t>2.部门整体支出绩效自评表</w:t>
      </w:r>
    </w:p>
    <w:p w14:paraId="0DAB7ABA">
      <w:pPr>
        <w:widowControl/>
        <w:ind w:firstLine="640" w:firstLineChars="200"/>
        <w:rPr>
          <w:rFonts w:ascii="Times New Roman" w:hAnsi="Times New Roman" w:eastAsia="仿宋"/>
          <w:sz w:val="32"/>
          <w:szCs w:val="32"/>
        </w:rPr>
      </w:pPr>
    </w:p>
    <w:p w14:paraId="70F01068">
      <w:pPr>
        <w:widowControl/>
        <w:ind w:firstLine="640" w:firstLineChars="200"/>
        <w:rPr>
          <w:rFonts w:ascii="Times New Roman" w:hAnsi="Times New Roman" w:eastAsia="仿宋"/>
          <w:sz w:val="32"/>
          <w:szCs w:val="32"/>
        </w:rPr>
      </w:pPr>
    </w:p>
    <w:p w14:paraId="52F19D5B">
      <w:pPr>
        <w:widowControl/>
        <w:ind w:firstLine="640" w:firstLineChars="200"/>
        <w:rPr>
          <w:rFonts w:ascii="Times New Roman" w:hAnsi="Times New Roman" w:eastAsia="仿宋"/>
          <w:sz w:val="32"/>
          <w:szCs w:val="32"/>
        </w:rPr>
      </w:pPr>
    </w:p>
    <w:p w14:paraId="49BA3497">
      <w:pPr>
        <w:ind w:firstLine="640" w:firstLineChars="200"/>
        <w:rPr>
          <w:rFonts w:ascii="Times New Roman" w:hAnsi="Times New Roman" w:eastAsia="仿宋"/>
          <w:sz w:val="32"/>
          <w:szCs w:val="32"/>
        </w:rPr>
      </w:pPr>
    </w:p>
    <w:p w14:paraId="441BC050">
      <w:pPr>
        <w:spacing w:line="560" w:lineRule="exact"/>
        <w:ind w:firstLine="640" w:firstLineChars="200"/>
        <w:rPr>
          <w:rFonts w:ascii="Times New Roman" w:hAnsi="Times New Roman" w:eastAsia="仿宋"/>
          <w:sz w:val="32"/>
          <w:szCs w:val="32"/>
        </w:rPr>
      </w:pPr>
    </w:p>
    <w:p w14:paraId="1EE376E7">
      <w:pPr>
        <w:spacing w:line="560" w:lineRule="exact"/>
        <w:ind w:firstLine="640" w:firstLineChars="200"/>
        <w:rPr>
          <w:rFonts w:ascii="Times New Roman" w:hAnsi="Times New Roman" w:eastAsia="仿宋"/>
          <w:sz w:val="32"/>
          <w:szCs w:val="32"/>
        </w:rPr>
      </w:pPr>
    </w:p>
    <w:p w14:paraId="67C3618C">
      <w:pPr>
        <w:spacing w:line="560" w:lineRule="exact"/>
        <w:ind w:firstLine="640" w:firstLineChars="200"/>
        <w:rPr>
          <w:rFonts w:ascii="Times New Roman" w:hAnsi="Times New Roman" w:eastAsia="仿宋"/>
          <w:sz w:val="32"/>
          <w:szCs w:val="32"/>
        </w:rPr>
      </w:pPr>
    </w:p>
    <w:p w14:paraId="7AFFA44E">
      <w:pPr>
        <w:spacing w:line="560" w:lineRule="exact"/>
        <w:ind w:firstLine="640" w:firstLineChars="200"/>
        <w:rPr>
          <w:rFonts w:ascii="Times New Roman" w:hAnsi="Times New Roman" w:eastAsia="仿宋"/>
          <w:sz w:val="32"/>
          <w:szCs w:val="32"/>
        </w:rPr>
      </w:pPr>
    </w:p>
    <w:p w14:paraId="6C2A7BE4">
      <w:pPr>
        <w:spacing w:line="560" w:lineRule="exact"/>
        <w:ind w:firstLine="640" w:firstLineChars="200"/>
        <w:rPr>
          <w:rFonts w:ascii="Times New Roman" w:hAnsi="Times New Roman" w:eastAsia="仿宋"/>
          <w:sz w:val="32"/>
          <w:szCs w:val="32"/>
        </w:rPr>
      </w:pPr>
    </w:p>
    <w:p w14:paraId="509B6C03">
      <w:pPr>
        <w:spacing w:line="560" w:lineRule="exact"/>
        <w:ind w:firstLine="640" w:firstLineChars="200"/>
        <w:rPr>
          <w:rFonts w:ascii="Times New Roman" w:hAnsi="Times New Roman" w:eastAsia="仿宋"/>
          <w:sz w:val="32"/>
          <w:szCs w:val="32"/>
        </w:rPr>
      </w:pPr>
    </w:p>
    <w:p w14:paraId="13C886B4">
      <w:pPr>
        <w:spacing w:line="560" w:lineRule="exact"/>
        <w:ind w:firstLine="640" w:firstLineChars="200"/>
        <w:rPr>
          <w:rFonts w:ascii="Times New Roman" w:hAnsi="Times New Roman" w:eastAsia="仿宋"/>
          <w:sz w:val="32"/>
          <w:szCs w:val="32"/>
        </w:rPr>
      </w:pPr>
    </w:p>
    <w:p w14:paraId="111EC86D">
      <w:pPr>
        <w:spacing w:line="560" w:lineRule="exact"/>
        <w:ind w:firstLine="640" w:firstLineChars="200"/>
        <w:rPr>
          <w:rFonts w:ascii="Times New Roman" w:hAnsi="Times New Roman" w:eastAsia="仿宋"/>
          <w:sz w:val="32"/>
          <w:szCs w:val="32"/>
        </w:rPr>
      </w:pPr>
    </w:p>
    <w:p w14:paraId="5C154FF1">
      <w:pPr>
        <w:spacing w:line="560" w:lineRule="exact"/>
        <w:rPr>
          <w:rFonts w:ascii="Times New Roman" w:hAnsi="Times New Roman" w:eastAsia="仿宋"/>
          <w:sz w:val="32"/>
          <w:szCs w:val="32"/>
        </w:rPr>
      </w:pPr>
    </w:p>
    <w:p w14:paraId="7093B7B0">
      <w:pPr>
        <w:spacing w:afterLines="100"/>
        <w:jc w:val="left"/>
        <w:rPr>
          <w:rFonts w:ascii="Times New Roman" w:hAnsi="Times New Roman" w:eastAsia="仿宋_GB2312"/>
          <w:kern w:val="0"/>
          <w:sz w:val="32"/>
          <w:szCs w:val="32"/>
        </w:rPr>
      </w:pPr>
    </w:p>
    <w:p w14:paraId="7F956147">
      <w:pPr>
        <w:spacing w:afterLines="100"/>
        <w:jc w:val="left"/>
        <w:rPr>
          <w:rFonts w:ascii="Times New Roman" w:hAnsi="Times New Roman" w:eastAsia="仿宋_GB2312"/>
          <w:kern w:val="0"/>
          <w:sz w:val="32"/>
          <w:szCs w:val="32"/>
        </w:rPr>
      </w:pPr>
    </w:p>
    <w:p w14:paraId="7146EA55">
      <w:pPr>
        <w:spacing w:afterLines="100"/>
        <w:jc w:val="left"/>
        <w:rPr>
          <w:rFonts w:ascii="Times New Roman" w:hAnsi="Times New Roman" w:eastAsia="仿宋_GB2312"/>
          <w:kern w:val="0"/>
          <w:sz w:val="32"/>
          <w:szCs w:val="32"/>
        </w:rPr>
      </w:pPr>
    </w:p>
    <w:p w14:paraId="5A00491C">
      <w:pPr>
        <w:spacing w:afterLines="100"/>
        <w:jc w:val="left"/>
        <w:rPr>
          <w:rFonts w:ascii="Times New Roman" w:hAnsi="Times New Roman" w:eastAsia="仿宋_GB2312"/>
          <w:kern w:val="0"/>
          <w:sz w:val="32"/>
          <w:szCs w:val="32"/>
        </w:rPr>
      </w:pPr>
    </w:p>
    <w:p w14:paraId="344EF0B1">
      <w:pPr>
        <w:spacing w:afterLines="100"/>
        <w:jc w:val="left"/>
        <w:rPr>
          <w:rFonts w:ascii="Times New Roman" w:hAnsi="Times New Roman" w:eastAsia="仿宋_GB2312"/>
          <w:kern w:val="0"/>
          <w:sz w:val="32"/>
          <w:szCs w:val="32"/>
        </w:rPr>
      </w:pPr>
    </w:p>
    <w:p w14:paraId="4D43790C">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hint="eastAsia" w:ascii="Times New Roman" w:hAnsi="Times New Roman" w:eastAsia="仿宋_GB2312"/>
          <w:kern w:val="0"/>
          <w:sz w:val="32"/>
          <w:szCs w:val="32"/>
          <w:lang w:val="en-US" w:eastAsia="zh-CN"/>
        </w:rPr>
        <w:t>1</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14:paraId="27DEAA5E">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p w14:paraId="1CCEEBCB">
      <w:pPr>
        <w:ind w:right="640"/>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rPr>
        <w:t>衡阳市绿色建筑事务中心</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2"/>
        <w:tblW w:w="9464" w:type="dxa"/>
        <w:jc w:val="center"/>
        <w:tblLayout w:type="fixed"/>
        <w:tblCellMar>
          <w:top w:w="0" w:type="dxa"/>
          <w:left w:w="108" w:type="dxa"/>
          <w:bottom w:w="0" w:type="dxa"/>
          <w:right w:w="108" w:type="dxa"/>
        </w:tblCellMar>
      </w:tblPr>
      <w:tblGrid>
        <w:gridCol w:w="3354"/>
        <w:gridCol w:w="2038"/>
        <w:gridCol w:w="2240"/>
        <w:gridCol w:w="1832"/>
      </w:tblGrid>
      <w:tr w14:paraId="5D42CC9A">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64B23AE9">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14:paraId="585CB423">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36B55645">
            <w:pPr>
              <w:widowControl/>
              <w:jc w:val="center"/>
              <w:rPr>
                <w:rFonts w:ascii="Times New Roman" w:hAnsi="Times New Roman" w:eastAsia="Times New Roman"/>
                <w:b/>
                <w:bCs/>
                <w:kern w:val="0"/>
                <w:szCs w:val="21"/>
              </w:rPr>
            </w:pPr>
            <w:r>
              <w:rPr>
                <w:rFonts w:ascii="Times New Roman" w:hAnsi="Times New Roman"/>
                <w:b/>
                <w:bCs/>
                <w:kern w:val="0"/>
                <w:szCs w:val="21"/>
              </w:rPr>
              <w:t>2021年实际在职人数</w:t>
            </w:r>
          </w:p>
        </w:tc>
        <w:tc>
          <w:tcPr>
            <w:tcW w:w="1832" w:type="dxa"/>
            <w:tcBorders>
              <w:top w:val="single" w:color="auto" w:sz="4" w:space="0"/>
              <w:left w:val="nil"/>
              <w:bottom w:val="single" w:color="auto" w:sz="4" w:space="0"/>
              <w:right w:val="single" w:color="auto" w:sz="4" w:space="0"/>
            </w:tcBorders>
            <w:vAlign w:val="center"/>
          </w:tcPr>
          <w:p w14:paraId="4C4CD6C8">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14:paraId="1131590D">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36B57B04">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14:paraId="147D4A79">
            <w:pPr>
              <w:widowControl/>
              <w:jc w:val="center"/>
              <w:rPr>
                <w:rFonts w:ascii="Times New Roman" w:hAnsi="Times New Roman" w:eastAsia="Times New Roman"/>
                <w:kern w:val="0"/>
                <w:szCs w:val="21"/>
              </w:rPr>
            </w:pPr>
            <w:r>
              <w:rPr>
                <w:rFonts w:hint="eastAsia" w:ascii="Times New Roman" w:hAnsi="Times New Roman"/>
                <w:kern w:val="0"/>
                <w:szCs w:val="21"/>
              </w:rPr>
              <w:t>24</w:t>
            </w:r>
          </w:p>
        </w:tc>
        <w:tc>
          <w:tcPr>
            <w:tcW w:w="2240" w:type="dxa"/>
            <w:tcBorders>
              <w:top w:val="single" w:color="auto" w:sz="4" w:space="0"/>
              <w:left w:val="nil"/>
              <w:bottom w:val="single" w:color="auto" w:sz="4" w:space="0"/>
              <w:right w:val="single" w:color="auto" w:sz="4" w:space="0"/>
            </w:tcBorders>
            <w:vAlign w:val="center"/>
          </w:tcPr>
          <w:p w14:paraId="038CFC70">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20</w:t>
            </w:r>
          </w:p>
        </w:tc>
        <w:tc>
          <w:tcPr>
            <w:tcW w:w="1832" w:type="dxa"/>
            <w:tcBorders>
              <w:top w:val="single" w:color="auto" w:sz="4" w:space="0"/>
              <w:left w:val="nil"/>
              <w:bottom w:val="single" w:color="auto" w:sz="4" w:space="0"/>
              <w:right w:val="single" w:color="auto" w:sz="4" w:space="0"/>
            </w:tcBorders>
            <w:vAlign w:val="center"/>
          </w:tcPr>
          <w:p w14:paraId="1AB8C3B1">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83.3%</w:t>
            </w:r>
          </w:p>
        </w:tc>
      </w:tr>
      <w:tr w14:paraId="7C2628CF">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7BED58C8">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14:paraId="745C192E">
            <w:pPr>
              <w:widowControl/>
              <w:jc w:val="center"/>
              <w:rPr>
                <w:rFonts w:ascii="Times New Roman" w:hAnsi="Times New Roman" w:eastAsia="Times New Roman"/>
                <w:b/>
                <w:bCs/>
                <w:kern w:val="0"/>
                <w:szCs w:val="21"/>
              </w:rPr>
            </w:pPr>
            <w:r>
              <w:rPr>
                <w:rFonts w:ascii="Times New Roman" w:hAnsi="Times New Roman"/>
                <w:b/>
                <w:bCs/>
                <w:kern w:val="0"/>
                <w:szCs w:val="21"/>
              </w:rPr>
              <w:t>2020年决算数</w:t>
            </w:r>
          </w:p>
        </w:tc>
        <w:tc>
          <w:tcPr>
            <w:tcW w:w="2240" w:type="dxa"/>
            <w:tcBorders>
              <w:top w:val="single" w:color="auto" w:sz="4" w:space="0"/>
              <w:left w:val="nil"/>
              <w:bottom w:val="single" w:color="auto" w:sz="4" w:space="0"/>
              <w:right w:val="single" w:color="000000" w:sz="4" w:space="0"/>
            </w:tcBorders>
            <w:vAlign w:val="center"/>
          </w:tcPr>
          <w:p w14:paraId="1DD2E234">
            <w:pPr>
              <w:widowControl/>
              <w:jc w:val="center"/>
              <w:rPr>
                <w:rFonts w:ascii="Times New Roman" w:hAnsi="Times New Roman" w:eastAsia="Times New Roman"/>
                <w:b/>
                <w:bCs/>
                <w:kern w:val="0"/>
                <w:szCs w:val="21"/>
              </w:rPr>
            </w:pPr>
            <w:r>
              <w:rPr>
                <w:rFonts w:ascii="Times New Roman" w:hAnsi="Times New Roman"/>
                <w:b/>
                <w:bCs/>
                <w:kern w:val="0"/>
                <w:szCs w:val="21"/>
              </w:rPr>
              <w:t>2021年预算数</w:t>
            </w:r>
          </w:p>
        </w:tc>
        <w:tc>
          <w:tcPr>
            <w:tcW w:w="1832" w:type="dxa"/>
            <w:tcBorders>
              <w:top w:val="single" w:color="auto" w:sz="4" w:space="0"/>
              <w:left w:val="nil"/>
              <w:bottom w:val="single" w:color="auto" w:sz="4" w:space="0"/>
              <w:right w:val="single" w:color="000000" w:sz="4" w:space="0"/>
            </w:tcBorders>
            <w:vAlign w:val="center"/>
          </w:tcPr>
          <w:p w14:paraId="46423326">
            <w:pPr>
              <w:widowControl/>
              <w:jc w:val="center"/>
              <w:rPr>
                <w:rFonts w:ascii="Times New Roman" w:hAnsi="Times New Roman" w:eastAsia="Times New Roman"/>
                <w:b/>
                <w:bCs/>
                <w:kern w:val="0"/>
                <w:szCs w:val="21"/>
              </w:rPr>
            </w:pPr>
            <w:r>
              <w:rPr>
                <w:rFonts w:ascii="Times New Roman" w:hAnsi="Times New Roman"/>
                <w:b/>
                <w:bCs/>
                <w:kern w:val="0"/>
                <w:szCs w:val="21"/>
              </w:rPr>
              <w:t>2021年决算数</w:t>
            </w:r>
          </w:p>
        </w:tc>
      </w:tr>
      <w:tr w14:paraId="32839A1D">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6055D8B3">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14:paraId="2240E2E0">
            <w:pPr>
              <w:widowControl/>
              <w:jc w:val="center"/>
              <w:rPr>
                <w:rFonts w:ascii="Times New Roman" w:hAnsi="Times New Roman" w:eastAsia="Times New Roman"/>
                <w:kern w:val="0"/>
                <w:szCs w:val="21"/>
              </w:rPr>
            </w:pPr>
            <w:r>
              <w:rPr>
                <w:rFonts w:ascii="Times New Roman" w:hAnsi="Times New Roman" w:eastAsia="Times New Roman"/>
                <w:kern w:val="0"/>
                <w:szCs w:val="21"/>
              </w:rPr>
              <w:t>4,277,590.04</w:t>
            </w:r>
          </w:p>
        </w:tc>
        <w:tc>
          <w:tcPr>
            <w:tcW w:w="2240" w:type="dxa"/>
            <w:tcBorders>
              <w:top w:val="single" w:color="auto" w:sz="4" w:space="0"/>
              <w:left w:val="nil"/>
              <w:bottom w:val="single" w:color="auto" w:sz="4" w:space="0"/>
              <w:right w:val="single" w:color="000000" w:sz="4" w:space="0"/>
            </w:tcBorders>
            <w:vAlign w:val="center"/>
          </w:tcPr>
          <w:p w14:paraId="42D67DCF">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4886100.00</w:t>
            </w:r>
          </w:p>
        </w:tc>
        <w:tc>
          <w:tcPr>
            <w:tcW w:w="1832" w:type="dxa"/>
            <w:tcBorders>
              <w:top w:val="single" w:color="auto" w:sz="4" w:space="0"/>
              <w:left w:val="nil"/>
              <w:bottom w:val="single" w:color="auto" w:sz="4" w:space="0"/>
              <w:right w:val="single" w:color="000000" w:sz="4" w:space="0"/>
            </w:tcBorders>
            <w:vAlign w:val="center"/>
          </w:tcPr>
          <w:p w14:paraId="2AF1AC8E">
            <w:pPr>
              <w:widowControl/>
              <w:jc w:val="center"/>
              <w:rPr>
                <w:rFonts w:ascii="Times New Roman" w:hAnsi="Times New Roman" w:eastAsia="Times New Roman"/>
                <w:kern w:val="0"/>
                <w:szCs w:val="21"/>
              </w:rPr>
            </w:pPr>
            <w:r>
              <w:rPr>
                <w:rFonts w:ascii="Times New Roman" w:hAnsi="Times New Roman" w:eastAsia="Times New Roman"/>
                <w:kern w:val="0"/>
                <w:szCs w:val="21"/>
              </w:rPr>
              <w:t>4,269,155.21</w:t>
            </w:r>
          </w:p>
        </w:tc>
      </w:tr>
      <w:tr w14:paraId="6E206D39">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06862BF2">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14:paraId="0050F4D2">
            <w:pPr>
              <w:widowControl/>
              <w:jc w:val="center"/>
              <w:rPr>
                <w:rFonts w:ascii="Times New Roman" w:hAnsi="Times New Roman" w:eastAsia="Times New Roman"/>
                <w:kern w:val="0"/>
                <w:szCs w:val="21"/>
              </w:rPr>
            </w:pPr>
            <w:r>
              <w:rPr>
                <w:rFonts w:ascii="Times New Roman" w:hAnsi="Times New Roman" w:eastAsia="Times New Roman"/>
                <w:kern w:val="0"/>
                <w:szCs w:val="21"/>
              </w:rPr>
              <w:t>560,927.19</w:t>
            </w:r>
          </w:p>
        </w:tc>
        <w:tc>
          <w:tcPr>
            <w:tcW w:w="2240" w:type="dxa"/>
            <w:tcBorders>
              <w:top w:val="single" w:color="auto" w:sz="4" w:space="0"/>
              <w:left w:val="nil"/>
              <w:bottom w:val="single" w:color="auto" w:sz="4" w:space="0"/>
              <w:right w:val="single" w:color="000000" w:sz="4" w:space="0"/>
            </w:tcBorders>
            <w:vAlign w:val="center"/>
          </w:tcPr>
          <w:p w14:paraId="29F12600">
            <w:pPr>
              <w:widowControl/>
              <w:jc w:val="center"/>
              <w:rPr>
                <w:rFonts w:ascii="Times New Roman" w:hAnsi="Times New Roman" w:eastAsia="Times New Roman"/>
                <w:kern w:val="0"/>
                <w:szCs w:val="21"/>
              </w:rPr>
            </w:pPr>
            <w:r>
              <w:rPr>
                <w:rFonts w:ascii="Times New Roman" w:hAnsi="Times New Roman" w:eastAsia="Times New Roman"/>
                <w:kern w:val="0"/>
                <w:szCs w:val="21"/>
              </w:rPr>
              <w:t>1,486,700.00</w:t>
            </w:r>
          </w:p>
        </w:tc>
        <w:tc>
          <w:tcPr>
            <w:tcW w:w="1832" w:type="dxa"/>
            <w:tcBorders>
              <w:top w:val="single" w:color="auto" w:sz="4" w:space="0"/>
              <w:left w:val="nil"/>
              <w:bottom w:val="single" w:color="auto" w:sz="4" w:space="0"/>
              <w:right w:val="single" w:color="000000" w:sz="4" w:space="0"/>
            </w:tcBorders>
            <w:vAlign w:val="center"/>
          </w:tcPr>
          <w:p w14:paraId="0A97AAE1">
            <w:pPr>
              <w:widowControl/>
              <w:jc w:val="center"/>
              <w:rPr>
                <w:rFonts w:ascii="Times New Roman" w:hAnsi="Times New Roman" w:eastAsia="Times New Roman"/>
                <w:kern w:val="0"/>
                <w:szCs w:val="21"/>
              </w:rPr>
            </w:pPr>
            <w:r>
              <w:rPr>
                <w:rFonts w:ascii="Times New Roman" w:hAnsi="Times New Roman" w:eastAsia="Times New Roman"/>
                <w:kern w:val="0"/>
                <w:szCs w:val="21"/>
              </w:rPr>
              <w:t>621,635.08</w:t>
            </w:r>
          </w:p>
        </w:tc>
      </w:tr>
      <w:tr w14:paraId="578074B6">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7DC55C83">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14:paraId="134EE2EB">
            <w:pPr>
              <w:widowControl/>
              <w:jc w:val="center"/>
              <w:rPr>
                <w:rFonts w:ascii="Times New Roman" w:hAnsi="Times New Roman" w:eastAsia="Times New Roman"/>
                <w:kern w:val="0"/>
                <w:szCs w:val="21"/>
              </w:rPr>
            </w:pPr>
            <w:r>
              <w:rPr>
                <w:rFonts w:ascii="Times New Roman" w:hAnsi="Times New Roman" w:eastAsia="Times New Roman"/>
                <w:kern w:val="0"/>
                <w:szCs w:val="21"/>
              </w:rPr>
              <w:t>33,155.39</w:t>
            </w:r>
          </w:p>
        </w:tc>
        <w:tc>
          <w:tcPr>
            <w:tcW w:w="2240" w:type="dxa"/>
            <w:tcBorders>
              <w:top w:val="single" w:color="auto" w:sz="4" w:space="0"/>
              <w:left w:val="nil"/>
              <w:bottom w:val="single" w:color="auto" w:sz="4" w:space="0"/>
              <w:right w:val="single" w:color="000000" w:sz="4" w:space="0"/>
            </w:tcBorders>
            <w:vAlign w:val="center"/>
          </w:tcPr>
          <w:p w14:paraId="5518CD06">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295000.00</w:t>
            </w:r>
          </w:p>
        </w:tc>
        <w:tc>
          <w:tcPr>
            <w:tcW w:w="1832" w:type="dxa"/>
            <w:tcBorders>
              <w:top w:val="single" w:color="auto" w:sz="4" w:space="0"/>
              <w:left w:val="nil"/>
              <w:bottom w:val="single" w:color="auto" w:sz="4" w:space="0"/>
              <w:right w:val="single" w:color="000000" w:sz="4" w:space="0"/>
            </w:tcBorders>
            <w:vAlign w:val="center"/>
          </w:tcPr>
          <w:p w14:paraId="45A007DB">
            <w:pPr>
              <w:widowControl/>
              <w:jc w:val="center"/>
              <w:rPr>
                <w:rFonts w:ascii="Times New Roman" w:hAnsi="Times New Roman" w:eastAsia="Times New Roman"/>
                <w:kern w:val="0"/>
                <w:szCs w:val="21"/>
              </w:rPr>
            </w:pPr>
            <w:r>
              <w:rPr>
                <w:rFonts w:ascii="Times New Roman" w:hAnsi="Times New Roman" w:eastAsia="Times New Roman"/>
                <w:kern w:val="0"/>
                <w:szCs w:val="21"/>
              </w:rPr>
              <w:t>13,785.20</w:t>
            </w:r>
          </w:p>
        </w:tc>
      </w:tr>
      <w:tr w14:paraId="167E631F">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14:paraId="6037012B">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14:paraId="40F2227C">
            <w:pPr>
              <w:jc w:val="center"/>
              <w:rPr>
                <w:rFonts w:ascii="宋体" w:hAnsi="宋体" w:cs="宋体"/>
                <w:color w:val="000000"/>
                <w:sz w:val="22"/>
              </w:rPr>
            </w:pPr>
            <w:r>
              <w:rPr>
                <w:rFonts w:hint="eastAsia"/>
                <w:color w:val="000000"/>
                <w:sz w:val="22"/>
              </w:rPr>
              <w:t>76,318.58</w:t>
            </w:r>
          </w:p>
        </w:tc>
        <w:tc>
          <w:tcPr>
            <w:tcW w:w="2240" w:type="dxa"/>
            <w:tcBorders>
              <w:top w:val="single" w:color="auto" w:sz="4" w:space="0"/>
              <w:left w:val="nil"/>
              <w:bottom w:val="single" w:color="auto" w:sz="4" w:space="0"/>
              <w:right w:val="single" w:color="000000" w:sz="4" w:space="0"/>
            </w:tcBorders>
            <w:vAlign w:val="center"/>
          </w:tcPr>
          <w:p w14:paraId="23416491">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283000.00</w:t>
            </w:r>
          </w:p>
        </w:tc>
        <w:tc>
          <w:tcPr>
            <w:tcW w:w="1832" w:type="dxa"/>
            <w:tcBorders>
              <w:top w:val="single" w:color="auto" w:sz="4" w:space="0"/>
              <w:left w:val="nil"/>
              <w:bottom w:val="single" w:color="auto" w:sz="4" w:space="0"/>
              <w:right w:val="single" w:color="000000" w:sz="4" w:space="0"/>
            </w:tcBorders>
            <w:vAlign w:val="center"/>
          </w:tcPr>
          <w:p w14:paraId="21A91726">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63030.38</w:t>
            </w:r>
          </w:p>
        </w:tc>
      </w:tr>
      <w:tr w14:paraId="4E70CF65">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12EF39B0">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14:paraId="0134773F">
            <w:pPr>
              <w:jc w:val="center"/>
              <w:rPr>
                <w:rFonts w:ascii="宋体" w:hAnsi="宋体" w:cs="宋体"/>
                <w:color w:val="000000"/>
                <w:sz w:val="22"/>
              </w:rPr>
            </w:pPr>
            <w:r>
              <w:rPr>
                <w:rFonts w:hint="eastAsia"/>
                <w:color w:val="000000"/>
                <w:sz w:val="22"/>
              </w:rPr>
              <w:t>8,138.00</w:t>
            </w:r>
          </w:p>
        </w:tc>
        <w:tc>
          <w:tcPr>
            <w:tcW w:w="2240" w:type="dxa"/>
            <w:tcBorders>
              <w:top w:val="single" w:color="auto" w:sz="4" w:space="0"/>
              <w:left w:val="nil"/>
              <w:bottom w:val="single" w:color="auto" w:sz="4" w:space="0"/>
              <w:right w:val="single" w:color="000000" w:sz="4" w:space="0"/>
            </w:tcBorders>
            <w:vAlign w:val="center"/>
          </w:tcPr>
          <w:p w14:paraId="32C64FE4">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85000.00</w:t>
            </w:r>
          </w:p>
        </w:tc>
        <w:tc>
          <w:tcPr>
            <w:tcW w:w="1832" w:type="dxa"/>
            <w:tcBorders>
              <w:top w:val="single" w:color="auto" w:sz="4" w:space="0"/>
              <w:left w:val="nil"/>
              <w:bottom w:val="single" w:color="auto" w:sz="4" w:space="0"/>
              <w:right w:val="single" w:color="000000" w:sz="4" w:space="0"/>
            </w:tcBorders>
            <w:vAlign w:val="center"/>
          </w:tcPr>
          <w:p w14:paraId="453575C5">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11099.5</w:t>
            </w:r>
          </w:p>
        </w:tc>
      </w:tr>
      <w:tr w14:paraId="72425607">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1289364B">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14:paraId="15021584">
            <w:pPr>
              <w:widowControl/>
              <w:jc w:val="center"/>
              <w:rPr>
                <w:rFonts w:ascii="Times New Roman" w:hAnsi="Times New Roman" w:eastAsia="Times New Roman"/>
                <w:kern w:val="0"/>
                <w:szCs w:val="21"/>
              </w:rPr>
            </w:pPr>
            <w:r>
              <w:rPr>
                <w:rFonts w:ascii="Times New Roman" w:hAnsi="Times New Roman" w:eastAsia="Times New Roman"/>
                <w:kern w:val="0"/>
                <w:szCs w:val="21"/>
              </w:rPr>
              <w:t>24,483.41</w:t>
            </w:r>
          </w:p>
        </w:tc>
        <w:tc>
          <w:tcPr>
            <w:tcW w:w="2240" w:type="dxa"/>
            <w:tcBorders>
              <w:top w:val="single" w:color="auto" w:sz="4" w:space="0"/>
              <w:left w:val="nil"/>
              <w:bottom w:val="single" w:color="auto" w:sz="4" w:space="0"/>
              <w:right w:val="single" w:color="000000" w:sz="4" w:space="0"/>
            </w:tcBorders>
            <w:vAlign w:val="center"/>
          </w:tcPr>
          <w:p w14:paraId="60D991C4">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40000.00</w:t>
            </w:r>
          </w:p>
        </w:tc>
        <w:tc>
          <w:tcPr>
            <w:tcW w:w="1832" w:type="dxa"/>
            <w:tcBorders>
              <w:top w:val="single" w:color="auto" w:sz="4" w:space="0"/>
              <w:left w:val="nil"/>
              <w:bottom w:val="single" w:color="auto" w:sz="4" w:space="0"/>
              <w:right w:val="single" w:color="000000" w:sz="4" w:space="0"/>
            </w:tcBorders>
            <w:vAlign w:val="center"/>
          </w:tcPr>
          <w:p w14:paraId="4D04F057">
            <w:pPr>
              <w:widowControl/>
              <w:jc w:val="center"/>
              <w:rPr>
                <w:rFonts w:ascii="Times New Roman" w:hAnsi="Times New Roman" w:eastAsia="Times New Roman"/>
                <w:kern w:val="0"/>
                <w:szCs w:val="21"/>
              </w:rPr>
            </w:pPr>
            <w:r>
              <w:rPr>
                <w:rFonts w:ascii="Times New Roman" w:hAnsi="Times New Roman"/>
                <w:kern w:val="0"/>
                <w:szCs w:val="21"/>
              </w:rPr>
              <w:t>　12,848.50　</w:t>
            </w:r>
          </w:p>
        </w:tc>
      </w:tr>
      <w:tr w14:paraId="38AA90A6">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55B2CFAF">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14:paraId="1812DB6D">
            <w:pPr>
              <w:widowControl/>
              <w:jc w:val="center"/>
              <w:rPr>
                <w:rFonts w:ascii="Times New Roman" w:hAnsi="Times New Roman" w:eastAsia="Times New Roman"/>
                <w:kern w:val="0"/>
                <w:szCs w:val="21"/>
              </w:rPr>
            </w:pPr>
            <w:r>
              <w:rPr>
                <w:rFonts w:ascii="Times New Roman" w:hAnsi="Times New Roman" w:eastAsia="Times New Roman"/>
                <w:kern w:val="0"/>
                <w:szCs w:val="21"/>
              </w:rPr>
              <w:t>24,483.41</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3E8466F7">
            <w:pPr>
              <w:widowControl/>
              <w:jc w:val="center"/>
              <w:rPr>
                <w:rFonts w:ascii="Times New Roman" w:hAnsi="Times New Roman" w:eastAsia="Times New Roman"/>
                <w:kern w:val="0"/>
                <w:szCs w:val="21"/>
              </w:rPr>
            </w:pPr>
            <w:r>
              <w:rPr>
                <w:rFonts w:hint="eastAsia" w:ascii="Times New Roman" w:hAnsi="Times New Roman"/>
                <w:kern w:val="0"/>
                <w:szCs w:val="21"/>
              </w:rPr>
              <w:t>40000.00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1F83EC5">
            <w:pPr>
              <w:widowControl/>
              <w:jc w:val="center"/>
              <w:rPr>
                <w:rFonts w:ascii="Times New Roman" w:hAnsi="Times New Roman" w:eastAsia="Times New Roman"/>
                <w:kern w:val="0"/>
                <w:szCs w:val="21"/>
              </w:rPr>
            </w:pPr>
            <w:r>
              <w:rPr>
                <w:rFonts w:ascii="Times New Roman" w:hAnsi="Times New Roman"/>
                <w:kern w:val="0"/>
                <w:szCs w:val="21"/>
              </w:rPr>
              <w:t>12,848.50　</w:t>
            </w:r>
          </w:p>
        </w:tc>
      </w:tr>
      <w:tr w14:paraId="3A0937B3">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161AE6ED">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14:paraId="48427126">
            <w:pPr>
              <w:widowControl/>
              <w:jc w:val="center"/>
              <w:rPr>
                <w:rFonts w:ascii="Times New Roman" w:hAnsi="Times New Roman" w:eastAsia="Times New Roman"/>
                <w:kern w:val="0"/>
                <w:szCs w:val="21"/>
              </w:rPr>
            </w:pPr>
            <w:r>
              <w:rPr>
                <w:rFonts w:hint="eastAsia" w:ascii="Times New Roman" w:hAnsi="Times New Roman"/>
                <w:kern w:val="0"/>
                <w:szCs w:val="21"/>
              </w:rPr>
              <w:t>0</w:t>
            </w:r>
          </w:p>
        </w:tc>
        <w:tc>
          <w:tcPr>
            <w:tcW w:w="2240" w:type="dxa"/>
            <w:tcBorders>
              <w:top w:val="single" w:color="auto" w:sz="4" w:space="0"/>
              <w:left w:val="nil"/>
              <w:bottom w:val="single" w:color="auto" w:sz="4" w:space="0"/>
              <w:right w:val="single" w:color="000000" w:sz="4" w:space="0"/>
            </w:tcBorders>
            <w:vAlign w:val="center"/>
          </w:tcPr>
          <w:p w14:paraId="6526046F">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0</w:t>
            </w:r>
          </w:p>
        </w:tc>
        <w:tc>
          <w:tcPr>
            <w:tcW w:w="1832" w:type="dxa"/>
            <w:tcBorders>
              <w:top w:val="single" w:color="auto" w:sz="4" w:space="0"/>
              <w:left w:val="nil"/>
              <w:bottom w:val="single" w:color="auto" w:sz="4" w:space="0"/>
              <w:right w:val="single" w:color="000000" w:sz="4" w:space="0"/>
            </w:tcBorders>
            <w:vAlign w:val="center"/>
          </w:tcPr>
          <w:p w14:paraId="2FD77AF2">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0</w:t>
            </w:r>
          </w:p>
        </w:tc>
      </w:tr>
      <w:tr w14:paraId="26EF9586">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14:paraId="1CEEF867">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14:paraId="57B7E2BB">
            <w:pPr>
              <w:widowControl/>
              <w:jc w:val="center"/>
              <w:rPr>
                <w:rFonts w:ascii="Times New Roman" w:hAnsi="Times New Roman" w:eastAsia="Times New Roman"/>
                <w:kern w:val="0"/>
                <w:szCs w:val="21"/>
              </w:rPr>
            </w:pPr>
            <w:r>
              <w:rPr>
                <w:rFonts w:hint="eastAsia" w:ascii="Times New Roman" w:hAnsi="Times New Roman"/>
                <w:kern w:val="0"/>
                <w:szCs w:val="21"/>
              </w:rPr>
              <w:t>0</w:t>
            </w:r>
          </w:p>
        </w:tc>
        <w:tc>
          <w:tcPr>
            <w:tcW w:w="2240" w:type="dxa"/>
            <w:tcBorders>
              <w:top w:val="single" w:color="auto" w:sz="4" w:space="0"/>
              <w:left w:val="nil"/>
              <w:bottom w:val="single" w:color="auto" w:sz="4" w:space="0"/>
              <w:right w:val="single" w:color="000000" w:sz="4" w:space="0"/>
            </w:tcBorders>
            <w:vAlign w:val="center"/>
          </w:tcPr>
          <w:p w14:paraId="3DD9E7B7">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0</w:t>
            </w:r>
          </w:p>
        </w:tc>
        <w:tc>
          <w:tcPr>
            <w:tcW w:w="1832" w:type="dxa"/>
            <w:tcBorders>
              <w:top w:val="single" w:color="auto" w:sz="4" w:space="0"/>
              <w:left w:val="nil"/>
              <w:bottom w:val="single" w:color="auto" w:sz="4" w:space="0"/>
              <w:right w:val="single" w:color="000000" w:sz="4" w:space="0"/>
            </w:tcBorders>
            <w:vAlign w:val="center"/>
          </w:tcPr>
          <w:p w14:paraId="30609D16">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0</w:t>
            </w:r>
          </w:p>
        </w:tc>
      </w:tr>
      <w:tr w14:paraId="4B990C8E">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42083701">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14:paraId="53FB5280">
            <w:pPr>
              <w:widowControl/>
              <w:jc w:val="center"/>
              <w:rPr>
                <w:rFonts w:ascii="Times New Roman" w:hAnsi="Times New Roman" w:eastAsia="Times New Roman"/>
                <w:kern w:val="0"/>
                <w:szCs w:val="21"/>
              </w:rPr>
            </w:pPr>
            <w:r>
              <w:rPr>
                <w:rFonts w:hint="eastAsia" w:ascii="Times New Roman" w:hAnsi="Times New Roman"/>
                <w:kern w:val="0"/>
                <w:szCs w:val="21"/>
              </w:rPr>
              <w:t>0</w:t>
            </w:r>
          </w:p>
        </w:tc>
        <w:tc>
          <w:tcPr>
            <w:tcW w:w="2240" w:type="dxa"/>
            <w:tcBorders>
              <w:top w:val="single" w:color="auto" w:sz="4" w:space="0"/>
              <w:left w:val="nil"/>
              <w:bottom w:val="single" w:color="auto" w:sz="4" w:space="0"/>
              <w:right w:val="single" w:color="000000" w:sz="4" w:space="0"/>
            </w:tcBorders>
            <w:vAlign w:val="center"/>
          </w:tcPr>
          <w:p w14:paraId="275C1246">
            <w:pPr>
              <w:widowControl/>
              <w:jc w:val="center"/>
              <w:rPr>
                <w:rFonts w:ascii="Times New Roman" w:hAnsi="Times New Roman" w:eastAsia="Times New Roman"/>
                <w:kern w:val="0"/>
                <w:szCs w:val="21"/>
              </w:rPr>
            </w:pPr>
            <w:r>
              <w:rPr>
                <w:rFonts w:hint="eastAsia" w:ascii="Times New Roman" w:hAnsi="Times New Roman"/>
                <w:kern w:val="0"/>
                <w:szCs w:val="21"/>
              </w:rPr>
              <w:t>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73C7823F">
            <w:pPr>
              <w:widowControl/>
              <w:jc w:val="center"/>
              <w:rPr>
                <w:rFonts w:ascii="Times New Roman" w:hAnsi="Times New Roman" w:eastAsia="Times New Roman"/>
                <w:kern w:val="0"/>
                <w:szCs w:val="21"/>
              </w:rPr>
            </w:pPr>
            <w:r>
              <w:rPr>
                <w:rFonts w:hint="eastAsia" w:ascii="Times New Roman" w:hAnsi="Times New Roman"/>
                <w:kern w:val="0"/>
                <w:szCs w:val="21"/>
              </w:rPr>
              <w:t>0</w:t>
            </w:r>
            <w:r>
              <w:rPr>
                <w:rFonts w:ascii="Times New Roman" w:hAnsi="Times New Roman"/>
                <w:kern w:val="0"/>
                <w:szCs w:val="21"/>
              </w:rPr>
              <w:t>　</w:t>
            </w:r>
          </w:p>
        </w:tc>
      </w:tr>
      <w:tr w14:paraId="4CF4AC43">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43314C93">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14:paraId="2195B9D6">
            <w:pPr>
              <w:widowControl/>
              <w:jc w:val="center"/>
              <w:rPr>
                <w:rFonts w:ascii="Times New Roman" w:hAnsi="Times New Roman" w:eastAsia="Times New Roman"/>
                <w:kern w:val="0"/>
                <w:szCs w:val="21"/>
              </w:rPr>
            </w:pPr>
            <w:r>
              <w:rPr>
                <w:rFonts w:hint="eastAsia" w:ascii="Times New Roman" w:hAnsi="Times New Roman"/>
                <w:kern w:val="0"/>
                <w:szCs w:val="21"/>
              </w:rPr>
              <w:t>0</w:t>
            </w:r>
          </w:p>
        </w:tc>
        <w:tc>
          <w:tcPr>
            <w:tcW w:w="2240" w:type="dxa"/>
            <w:tcBorders>
              <w:top w:val="single" w:color="auto" w:sz="4" w:space="0"/>
              <w:left w:val="nil"/>
              <w:bottom w:val="single" w:color="auto" w:sz="4" w:space="0"/>
              <w:right w:val="single" w:color="000000" w:sz="4" w:space="0"/>
            </w:tcBorders>
            <w:vAlign w:val="center"/>
          </w:tcPr>
          <w:p w14:paraId="42F8E6D6">
            <w:pPr>
              <w:widowControl/>
              <w:jc w:val="center"/>
              <w:rPr>
                <w:rFonts w:ascii="Times New Roman" w:hAnsi="Times New Roman" w:eastAsia="Times New Roman"/>
                <w:kern w:val="0"/>
                <w:szCs w:val="21"/>
              </w:rPr>
            </w:pPr>
            <w:r>
              <w:rPr>
                <w:rFonts w:hint="eastAsia" w:ascii="Times New Roman" w:hAnsi="Times New Roman"/>
                <w:kern w:val="0"/>
                <w:szCs w:val="21"/>
              </w:rPr>
              <w:t>50000</w:t>
            </w:r>
          </w:p>
        </w:tc>
        <w:tc>
          <w:tcPr>
            <w:tcW w:w="1832" w:type="dxa"/>
            <w:tcBorders>
              <w:top w:val="single" w:color="auto" w:sz="4" w:space="0"/>
              <w:left w:val="nil"/>
              <w:bottom w:val="single" w:color="auto" w:sz="4" w:space="0"/>
              <w:right w:val="single" w:color="000000" w:sz="4" w:space="0"/>
            </w:tcBorders>
            <w:vAlign w:val="center"/>
          </w:tcPr>
          <w:p w14:paraId="3B71A33A">
            <w:pPr>
              <w:widowControl/>
              <w:jc w:val="center"/>
              <w:rPr>
                <w:rFonts w:ascii="Times New Roman" w:hAnsi="Times New Roman" w:eastAsia="Times New Roman"/>
                <w:kern w:val="0"/>
                <w:szCs w:val="21"/>
              </w:rPr>
            </w:pPr>
            <w:r>
              <w:rPr>
                <w:rFonts w:hint="eastAsia" w:ascii="Times New Roman" w:hAnsi="Times New Roman"/>
                <w:kern w:val="0"/>
                <w:szCs w:val="21"/>
              </w:rPr>
              <w:t>0</w:t>
            </w:r>
          </w:p>
        </w:tc>
      </w:tr>
      <w:tr w14:paraId="5C139B0A">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68C9C395">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14:paraId="4E2DA182">
            <w:pPr>
              <w:widowControl/>
              <w:jc w:val="center"/>
              <w:rPr>
                <w:rFonts w:ascii="Times New Roman" w:hAnsi="Times New Roman" w:eastAsia="Times New Roman"/>
                <w:kern w:val="0"/>
                <w:szCs w:val="21"/>
              </w:rPr>
            </w:pPr>
            <w:r>
              <w:rPr>
                <w:rFonts w:hint="eastAsia" w:ascii="Times New Roman" w:hAnsi="Times New Roman"/>
                <w:kern w:val="0"/>
                <w:szCs w:val="21"/>
              </w:rPr>
              <w:t>0</w:t>
            </w:r>
          </w:p>
        </w:tc>
        <w:tc>
          <w:tcPr>
            <w:tcW w:w="2240" w:type="dxa"/>
            <w:tcBorders>
              <w:top w:val="single" w:color="auto" w:sz="4" w:space="0"/>
              <w:left w:val="nil"/>
              <w:bottom w:val="single" w:color="auto" w:sz="4" w:space="0"/>
              <w:right w:val="single" w:color="000000" w:sz="4" w:space="0"/>
            </w:tcBorders>
            <w:vAlign w:val="center"/>
          </w:tcPr>
          <w:p w14:paraId="2A4DA5D3">
            <w:pPr>
              <w:widowControl/>
              <w:jc w:val="center"/>
              <w:rPr>
                <w:rFonts w:ascii="Times New Roman" w:hAnsi="Times New Roman" w:eastAsia="Times New Roman"/>
                <w:kern w:val="0"/>
                <w:szCs w:val="21"/>
              </w:rPr>
            </w:pPr>
            <w:r>
              <w:rPr>
                <w:rFonts w:hint="eastAsia" w:ascii="Times New Roman" w:hAnsi="Times New Roman"/>
                <w:kern w:val="0"/>
                <w:szCs w:val="21"/>
              </w:rPr>
              <w:t>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07E543B4">
            <w:pPr>
              <w:widowControl/>
              <w:jc w:val="center"/>
              <w:rPr>
                <w:rFonts w:ascii="Times New Roman" w:hAnsi="Times New Roman" w:eastAsia="Times New Roman"/>
                <w:kern w:val="0"/>
                <w:szCs w:val="21"/>
              </w:rPr>
            </w:pPr>
            <w:r>
              <w:rPr>
                <w:rFonts w:hint="eastAsia" w:ascii="Times New Roman" w:hAnsi="Times New Roman"/>
                <w:kern w:val="0"/>
                <w:szCs w:val="21"/>
              </w:rPr>
              <w:t>0</w:t>
            </w:r>
            <w:r>
              <w:rPr>
                <w:rFonts w:ascii="Times New Roman" w:hAnsi="Times New Roman"/>
                <w:kern w:val="0"/>
                <w:szCs w:val="21"/>
              </w:rPr>
              <w:t>　</w:t>
            </w:r>
          </w:p>
        </w:tc>
      </w:tr>
      <w:tr w14:paraId="4B7252B1">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09DFF423">
            <w:pPr>
              <w:widowControl/>
              <w:jc w:val="left"/>
              <w:rPr>
                <w:rFonts w:ascii="Times New Roman" w:hAnsi="Times New Roman" w:eastAsia="Times New Roman"/>
                <w:kern w:val="0"/>
                <w:szCs w:val="21"/>
              </w:rPr>
            </w:pPr>
            <w:r>
              <w:rPr>
                <w:rFonts w:ascii="Times New Roman" w:hAnsi="Times New Roman"/>
                <w:kern w:val="0"/>
                <w:szCs w:val="21"/>
              </w:rPr>
              <w:t xml:space="preserve"> 1、业务工作专项(一个项目一行)</w:t>
            </w:r>
          </w:p>
        </w:tc>
        <w:tc>
          <w:tcPr>
            <w:tcW w:w="2038" w:type="dxa"/>
            <w:tcBorders>
              <w:top w:val="single" w:color="auto" w:sz="4" w:space="0"/>
              <w:left w:val="nil"/>
              <w:bottom w:val="single" w:color="auto" w:sz="4" w:space="0"/>
              <w:right w:val="single" w:color="000000" w:sz="4" w:space="0"/>
            </w:tcBorders>
            <w:vAlign w:val="center"/>
          </w:tcPr>
          <w:p w14:paraId="6566C886">
            <w:pPr>
              <w:widowControl/>
              <w:jc w:val="center"/>
              <w:rPr>
                <w:rFonts w:ascii="Times New Roman" w:hAnsi="Times New Roman" w:eastAsia="Times New Roman"/>
                <w:kern w:val="0"/>
                <w:szCs w:val="21"/>
              </w:rPr>
            </w:pPr>
            <w:r>
              <w:rPr>
                <w:rFonts w:hint="eastAsia" w:ascii="Times New Roman" w:hAnsi="Times New Roman"/>
                <w:kern w:val="0"/>
                <w:szCs w:val="21"/>
              </w:rPr>
              <w:t>0</w:t>
            </w:r>
          </w:p>
        </w:tc>
        <w:tc>
          <w:tcPr>
            <w:tcW w:w="2240" w:type="dxa"/>
            <w:tcBorders>
              <w:top w:val="single" w:color="auto" w:sz="4" w:space="0"/>
              <w:left w:val="nil"/>
              <w:bottom w:val="single" w:color="auto" w:sz="4" w:space="0"/>
              <w:right w:val="single" w:color="000000" w:sz="4" w:space="0"/>
            </w:tcBorders>
            <w:vAlign w:val="center"/>
          </w:tcPr>
          <w:p w14:paraId="3634EC3A">
            <w:pPr>
              <w:widowControl/>
              <w:jc w:val="center"/>
              <w:rPr>
                <w:rFonts w:ascii="Times New Roman" w:hAnsi="Times New Roman" w:eastAsia="Times New Roman"/>
                <w:kern w:val="0"/>
                <w:szCs w:val="21"/>
              </w:rPr>
            </w:pPr>
            <w:r>
              <w:rPr>
                <w:rFonts w:hint="eastAsia" w:ascii="Times New Roman" w:hAnsi="Times New Roman"/>
                <w:kern w:val="0"/>
                <w:szCs w:val="21"/>
              </w:rPr>
              <w:t>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A1CDEFA">
            <w:pPr>
              <w:widowControl/>
              <w:jc w:val="center"/>
              <w:rPr>
                <w:rFonts w:ascii="Times New Roman" w:hAnsi="Times New Roman" w:eastAsia="Times New Roman"/>
                <w:kern w:val="0"/>
                <w:szCs w:val="21"/>
              </w:rPr>
            </w:pPr>
            <w:r>
              <w:rPr>
                <w:rFonts w:hint="eastAsia" w:ascii="Times New Roman" w:hAnsi="Times New Roman"/>
                <w:kern w:val="0"/>
                <w:szCs w:val="21"/>
              </w:rPr>
              <w:t>0</w:t>
            </w:r>
            <w:r>
              <w:rPr>
                <w:rFonts w:ascii="Times New Roman" w:hAnsi="Times New Roman"/>
                <w:kern w:val="0"/>
                <w:szCs w:val="21"/>
              </w:rPr>
              <w:t>　</w:t>
            </w:r>
          </w:p>
        </w:tc>
      </w:tr>
      <w:tr w14:paraId="1C4BE4A5">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71F3D841">
            <w:pPr>
              <w:widowControl/>
              <w:ind w:firstLine="210" w:firstLineChars="100"/>
              <w:jc w:val="left"/>
              <w:rPr>
                <w:rFonts w:ascii="Times New Roman" w:hAnsi="Times New Roman" w:eastAsia="Times New Roman"/>
                <w:kern w:val="0"/>
                <w:szCs w:val="21"/>
              </w:rPr>
            </w:pPr>
            <w:r>
              <w:rPr>
                <w:rFonts w:hint="eastAsia" w:ascii="Times New Roman" w:hAnsi="Times New Roman"/>
                <w:kern w:val="0"/>
                <w:szCs w:val="21"/>
              </w:rPr>
              <w:t>2</w:t>
            </w:r>
            <w:r>
              <w:rPr>
                <w:rFonts w:ascii="Times New Roman" w:hAnsi="Times New Roman"/>
                <w:kern w:val="0"/>
                <w:szCs w:val="21"/>
              </w:rPr>
              <w:t>、业务工作专项(一个项目一行)</w:t>
            </w:r>
          </w:p>
        </w:tc>
        <w:tc>
          <w:tcPr>
            <w:tcW w:w="2038" w:type="dxa"/>
            <w:tcBorders>
              <w:top w:val="single" w:color="auto" w:sz="4" w:space="0"/>
              <w:left w:val="nil"/>
              <w:bottom w:val="single" w:color="auto" w:sz="4" w:space="0"/>
              <w:right w:val="single" w:color="000000" w:sz="4" w:space="0"/>
            </w:tcBorders>
            <w:vAlign w:val="center"/>
          </w:tcPr>
          <w:p w14:paraId="20A3D9A2">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c>
          <w:tcPr>
            <w:tcW w:w="2240" w:type="dxa"/>
            <w:tcBorders>
              <w:top w:val="single" w:color="auto" w:sz="4" w:space="0"/>
              <w:left w:val="nil"/>
              <w:bottom w:val="single" w:color="auto" w:sz="4" w:space="0"/>
              <w:right w:val="single" w:color="000000" w:sz="4" w:space="0"/>
            </w:tcBorders>
            <w:vAlign w:val="center"/>
          </w:tcPr>
          <w:p w14:paraId="5896E943">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c>
          <w:tcPr>
            <w:tcW w:w="1832" w:type="dxa"/>
            <w:tcBorders>
              <w:top w:val="single" w:color="auto" w:sz="4" w:space="0"/>
              <w:left w:val="nil"/>
              <w:bottom w:val="single" w:color="auto" w:sz="4" w:space="0"/>
              <w:right w:val="single" w:color="000000" w:sz="4" w:space="0"/>
            </w:tcBorders>
            <w:vAlign w:val="center"/>
          </w:tcPr>
          <w:p w14:paraId="0874BA93">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w:t>
            </w:r>
          </w:p>
        </w:tc>
      </w:tr>
      <w:tr w14:paraId="529399C3">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4A2144B3">
            <w:pPr>
              <w:widowControl/>
              <w:jc w:val="left"/>
              <w:rPr>
                <w:rFonts w:ascii="Times New Roman" w:hAnsi="Times New Roman" w:eastAsia="Times New Roman"/>
                <w:kern w:val="0"/>
                <w:szCs w:val="21"/>
              </w:rPr>
            </w:pPr>
            <w:r>
              <w:rPr>
                <w:rFonts w:ascii="Times New Roman" w:hAnsi="Times New Roman"/>
                <w:kern w:val="0"/>
                <w:szCs w:val="21"/>
              </w:rPr>
              <w:t xml:space="preserve"> </w:t>
            </w:r>
            <w:r>
              <w:rPr>
                <w:rFonts w:hint="eastAsia" w:ascii="Times New Roman" w:hAnsi="Times New Roman"/>
                <w:kern w:val="0"/>
                <w:szCs w:val="21"/>
              </w:rPr>
              <w:t>3</w:t>
            </w:r>
            <w:r>
              <w:rPr>
                <w:rFonts w:ascii="Times New Roman" w:hAnsi="Times New Roman"/>
                <w:kern w:val="0"/>
                <w:szCs w:val="21"/>
              </w:rPr>
              <w:t>、</w:t>
            </w:r>
            <w:r>
              <w:rPr>
                <w:rFonts w:hint="eastAsia" w:ascii="Times New Roman" w:hAnsi="Times New Roman"/>
                <w:kern w:val="0"/>
                <w:szCs w:val="21"/>
              </w:rPr>
              <w:t>市级专项资金</w:t>
            </w:r>
            <w:r>
              <w:rPr>
                <w:rFonts w:ascii="Times New Roman" w:hAnsi="Times New Roman"/>
                <w:kern w:val="0"/>
                <w:szCs w:val="21"/>
              </w:rPr>
              <w:t>(一个项目一行)</w:t>
            </w:r>
          </w:p>
        </w:tc>
        <w:tc>
          <w:tcPr>
            <w:tcW w:w="2038" w:type="dxa"/>
            <w:tcBorders>
              <w:top w:val="single" w:color="auto" w:sz="4" w:space="0"/>
              <w:left w:val="nil"/>
              <w:bottom w:val="single" w:color="auto" w:sz="4" w:space="0"/>
              <w:right w:val="single" w:color="000000" w:sz="4" w:space="0"/>
            </w:tcBorders>
            <w:vAlign w:val="center"/>
          </w:tcPr>
          <w:p w14:paraId="01C36948">
            <w:pPr>
              <w:widowControl/>
              <w:jc w:val="center"/>
              <w:rPr>
                <w:rFonts w:ascii="Times New Roman" w:hAnsi="Times New Roman" w:eastAsia="Times New Roman"/>
                <w:kern w:val="0"/>
                <w:szCs w:val="21"/>
              </w:rPr>
            </w:pPr>
            <w:r>
              <w:rPr>
                <w:rFonts w:hint="eastAsia" w:ascii="Times New Roman" w:hAnsi="Times New Roman"/>
                <w:kern w:val="0"/>
                <w:szCs w:val="21"/>
              </w:rPr>
              <w:t>0</w:t>
            </w:r>
          </w:p>
        </w:tc>
        <w:tc>
          <w:tcPr>
            <w:tcW w:w="2240" w:type="dxa"/>
            <w:tcBorders>
              <w:top w:val="single" w:color="auto" w:sz="4" w:space="0"/>
              <w:left w:val="nil"/>
              <w:bottom w:val="single" w:color="auto" w:sz="4" w:space="0"/>
              <w:right w:val="single" w:color="000000" w:sz="4" w:space="0"/>
            </w:tcBorders>
            <w:vAlign w:val="center"/>
          </w:tcPr>
          <w:p w14:paraId="5E5D5A29">
            <w:pPr>
              <w:widowControl/>
              <w:jc w:val="center"/>
              <w:rPr>
                <w:rFonts w:ascii="Times New Roman" w:hAnsi="Times New Roman" w:eastAsia="Times New Roman"/>
                <w:kern w:val="0"/>
                <w:szCs w:val="21"/>
              </w:rPr>
            </w:pPr>
            <w:r>
              <w:rPr>
                <w:rFonts w:hint="eastAsia" w:ascii="Times New Roman" w:hAnsi="Times New Roman"/>
                <w:kern w:val="0"/>
                <w:szCs w:val="21"/>
              </w:rPr>
              <w:t>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01A9A442">
            <w:pPr>
              <w:widowControl/>
              <w:jc w:val="center"/>
              <w:rPr>
                <w:rFonts w:ascii="Times New Roman" w:hAnsi="Times New Roman" w:eastAsia="Times New Roman"/>
                <w:kern w:val="0"/>
                <w:szCs w:val="21"/>
              </w:rPr>
            </w:pPr>
            <w:r>
              <w:rPr>
                <w:rFonts w:hint="eastAsia" w:ascii="Times New Roman" w:hAnsi="Times New Roman"/>
                <w:kern w:val="0"/>
                <w:szCs w:val="21"/>
              </w:rPr>
              <w:t>0</w:t>
            </w:r>
            <w:r>
              <w:rPr>
                <w:rFonts w:ascii="Times New Roman" w:hAnsi="Times New Roman"/>
                <w:kern w:val="0"/>
                <w:szCs w:val="21"/>
              </w:rPr>
              <w:t>　</w:t>
            </w:r>
          </w:p>
        </w:tc>
      </w:tr>
      <w:tr w14:paraId="672127DB">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71F98723">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14:paraId="2A80B16C">
            <w:pPr>
              <w:widowControl/>
              <w:jc w:val="center"/>
              <w:rPr>
                <w:rFonts w:ascii="Times New Roman" w:hAnsi="Times New Roman" w:eastAsia="Times New Roman"/>
                <w:kern w:val="0"/>
                <w:szCs w:val="21"/>
              </w:rPr>
            </w:pPr>
            <w:r>
              <w:rPr>
                <w:rFonts w:hint="eastAsia" w:ascii="Times New Roman" w:hAnsi="Times New Roman"/>
                <w:kern w:val="0"/>
                <w:szCs w:val="21"/>
              </w:rPr>
              <w:t>0</w:t>
            </w:r>
          </w:p>
        </w:tc>
        <w:tc>
          <w:tcPr>
            <w:tcW w:w="2240" w:type="dxa"/>
            <w:tcBorders>
              <w:top w:val="single" w:color="auto" w:sz="4" w:space="0"/>
              <w:left w:val="nil"/>
              <w:bottom w:val="single" w:color="auto" w:sz="4" w:space="0"/>
              <w:right w:val="single" w:color="000000" w:sz="4" w:space="0"/>
            </w:tcBorders>
            <w:vAlign w:val="center"/>
          </w:tcPr>
          <w:p w14:paraId="1CA989F8">
            <w:pPr>
              <w:widowControl/>
              <w:jc w:val="center"/>
              <w:rPr>
                <w:rFonts w:ascii="Times New Roman" w:hAnsi="Times New Roman" w:eastAsia="Times New Roman"/>
                <w:kern w:val="0"/>
                <w:szCs w:val="21"/>
              </w:rPr>
            </w:pPr>
            <w:r>
              <w:rPr>
                <w:rFonts w:hint="eastAsia" w:ascii="Times New Roman" w:hAnsi="Times New Roman"/>
                <w:kern w:val="0"/>
                <w:szCs w:val="21"/>
              </w:rPr>
              <w:t>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1337EDCC">
            <w:pPr>
              <w:widowControl/>
              <w:jc w:val="center"/>
              <w:rPr>
                <w:rFonts w:ascii="Times New Roman" w:hAnsi="Times New Roman" w:eastAsia="Times New Roman"/>
                <w:kern w:val="0"/>
                <w:szCs w:val="21"/>
              </w:rPr>
            </w:pPr>
            <w:r>
              <w:rPr>
                <w:rFonts w:hint="eastAsia" w:ascii="Times New Roman" w:hAnsi="Times New Roman"/>
                <w:kern w:val="0"/>
                <w:szCs w:val="21"/>
              </w:rPr>
              <w:t>0</w:t>
            </w:r>
            <w:r>
              <w:rPr>
                <w:rFonts w:ascii="Times New Roman" w:hAnsi="Times New Roman"/>
                <w:kern w:val="0"/>
                <w:szCs w:val="21"/>
              </w:rPr>
              <w:t>　</w:t>
            </w:r>
          </w:p>
        </w:tc>
      </w:tr>
      <w:tr w14:paraId="3765B999">
        <w:tblPrEx>
          <w:tblCellMar>
            <w:top w:w="0" w:type="dxa"/>
            <w:left w:w="108" w:type="dxa"/>
            <w:bottom w:w="0" w:type="dxa"/>
            <w:right w:w="108" w:type="dxa"/>
          </w:tblCellMar>
        </w:tblPrEx>
        <w:trPr>
          <w:trHeight w:val="875" w:hRule="atLeast"/>
          <w:jc w:val="center"/>
        </w:trPr>
        <w:tc>
          <w:tcPr>
            <w:tcW w:w="3354" w:type="dxa"/>
            <w:tcBorders>
              <w:top w:val="nil"/>
              <w:left w:val="single" w:color="auto" w:sz="4" w:space="0"/>
              <w:bottom w:val="single" w:color="auto" w:sz="4" w:space="0"/>
              <w:right w:val="single" w:color="auto" w:sz="4" w:space="0"/>
            </w:tcBorders>
            <w:vAlign w:val="center"/>
          </w:tcPr>
          <w:p w14:paraId="6DF6E7B4">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14:paraId="5BDCB0EC">
            <w:pPr>
              <w:widowControl/>
              <w:jc w:val="left"/>
              <w:rPr>
                <w:rFonts w:eastAsia="仿宋_GB2312"/>
                <w:kern w:val="0"/>
                <w:sz w:val="24"/>
              </w:rPr>
            </w:pPr>
            <w:r>
              <w:rPr>
                <w:rFonts w:hint="eastAsia" w:eastAsia="仿宋_GB2312"/>
                <w:kern w:val="0"/>
                <w:sz w:val="24"/>
              </w:rPr>
              <w:t>1.三公经费严格控制，严格审批。</w:t>
            </w:r>
          </w:p>
          <w:p w14:paraId="3D14A5B8">
            <w:pPr>
              <w:widowControl/>
              <w:jc w:val="left"/>
              <w:rPr>
                <w:rFonts w:ascii="Times New Roman" w:hAnsi="Times New Roman"/>
                <w:kern w:val="0"/>
                <w:szCs w:val="21"/>
              </w:rPr>
            </w:pPr>
            <w:r>
              <w:rPr>
                <w:rFonts w:hint="eastAsia" w:eastAsia="仿宋_GB2312"/>
                <w:kern w:val="0"/>
                <w:sz w:val="24"/>
              </w:rPr>
              <w:t>2.公务用车严格审批，出车提前报备，只限一般执法执勤用车，节约用车运行维护费。</w:t>
            </w:r>
            <w:r>
              <w:rPr>
                <w:rFonts w:ascii="Times New Roman" w:hAnsi="Times New Roman"/>
                <w:kern w:val="0"/>
                <w:szCs w:val="21"/>
              </w:rPr>
              <w:t>　</w:t>
            </w:r>
          </w:p>
          <w:p w14:paraId="76CC6127">
            <w:pPr>
              <w:widowControl/>
              <w:jc w:val="left"/>
              <w:rPr>
                <w:rFonts w:ascii="Times New Roman" w:hAnsi="Times New Roman" w:eastAsia="Times New Roman"/>
                <w:kern w:val="0"/>
                <w:szCs w:val="21"/>
              </w:rPr>
            </w:pPr>
          </w:p>
        </w:tc>
      </w:tr>
    </w:tbl>
    <w:p w14:paraId="0B6A2244">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14:paraId="3E571044">
      <w:pPr>
        <w:rPr>
          <w:rFonts w:ascii="Times New Roman" w:hAnsi="Times New Roman"/>
          <w:kern w:val="0"/>
          <w:sz w:val="22"/>
        </w:rPr>
      </w:pPr>
    </w:p>
    <w:p w14:paraId="17D9C2B4">
      <w:pPr>
        <w:rPr>
          <w:rFonts w:ascii="Times New Roman" w:hAnsi="Times New Roman"/>
          <w:kern w:val="0"/>
          <w:sz w:val="22"/>
        </w:rPr>
      </w:pPr>
    </w:p>
    <w:p w14:paraId="519DD4CD">
      <w:pPr>
        <w:rPr>
          <w:rFonts w:ascii="Times New Roman" w:hAnsi="Times New Roman" w:eastAsia="仿宋_GB2312"/>
          <w:sz w:val="24"/>
        </w:rPr>
      </w:pPr>
      <w:r>
        <w:rPr>
          <w:rFonts w:ascii="Times New Roman" w:hAnsi="Times New Roman" w:eastAsia="仿宋_GB2312"/>
          <w:sz w:val="24"/>
        </w:rPr>
        <w:t>填表人：</w:t>
      </w:r>
      <w:r>
        <w:rPr>
          <w:rFonts w:hint="eastAsia" w:ascii="Times New Roman" w:hAnsi="Times New Roman" w:eastAsia="仿宋_GB2312"/>
          <w:sz w:val="24"/>
        </w:rPr>
        <w:t>李茉</w:t>
      </w:r>
      <w:r>
        <w:rPr>
          <w:rFonts w:ascii="Times New Roman" w:hAnsi="Times New Roman" w:eastAsia="仿宋_GB2312"/>
          <w:sz w:val="24"/>
        </w:rPr>
        <w:t xml:space="preserve">   填报日期：</w:t>
      </w:r>
      <w:r>
        <w:rPr>
          <w:rFonts w:hint="eastAsia" w:ascii="Times New Roman" w:hAnsi="Times New Roman" w:eastAsia="仿宋_GB2312"/>
          <w:sz w:val="24"/>
        </w:rPr>
        <w:t>2022.3.1</w:t>
      </w:r>
      <w:r>
        <w:rPr>
          <w:rFonts w:ascii="Times New Roman" w:hAnsi="Times New Roman" w:eastAsia="仿宋_GB2312"/>
          <w:sz w:val="24"/>
        </w:rPr>
        <w:t xml:space="preserve">   联系电话：</w:t>
      </w:r>
      <w:r>
        <w:rPr>
          <w:rFonts w:hint="eastAsia" w:ascii="Times New Roman" w:hAnsi="Times New Roman" w:eastAsia="仿宋_GB2312"/>
          <w:sz w:val="24"/>
        </w:rPr>
        <w:t>18073455600</w:t>
      </w:r>
    </w:p>
    <w:p w14:paraId="6A4BE779">
      <w:pPr>
        <w:rPr>
          <w:rFonts w:ascii="Times New Roman" w:hAnsi="Times New Roman"/>
          <w:kern w:val="0"/>
          <w:sz w:val="22"/>
        </w:rPr>
      </w:pPr>
    </w:p>
    <w:p w14:paraId="5477CFDE">
      <w:pPr>
        <w:rPr>
          <w:rFonts w:hint="eastAsia" w:ascii="Times New Roman" w:hAnsi="Times New Roman" w:eastAsia="黑体"/>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2</w:t>
      </w:r>
    </w:p>
    <w:tbl>
      <w:tblPr>
        <w:tblStyle w:val="2"/>
        <w:tblW w:w="9764" w:type="dxa"/>
        <w:jc w:val="center"/>
        <w:tblLayout w:type="fixed"/>
        <w:tblCellMar>
          <w:top w:w="0" w:type="dxa"/>
          <w:left w:w="108" w:type="dxa"/>
          <w:bottom w:w="0" w:type="dxa"/>
          <w:right w:w="108" w:type="dxa"/>
        </w:tblCellMar>
      </w:tblPr>
      <w:tblGrid>
        <w:gridCol w:w="1128"/>
        <w:gridCol w:w="1016"/>
        <w:gridCol w:w="1276"/>
        <w:gridCol w:w="1134"/>
        <w:gridCol w:w="1194"/>
        <w:gridCol w:w="223"/>
        <w:gridCol w:w="797"/>
        <w:gridCol w:w="195"/>
        <w:gridCol w:w="765"/>
        <w:gridCol w:w="765"/>
        <w:gridCol w:w="300"/>
        <w:gridCol w:w="971"/>
      </w:tblGrid>
      <w:tr w14:paraId="438A61C1">
        <w:tblPrEx>
          <w:tblCellMar>
            <w:top w:w="0" w:type="dxa"/>
            <w:left w:w="108" w:type="dxa"/>
            <w:bottom w:w="0" w:type="dxa"/>
            <w:right w:w="108" w:type="dxa"/>
          </w:tblCellMar>
        </w:tblPrEx>
        <w:trPr>
          <w:trHeight w:val="549" w:hRule="atLeast"/>
          <w:jc w:val="center"/>
        </w:trPr>
        <w:tc>
          <w:tcPr>
            <w:tcW w:w="9764" w:type="dxa"/>
            <w:gridSpan w:val="12"/>
            <w:tcBorders>
              <w:top w:val="nil"/>
              <w:left w:val="nil"/>
              <w:bottom w:val="nil"/>
              <w:right w:val="nil"/>
            </w:tcBorders>
            <w:shd w:val="clear" w:color="auto" w:fill="auto"/>
            <w:noWrap/>
            <w:vAlign w:val="center"/>
          </w:tcPr>
          <w:p w14:paraId="04AAE166">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69A6ED8A">
        <w:tblPrEx>
          <w:tblCellMar>
            <w:top w:w="0" w:type="dxa"/>
            <w:left w:w="108" w:type="dxa"/>
            <w:bottom w:w="0" w:type="dxa"/>
            <w:right w:w="108" w:type="dxa"/>
          </w:tblCellMar>
        </w:tblPrEx>
        <w:trPr>
          <w:trHeight w:val="270" w:hRule="atLeast"/>
          <w:jc w:val="center"/>
        </w:trPr>
        <w:tc>
          <w:tcPr>
            <w:tcW w:w="9764" w:type="dxa"/>
            <w:gridSpan w:val="12"/>
            <w:tcBorders>
              <w:top w:val="nil"/>
              <w:left w:val="nil"/>
              <w:bottom w:val="single" w:color="auto" w:sz="4" w:space="0"/>
              <w:right w:val="nil"/>
            </w:tcBorders>
            <w:shd w:val="clear" w:color="auto" w:fill="auto"/>
            <w:noWrap/>
            <w:vAlign w:val="center"/>
          </w:tcPr>
          <w:p w14:paraId="7E6CC05B">
            <w:pPr>
              <w:widowControl/>
              <w:rPr>
                <w:rFonts w:ascii="Times New Roman" w:hAnsi="Times New Roman"/>
                <w:color w:val="000000"/>
                <w:kern w:val="0"/>
                <w:sz w:val="22"/>
              </w:rPr>
            </w:pPr>
            <w:r>
              <w:rPr>
                <w:rFonts w:ascii="Times New Roman" w:hAnsi="Times New Roman"/>
                <w:color w:val="000000"/>
                <w:kern w:val="0"/>
                <w:sz w:val="22"/>
              </w:rPr>
              <w:t xml:space="preserve">填报单位： </w:t>
            </w:r>
            <w:r>
              <w:rPr>
                <w:rFonts w:hint="eastAsia" w:ascii="Times New Roman" w:hAnsi="Times New Roman"/>
                <w:color w:val="000000"/>
                <w:kern w:val="0"/>
                <w:sz w:val="22"/>
              </w:rPr>
              <w:t>衡阳市绿色建筑事务中心                （2021年度）</w:t>
            </w:r>
          </w:p>
        </w:tc>
      </w:tr>
      <w:tr w14:paraId="4469DD35">
        <w:tblPrEx>
          <w:tblCellMar>
            <w:top w:w="0" w:type="dxa"/>
            <w:left w:w="108" w:type="dxa"/>
            <w:bottom w:w="0" w:type="dxa"/>
            <w:right w:w="108" w:type="dxa"/>
          </w:tblCellMar>
        </w:tblPrEx>
        <w:trPr>
          <w:trHeight w:val="409" w:hRule="atLeast"/>
          <w:jc w:val="center"/>
        </w:trPr>
        <w:tc>
          <w:tcPr>
            <w:tcW w:w="1128" w:type="dxa"/>
            <w:tcBorders>
              <w:top w:val="nil"/>
              <w:left w:val="single" w:color="auto" w:sz="4" w:space="0"/>
              <w:bottom w:val="single" w:color="auto" w:sz="4" w:space="0"/>
              <w:right w:val="single" w:color="auto" w:sz="4" w:space="0"/>
            </w:tcBorders>
            <w:shd w:val="clear" w:color="auto" w:fill="auto"/>
            <w:noWrap/>
            <w:vAlign w:val="center"/>
          </w:tcPr>
          <w:p w14:paraId="4876972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22C4439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衡阳市绿色建筑事务中心</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0C47D06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60" w:type="dxa"/>
            <w:gridSpan w:val="2"/>
            <w:tcBorders>
              <w:top w:val="single" w:color="auto" w:sz="4" w:space="0"/>
              <w:left w:val="nil"/>
              <w:bottom w:val="single" w:color="auto" w:sz="4" w:space="0"/>
              <w:right w:val="single" w:color="000000" w:sz="4" w:space="0"/>
            </w:tcBorders>
            <w:shd w:val="clear" w:color="auto" w:fill="auto"/>
            <w:noWrap/>
          </w:tcPr>
          <w:p w14:paraId="5DDDE99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686D9E5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0A6DCBB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6C949C97">
        <w:tblPrEx>
          <w:tblCellMar>
            <w:top w:w="0" w:type="dxa"/>
            <w:left w:w="108" w:type="dxa"/>
            <w:bottom w:w="0" w:type="dxa"/>
            <w:right w:w="108" w:type="dxa"/>
          </w:tblCellMar>
        </w:tblPrEx>
        <w:trPr>
          <w:trHeight w:val="345" w:hRule="atLeast"/>
          <w:jc w:val="center"/>
        </w:trPr>
        <w:tc>
          <w:tcPr>
            <w:tcW w:w="1128" w:type="dxa"/>
            <w:vMerge w:val="restart"/>
            <w:tcBorders>
              <w:top w:val="nil"/>
              <w:left w:val="single" w:color="auto" w:sz="4" w:space="0"/>
              <w:right w:val="single" w:color="auto" w:sz="4" w:space="0"/>
            </w:tcBorders>
            <w:shd w:val="clear" w:color="auto" w:fill="auto"/>
            <w:noWrap/>
            <w:vAlign w:val="center"/>
          </w:tcPr>
          <w:p w14:paraId="3CC7861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1E10FE0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3DAB67C3">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资金总额：</w:t>
            </w:r>
            <w:r>
              <w:rPr>
                <w:rFonts w:hint="eastAsia" w:ascii="宋体" w:hAnsi="宋体" w:cs="宋体"/>
                <w:kern w:val="0"/>
                <w:sz w:val="20"/>
                <w:szCs w:val="20"/>
              </w:rPr>
              <w:t>488.61万元</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770C90C2">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426.92</w:t>
            </w:r>
          </w:p>
        </w:tc>
        <w:tc>
          <w:tcPr>
            <w:tcW w:w="960" w:type="dxa"/>
            <w:gridSpan w:val="2"/>
            <w:tcBorders>
              <w:top w:val="single" w:color="auto" w:sz="4" w:space="0"/>
              <w:left w:val="nil"/>
              <w:bottom w:val="single" w:color="auto" w:sz="4" w:space="0"/>
              <w:right w:val="single" w:color="000000" w:sz="4" w:space="0"/>
            </w:tcBorders>
            <w:shd w:val="clear" w:color="auto" w:fill="auto"/>
            <w:noWrap/>
            <w:vAlign w:val="center"/>
          </w:tcPr>
          <w:p w14:paraId="1B84B935">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87.37%</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6F423E31">
            <w:pPr>
              <w:widowControl/>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442F9452">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8</w:t>
            </w:r>
          </w:p>
        </w:tc>
      </w:tr>
      <w:tr w14:paraId="1651ABE7">
        <w:tblPrEx>
          <w:tblCellMar>
            <w:top w:w="0" w:type="dxa"/>
            <w:left w:w="108" w:type="dxa"/>
            <w:bottom w:w="0" w:type="dxa"/>
            <w:right w:w="108" w:type="dxa"/>
          </w:tblCellMar>
        </w:tblPrEx>
        <w:trPr>
          <w:trHeight w:val="223" w:hRule="atLeast"/>
          <w:jc w:val="center"/>
        </w:trPr>
        <w:tc>
          <w:tcPr>
            <w:tcW w:w="1128" w:type="dxa"/>
            <w:vMerge w:val="continue"/>
            <w:tcBorders>
              <w:left w:val="single" w:color="auto" w:sz="4" w:space="0"/>
              <w:right w:val="single" w:color="auto" w:sz="4" w:space="0"/>
            </w:tcBorders>
            <w:shd w:val="clear" w:color="auto" w:fill="auto"/>
            <w:noWrap/>
            <w:vAlign w:val="center"/>
          </w:tcPr>
          <w:p w14:paraId="64C679DF">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2D34157F">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p>
        </w:tc>
        <w:tc>
          <w:tcPr>
            <w:tcW w:w="4016" w:type="dxa"/>
            <w:gridSpan w:val="7"/>
            <w:tcBorders>
              <w:top w:val="single" w:color="auto" w:sz="4" w:space="0"/>
              <w:left w:val="nil"/>
              <w:bottom w:val="single" w:color="auto" w:sz="4" w:space="0"/>
              <w:right w:val="single" w:color="000000" w:sz="4" w:space="0"/>
            </w:tcBorders>
            <w:shd w:val="clear" w:color="auto" w:fill="auto"/>
            <w:noWrap/>
            <w:vAlign w:val="center"/>
          </w:tcPr>
          <w:p w14:paraId="7A2C6477">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按指出性质分：</w:t>
            </w:r>
          </w:p>
        </w:tc>
      </w:tr>
      <w:tr w14:paraId="077395A9">
        <w:tblPrEx>
          <w:tblCellMar>
            <w:top w:w="0" w:type="dxa"/>
            <w:left w:w="108" w:type="dxa"/>
            <w:bottom w:w="0" w:type="dxa"/>
            <w:right w:w="108" w:type="dxa"/>
          </w:tblCellMar>
        </w:tblPrEx>
        <w:trPr>
          <w:trHeight w:val="355" w:hRule="atLeast"/>
          <w:jc w:val="center"/>
        </w:trPr>
        <w:tc>
          <w:tcPr>
            <w:tcW w:w="1128" w:type="dxa"/>
            <w:vMerge w:val="continue"/>
            <w:tcBorders>
              <w:left w:val="single" w:color="auto" w:sz="4" w:space="0"/>
              <w:right w:val="single" w:color="auto" w:sz="4" w:space="0"/>
            </w:tcBorders>
            <w:shd w:val="clear" w:color="auto" w:fill="auto"/>
            <w:noWrap/>
            <w:vAlign w:val="center"/>
          </w:tcPr>
          <w:p w14:paraId="0D171D30">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4B9FC2DF">
            <w:pPr>
              <w:widowControl/>
              <w:jc w:val="left"/>
              <w:rPr>
                <w:rFonts w:ascii="宋体" w:hAnsi="宋体" w:cs="宋体"/>
                <w:kern w:val="0"/>
                <w:sz w:val="20"/>
                <w:szCs w:val="20"/>
              </w:rPr>
            </w:pPr>
            <w:r>
              <w:rPr>
                <w:rFonts w:ascii="Times New Roman" w:hAnsi="Times New Roman" w:eastAsia="仿宋_GB2312"/>
                <w:color w:val="000000"/>
                <w:kern w:val="0"/>
                <w:szCs w:val="21"/>
              </w:rPr>
              <w:t>其中： 一般公共预算收入：</w:t>
            </w:r>
            <w:r>
              <w:rPr>
                <w:rFonts w:hint="eastAsia" w:ascii="宋体" w:hAnsi="宋体" w:cs="宋体"/>
                <w:kern w:val="0"/>
                <w:sz w:val="20"/>
                <w:szCs w:val="20"/>
              </w:rPr>
              <w:t>296.61万元</w:t>
            </w:r>
          </w:p>
        </w:tc>
        <w:tc>
          <w:tcPr>
            <w:tcW w:w="4016" w:type="dxa"/>
            <w:gridSpan w:val="7"/>
            <w:tcBorders>
              <w:top w:val="single" w:color="auto" w:sz="4" w:space="0"/>
              <w:left w:val="nil"/>
              <w:bottom w:val="single" w:color="auto" w:sz="4" w:space="0"/>
              <w:right w:val="single" w:color="000000" w:sz="4" w:space="0"/>
            </w:tcBorders>
            <w:shd w:val="clear" w:color="auto" w:fill="auto"/>
            <w:noWrap/>
            <w:vAlign w:val="center"/>
          </w:tcPr>
          <w:p w14:paraId="10E01C1B">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其中：基本支出：</w:t>
            </w:r>
            <w:r>
              <w:rPr>
                <w:rFonts w:hint="eastAsia" w:ascii="宋体" w:hAnsi="宋体" w:cs="宋体"/>
                <w:kern w:val="0"/>
                <w:sz w:val="20"/>
                <w:szCs w:val="20"/>
              </w:rPr>
              <w:t>488.61万元</w:t>
            </w:r>
          </w:p>
        </w:tc>
      </w:tr>
      <w:tr w14:paraId="46940506">
        <w:tblPrEx>
          <w:tblCellMar>
            <w:top w:w="0" w:type="dxa"/>
            <w:left w:w="108" w:type="dxa"/>
            <w:bottom w:w="0" w:type="dxa"/>
            <w:right w:w="108" w:type="dxa"/>
          </w:tblCellMar>
        </w:tblPrEx>
        <w:trPr>
          <w:trHeight w:val="333" w:hRule="atLeast"/>
          <w:jc w:val="center"/>
        </w:trPr>
        <w:tc>
          <w:tcPr>
            <w:tcW w:w="1128" w:type="dxa"/>
            <w:vMerge w:val="continue"/>
            <w:tcBorders>
              <w:left w:val="single" w:color="auto" w:sz="4" w:space="0"/>
              <w:right w:val="single" w:color="auto" w:sz="4" w:space="0"/>
            </w:tcBorders>
            <w:shd w:val="clear" w:color="auto" w:fill="auto"/>
            <w:noWrap/>
            <w:vAlign w:val="center"/>
          </w:tcPr>
          <w:p w14:paraId="172F1132">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3C1C7507">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r>
              <w:rPr>
                <w:rFonts w:hint="eastAsia" w:ascii="Times New Roman" w:hAnsi="Times New Roman" w:eastAsia="仿宋_GB2312"/>
                <w:color w:val="000000"/>
                <w:kern w:val="0"/>
                <w:szCs w:val="21"/>
              </w:rPr>
              <w:t>0</w:t>
            </w:r>
          </w:p>
        </w:tc>
        <w:tc>
          <w:tcPr>
            <w:tcW w:w="4016" w:type="dxa"/>
            <w:gridSpan w:val="7"/>
            <w:tcBorders>
              <w:top w:val="single" w:color="auto" w:sz="4" w:space="0"/>
              <w:left w:val="nil"/>
              <w:bottom w:val="single" w:color="auto" w:sz="4" w:space="0"/>
              <w:right w:val="single" w:color="000000" w:sz="4" w:space="0"/>
            </w:tcBorders>
            <w:shd w:val="clear" w:color="auto" w:fill="auto"/>
            <w:noWrap/>
            <w:vAlign w:val="center"/>
          </w:tcPr>
          <w:p w14:paraId="69460C68">
            <w:pPr>
              <w:widowControl/>
              <w:ind w:firstLine="840" w:firstLineChars="4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项目支出：0</w:t>
            </w:r>
          </w:p>
        </w:tc>
      </w:tr>
      <w:tr w14:paraId="60B8DD6E">
        <w:tblPrEx>
          <w:tblCellMar>
            <w:top w:w="0" w:type="dxa"/>
            <w:left w:w="108" w:type="dxa"/>
            <w:bottom w:w="0" w:type="dxa"/>
            <w:right w:w="108" w:type="dxa"/>
          </w:tblCellMar>
        </w:tblPrEx>
        <w:trPr>
          <w:trHeight w:val="385" w:hRule="atLeast"/>
          <w:jc w:val="center"/>
        </w:trPr>
        <w:tc>
          <w:tcPr>
            <w:tcW w:w="1128" w:type="dxa"/>
            <w:vMerge w:val="continue"/>
            <w:tcBorders>
              <w:left w:val="single" w:color="auto" w:sz="4" w:space="0"/>
              <w:right w:val="single" w:color="auto" w:sz="4" w:space="0"/>
            </w:tcBorders>
            <w:shd w:val="clear" w:color="auto" w:fill="auto"/>
            <w:noWrap/>
            <w:vAlign w:val="center"/>
          </w:tcPr>
          <w:p w14:paraId="0F1492F9">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7BFE5C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r>
              <w:rPr>
                <w:rFonts w:hint="eastAsia" w:ascii="Times New Roman" w:hAnsi="Times New Roman" w:eastAsia="仿宋_GB2312"/>
                <w:color w:val="000000"/>
                <w:kern w:val="0"/>
                <w:szCs w:val="21"/>
              </w:rPr>
              <w:t>0</w:t>
            </w:r>
          </w:p>
        </w:tc>
        <w:tc>
          <w:tcPr>
            <w:tcW w:w="4016" w:type="dxa"/>
            <w:gridSpan w:val="7"/>
            <w:tcBorders>
              <w:top w:val="single" w:color="auto" w:sz="4" w:space="0"/>
              <w:left w:val="nil"/>
              <w:bottom w:val="single" w:color="auto" w:sz="4" w:space="0"/>
              <w:right w:val="single" w:color="000000" w:sz="4" w:space="0"/>
            </w:tcBorders>
            <w:shd w:val="clear" w:color="auto" w:fill="auto"/>
            <w:noWrap/>
            <w:vAlign w:val="center"/>
          </w:tcPr>
          <w:p w14:paraId="3C494ECE">
            <w:pPr>
              <w:widowControl/>
              <w:jc w:val="left"/>
              <w:rPr>
                <w:rFonts w:ascii="Times New Roman" w:hAnsi="Times New Roman" w:eastAsia="仿宋_GB2312"/>
                <w:color w:val="000000"/>
                <w:kern w:val="0"/>
                <w:szCs w:val="21"/>
              </w:rPr>
            </w:pPr>
          </w:p>
        </w:tc>
      </w:tr>
      <w:tr w14:paraId="4D199314">
        <w:tblPrEx>
          <w:tblCellMar>
            <w:top w:w="0" w:type="dxa"/>
            <w:left w:w="108" w:type="dxa"/>
            <w:bottom w:w="0" w:type="dxa"/>
            <w:right w:w="108" w:type="dxa"/>
          </w:tblCellMar>
        </w:tblPrEx>
        <w:trPr>
          <w:trHeight w:val="259" w:hRule="atLeast"/>
          <w:jc w:val="center"/>
        </w:trPr>
        <w:tc>
          <w:tcPr>
            <w:tcW w:w="1128" w:type="dxa"/>
            <w:vMerge w:val="continue"/>
            <w:tcBorders>
              <w:left w:val="single" w:color="auto" w:sz="4" w:space="0"/>
              <w:bottom w:val="single" w:color="auto" w:sz="4" w:space="0"/>
              <w:right w:val="single" w:color="auto" w:sz="4" w:space="0"/>
            </w:tcBorders>
            <w:shd w:val="clear" w:color="auto" w:fill="auto"/>
            <w:noWrap/>
            <w:vAlign w:val="center"/>
          </w:tcPr>
          <w:p w14:paraId="57ED357A">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7607E980">
            <w:pPr>
              <w:widowControl/>
              <w:ind w:firstLine="1680" w:firstLineChars="8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r>
              <w:rPr>
                <w:rFonts w:hint="eastAsia" w:ascii="Times New Roman" w:hAnsi="Times New Roman" w:eastAsia="仿宋_GB2312"/>
                <w:color w:val="000000"/>
                <w:kern w:val="0"/>
                <w:szCs w:val="21"/>
              </w:rPr>
              <w:t>192万元</w:t>
            </w:r>
          </w:p>
        </w:tc>
        <w:tc>
          <w:tcPr>
            <w:tcW w:w="4016" w:type="dxa"/>
            <w:gridSpan w:val="7"/>
            <w:tcBorders>
              <w:top w:val="single" w:color="auto" w:sz="4" w:space="0"/>
              <w:left w:val="nil"/>
              <w:bottom w:val="single" w:color="auto" w:sz="4" w:space="0"/>
              <w:right w:val="single" w:color="000000" w:sz="4" w:space="0"/>
            </w:tcBorders>
            <w:shd w:val="clear" w:color="auto" w:fill="auto"/>
            <w:noWrap/>
            <w:vAlign w:val="center"/>
          </w:tcPr>
          <w:p w14:paraId="5AA96510">
            <w:pPr>
              <w:widowControl/>
              <w:ind w:firstLine="1680" w:firstLineChars="800"/>
              <w:jc w:val="left"/>
              <w:rPr>
                <w:rFonts w:ascii="Times New Roman" w:hAnsi="Times New Roman" w:eastAsia="仿宋_GB2312"/>
                <w:color w:val="000000"/>
                <w:kern w:val="0"/>
                <w:szCs w:val="21"/>
              </w:rPr>
            </w:pPr>
          </w:p>
        </w:tc>
      </w:tr>
      <w:tr w14:paraId="294DA081">
        <w:tblPrEx>
          <w:tblCellMar>
            <w:top w:w="0" w:type="dxa"/>
            <w:left w:w="108" w:type="dxa"/>
            <w:bottom w:w="0" w:type="dxa"/>
            <w:right w:w="108" w:type="dxa"/>
          </w:tblCellMar>
        </w:tblPrEx>
        <w:trPr>
          <w:trHeight w:val="577" w:hRule="atLeast"/>
          <w:jc w:val="center"/>
        </w:trPr>
        <w:tc>
          <w:tcPr>
            <w:tcW w:w="1128" w:type="dxa"/>
            <w:tcBorders>
              <w:top w:val="nil"/>
              <w:left w:val="single" w:color="auto" w:sz="4" w:space="0"/>
              <w:bottom w:val="single" w:color="auto" w:sz="4" w:space="0"/>
              <w:right w:val="single" w:color="auto" w:sz="4" w:space="0"/>
            </w:tcBorders>
            <w:shd w:val="clear" w:color="auto" w:fill="auto"/>
            <w:noWrap/>
            <w:vAlign w:val="center"/>
          </w:tcPr>
          <w:p w14:paraId="37DFB1C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2608FCBE">
            <w:pPr>
              <w:widowControl/>
              <w:jc w:val="left"/>
              <w:rPr>
                <w:rFonts w:eastAsia="仿宋_GB2312"/>
                <w:kern w:val="0"/>
                <w:szCs w:val="21"/>
              </w:rPr>
            </w:pPr>
            <w:r>
              <w:rPr>
                <w:rFonts w:hint="eastAsia" w:ascii="宋体" w:hAnsi="宋体" w:cs="宋体"/>
                <w:kern w:val="0"/>
                <w:sz w:val="20"/>
                <w:szCs w:val="20"/>
              </w:rPr>
              <w:t>衡阳市绿色建筑事务中心主要负责绿色建筑及相关的建筑节能、推广散装水泥、墙体材料革新和推广装配式建筑等事务性工作。</w:t>
            </w:r>
          </w:p>
        </w:tc>
      </w:tr>
      <w:tr w14:paraId="31F91B41">
        <w:tblPrEx>
          <w:tblCellMar>
            <w:top w:w="0" w:type="dxa"/>
            <w:left w:w="108" w:type="dxa"/>
            <w:bottom w:w="0" w:type="dxa"/>
            <w:right w:w="108" w:type="dxa"/>
          </w:tblCellMar>
        </w:tblPrEx>
        <w:trPr>
          <w:trHeight w:val="1447" w:hRule="atLeast"/>
          <w:jc w:val="center"/>
        </w:trPr>
        <w:tc>
          <w:tcPr>
            <w:tcW w:w="1128" w:type="dxa"/>
            <w:tcBorders>
              <w:top w:val="nil"/>
              <w:left w:val="single" w:color="auto" w:sz="4" w:space="0"/>
              <w:bottom w:val="single" w:color="auto" w:sz="4" w:space="0"/>
              <w:right w:val="single" w:color="auto" w:sz="4" w:space="0"/>
            </w:tcBorders>
            <w:shd w:val="clear" w:color="auto" w:fill="auto"/>
            <w:noWrap/>
            <w:vAlign w:val="center"/>
          </w:tcPr>
          <w:p w14:paraId="445CAC5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65305A3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06B8C7EE">
            <w:pPr>
              <w:widowControl/>
              <w:jc w:val="left"/>
              <w:rPr>
                <w:rFonts w:ascii="宋体" w:hAnsi="宋体" w:cs="宋体"/>
                <w:kern w:val="0"/>
                <w:sz w:val="20"/>
                <w:szCs w:val="20"/>
              </w:rPr>
            </w:pPr>
            <w:r>
              <w:rPr>
                <w:rFonts w:hint="eastAsia" w:ascii="宋体" w:hAnsi="宋体" w:cs="宋体"/>
                <w:kern w:val="0"/>
                <w:sz w:val="20"/>
                <w:szCs w:val="20"/>
              </w:rPr>
              <w:t>目标1：促使我市散装水泥使用率维持60%以上，预拌砂浆供应量持续增加。</w:t>
            </w:r>
          </w:p>
          <w:p w14:paraId="12BC576B">
            <w:pPr>
              <w:widowControl/>
              <w:jc w:val="left"/>
              <w:rPr>
                <w:rFonts w:ascii="宋体" w:hAnsi="宋体" w:cs="宋体"/>
                <w:kern w:val="0"/>
                <w:sz w:val="20"/>
                <w:szCs w:val="20"/>
              </w:rPr>
            </w:pPr>
            <w:r>
              <w:rPr>
                <w:rFonts w:hint="eastAsia" w:ascii="宋体" w:hAnsi="宋体" w:cs="宋体"/>
                <w:kern w:val="0"/>
                <w:sz w:val="20"/>
                <w:szCs w:val="20"/>
              </w:rPr>
              <w:t>目标2：推广新型墙材，促使通过新型墙材产品认定产品持续增加，促使获得绿色建材评价标识的产品达到80个。</w:t>
            </w:r>
          </w:p>
          <w:p w14:paraId="77A9EB0F">
            <w:pPr>
              <w:widowControl/>
              <w:jc w:val="left"/>
              <w:rPr>
                <w:rFonts w:ascii="Times New Roman" w:hAnsi="Times New Roman" w:eastAsia="仿宋_GB2312"/>
                <w:color w:val="000000"/>
                <w:kern w:val="0"/>
                <w:szCs w:val="21"/>
              </w:rPr>
            </w:pPr>
            <w:r>
              <w:rPr>
                <w:rFonts w:hint="eastAsia" w:ascii="宋体" w:hAnsi="宋体" w:cs="宋体"/>
                <w:kern w:val="0"/>
                <w:sz w:val="20"/>
                <w:szCs w:val="20"/>
              </w:rPr>
              <w:t>目标3：做好绿色建筑和建筑节能、装配式建筑的推广应用工作，促使绿色建材在新建建筑中使用比例达到50%以上。</w:t>
            </w:r>
          </w:p>
        </w:tc>
      </w:tr>
      <w:tr w14:paraId="284FF978">
        <w:tblPrEx>
          <w:tblCellMar>
            <w:top w:w="0" w:type="dxa"/>
            <w:left w:w="108" w:type="dxa"/>
            <w:bottom w:w="0" w:type="dxa"/>
            <w:right w:w="108" w:type="dxa"/>
          </w:tblCellMar>
        </w:tblPrEx>
        <w:trPr>
          <w:trHeight w:val="763" w:hRule="atLeast"/>
          <w:jc w:val="center"/>
        </w:trPr>
        <w:tc>
          <w:tcPr>
            <w:tcW w:w="1128" w:type="dxa"/>
            <w:vMerge w:val="restart"/>
            <w:tcBorders>
              <w:top w:val="single" w:color="auto" w:sz="4" w:space="0"/>
              <w:left w:val="single" w:color="auto" w:sz="4" w:space="0"/>
              <w:right w:val="single" w:color="auto" w:sz="4" w:space="0"/>
            </w:tcBorders>
            <w:shd w:val="clear" w:color="auto" w:fill="auto"/>
            <w:noWrap/>
            <w:vAlign w:val="center"/>
          </w:tcPr>
          <w:p w14:paraId="644A3CC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16" w:type="dxa"/>
            <w:tcBorders>
              <w:top w:val="single" w:color="auto" w:sz="4" w:space="0"/>
              <w:left w:val="nil"/>
              <w:bottom w:val="single" w:color="auto" w:sz="4" w:space="0"/>
              <w:right w:val="single" w:color="auto" w:sz="4" w:space="0"/>
            </w:tcBorders>
            <w:shd w:val="clear" w:color="auto" w:fill="auto"/>
            <w:noWrap/>
            <w:vAlign w:val="center"/>
          </w:tcPr>
          <w:p w14:paraId="35FEBF0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08335DD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4D3CDE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570BF48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079DFC7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14:paraId="1585169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7F6252E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D97F69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85E578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9B17A6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40CA6B9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722A37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5F26C74A">
        <w:tblPrEx>
          <w:tblCellMar>
            <w:top w:w="0" w:type="dxa"/>
            <w:left w:w="108" w:type="dxa"/>
            <w:bottom w:w="0" w:type="dxa"/>
            <w:right w:w="108" w:type="dxa"/>
          </w:tblCellMar>
        </w:tblPrEx>
        <w:trPr>
          <w:trHeight w:val="340" w:hRule="atLeast"/>
          <w:jc w:val="center"/>
        </w:trPr>
        <w:tc>
          <w:tcPr>
            <w:tcW w:w="1128" w:type="dxa"/>
            <w:vMerge w:val="continue"/>
            <w:tcBorders>
              <w:left w:val="single" w:color="auto" w:sz="4" w:space="0"/>
              <w:right w:val="single" w:color="auto" w:sz="4" w:space="0"/>
            </w:tcBorders>
            <w:shd w:val="clear" w:color="auto" w:fill="auto"/>
            <w:noWrap/>
            <w:vAlign w:val="center"/>
          </w:tcPr>
          <w:p w14:paraId="7FED2F70">
            <w:pPr>
              <w:jc w:val="center"/>
              <w:rPr>
                <w:rFonts w:ascii="Times New Roman" w:hAnsi="Times New Roman" w:eastAsia="仿宋_GB2312"/>
                <w:color w:val="000000"/>
                <w:kern w:val="0"/>
                <w:szCs w:val="21"/>
              </w:rPr>
            </w:pPr>
          </w:p>
        </w:tc>
        <w:tc>
          <w:tcPr>
            <w:tcW w:w="1016" w:type="dxa"/>
            <w:vMerge w:val="restart"/>
            <w:tcBorders>
              <w:top w:val="single" w:color="auto" w:sz="4" w:space="0"/>
              <w:left w:val="nil"/>
              <w:bottom w:val="single" w:color="auto" w:sz="4" w:space="0"/>
              <w:right w:val="single" w:color="auto" w:sz="4" w:space="0"/>
            </w:tcBorders>
            <w:shd w:val="clear" w:color="auto" w:fill="auto"/>
            <w:noWrap/>
            <w:vAlign w:val="center"/>
          </w:tcPr>
          <w:p w14:paraId="3C9556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7293B5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431FD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276" w:type="dxa"/>
            <w:vMerge w:val="restart"/>
            <w:tcBorders>
              <w:top w:val="single" w:color="auto" w:sz="4" w:space="0"/>
              <w:left w:val="nil"/>
              <w:bottom w:val="single" w:color="auto" w:sz="4" w:space="0"/>
              <w:right w:val="single" w:color="auto" w:sz="4" w:space="0"/>
            </w:tcBorders>
            <w:shd w:val="clear" w:color="auto" w:fill="auto"/>
            <w:noWrap/>
            <w:vAlign w:val="center"/>
          </w:tcPr>
          <w:p w14:paraId="387FD2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BD88B94">
            <w:pPr>
              <w:widowControl/>
              <w:jc w:val="left"/>
              <w:rPr>
                <w:rFonts w:ascii="Times New Roman" w:hAnsi="Times New Roman" w:eastAsia="仿宋_GB2312"/>
                <w:color w:val="000000"/>
                <w:kern w:val="0"/>
                <w:szCs w:val="21"/>
              </w:rPr>
            </w:pPr>
            <w:r>
              <w:rPr>
                <w:rFonts w:hint="eastAsia" w:ascii="宋体" w:hAnsi="宋体" w:cs="宋体"/>
                <w:kern w:val="0"/>
                <w:sz w:val="20"/>
                <w:szCs w:val="20"/>
              </w:rPr>
              <w:t>散装水泥使用率</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0264A782">
            <w:pPr>
              <w:widowControl/>
              <w:jc w:val="left"/>
              <w:rPr>
                <w:rFonts w:ascii="Times New Roman" w:hAnsi="Times New Roman" w:eastAsia="仿宋_GB2312"/>
                <w:color w:val="000000"/>
                <w:kern w:val="0"/>
                <w:szCs w:val="21"/>
              </w:rPr>
            </w:pPr>
            <w:r>
              <w:rPr>
                <w:rFonts w:hint="eastAsia" w:ascii="宋体" w:hAnsi="宋体" w:cs="宋体"/>
                <w:kern w:val="0"/>
                <w:sz w:val="20"/>
                <w:szCs w:val="20"/>
              </w:rPr>
              <w:t>达到并保持60%以上</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14:paraId="556C034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61%</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E2249C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80F72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A9173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655C274">
        <w:tblPrEx>
          <w:tblCellMar>
            <w:top w:w="0" w:type="dxa"/>
            <w:left w:w="108" w:type="dxa"/>
            <w:bottom w:w="0" w:type="dxa"/>
            <w:right w:w="108" w:type="dxa"/>
          </w:tblCellMar>
        </w:tblPrEx>
        <w:trPr>
          <w:trHeight w:val="856" w:hRule="atLeast"/>
          <w:jc w:val="center"/>
        </w:trPr>
        <w:tc>
          <w:tcPr>
            <w:tcW w:w="1128" w:type="dxa"/>
            <w:vMerge w:val="continue"/>
            <w:tcBorders>
              <w:left w:val="single" w:color="auto" w:sz="4" w:space="0"/>
              <w:right w:val="single" w:color="auto" w:sz="4" w:space="0"/>
            </w:tcBorders>
            <w:shd w:val="clear" w:color="auto" w:fill="auto"/>
            <w:noWrap/>
            <w:vAlign w:val="center"/>
          </w:tcPr>
          <w:p w14:paraId="0BBFA3DB">
            <w:pPr>
              <w:jc w:val="center"/>
              <w:rPr>
                <w:rFonts w:ascii="Times New Roman" w:hAnsi="Times New Roman" w:eastAsia="仿宋_GB2312"/>
                <w:color w:val="000000"/>
                <w:kern w:val="0"/>
                <w:szCs w:val="21"/>
              </w:rPr>
            </w:pPr>
          </w:p>
        </w:tc>
        <w:tc>
          <w:tcPr>
            <w:tcW w:w="1016" w:type="dxa"/>
            <w:vMerge w:val="continue"/>
            <w:tcBorders>
              <w:top w:val="single" w:color="auto" w:sz="4" w:space="0"/>
              <w:left w:val="nil"/>
              <w:bottom w:val="single" w:color="auto" w:sz="4" w:space="0"/>
              <w:right w:val="single" w:color="auto" w:sz="4" w:space="0"/>
            </w:tcBorders>
            <w:shd w:val="clear" w:color="auto" w:fill="auto"/>
            <w:noWrap/>
            <w:vAlign w:val="center"/>
          </w:tcPr>
          <w:p w14:paraId="5A0018A0">
            <w:pPr>
              <w:jc w:val="left"/>
              <w:rPr>
                <w:rFonts w:ascii="Times New Roman" w:hAnsi="Times New Roman" w:eastAsia="仿宋_GB2312"/>
                <w:color w:val="000000"/>
                <w:kern w:val="0"/>
                <w:szCs w:val="21"/>
              </w:rPr>
            </w:pPr>
          </w:p>
        </w:tc>
        <w:tc>
          <w:tcPr>
            <w:tcW w:w="1276" w:type="dxa"/>
            <w:vMerge w:val="continue"/>
            <w:tcBorders>
              <w:top w:val="single" w:color="auto" w:sz="4" w:space="0"/>
              <w:left w:val="nil"/>
              <w:bottom w:val="single" w:color="auto" w:sz="4" w:space="0"/>
              <w:right w:val="single" w:color="auto" w:sz="4" w:space="0"/>
            </w:tcBorders>
            <w:shd w:val="clear" w:color="auto" w:fill="auto"/>
            <w:noWrap/>
            <w:vAlign w:val="center"/>
          </w:tcPr>
          <w:p w14:paraId="523CFD07">
            <w:pPr>
              <w:widowControl/>
              <w:jc w:val="center"/>
              <w:rPr>
                <w:rFonts w:ascii="Times New Roman" w:hAnsi="Times New Roman" w:eastAsia="仿宋_GB2312"/>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2DED8FBF">
            <w:pPr>
              <w:widowControl/>
              <w:jc w:val="left"/>
              <w:rPr>
                <w:rFonts w:ascii="Times New Roman" w:hAnsi="Times New Roman" w:eastAsia="仿宋_GB2312"/>
                <w:color w:val="000000"/>
                <w:kern w:val="0"/>
                <w:szCs w:val="21"/>
              </w:rPr>
            </w:pPr>
            <w:r>
              <w:rPr>
                <w:rFonts w:hint="eastAsia" w:ascii="宋体" w:hAnsi="宋体" w:cs="宋体"/>
                <w:kern w:val="0"/>
                <w:sz w:val="20"/>
                <w:szCs w:val="20"/>
              </w:rPr>
              <w:t>全市预拌砂浆供应量</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1DD81D94">
            <w:pPr>
              <w:widowControl/>
              <w:jc w:val="left"/>
              <w:rPr>
                <w:rFonts w:ascii="Times New Roman" w:hAnsi="Times New Roman" w:eastAsia="仿宋_GB2312"/>
                <w:color w:val="000000"/>
                <w:kern w:val="0"/>
                <w:szCs w:val="21"/>
              </w:rPr>
            </w:pPr>
            <w:r>
              <w:rPr>
                <w:rFonts w:hint="eastAsia" w:ascii="宋体" w:hAnsi="宋体" w:cs="宋体"/>
                <w:kern w:val="0"/>
                <w:sz w:val="20"/>
                <w:szCs w:val="20"/>
              </w:rPr>
              <w:t>达到80万吨以上</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14:paraId="44461E8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102万吨</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2489055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66100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51FCB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CF2DA56">
        <w:tblPrEx>
          <w:tblCellMar>
            <w:top w:w="0" w:type="dxa"/>
            <w:left w:w="108" w:type="dxa"/>
            <w:bottom w:w="0" w:type="dxa"/>
            <w:right w:w="108" w:type="dxa"/>
          </w:tblCellMar>
        </w:tblPrEx>
        <w:trPr>
          <w:trHeight w:val="1607" w:hRule="atLeast"/>
          <w:jc w:val="center"/>
        </w:trPr>
        <w:tc>
          <w:tcPr>
            <w:tcW w:w="1128" w:type="dxa"/>
            <w:vMerge w:val="continue"/>
            <w:tcBorders>
              <w:left w:val="single" w:color="auto" w:sz="4" w:space="0"/>
              <w:right w:val="single" w:color="auto" w:sz="4" w:space="0"/>
            </w:tcBorders>
            <w:shd w:val="clear" w:color="auto" w:fill="auto"/>
            <w:noWrap/>
            <w:vAlign w:val="center"/>
          </w:tcPr>
          <w:p w14:paraId="6AFC9191">
            <w:pPr>
              <w:jc w:val="center"/>
              <w:rPr>
                <w:rFonts w:ascii="Times New Roman" w:hAnsi="Times New Roman" w:eastAsia="仿宋_GB2312"/>
                <w:color w:val="000000"/>
                <w:kern w:val="0"/>
                <w:szCs w:val="21"/>
              </w:rPr>
            </w:pPr>
          </w:p>
        </w:tc>
        <w:tc>
          <w:tcPr>
            <w:tcW w:w="1016" w:type="dxa"/>
            <w:vMerge w:val="continue"/>
            <w:tcBorders>
              <w:top w:val="single" w:color="auto" w:sz="4" w:space="0"/>
              <w:left w:val="nil"/>
              <w:bottom w:val="single" w:color="auto" w:sz="4" w:space="0"/>
              <w:right w:val="single" w:color="auto" w:sz="4" w:space="0"/>
            </w:tcBorders>
            <w:shd w:val="clear" w:color="auto" w:fill="auto"/>
            <w:noWrap/>
            <w:vAlign w:val="center"/>
          </w:tcPr>
          <w:p w14:paraId="2489A5F1">
            <w:pPr>
              <w:jc w:val="left"/>
              <w:rPr>
                <w:rFonts w:ascii="Times New Roman" w:hAnsi="Times New Roman" w:eastAsia="仿宋_GB2312"/>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69793F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34" w:type="dxa"/>
            <w:tcBorders>
              <w:top w:val="single" w:color="auto" w:sz="4" w:space="0"/>
              <w:left w:val="nil"/>
              <w:right w:val="single" w:color="auto" w:sz="4" w:space="0"/>
            </w:tcBorders>
            <w:shd w:val="clear" w:color="auto" w:fill="auto"/>
            <w:noWrap/>
            <w:vAlign w:val="center"/>
          </w:tcPr>
          <w:p w14:paraId="0836AD12">
            <w:pPr>
              <w:widowControl/>
              <w:jc w:val="left"/>
              <w:rPr>
                <w:rFonts w:ascii="Times New Roman" w:hAnsi="Times New Roman" w:eastAsia="仿宋_GB2312"/>
                <w:color w:val="000000"/>
                <w:kern w:val="0"/>
                <w:szCs w:val="21"/>
              </w:rPr>
            </w:pPr>
            <w:r>
              <w:rPr>
                <w:rFonts w:hint="eastAsia" w:ascii="宋体" w:hAnsi="宋体" w:cs="宋体"/>
                <w:kern w:val="0"/>
                <w:sz w:val="20"/>
                <w:szCs w:val="20"/>
              </w:rPr>
              <w:t>配合国家检测站抽检墙材产品数</w:t>
            </w:r>
          </w:p>
        </w:tc>
        <w:tc>
          <w:tcPr>
            <w:tcW w:w="1417" w:type="dxa"/>
            <w:gridSpan w:val="2"/>
            <w:tcBorders>
              <w:top w:val="single" w:color="auto" w:sz="4" w:space="0"/>
              <w:left w:val="nil"/>
              <w:right w:val="single" w:color="auto" w:sz="4" w:space="0"/>
            </w:tcBorders>
            <w:shd w:val="clear" w:color="auto" w:fill="auto"/>
            <w:noWrap/>
            <w:vAlign w:val="center"/>
          </w:tcPr>
          <w:p w14:paraId="7AAC0A69">
            <w:pPr>
              <w:widowControl/>
              <w:jc w:val="left"/>
              <w:rPr>
                <w:rFonts w:ascii="Times New Roman" w:hAnsi="Times New Roman" w:eastAsia="仿宋_GB2312"/>
                <w:color w:val="000000"/>
                <w:kern w:val="0"/>
                <w:szCs w:val="21"/>
              </w:rPr>
            </w:pPr>
            <w:r>
              <w:rPr>
                <w:rFonts w:hint="eastAsia" w:ascii="宋体" w:hAnsi="宋体" w:cs="宋体"/>
                <w:kern w:val="0"/>
                <w:sz w:val="20"/>
                <w:szCs w:val="20"/>
              </w:rPr>
              <w:t>完成国家检测站要求的产品抽检数100%</w:t>
            </w:r>
          </w:p>
        </w:tc>
        <w:tc>
          <w:tcPr>
            <w:tcW w:w="992" w:type="dxa"/>
            <w:gridSpan w:val="2"/>
            <w:tcBorders>
              <w:top w:val="single" w:color="auto" w:sz="4" w:space="0"/>
              <w:left w:val="nil"/>
              <w:right w:val="single" w:color="auto" w:sz="4" w:space="0"/>
            </w:tcBorders>
            <w:shd w:val="clear" w:color="auto" w:fill="auto"/>
            <w:noWrap/>
            <w:vAlign w:val="center"/>
          </w:tcPr>
          <w:p w14:paraId="39EB3A6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4B37DC5D">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765" w:type="dxa"/>
            <w:tcBorders>
              <w:top w:val="single" w:color="auto" w:sz="4" w:space="0"/>
              <w:left w:val="nil"/>
              <w:right w:val="single" w:color="auto" w:sz="4" w:space="0"/>
            </w:tcBorders>
            <w:shd w:val="clear" w:color="auto" w:fill="auto"/>
            <w:noWrap/>
            <w:vAlign w:val="center"/>
          </w:tcPr>
          <w:p w14:paraId="72913B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5A22424C">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5" w:type="dxa"/>
            <w:tcBorders>
              <w:top w:val="single" w:color="auto" w:sz="4" w:space="0"/>
              <w:left w:val="nil"/>
              <w:right w:val="single" w:color="auto" w:sz="4" w:space="0"/>
            </w:tcBorders>
            <w:shd w:val="clear" w:color="auto" w:fill="auto"/>
            <w:noWrap/>
            <w:vAlign w:val="center"/>
          </w:tcPr>
          <w:p w14:paraId="400313E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77DE7E94">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gridSpan w:val="2"/>
            <w:tcBorders>
              <w:top w:val="single" w:color="auto" w:sz="4" w:space="0"/>
              <w:left w:val="nil"/>
              <w:right w:val="single" w:color="auto" w:sz="4" w:space="0"/>
            </w:tcBorders>
            <w:shd w:val="clear" w:color="auto" w:fill="auto"/>
            <w:noWrap/>
            <w:vAlign w:val="center"/>
          </w:tcPr>
          <w:p w14:paraId="33A6BE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84690BA">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082771E">
        <w:tblPrEx>
          <w:tblCellMar>
            <w:top w:w="0" w:type="dxa"/>
            <w:left w:w="108" w:type="dxa"/>
            <w:bottom w:w="0" w:type="dxa"/>
            <w:right w:w="108" w:type="dxa"/>
          </w:tblCellMar>
        </w:tblPrEx>
        <w:trPr>
          <w:trHeight w:val="690" w:hRule="atLeast"/>
          <w:jc w:val="center"/>
        </w:trPr>
        <w:tc>
          <w:tcPr>
            <w:tcW w:w="1128" w:type="dxa"/>
            <w:vMerge w:val="continue"/>
            <w:tcBorders>
              <w:left w:val="single" w:color="auto" w:sz="4" w:space="0"/>
              <w:right w:val="single" w:color="auto" w:sz="4" w:space="0"/>
            </w:tcBorders>
            <w:shd w:val="clear" w:color="auto" w:fill="auto"/>
            <w:noWrap/>
            <w:vAlign w:val="center"/>
          </w:tcPr>
          <w:p w14:paraId="2F267316">
            <w:pPr>
              <w:jc w:val="center"/>
              <w:rPr>
                <w:rFonts w:ascii="Times New Roman" w:hAnsi="Times New Roman" w:eastAsia="仿宋_GB2312"/>
                <w:color w:val="000000"/>
                <w:kern w:val="0"/>
                <w:szCs w:val="21"/>
              </w:rPr>
            </w:pPr>
          </w:p>
        </w:tc>
        <w:tc>
          <w:tcPr>
            <w:tcW w:w="1016" w:type="dxa"/>
            <w:vMerge w:val="continue"/>
            <w:tcBorders>
              <w:top w:val="single" w:color="auto" w:sz="4" w:space="0"/>
              <w:left w:val="nil"/>
              <w:bottom w:val="single" w:color="auto" w:sz="4" w:space="0"/>
              <w:right w:val="single" w:color="auto" w:sz="4" w:space="0"/>
            </w:tcBorders>
            <w:shd w:val="clear" w:color="auto" w:fill="auto"/>
            <w:noWrap/>
            <w:vAlign w:val="center"/>
          </w:tcPr>
          <w:p w14:paraId="23981645">
            <w:pPr>
              <w:jc w:val="left"/>
              <w:rPr>
                <w:rFonts w:ascii="Times New Roman" w:hAnsi="Times New Roman" w:eastAsia="仿宋_GB2312"/>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27888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34" w:type="dxa"/>
            <w:tcBorders>
              <w:top w:val="single" w:color="auto" w:sz="4" w:space="0"/>
              <w:left w:val="nil"/>
              <w:right w:val="single" w:color="auto" w:sz="4" w:space="0"/>
            </w:tcBorders>
            <w:shd w:val="clear" w:color="auto" w:fill="auto"/>
            <w:noWrap/>
            <w:vAlign w:val="center"/>
          </w:tcPr>
          <w:p w14:paraId="54FD2F3F">
            <w:pPr>
              <w:widowControl/>
              <w:jc w:val="left"/>
              <w:rPr>
                <w:rFonts w:ascii="Times New Roman" w:hAnsi="Times New Roman" w:eastAsia="仿宋_GB2312"/>
                <w:color w:val="000000"/>
                <w:kern w:val="0"/>
                <w:szCs w:val="21"/>
              </w:rPr>
            </w:pPr>
            <w:r>
              <w:rPr>
                <w:rFonts w:hint="eastAsia" w:ascii="宋体" w:hAnsi="宋体" w:cs="宋体"/>
                <w:kern w:val="0"/>
                <w:sz w:val="20"/>
                <w:szCs w:val="20"/>
              </w:rPr>
              <w:t>重点工作年度完成率</w:t>
            </w:r>
          </w:p>
        </w:tc>
        <w:tc>
          <w:tcPr>
            <w:tcW w:w="1417" w:type="dxa"/>
            <w:gridSpan w:val="2"/>
            <w:tcBorders>
              <w:top w:val="single" w:color="auto" w:sz="4" w:space="0"/>
              <w:left w:val="nil"/>
              <w:right w:val="single" w:color="auto" w:sz="4" w:space="0"/>
            </w:tcBorders>
            <w:shd w:val="clear" w:color="auto" w:fill="auto"/>
            <w:noWrap/>
            <w:vAlign w:val="center"/>
          </w:tcPr>
          <w:p w14:paraId="64CA837E">
            <w:pPr>
              <w:widowControl/>
              <w:jc w:val="left"/>
              <w:rPr>
                <w:rFonts w:ascii="Times New Roman" w:hAnsi="Times New Roman" w:eastAsia="仿宋_GB2312"/>
                <w:color w:val="000000"/>
                <w:kern w:val="0"/>
                <w:szCs w:val="21"/>
              </w:rPr>
            </w:pPr>
            <w:r>
              <w:rPr>
                <w:rFonts w:hint="eastAsia" w:ascii="宋体" w:hAnsi="宋体" w:cs="宋体"/>
                <w:kern w:val="0"/>
                <w:sz w:val="20"/>
                <w:szCs w:val="20"/>
              </w:rPr>
              <w:t>年度内完成100%</w:t>
            </w:r>
          </w:p>
        </w:tc>
        <w:tc>
          <w:tcPr>
            <w:tcW w:w="992" w:type="dxa"/>
            <w:gridSpan w:val="2"/>
            <w:tcBorders>
              <w:top w:val="single" w:color="auto" w:sz="4" w:space="0"/>
              <w:left w:val="nil"/>
              <w:right w:val="single" w:color="auto" w:sz="4" w:space="0"/>
            </w:tcBorders>
            <w:shd w:val="clear" w:color="auto" w:fill="auto"/>
            <w:noWrap/>
            <w:vAlign w:val="center"/>
          </w:tcPr>
          <w:p w14:paraId="49BB75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p w14:paraId="6A64922C">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right w:val="single" w:color="auto" w:sz="4" w:space="0"/>
            </w:tcBorders>
            <w:shd w:val="clear" w:color="auto" w:fill="auto"/>
            <w:noWrap/>
            <w:vAlign w:val="center"/>
          </w:tcPr>
          <w:p w14:paraId="2D53C1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0846CD80">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5" w:type="dxa"/>
            <w:tcBorders>
              <w:top w:val="single" w:color="auto" w:sz="4" w:space="0"/>
              <w:left w:val="nil"/>
              <w:right w:val="single" w:color="auto" w:sz="4" w:space="0"/>
            </w:tcBorders>
            <w:shd w:val="clear" w:color="auto" w:fill="auto"/>
            <w:noWrap/>
            <w:vAlign w:val="center"/>
          </w:tcPr>
          <w:p w14:paraId="690E6D0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BC50748">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gridSpan w:val="2"/>
            <w:tcBorders>
              <w:top w:val="single" w:color="auto" w:sz="4" w:space="0"/>
              <w:left w:val="nil"/>
              <w:right w:val="single" w:color="auto" w:sz="4" w:space="0"/>
            </w:tcBorders>
            <w:shd w:val="clear" w:color="auto" w:fill="auto"/>
            <w:noWrap/>
            <w:vAlign w:val="center"/>
          </w:tcPr>
          <w:p w14:paraId="60A9C9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46933636">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1CF2CB0">
        <w:tblPrEx>
          <w:tblCellMar>
            <w:top w:w="0" w:type="dxa"/>
            <w:left w:w="108" w:type="dxa"/>
            <w:bottom w:w="0" w:type="dxa"/>
            <w:right w:w="108" w:type="dxa"/>
          </w:tblCellMar>
        </w:tblPrEx>
        <w:trPr>
          <w:trHeight w:val="340" w:hRule="atLeast"/>
          <w:jc w:val="center"/>
        </w:trPr>
        <w:tc>
          <w:tcPr>
            <w:tcW w:w="1128" w:type="dxa"/>
            <w:vMerge w:val="continue"/>
            <w:tcBorders>
              <w:left w:val="single" w:color="auto" w:sz="4" w:space="0"/>
              <w:right w:val="single" w:color="auto" w:sz="4" w:space="0"/>
            </w:tcBorders>
            <w:shd w:val="clear" w:color="auto" w:fill="auto"/>
            <w:noWrap/>
            <w:vAlign w:val="center"/>
          </w:tcPr>
          <w:p w14:paraId="3F9430B0">
            <w:pPr>
              <w:jc w:val="center"/>
              <w:rPr>
                <w:rFonts w:ascii="Times New Roman" w:hAnsi="Times New Roman" w:eastAsia="仿宋_GB2312"/>
                <w:color w:val="000000"/>
                <w:kern w:val="0"/>
                <w:szCs w:val="21"/>
              </w:rPr>
            </w:pPr>
          </w:p>
        </w:tc>
        <w:tc>
          <w:tcPr>
            <w:tcW w:w="1016" w:type="dxa"/>
            <w:vMerge w:val="continue"/>
            <w:tcBorders>
              <w:top w:val="single" w:color="auto" w:sz="4" w:space="0"/>
              <w:left w:val="nil"/>
              <w:bottom w:val="single" w:color="auto" w:sz="4" w:space="0"/>
              <w:right w:val="single" w:color="auto" w:sz="4" w:space="0"/>
            </w:tcBorders>
            <w:shd w:val="clear" w:color="auto" w:fill="auto"/>
            <w:noWrap/>
            <w:vAlign w:val="center"/>
          </w:tcPr>
          <w:p w14:paraId="4CD7B26A">
            <w:pPr>
              <w:jc w:val="left"/>
              <w:rPr>
                <w:rFonts w:ascii="Times New Roman" w:hAnsi="Times New Roman" w:eastAsia="仿宋_GB2312"/>
                <w:color w:val="000000"/>
                <w:kern w:val="0"/>
                <w:szCs w:val="21"/>
              </w:rPr>
            </w:pPr>
          </w:p>
        </w:tc>
        <w:tc>
          <w:tcPr>
            <w:tcW w:w="1276" w:type="dxa"/>
            <w:vMerge w:val="restart"/>
            <w:tcBorders>
              <w:top w:val="single" w:color="auto" w:sz="4" w:space="0"/>
              <w:left w:val="nil"/>
              <w:bottom w:val="single" w:color="auto" w:sz="4" w:space="0"/>
              <w:right w:val="single" w:color="auto" w:sz="4" w:space="0"/>
            </w:tcBorders>
            <w:shd w:val="clear" w:color="auto" w:fill="auto"/>
            <w:noWrap/>
            <w:vAlign w:val="center"/>
          </w:tcPr>
          <w:p w14:paraId="5F25FE1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6FECD244">
            <w:pPr>
              <w:widowControl/>
              <w:jc w:val="left"/>
              <w:rPr>
                <w:rFonts w:ascii="Times New Roman" w:hAnsi="Times New Roman" w:eastAsia="仿宋_GB2312"/>
                <w:color w:val="000000"/>
                <w:kern w:val="0"/>
                <w:szCs w:val="21"/>
              </w:rPr>
            </w:pPr>
            <w:r>
              <w:rPr>
                <w:rFonts w:hint="eastAsia" w:ascii="宋体" w:hAnsi="宋体" w:cs="宋体"/>
                <w:kern w:val="0"/>
                <w:sz w:val="20"/>
                <w:szCs w:val="20"/>
              </w:rPr>
              <w:t>“三公经费”控制率</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79918742">
            <w:pPr>
              <w:widowControl/>
              <w:jc w:val="left"/>
              <w:rPr>
                <w:rFonts w:ascii="Times New Roman" w:hAnsi="Times New Roman" w:eastAsia="仿宋_GB2312"/>
                <w:color w:val="000000"/>
                <w:kern w:val="0"/>
                <w:szCs w:val="21"/>
              </w:rPr>
            </w:pPr>
            <w:r>
              <w:rPr>
                <w:rFonts w:hint="eastAsia" w:ascii="宋体" w:hAnsi="宋体" w:cs="宋体"/>
                <w:kern w:val="0"/>
                <w:sz w:val="20"/>
                <w:szCs w:val="20"/>
              </w:rPr>
              <w:t>100%</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14:paraId="18CB8B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9E6F98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3C068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0A806A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97022F">
        <w:tblPrEx>
          <w:tblCellMar>
            <w:top w:w="0" w:type="dxa"/>
            <w:left w:w="108" w:type="dxa"/>
            <w:bottom w:w="0" w:type="dxa"/>
            <w:right w:w="108" w:type="dxa"/>
          </w:tblCellMar>
        </w:tblPrEx>
        <w:trPr>
          <w:trHeight w:val="340" w:hRule="atLeast"/>
          <w:jc w:val="center"/>
        </w:trPr>
        <w:tc>
          <w:tcPr>
            <w:tcW w:w="1128" w:type="dxa"/>
            <w:vMerge w:val="continue"/>
            <w:tcBorders>
              <w:left w:val="single" w:color="auto" w:sz="4" w:space="0"/>
              <w:right w:val="single" w:color="auto" w:sz="4" w:space="0"/>
            </w:tcBorders>
            <w:shd w:val="clear" w:color="auto" w:fill="auto"/>
            <w:noWrap/>
            <w:vAlign w:val="center"/>
          </w:tcPr>
          <w:p w14:paraId="390D85FB">
            <w:pPr>
              <w:jc w:val="center"/>
              <w:rPr>
                <w:rFonts w:ascii="Times New Roman" w:hAnsi="Times New Roman" w:eastAsia="仿宋_GB2312"/>
                <w:color w:val="000000"/>
                <w:kern w:val="0"/>
                <w:szCs w:val="21"/>
              </w:rPr>
            </w:pPr>
          </w:p>
        </w:tc>
        <w:tc>
          <w:tcPr>
            <w:tcW w:w="1016" w:type="dxa"/>
            <w:vMerge w:val="continue"/>
            <w:tcBorders>
              <w:top w:val="single" w:color="auto" w:sz="4" w:space="0"/>
              <w:left w:val="nil"/>
              <w:bottom w:val="single" w:color="auto" w:sz="4" w:space="0"/>
              <w:right w:val="single" w:color="auto" w:sz="4" w:space="0"/>
            </w:tcBorders>
            <w:shd w:val="clear" w:color="auto" w:fill="auto"/>
            <w:noWrap/>
            <w:vAlign w:val="center"/>
          </w:tcPr>
          <w:p w14:paraId="706F4039">
            <w:pPr>
              <w:widowControl/>
              <w:jc w:val="left"/>
              <w:rPr>
                <w:rFonts w:ascii="Times New Roman" w:hAnsi="Times New Roman" w:eastAsia="仿宋_GB2312"/>
                <w:color w:val="000000"/>
                <w:kern w:val="0"/>
                <w:szCs w:val="21"/>
              </w:rPr>
            </w:pPr>
          </w:p>
        </w:tc>
        <w:tc>
          <w:tcPr>
            <w:tcW w:w="1276" w:type="dxa"/>
            <w:vMerge w:val="continue"/>
            <w:tcBorders>
              <w:top w:val="single" w:color="auto" w:sz="4" w:space="0"/>
              <w:left w:val="nil"/>
              <w:bottom w:val="single" w:color="auto" w:sz="4" w:space="0"/>
              <w:right w:val="single" w:color="auto" w:sz="4" w:space="0"/>
            </w:tcBorders>
            <w:shd w:val="clear" w:color="auto" w:fill="auto"/>
            <w:noWrap/>
            <w:vAlign w:val="center"/>
          </w:tcPr>
          <w:p w14:paraId="6C5E759E">
            <w:pPr>
              <w:widowControl/>
              <w:jc w:val="left"/>
              <w:rPr>
                <w:rFonts w:ascii="Times New Roman" w:hAnsi="Times New Roman" w:eastAsia="仿宋_GB2312"/>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6404D1C">
            <w:pPr>
              <w:widowControl/>
              <w:jc w:val="left"/>
              <w:rPr>
                <w:rFonts w:ascii="Times New Roman" w:hAnsi="Times New Roman" w:eastAsia="仿宋_GB2312"/>
                <w:color w:val="000000"/>
                <w:kern w:val="0"/>
                <w:szCs w:val="21"/>
              </w:rPr>
            </w:pPr>
            <w:r>
              <w:rPr>
                <w:rFonts w:hint="eastAsia" w:ascii="宋体" w:hAnsi="宋体" w:cs="宋体"/>
                <w:kern w:val="0"/>
                <w:sz w:val="20"/>
                <w:szCs w:val="20"/>
              </w:rPr>
              <w:t>公用经费控制率</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3936CB4D">
            <w:pPr>
              <w:widowControl/>
              <w:jc w:val="left"/>
              <w:rPr>
                <w:rFonts w:ascii="Times New Roman" w:hAnsi="Times New Roman" w:eastAsia="仿宋_GB2312"/>
                <w:color w:val="000000"/>
                <w:kern w:val="0"/>
                <w:szCs w:val="21"/>
              </w:rPr>
            </w:pPr>
            <w:r>
              <w:rPr>
                <w:rFonts w:hint="eastAsia" w:ascii="宋体" w:hAnsi="宋体" w:cs="宋体"/>
                <w:kern w:val="0"/>
                <w:sz w:val="20"/>
                <w:szCs w:val="20"/>
              </w:rPr>
              <w:t>100%</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14:paraId="3A978F4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3F5797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99FE4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489A536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78890DD">
        <w:tblPrEx>
          <w:tblCellMar>
            <w:top w:w="0" w:type="dxa"/>
            <w:left w:w="108" w:type="dxa"/>
            <w:bottom w:w="0" w:type="dxa"/>
            <w:right w:w="108" w:type="dxa"/>
          </w:tblCellMar>
        </w:tblPrEx>
        <w:trPr>
          <w:trHeight w:val="690" w:hRule="atLeast"/>
          <w:jc w:val="center"/>
        </w:trPr>
        <w:tc>
          <w:tcPr>
            <w:tcW w:w="1128" w:type="dxa"/>
            <w:vMerge w:val="continue"/>
            <w:tcBorders>
              <w:left w:val="single" w:color="auto" w:sz="4" w:space="0"/>
              <w:right w:val="single" w:color="auto" w:sz="4" w:space="0"/>
            </w:tcBorders>
            <w:shd w:val="clear" w:color="auto" w:fill="auto"/>
            <w:noWrap/>
            <w:vAlign w:val="center"/>
          </w:tcPr>
          <w:p w14:paraId="5E96367A">
            <w:pPr>
              <w:jc w:val="center"/>
              <w:rPr>
                <w:rFonts w:ascii="Times New Roman" w:hAnsi="Times New Roman" w:eastAsia="仿宋_GB2312"/>
                <w:color w:val="000000"/>
                <w:kern w:val="0"/>
                <w:szCs w:val="21"/>
              </w:rPr>
            </w:pPr>
          </w:p>
        </w:tc>
        <w:tc>
          <w:tcPr>
            <w:tcW w:w="1016" w:type="dxa"/>
            <w:vMerge w:val="restart"/>
            <w:tcBorders>
              <w:top w:val="single" w:color="auto" w:sz="4" w:space="0"/>
              <w:left w:val="nil"/>
              <w:right w:val="single" w:color="auto" w:sz="4" w:space="0"/>
            </w:tcBorders>
            <w:shd w:val="clear" w:color="auto" w:fill="auto"/>
            <w:noWrap/>
            <w:vAlign w:val="center"/>
          </w:tcPr>
          <w:p w14:paraId="02F0AB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4A3FDC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932D074">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14:paraId="3DF67263">
            <w:pPr>
              <w:jc w:val="left"/>
              <w:rPr>
                <w:rFonts w:ascii="Times New Roman" w:hAnsi="Times New Roman" w:eastAsia="仿宋_GB2312"/>
                <w:color w:val="000000"/>
                <w:kern w:val="0"/>
                <w:szCs w:val="21"/>
              </w:rPr>
            </w:pPr>
          </w:p>
          <w:p w14:paraId="79922BD2">
            <w:pPr>
              <w:widowControl/>
              <w:rPr>
                <w:rFonts w:ascii="Times New Roman" w:hAnsi="Times New Roman" w:eastAsia="仿宋_GB2312"/>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1DA2964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6D84485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4" w:type="dxa"/>
            <w:tcBorders>
              <w:top w:val="single" w:color="auto" w:sz="4" w:space="0"/>
              <w:left w:val="nil"/>
              <w:right w:val="single" w:color="auto" w:sz="4" w:space="0"/>
            </w:tcBorders>
            <w:shd w:val="clear" w:color="auto" w:fill="auto"/>
            <w:noWrap/>
            <w:vAlign w:val="center"/>
          </w:tcPr>
          <w:p w14:paraId="36B254B6">
            <w:pPr>
              <w:widowControl/>
              <w:jc w:val="left"/>
              <w:rPr>
                <w:rFonts w:ascii="Times New Roman" w:hAnsi="Times New Roman" w:eastAsia="仿宋_GB2312"/>
                <w:color w:val="000000"/>
                <w:kern w:val="0"/>
                <w:szCs w:val="21"/>
              </w:rPr>
            </w:pPr>
            <w:r>
              <w:rPr>
                <w:rFonts w:hint="eastAsia" w:ascii="宋体" w:hAnsi="宋体" w:cs="宋体"/>
                <w:kern w:val="0"/>
                <w:sz w:val="20"/>
                <w:szCs w:val="20"/>
              </w:rPr>
              <w:t>推广散装水泥带来社会综合经济效益</w:t>
            </w:r>
          </w:p>
        </w:tc>
        <w:tc>
          <w:tcPr>
            <w:tcW w:w="1417" w:type="dxa"/>
            <w:gridSpan w:val="2"/>
            <w:tcBorders>
              <w:top w:val="single" w:color="auto" w:sz="4" w:space="0"/>
              <w:left w:val="nil"/>
              <w:right w:val="single" w:color="auto" w:sz="4" w:space="0"/>
            </w:tcBorders>
            <w:shd w:val="clear" w:color="auto" w:fill="auto"/>
            <w:noWrap/>
            <w:vAlign w:val="center"/>
          </w:tcPr>
          <w:p w14:paraId="0518E437">
            <w:pPr>
              <w:widowControl/>
              <w:jc w:val="left"/>
              <w:rPr>
                <w:rFonts w:ascii="Times New Roman" w:hAnsi="Times New Roman" w:eastAsia="仿宋_GB2312"/>
                <w:color w:val="000000"/>
                <w:kern w:val="0"/>
                <w:szCs w:val="21"/>
              </w:rPr>
            </w:pPr>
            <w:r>
              <w:rPr>
                <w:rFonts w:hint="eastAsia" w:ascii="宋体" w:hAnsi="宋体" w:cs="宋体"/>
                <w:kern w:val="0"/>
                <w:sz w:val="20"/>
                <w:szCs w:val="20"/>
              </w:rPr>
              <w:t>按推广1万吨散装水泥可创社会综合经济效益64.45万元计，2021年创综合经济效益4亿元以上</w:t>
            </w:r>
          </w:p>
          <w:p w14:paraId="00A63386">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2" w:type="dxa"/>
            <w:gridSpan w:val="2"/>
            <w:tcBorders>
              <w:top w:val="single" w:color="auto" w:sz="4" w:space="0"/>
              <w:left w:val="nil"/>
              <w:right w:val="single" w:color="auto" w:sz="4" w:space="0"/>
            </w:tcBorders>
            <w:shd w:val="clear" w:color="auto" w:fill="auto"/>
            <w:noWrap/>
            <w:vAlign w:val="center"/>
          </w:tcPr>
          <w:p w14:paraId="7DDA98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60B3B5C">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3.94亿元</w:t>
            </w:r>
          </w:p>
        </w:tc>
        <w:tc>
          <w:tcPr>
            <w:tcW w:w="765" w:type="dxa"/>
            <w:tcBorders>
              <w:top w:val="single" w:color="auto" w:sz="4" w:space="0"/>
              <w:left w:val="nil"/>
              <w:right w:val="single" w:color="auto" w:sz="4" w:space="0"/>
            </w:tcBorders>
            <w:shd w:val="clear" w:color="auto" w:fill="auto"/>
            <w:noWrap/>
            <w:vAlign w:val="center"/>
          </w:tcPr>
          <w:p w14:paraId="48D06E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541DFE7E">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5" w:type="dxa"/>
            <w:tcBorders>
              <w:top w:val="single" w:color="auto" w:sz="4" w:space="0"/>
              <w:left w:val="nil"/>
              <w:right w:val="single" w:color="auto" w:sz="4" w:space="0"/>
            </w:tcBorders>
            <w:shd w:val="clear" w:color="auto" w:fill="auto"/>
            <w:noWrap/>
            <w:vAlign w:val="center"/>
          </w:tcPr>
          <w:p w14:paraId="7C3D8D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4417EADD">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1271" w:type="dxa"/>
            <w:gridSpan w:val="2"/>
            <w:tcBorders>
              <w:top w:val="single" w:color="auto" w:sz="4" w:space="0"/>
              <w:left w:val="nil"/>
              <w:right w:val="single" w:color="auto" w:sz="4" w:space="0"/>
            </w:tcBorders>
            <w:shd w:val="clear" w:color="auto" w:fill="auto"/>
            <w:noWrap/>
            <w:vAlign w:val="center"/>
          </w:tcPr>
          <w:p w14:paraId="7AF201E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全市散装水泥应用量612万吨，还有提升空间，拟进一步提升预拌砂浆使用量以达到推广散装水泥的目的</w:t>
            </w:r>
          </w:p>
        </w:tc>
      </w:tr>
      <w:tr w14:paraId="3A25398B">
        <w:tblPrEx>
          <w:tblCellMar>
            <w:top w:w="0" w:type="dxa"/>
            <w:left w:w="108" w:type="dxa"/>
            <w:bottom w:w="0" w:type="dxa"/>
            <w:right w:w="108" w:type="dxa"/>
          </w:tblCellMar>
        </w:tblPrEx>
        <w:trPr>
          <w:trHeight w:val="3120" w:hRule="atLeast"/>
          <w:jc w:val="center"/>
        </w:trPr>
        <w:tc>
          <w:tcPr>
            <w:tcW w:w="1128" w:type="dxa"/>
            <w:vMerge w:val="continue"/>
            <w:tcBorders>
              <w:left w:val="single" w:color="auto" w:sz="4" w:space="0"/>
              <w:right w:val="single" w:color="auto" w:sz="4" w:space="0"/>
            </w:tcBorders>
            <w:shd w:val="clear" w:color="auto" w:fill="auto"/>
            <w:noWrap/>
            <w:vAlign w:val="center"/>
          </w:tcPr>
          <w:p w14:paraId="5A24913D">
            <w:pPr>
              <w:jc w:val="center"/>
              <w:rPr>
                <w:rFonts w:ascii="Times New Roman" w:hAnsi="Times New Roman" w:eastAsia="仿宋_GB2312"/>
                <w:color w:val="000000"/>
                <w:kern w:val="0"/>
                <w:szCs w:val="21"/>
              </w:rPr>
            </w:pPr>
          </w:p>
        </w:tc>
        <w:tc>
          <w:tcPr>
            <w:tcW w:w="1016" w:type="dxa"/>
            <w:vMerge w:val="continue"/>
            <w:tcBorders>
              <w:left w:val="nil"/>
              <w:right w:val="single" w:color="auto" w:sz="4" w:space="0"/>
            </w:tcBorders>
            <w:shd w:val="clear" w:color="auto" w:fill="auto"/>
            <w:noWrap/>
            <w:vAlign w:val="center"/>
          </w:tcPr>
          <w:p w14:paraId="5AAE3526">
            <w:pPr>
              <w:jc w:val="left"/>
              <w:rPr>
                <w:rFonts w:ascii="Times New Roman" w:hAnsi="Times New Roman" w:eastAsia="仿宋_GB2312"/>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FB5537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63F057B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4" w:type="dxa"/>
            <w:tcBorders>
              <w:top w:val="single" w:color="auto" w:sz="4" w:space="0"/>
              <w:left w:val="nil"/>
              <w:right w:val="single" w:color="auto" w:sz="4" w:space="0"/>
            </w:tcBorders>
            <w:shd w:val="clear" w:color="auto" w:fill="auto"/>
            <w:noWrap/>
            <w:vAlign w:val="center"/>
          </w:tcPr>
          <w:p w14:paraId="32E2CB42">
            <w:pPr>
              <w:widowControl/>
              <w:jc w:val="left"/>
              <w:rPr>
                <w:rFonts w:ascii="Times New Roman" w:hAnsi="Times New Roman" w:eastAsia="仿宋_GB2312"/>
                <w:color w:val="000000"/>
                <w:kern w:val="0"/>
                <w:szCs w:val="21"/>
              </w:rPr>
            </w:pPr>
            <w:r>
              <w:rPr>
                <w:rFonts w:hint="eastAsia" w:ascii="宋体" w:hAnsi="宋体" w:cs="宋体"/>
                <w:kern w:val="0"/>
                <w:sz w:val="20"/>
                <w:szCs w:val="20"/>
              </w:rPr>
              <w:t>环境保护和建筑质量</w:t>
            </w:r>
          </w:p>
        </w:tc>
        <w:tc>
          <w:tcPr>
            <w:tcW w:w="1417" w:type="dxa"/>
            <w:gridSpan w:val="2"/>
            <w:tcBorders>
              <w:top w:val="single" w:color="auto" w:sz="4" w:space="0"/>
              <w:left w:val="nil"/>
              <w:right w:val="single" w:color="auto" w:sz="4" w:space="0"/>
            </w:tcBorders>
            <w:shd w:val="clear" w:color="auto" w:fill="auto"/>
            <w:noWrap/>
            <w:vAlign w:val="center"/>
          </w:tcPr>
          <w:p w14:paraId="07F8BFC8">
            <w:pPr>
              <w:jc w:val="left"/>
              <w:rPr>
                <w:rFonts w:ascii="Times New Roman" w:hAnsi="Times New Roman" w:eastAsia="仿宋_GB2312"/>
                <w:color w:val="000000"/>
                <w:kern w:val="0"/>
                <w:szCs w:val="21"/>
              </w:rPr>
            </w:pPr>
            <w:r>
              <w:rPr>
                <w:rFonts w:hint="eastAsia" w:ascii="宋体" w:hAnsi="宋体" w:cs="宋体"/>
                <w:kern w:val="0"/>
                <w:sz w:val="20"/>
                <w:szCs w:val="20"/>
              </w:rPr>
              <w:t>推广绿色建筑，保护环境，提高建筑工程质量和作业效率，较少劳动力，实现多、快、好、省</w:t>
            </w:r>
            <w:r>
              <w:rPr>
                <w:rFonts w:ascii="Times New Roman" w:hAnsi="Times New Roman" w:eastAsia="仿宋_GB2312"/>
                <w:color w:val="000000"/>
                <w:kern w:val="0"/>
                <w:szCs w:val="21"/>
              </w:rPr>
              <w:t>　</w:t>
            </w:r>
          </w:p>
        </w:tc>
        <w:tc>
          <w:tcPr>
            <w:tcW w:w="992" w:type="dxa"/>
            <w:gridSpan w:val="2"/>
            <w:tcBorders>
              <w:top w:val="single" w:color="auto" w:sz="4" w:space="0"/>
              <w:left w:val="nil"/>
              <w:right w:val="single" w:color="auto" w:sz="4" w:space="0"/>
            </w:tcBorders>
            <w:shd w:val="clear" w:color="auto" w:fill="auto"/>
            <w:noWrap/>
            <w:vAlign w:val="center"/>
          </w:tcPr>
          <w:p w14:paraId="2CAFAD29">
            <w:pPr>
              <w:widowControl/>
              <w:jc w:val="left"/>
              <w:rPr>
                <w:rFonts w:ascii="Times New Roman" w:hAnsi="Times New Roman" w:eastAsia="仿宋_GB2312"/>
                <w:color w:val="000000"/>
                <w:kern w:val="0"/>
                <w:szCs w:val="21"/>
              </w:rPr>
            </w:pPr>
            <w:r>
              <w:rPr>
                <w:rFonts w:hint="eastAsia" w:ascii="宋体" w:hAnsi="宋体" w:cs="宋体"/>
                <w:kern w:val="0"/>
                <w:sz w:val="20"/>
                <w:szCs w:val="20"/>
              </w:rPr>
              <w:t>实现多、快、好、省</w:t>
            </w:r>
            <w:r>
              <w:rPr>
                <w:rFonts w:ascii="Times New Roman" w:hAnsi="Times New Roman" w:eastAsia="仿宋_GB2312"/>
                <w:color w:val="000000"/>
                <w:kern w:val="0"/>
                <w:szCs w:val="21"/>
              </w:rPr>
              <w:t>　</w:t>
            </w:r>
          </w:p>
          <w:p w14:paraId="1FD9C938">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right w:val="single" w:color="auto" w:sz="4" w:space="0"/>
            </w:tcBorders>
            <w:shd w:val="clear" w:color="auto" w:fill="auto"/>
            <w:noWrap/>
            <w:vAlign w:val="center"/>
          </w:tcPr>
          <w:p w14:paraId="05B25B6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59ECC65B">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right w:val="single" w:color="auto" w:sz="4" w:space="0"/>
            </w:tcBorders>
            <w:shd w:val="clear" w:color="auto" w:fill="auto"/>
            <w:noWrap/>
            <w:vAlign w:val="center"/>
          </w:tcPr>
          <w:p w14:paraId="7390A81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C4CCC63">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gridSpan w:val="2"/>
            <w:tcBorders>
              <w:top w:val="single" w:color="auto" w:sz="4" w:space="0"/>
              <w:left w:val="nil"/>
              <w:right w:val="single" w:color="auto" w:sz="4" w:space="0"/>
            </w:tcBorders>
            <w:shd w:val="clear" w:color="auto" w:fill="auto"/>
            <w:noWrap/>
            <w:vAlign w:val="center"/>
          </w:tcPr>
          <w:p w14:paraId="62A67C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78879074">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C2640D2">
        <w:tblPrEx>
          <w:tblCellMar>
            <w:top w:w="0" w:type="dxa"/>
            <w:left w:w="108" w:type="dxa"/>
            <w:bottom w:w="0" w:type="dxa"/>
            <w:right w:w="108" w:type="dxa"/>
          </w:tblCellMar>
        </w:tblPrEx>
        <w:trPr>
          <w:trHeight w:val="4368" w:hRule="atLeast"/>
          <w:jc w:val="center"/>
        </w:trPr>
        <w:tc>
          <w:tcPr>
            <w:tcW w:w="1128" w:type="dxa"/>
            <w:vMerge w:val="continue"/>
            <w:tcBorders>
              <w:left w:val="single" w:color="auto" w:sz="4" w:space="0"/>
              <w:right w:val="single" w:color="auto" w:sz="4" w:space="0"/>
            </w:tcBorders>
            <w:shd w:val="clear" w:color="auto" w:fill="auto"/>
            <w:noWrap/>
            <w:vAlign w:val="center"/>
          </w:tcPr>
          <w:p w14:paraId="6CDF738C">
            <w:pPr>
              <w:jc w:val="center"/>
              <w:rPr>
                <w:rFonts w:ascii="Times New Roman" w:hAnsi="Times New Roman" w:eastAsia="仿宋_GB2312"/>
                <w:color w:val="000000"/>
                <w:kern w:val="0"/>
                <w:szCs w:val="21"/>
              </w:rPr>
            </w:pPr>
          </w:p>
        </w:tc>
        <w:tc>
          <w:tcPr>
            <w:tcW w:w="1016" w:type="dxa"/>
            <w:vMerge w:val="continue"/>
            <w:tcBorders>
              <w:left w:val="nil"/>
              <w:right w:val="single" w:color="auto" w:sz="4" w:space="0"/>
            </w:tcBorders>
            <w:shd w:val="clear" w:color="auto" w:fill="auto"/>
            <w:noWrap/>
            <w:vAlign w:val="center"/>
          </w:tcPr>
          <w:p w14:paraId="01F6BEE0">
            <w:pPr>
              <w:jc w:val="left"/>
              <w:rPr>
                <w:rFonts w:ascii="Times New Roman" w:hAnsi="Times New Roman" w:eastAsia="仿宋_GB2312"/>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C308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00FC171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4" w:type="dxa"/>
            <w:tcBorders>
              <w:top w:val="single" w:color="auto" w:sz="4" w:space="0"/>
              <w:left w:val="single" w:color="auto" w:sz="4" w:space="0"/>
              <w:right w:val="single" w:color="auto" w:sz="4" w:space="0"/>
            </w:tcBorders>
            <w:shd w:val="clear" w:color="auto" w:fill="auto"/>
            <w:noWrap/>
            <w:vAlign w:val="center"/>
          </w:tcPr>
          <w:p w14:paraId="70D2053F">
            <w:pPr>
              <w:widowControl/>
              <w:rPr>
                <w:rFonts w:ascii="宋体" w:hAnsi="宋体" w:cs="宋体"/>
                <w:kern w:val="0"/>
                <w:sz w:val="20"/>
                <w:szCs w:val="20"/>
              </w:rPr>
            </w:pPr>
            <w:r>
              <w:rPr>
                <w:rFonts w:hint="eastAsia" w:ascii="宋体" w:hAnsi="宋体" w:cs="宋体"/>
                <w:kern w:val="0"/>
                <w:sz w:val="20"/>
                <w:szCs w:val="20"/>
              </w:rPr>
              <w:t>节约资源</w:t>
            </w:r>
          </w:p>
        </w:tc>
        <w:tc>
          <w:tcPr>
            <w:tcW w:w="1417" w:type="dxa"/>
            <w:gridSpan w:val="2"/>
            <w:tcBorders>
              <w:top w:val="single" w:color="auto" w:sz="4" w:space="0"/>
              <w:left w:val="single" w:color="auto" w:sz="4" w:space="0"/>
              <w:right w:val="single" w:color="auto" w:sz="4" w:space="0"/>
            </w:tcBorders>
            <w:shd w:val="clear" w:color="auto" w:fill="auto"/>
            <w:noWrap/>
            <w:vAlign w:val="center"/>
          </w:tcPr>
          <w:p w14:paraId="14828719">
            <w:pPr>
              <w:widowControl/>
              <w:jc w:val="left"/>
              <w:rPr>
                <w:rFonts w:ascii="Times New Roman" w:hAnsi="Times New Roman" w:eastAsia="仿宋_GB2312"/>
                <w:color w:val="000000"/>
                <w:kern w:val="0"/>
                <w:szCs w:val="21"/>
              </w:rPr>
            </w:pPr>
            <w:r>
              <w:rPr>
                <w:rFonts w:hint="eastAsia" w:ascii="宋体" w:hAnsi="宋体" w:cs="宋体"/>
                <w:kern w:val="0"/>
                <w:sz w:val="20"/>
                <w:szCs w:val="20"/>
              </w:rPr>
              <w:t>推广绿色建筑，减少粉尘、废气排放，节约包装用纸、标煤、电力、用水，发挥绿色建筑在保护环境、节约能源上的特有优势</w:t>
            </w:r>
          </w:p>
        </w:tc>
        <w:tc>
          <w:tcPr>
            <w:tcW w:w="992" w:type="dxa"/>
            <w:gridSpan w:val="2"/>
            <w:tcBorders>
              <w:top w:val="single" w:color="auto" w:sz="4" w:space="0"/>
              <w:left w:val="single" w:color="auto" w:sz="4" w:space="0"/>
              <w:right w:val="single" w:color="auto" w:sz="4" w:space="0"/>
            </w:tcBorders>
            <w:shd w:val="clear" w:color="auto" w:fill="auto"/>
            <w:noWrap/>
            <w:vAlign w:val="center"/>
          </w:tcPr>
          <w:p w14:paraId="293D4066">
            <w:pPr>
              <w:widowControl/>
              <w:jc w:val="left"/>
              <w:rPr>
                <w:rFonts w:ascii="Times New Roman" w:hAnsi="Times New Roman" w:eastAsia="仿宋_GB2312"/>
                <w:color w:val="000000"/>
                <w:kern w:val="0"/>
                <w:szCs w:val="21"/>
              </w:rPr>
            </w:pPr>
            <w:r>
              <w:rPr>
                <w:rFonts w:hint="eastAsia" w:ascii="宋体" w:hAnsi="宋体" w:cs="宋体"/>
                <w:kern w:val="0"/>
                <w:sz w:val="20"/>
                <w:szCs w:val="20"/>
              </w:rPr>
              <w:t>发挥了绿色建筑在保护环境、节约能源上的特有优势</w:t>
            </w:r>
          </w:p>
          <w:p w14:paraId="6CC18D16">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single" w:color="auto" w:sz="4" w:space="0"/>
              <w:right w:val="single" w:color="auto" w:sz="4" w:space="0"/>
            </w:tcBorders>
            <w:shd w:val="clear" w:color="auto" w:fill="auto"/>
            <w:noWrap/>
            <w:vAlign w:val="center"/>
          </w:tcPr>
          <w:p w14:paraId="7CAD36C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0022EFDF">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right w:val="single" w:color="auto" w:sz="4" w:space="0"/>
            </w:tcBorders>
            <w:shd w:val="clear" w:color="auto" w:fill="auto"/>
            <w:noWrap/>
            <w:vAlign w:val="center"/>
          </w:tcPr>
          <w:p w14:paraId="0DA1FE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4141159">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gridSpan w:val="2"/>
            <w:tcBorders>
              <w:top w:val="single" w:color="auto" w:sz="4" w:space="0"/>
              <w:left w:val="nil"/>
              <w:right w:val="single" w:color="auto" w:sz="4" w:space="0"/>
            </w:tcBorders>
            <w:shd w:val="clear" w:color="auto" w:fill="auto"/>
            <w:noWrap/>
            <w:vAlign w:val="center"/>
          </w:tcPr>
          <w:p w14:paraId="5758510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76FC90C0">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37E74E7">
        <w:tblPrEx>
          <w:tblCellMar>
            <w:top w:w="0" w:type="dxa"/>
            <w:left w:w="108" w:type="dxa"/>
            <w:bottom w:w="0" w:type="dxa"/>
            <w:right w:w="108" w:type="dxa"/>
          </w:tblCellMar>
        </w:tblPrEx>
        <w:trPr>
          <w:trHeight w:val="1626" w:hRule="atLeast"/>
          <w:jc w:val="center"/>
        </w:trPr>
        <w:tc>
          <w:tcPr>
            <w:tcW w:w="1128" w:type="dxa"/>
            <w:vMerge w:val="continue"/>
            <w:tcBorders>
              <w:left w:val="single" w:color="auto" w:sz="4" w:space="0"/>
              <w:right w:val="single" w:color="auto" w:sz="4" w:space="0"/>
            </w:tcBorders>
            <w:shd w:val="clear" w:color="auto" w:fill="auto"/>
            <w:noWrap/>
            <w:vAlign w:val="center"/>
          </w:tcPr>
          <w:p w14:paraId="07263DBC">
            <w:pPr>
              <w:widowControl/>
              <w:jc w:val="center"/>
              <w:rPr>
                <w:rFonts w:ascii="Times New Roman" w:hAnsi="Times New Roman" w:eastAsia="仿宋_GB2312"/>
                <w:color w:val="000000"/>
                <w:kern w:val="0"/>
                <w:szCs w:val="21"/>
              </w:rPr>
            </w:pPr>
          </w:p>
        </w:tc>
        <w:tc>
          <w:tcPr>
            <w:tcW w:w="1016" w:type="dxa"/>
            <w:vMerge w:val="continue"/>
            <w:tcBorders>
              <w:left w:val="nil"/>
              <w:right w:val="single" w:color="auto" w:sz="4" w:space="0"/>
            </w:tcBorders>
            <w:shd w:val="clear" w:color="auto" w:fill="auto"/>
            <w:noWrap/>
            <w:vAlign w:val="center"/>
          </w:tcPr>
          <w:p w14:paraId="5AF42C67">
            <w:pPr>
              <w:widowControl/>
              <w:jc w:val="left"/>
              <w:rPr>
                <w:rFonts w:ascii="Times New Roman" w:hAnsi="Times New Roman" w:eastAsia="仿宋_GB2312"/>
                <w:color w:val="000000"/>
                <w:kern w:val="0"/>
                <w:szCs w:val="21"/>
              </w:rPr>
            </w:pPr>
          </w:p>
        </w:tc>
        <w:tc>
          <w:tcPr>
            <w:tcW w:w="1276" w:type="dxa"/>
            <w:tcBorders>
              <w:top w:val="single" w:color="auto" w:sz="4" w:space="0"/>
              <w:left w:val="single" w:color="auto" w:sz="4" w:space="0"/>
              <w:right w:val="single" w:color="auto" w:sz="4" w:space="0"/>
            </w:tcBorders>
            <w:shd w:val="clear" w:color="auto" w:fill="auto"/>
            <w:noWrap/>
            <w:vAlign w:val="center"/>
          </w:tcPr>
          <w:p w14:paraId="6D114BE0">
            <w:pPr>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34" w:type="dxa"/>
            <w:tcBorders>
              <w:top w:val="single" w:color="auto" w:sz="4" w:space="0"/>
              <w:left w:val="single" w:color="auto" w:sz="4" w:space="0"/>
              <w:right w:val="single" w:color="auto" w:sz="4" w:space="0"/>
            </w:tcBorders>
            <w:shd w:val="clear" w:color="auto" w:fill="auto"/>
            <w:noWrap/>
            <w:vAlign w:val="center"/>
          </w:tcPr>
          <w:p w14:paraId="452183BF">
            <w:pPr>
              <w:jc w:val="left"/>
              <w:rPr>
                <w:rFonts w:ascii="Times New Roman" w:hAnsi="Times New Roman" w:eastAsia="仿宋_GB2312"/>
                <w:color w:val="000000"/>
                <w:kern w:val="0"/>
                <w:szCs w:val="21"/>
              </w:rPr>
            </w:pPr>
            <w:r>
              <w:rPr>
                <w:rFonts w:hint="eastAsia" w:ascii="宋体" w:hAnsi="宋体" w:cs="宋体"/>
                <w:kern w:val="0"/>
                <w:sz w:val="20"/>
                <w:szCs w:val="20"/>
              </w:rPr>
              <w:t>社会公众或服务企业满意度</w:t>
            </w:r>
          </w:p>
        </w:tc>
        <w:tc>
          <w:tcPr>
            <w:tcW w:w="1417" w:type="dxa"/>
            <w:gridSpan w:val="2"/>
            <w:tcBorders>
              <w:top w:val="single" w:color="auto" w:sz="4" w:space="0"/>
              <w:left w:val="single" w:color="auto" w:sz="4" w:space="0"/>
              <w:right w:val="single" w:color="auto" w:sz="4" w:space="0"/>
            </w:tcBorders>
            <w:shd w:val="clear" w:color="auto" w:fill="auto"/>
            <w:noWrap/>
            <w:vAlign w:val="center"/>
          </w:tcPr>
          <w:p w14:paraId="77B515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7E6D88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D46E3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cs="宋体"/>
                <w:kern w:val="0"/>
                <w:sz w:val="20"/>
                <w:szCs w:val="20"/>
              </w:rPr>
              <w:t>90%以上</w:t>
            </w:r>
          </w:p>
          <w:p w14:paraId="77CEC718">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2" w:type="dxa"/>
            <w:gridSpan w:val="2"/>
            <w:tcBorders>
              <w:top w:val="single" w:color="auto" w:sz="4" w:space="0"/>
              <w:left w:val="single" w:color="auto" w:sz="4" w:space="0"/>
              <w:right w:val="single" w:color="auto" w:sz="4" w:space="0"/>
            </w:tcBorders>
            <w:shd w:val="clear" w:color="auto" w:fill="auto"/>
            <w:noWrap/>
            <w:vAlign w:val="center"/>
          </w:tcPr>
          <w:p w14:paraId="058493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5BA432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5385DB9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95%</w:t>
            </w:r>
            <w:r>
              <w:rPr>
                <w:rFonts w:ascii="Times New Roman" w:hAnsi="Times New Roman" w:eastAsia="仿宋_GB2312"/>
                <w:color w:val="000000"/>
                <w:kern w:val="0"/>
                <w:szCs w:val="21"/>
              </w:rPr>
              <w:t>　</w:t>
            </w:r>
          </w:p>
          <w:p w14:paraId="206F3744">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single" w:color="auto" w:sz="4" w:space="0"/>
              <w:right w:val="single" w:color="auto" w:sz="4" w:space="0"/>
            </w:tcBorders>
            <w:shd w:val="clear" w:color="auto" w:fill="auto"/>
            <w:noWrap/>
            <w:vAlign w:val="center"/>
          </w:tcPr>
          <w:p w14:paraId="7374C62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4E7BC9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452A3C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34685BA6">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single" w:color="auto" w:sz="4" w:space="0"/>
              <w:right w:val="single" w:color="auto" w:sz="4" w:space="0"/>
            </w:tcBorders>
            <w:shd w:val="clear" w:color="auto" w:fill="auto"/>
            <w:noWrap/>
            <w:vAlign w:val="center"/>
          </w:tcPr>
          <w:p w14:paraId="6C69FA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27CC740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52732C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56DCC01A">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single" w:color="auto" w:sz="4" w:space="0"/>
              <w:right w:val="single" w:color="auto" w:sz="4" w:space="0"/>
            </w:tcBorders>
            <w:shd w:val="clear" w:color="auto" w:fill="auto"/>
            <w:noWrap/>
            <w:vAlign w:val="center"/>
          </w:tcPr>
          <w:p w14:paraId="6978AA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0C009C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2E52893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6B74687F">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BB51DCB">
        <w:tblPrEx>
          <w:tblCellMar>
            <w:top w:w="0" w:type="dxa"/>
            <w:left w:w="108" w:type="dxa"/>
            <w:bottom w:w="0" w:type="dxa"/>
            <w:right w:w="108" w:type="dxa"/>
          </w:tblCellMar>
        </w:tblPrEx>
        <w:trPr>
          <w:trHeight w:val="340" w:hRule="atLeast"/>
          <w:jc w:val="center"/>
        </w:trPr>
        <w:tc>
          <w:tcPr>
            <w:tcW w:w="6963"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706021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FD043">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5C9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93</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E4DA40">
            <w:pPr>
              <w:widowControl/>
              <w:jc w:val="left"/>
              <w:rPr>
                <w:rFonts w:ascii="Times New Roman" w:hAnsi="Times New Roman" w:eastAsia="仿宋_GB2312"/>
                <w:color w:val="000000"/>
                <w:kern w:val="0"/>
                <w:szCs w:val="21"/>
              </w:rPr>
            </w:pPr>
          </w:p>
        </w:tc>
      </w:tr>
    </w:tbl>
    <w:p w14:paraId="7D8CB8E6">
      <w:pPr>
        <w:spacing w:beforeLines="50"/>
        <w:rPr>
          <w:rFonts w:ascii="Times New Roman" w:hAnsi="Times New Roman" w:eastAsia="仿宋_GB2312"/>
          <w:sz w:val="24"/>
        </w:rPr>
      </w:pPr>
    </w:p>
    <w:p w14:paraId="0E0FFADB">
      <w:pPr>
        <w:spacing w:beforeLines="50"/>
        <w:rPr>
          <w:rFonts w:ascii="Times New Roman" w:hAnsi="Times New Roman" w:eastAsia="仿宋_GB2312"/>
          <w:sz w:val="24"/>
        </w:rPr>
      </w:pPr>
      <w:r>
        <w:rPr>
          <w:rFonts w:ascii="Times New Roman" w:hAnsi="Times New Roman" w:eastAsia="仿宋_GB2312"/>
          <w:sz w:val="24"/>
        </w:rPr>
        <w:t>填表人：</w:t>
      </w:r>
      <w:r>
        <w:rPr>
          <w:rFonts w:hint="eastAsia" w:ascii="Times New Roman" w:hAnsi="Times New Roman" w:eastAsia="仿宋_GB2312"/>
          <w:sz w:val="24"/>
        </w:rPr>
        <w:t>李茉</w:t>
      </w:r>
      <w:r>
        <w:rPr>
          <w:rFonts w:ascii="Times New Roman" w:hAnsi="Times New Roman" w:eastAsia="仿宋_GB2312"/>
          <w:sz w:val="24"/>
        </w:rPr>
        <w:t xml:space="preserve">  填报日期：</w:t>
      </w:r>
      <w:r>
        <w:rPr>
          <w:rFonts w:hint="eastAsia" w:ascii="Times New Roman" w:hAnsi="Times New Roman" w:eastAsia="仿宋_GB2312"/>
          <w:sz w:val="24"/>
        </w:rPr>
        <w:t>2022.3.1</w:t>
      </w:r>
      <w:r>
        <w:rPr>
          <w:rFonts w:ascii="Times New Roman" w:hAnsi="Times New Roman" w:eastAsia="仿宋_GB2312"/>
          <w:sz w:val="24"/>
        </w:rPr>
        <w:t xml:space="preserve"> 联系电话：</w:t>
      </w:r>
      <w:r>
        <w:rPr>
          <w:rFonts w:hint="eastAsia" w:ascii="Times New Roman" w:hAnsi="Times New Roman" w:eastAsia="仿宋_GB2312"/>
          <w:sz w:val="24"/>
        </w:rPr>
        <w:t>18073455600</w:t>
      </w:r>
    </w:p>
    <w:p w14:paraId="0A09C1E5">
      <w:pPr>
        <w:spacing w:beforeLines="50"/>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MTI2ZTE5MjU0YzJiOWE1YjEwZGM3ZjljZDQ2N2YifQ=="/>
  </w:docVars>
  <w:rsids>
    <w:rsidRoot w:val="00EE289B"/>
    <w:rsid w:val="00010B23"/>
    <w:rsid w:val="00015E9C"/>
    <w:rsid w:val="00020055"/>
    <w:rsid w:val="00026726"/>
    <w:rsid w:val="00027B2E"/>
    <w:rsid w:val="000417E7"/>
    <w:rsid w:val="0004187D"/>
    <w:rsid w:val="00046F9C"/>
    <w:rsid w:val="000479DC"/>
    <w:rsid w:val="00047B5B"/>
    <w:rsid w:val="0005019A"/>
    <w:rsid w:val="000501D2"/>
    <w:rsid w:val="00055009"/>
    <w:rsid w:val="00061602"/>
    <w:rsid w:val="00066393"/>
    <w:rsid w:val="00072CC0"/>
    <w:rsid w:val="00074D25"/>
    <w:rsid w:val="000774DF"/>
    <w:rsid w:val="00080333"/>
    <w:rsid w:val="000A4CBF"/>
    <w:rsid w:val="000A5EA6"/>
    <w:rsid w:val="000B514B"/>
    <w:rsid w:val="000B630E"/>
    <w:rsid w:val="000B69B8"/>
    <w:rsid w:val="000C356F"/>
    <w:rsid w:val="000D0941"/>
    <w:rsid w:val="000E4DED"/>
    <w:rsid w:val="000F1193"/>
    <w:rsid w:val="000F4A6A"/>
    <w:rsid w:val="0010034C"/>
    <w:rsid w:val="00106CC0"/>
    <w:rsid w:val="00106EDC"/>
    <w:rsid w:val="0012414F"/>
    <w:rsid w:val="00131211"/>
    <w:rsid w:val="00153B7B"/>
    <w:rsid w:val="00153C91"/>
    <w:rsid w:val="001559DA"/>
    <w:rsid w:val="00161464"/>
    <w:rsid w:val="001756E7"/>
    <w:rsid w:val="001802D2"/>
    <w:rsid w:val="00190EBA"/>
    <w:rsid w:val="00193F32"/>
    <w:rsid w:val="00195D77"/>
    <w:rsid w:val="001961D0"/>
    <w:rsid w:val="00196DE5"/>
    <w:rsid w:val="001A096C"/>
    <w:rsid w:val="001A415D"/>
    <w:rsid w:val="001A46EC"/>
    <w:rsid w:val="001A5BD6"/>
    <w:rsid w:val="001A7644"/>
    <w:rsid w:val="001B71BC"/>
    <w:rsid w:val="001C0879"/>
    <w:rsid w:val="001C0E32"/>
    <w:rsid w:val="001D7CCF"/>
    <w:rsid w:val="001E1354"/>
    <w:rsid w:val="001E2EC8"/>
    <w:rsid w:val="001E7864"/>
    <w:rsid w:val="001F341D"/>
    <w:rsid w:val="001F7D97"/>
    <w:rsid w:val="002001D8"/>
    <w:rsid w:val="00200924"/>
    <w:rsid w:val="002018DF"/>
    <w:rsid w:val="00206105"/>
    <w:rsid w:val="00207100"/>
    <w:rsid w:val="00210463"/>
    <w:rsid w:val="002106C8"/>
    <w:rsid w:val="00213959"/>
    <w:rsid w:val="00213F32"/>
    <w:rsid w:val="002202BA"/>
    <w:rsid w:val="00223E31"/>
    <w:rsid w:val="00227567"/>
    <w:rsid w:val="00232CD2"/>
    <w:rsid w:val="00233CA2"/>
    <w:rsid w:val="002351C1"/>
    <w:rsid w:val="00236D3F"/>
    <w:rsid w:val="00262AE6"/>
    <w:rsid w:val="00265199"/>
    <w:rsid w:val="00265868"/>
    <w:rsid w:val="002679EF"/>
    <w:rsid w:val="00270251"/>
    <w:rsid w:val="002724F2"/>
    <w:rsid w:val="0028040E"/>
    <w:rsid w:val="00280A91"/>
    <w:rsid w:val="00281395"/>
    <w:rsid w:val="00284947"/>
    <w:rsid w:val="002878F3"/>
    <w:rsid w:val="002B0921"/>
    <w:rsid w:val="002B197A"/>
    <w:rsid w:val="002B7EBC"/>
    <w:rsid w:val="002C5552"/>
    <w:rsid w:val="002C5621"/>
    <w:rsid w:val="002C59E3"/>
    <w:rsid w:val="002D2122"/>
    <w:rsid w:val="002D2623"/>
    <w:rsid w:val="002D4A39"/>
    <w:rsid w:val="002D6A08"/>
    <w:rsid w:val="002E4621"/>
    <w:rsid w:val="002E52B7"/>
    <w:rsid w:val="002F0449"/>
    <w:rsid w:val="002F4D0A"/>
    <w:rsid w:val="002F612C"/>
    <w:rsid w:val="003104FF"/>
    <w:rsid w:val="00313FA2"/>
    <w:rsid w:val="00315307"/>
    <w:rsid w:val="00325B91"/>
    <w:rsid w:val="00327D18"/>
    <w:rsid w:val="0033271A"/>
    <w:rsid w:val="00333C4B"/>
    <w:rsid w:val="00336813"/>
    <w:rsid w:val="003376B4"/>
    <w:rsid w:val="00340D1D"/>
    <w:rsid w:val="00344E88"/>
    <w:rsid w:val="00351DFD"/>
    <w:rsid w:val="00360F01"/>
    <w:rsid w:val="00363127"/>
    <w:rsid w:val="00365F8C"/>
    <w:rsid w:val="00371E3A"/>
    <w:rsid w:val="0037298B"/>
    <w:rsid w:val="00375A57"/>
    <w:rsid w:val="003764AC"/>
    <w:rsid w:val="00380197"/>
    <w:rsid w:val="00384F2D"/>
    <w:rsid w:val="00393F9D"/>
    <w:rsid w:val="003945B5"/>
    <w:rsid w:val="00394927"/>
    <w:rsid w:val="00396CBE"/>
    <w:rsid w:val="003A1D21"/>
    <w:rsid w:val="003D03D8"/>
    <w:rsid w:val="003D3203"/>
    <w:rsid w:val="003D481C"/>
    <w:rsid w:val="003D70CB"/>
    <w:rsid w:val="003E5067"/>
    <w:rsid w:val="003E7638"/>
    <w:rsid w:val="003E79B0"/>
    <w:rsid w:val="003F11E5"/>
    <w:rsid w:val="003F1959"/>
    <w:rsid w:val="003F4374"/>
    <w:rsid w:val="004012BD"/>
    <w:rsid w:val="00415916"/>
    <w:rsid w:val="00417734"/>
    <w:rsid w:val="004226D8"/>
    <w:rsid w:val="00432864"/>
    <w:rsid w:val="004400F3"/>
    <w:rsid w:val="00442453"/>
    <w:rsid w:val="00442C43"/>
    <w:rsid w:val="00446E21"/>
    <w:rsid w:val="0044788A"/>
    <w:rsid w:val="004555BF"/>
    <w:rsid w:val="00470458"/>
    <w:rsid w:val="00471243"/>
    <w:rsid w:val="00472D10"/>
    <w:rsid w:val="00475321"/>
    <w:rsid w:val="004846ED"/>
    <w:rsid w:val="00491AD8"/>
    <w:rsid w:val="00492A71"/>
    <w:rsid w:val="004A2563"/>
    <w:rsid w:val="004A57EA"/>
    <w:rsid w:val="004B083E"/>
    <w:rsid w:val="004B4572"/>
    <w:rsid w:val="004B7CAD"/>
    <w:rsid w:val="004C5F8F"/>
    <w:rsid w:val="004D27D8"/>
    <w:rsid w:val="004D49D3"/>
    <w:rsid w:val="004D4B82"/>
    <w:rsid w:val="004F0815"/>
    <w:rsid w:val="004F1944"/>
    <w:rsid w:val="004F52E0"/>
    <w:rsid w:val="00502622"/>
    <w:rsid w:val="005029C8"/>
    <w:rsid w:val="00506536"/>
    <w:rsid w:val="00514427"/>
    <w:rsid w:val="00514638"/>
    <w:rsid w:val="0053588B"/>
    <w:rsid w:val="00536E2E"/>
    <w:rsid w:val="005374BA"/>
    <w:rsid w:val="00542724"/>
    <w:rsid w:val="00547167"/>
    <w:rsid w:val="00551E55"/>
    <w:rsid w:val="00552E75"/>
    <w:rsid w:val="00566597"/>
    <w:rsid w:val="005741CC"/>
    <w:rsid w:val="005772B8"/>
    <w:rsid w:val="00581B4E"/>
    <w:rsid w:val="005906C4"/>
    <w:rsid w:val="0059180C"/>
    <w:rsid w:val="005920DF"/>
    <w:rsid w:val="0059721E"/>
    <w:rsid w:val="00597CD5"/>
    <w:rsid w:val="005B515C"/>
    <w:rsid w:val="005D0E48"/>
    <w:rsid w:val="005E299F"/>
    <w:rsid w:val="005F36A3"/>
    <w:rsid w:val="0060118A"/>
    <w:rsid w:val="00601281"/>
    <w:rsid w:val="006022D3"/>
    <w:rsid w:val="00604615"/>
    <w:rsid w:val="0060525F"/>
    <w:rsid w:val="006077A7"/>
    <w:rsid w:val="006120F0"/>
    <w:rsid w:val="00613232"/>
    <w:rsid w:val="006167C2"/>
    <w:rsid w:val="006219A7"/>
    <w:rsid w:val="0062291B"/>
    <w:rsid w:val="00636A65"/>
    <w:rsid w:val="006429EB"/>
    <w:rsid w:val="006446A7"/>
    <w:rsid w:val="00646B9A"/>
    <w:rsid w:val="006470B7"/>
    <w:rsid w:val="006526B9"/>
    <w:rsid w:val="00660812"/>
    <w:rsid w:val="006626EE"/>
    <w:rsid w:val="006659BD"/>
    <w:rsid w:val="00667065"/>
    <w:rsid w:val="00667A13"/>
    <w:rsid w:val="006721DA"/>
    <w:rsid w:val="0067415A"/>
    <w:rsid w:val="006771CA"/>
    <w:rsid w:val="006834F9"/>
    <w:rsid w:val="006934BB"/>
    <w:rsid w:val="0069672C"/>
    <w:rsid w:val="006967A4"/>
    <w:rsid w:val="006B7E35"/>
    <w:rsid w:val="006C263A"/>
    <w:rsid w:val="006E005B"/>
    <w:rsid w:val="006E00A4"/>
    <w:rsid w:val="006E0FEE"/>
    <w:rsid w:val="006E39EE"/>
    <w:rsid w:val="006F1452"/>
    <w:rsid w:val="006F1FBC"/>
    <w:rsid w:val="006F6BE1"/>
    <w:rsid w:val="00702B86"/>
    <w:rsid w:val="00705B52"/>
    <w:rsid w:val="0071345A"/>
    <w:rsid w:val="00721C4D"/>
    <w:rsid w:val="00722287"/>
    <w:rsid w:val="00724CD7"/>
    <w:rsid w:val="007256A7"/>
    <w:rsid w:val="00731D19"/>
    <w:rsid w:val="007336F6"/>
    <w:rsid w:val="007527E4"/>
    <w:rsid w:val="007541E1"/>
    <w:rsid w:val="00763596"/>
    <w:rsid w:val="0077299E"/>
    <w:rsid w:val="00775DE5"/>
    <w:rsid w:val="007877FA"/>
    <w:rsid w:val="00790C3B"/>
    <w:rsid w:val="00795903"/>
    <w:rsid w:val="0079696E"/>
    <w:rsid w:val="007A0977"/>
    <w:rsid w:val="007A30E5"/>
    <w:rsid w:val="007C0A56"/>
    <w:rsid w:val="007C1922"/>
    <w:rsid w:val="007C5111"/>
    <w:rsid w:val="007C5BBC"/>
    <w:rsid w:val="007C6866"/>
    <w:rsid w:val="007C7AB5"/>
    <w:rsid w:val="007D4D28"/>
    <w:rsid w:val="007D50C0"/>
    <w:rsid w:val="007E3A97"/>
    <w:rsid w:val="007F3889"/>
    <w:rsid w:val="007F3D8E"/>
    <w:rsid w:val="007F681A"/>
    <w:rsid w:val="008038F4"/>
    <w:rsid w:val="008064F5"/>
    <w:rsid w:val="0080668D"/>
    <w:rsid w:val="00810DB5"/>
    <w:rsid w:val="00811E49"/>
    <w:rsid w:val="00812DA7"/>
    <w:rsid w:val="00814ADF"/>
    <w:rsid w:val="00825ECC"/>
    <w:rsid w:val="00834BF1"/>
    <w:rsid w:val="00836849"/>
    <w:rsid w:val="00846185"/>
    <w:rsid w:val="00851672"/>
    <w:rsid w:val="008555F3"/>
    <w:rsid w:val="00863B8C"/>
    <w:rsid w:val="00865DDA"/>
    <w:rsid w:val="00874142"/>
    <w:rsid w:val="00877012"/>
    <w:rsid w:val="008771BD"/>
    <w:rsid w:val="008775DC"/>
    <w:rsid w:val="00883D7D"/>
    <w:rsid w:val="00892013"/>
    <w:rsid w:val="00896A7F"/>
    <w:rsid w:val="008A2068"/>
    <w:rsid w:val="008A5C8A"/>
    <w:rsid w:val="008B1BEF"/>
    <w:rsid w:val="008B5821"/>
    <w:rsid w:val="008B594D"/>
    <w:rsid w:val="008B7690"/>
    <w:rsid w:val="008C0D60"/>
    <w:rsid w:val="008C4935"/>
    <w:rsid w:val="008C7241"/>
    <w:rsid w:val="00901A2D"/>
    <w:rsid w:val="00905725"/>
    <w:rsid w:val="00910A8F"/>
    <w:rsid w:val="009151D3"/>
    <w:rsid w:val="00921EB6"/>
    <w:rsid w:val="00922E2A"/>
    <w:rsid w:val="009317F4"/>
    <w:rsid w:val="00935A4A"/>
    <w:rsid w:val="00940CC7"/>
    <w:rsid w:val="00940E5D"/>
    <w:rsid w:val="00943A27"/>
    <w:rsid w:val="00944E2E"/>
    <w:rsid w:val="009510DC"/>
    <w:rsid w:val="00952D9E"/>
    <w:rsid w:val="00953061"/>
    <w:rsid w:val="00960BFF"/>
    <w:rsid w:val="00961B86"/>
    <w:rsid w:val="00961B9A"/>
    <w:rsid w:val="009621BE"/>
    <w:rsid w:val="00965C93"/>
    <w:rsid w:val="00972315"/>
    <w:rsid w:val="00973023"/>
    <w:rsid w:val="009750D4"/>
    <w:rsid w:val="009942A8"/>
    <w:rsid w:val="009A4FCB"/>
    <w:rsid w:val="009A6A0F"/>
    <w:rsid w:val="009B09F5"/>
    <w:rsid w:val="009B7A40"/>
    <w:rsid w:val="009C0D47"/>
    <w:rsid w:val="009C206E"/>
    <w:rsid w:val="009D1A27"/>
    <w:rsid w:val="009D3D58"/>
    <w:rsid w:val="009D43AA"/>
    <w:rsid w:val="009D5EA3"/>
    <w:rsid w:val="009E2ADA"/>
    <w:rsid w:val="009F2C9C"/>
    <w:rsid w:val="009F4824"/>
    <w:rsid w:val="00A03CE3"/>
    <w:rsid w:val="00A04A76"/>
    <w:rsid w:val="00A0720D"/>
    <w:rsid w:val="00A21688"/>
    <w:rsid w:val="00A24078"/>
    <w:rsid w:val="00A240FF"/>
    <w:rsid w:val="00A4005C"/>
    <w:rsid w:val="00A434DC"/>
    <w:rsid w:val="00A61F47"/>
    <w:rsid w:val="00A6454A"/>
    <w:rsid w:val="00A652C8"/>
    <w:rsid w:val="00A70CB3"/>
    <w:rsid w:val="00A71503"/>
    <w:rsid w:val="00A74709"/>
    <w:rsid w:val="00A7662F"/>
    <w:rsid w:val="00A8509A"/>
    <w:rsid w:val="00A872D3"/>
    <w:rsid w:val="00A94835"/>
    <w:rsid w:val="00AB0DCF"/>
    <w:rsid w:val="00AB280C"/>
    <w:rsid w:val="00AB3803"/>
    <w:rsid w:val="00AB5C07"/>
    <w:rsid w:val="00AC0843"/>
    <w:rsid w:val="00AC22EF"/>
    <w:rsid w:val="00AC315C"/>
    <w:rsid w:val="00AD1A92"/>
    <w:rsid w:val="00AD4BB2"/>
    <w:rsid w:val="00AE3126"/>
    <w:rsid w:val="00AE3B15"/>
    <w:rsid w:val="00AF1347"/>
    <w:rsid w:val="00AF3AA8"/>
    <w:rsid w:val="00AF4B9F"/>
    <w:rsid w:val="00B14C3B"/>
    <w:rsid w:val="00B27847"/>
    <w:rsid w:val="00B33ED2"/>
    <w:rsid w:val="00B42636"/>
    <w:rsid w:val="00B4337E"/>
    <w:rsid w:val="00B47662"/>
    <w:rsid w:val="00B514ED"/>
    <w:rsid w:val="00B52E5B"/>
    <w:rsid w:val="00B540AE"/>
    <w:rsid w:val="00B546A3"/>
    <w:rsid w:val="00B56249"/>
    <w:rsid w:val="00B6228E"/>
    <w:rsid w:val="00B63DFD"/>
    <w:rsid w:val="00B669DF"/>
    <w:rsid w:val="00B7399A"/>
    <w:rsid w:val="00B77B2D"/>
    <w:rsid w:val="00B84524"/>
    <w:rsid w:val="00B91727"/>
    <w:rsid w:val="00B9458C"/>
    <w:rsid w:val="00B94BD9"/>
    <w:rsid w:val="00B9511E"/>
    <w:rsid w:val="00BB6A49"/>
    <w:rsid w:val="00BC2641"/>
    <w:rsid w:val="00BC27D2"/>
    <w:rsid w:val="00BC57E4"/>
    <w:rsid w:val="00BC5D80"/>
    <w:rsid w:val="00BC6057"/>
    <w:rsid w:val="00BD08AB"/>
    <w:rsid w:val="00BD42C3"/>
    <w:rsid w:val="00BD5086"/>
    <w:rsid w:val="00BE35A0"/>
    <w:rsid w:val="00BF6CD9"/>
    <w:rsid w:val="00C0243B"/>
    <w:rsid w:val="00C07646"/>
    <w:rsid w:val="00C176A3"/>
    <w:rsid w:val="00C32311"/>
    <w:rsid w:val="00C34401"/>
    <w:rsid w:val="00C34EE7"/>
    <w:rsid w:val="00C36F3D"/>
    <w:rsid w:val="00C3707B"/>
    <w:rsid w:val="00C3778A"/>
    <w:rsid w:val="00C46D57"/>
    <w:rsid w:val="00C47154"/>
    <w:rsid w:val="00C5630C"/>
    <w:rsid w:val="00C66D1A"/>
    <w:rsid w:val="00C774CD"/>
    <w:rsid w:val="00C80823"/>
    <w:rsid w:val="00C92912"/>
    <w:rsid w:val="00C96992"/>
    <w:rsid w:val="00C9742A"/>
    <w:rsid w:val="00CA3D59"/>
    <w:rsid w:val="00CC641B"/>
    <w:rsid w:val="00CD6145"/>
    <w:rsid w:val="00CD7FA2"/>
    <w:rsid w:val="00CE2381"/>
    <w:rsid w:val="00CE569D"/>
    <w:rsid w:val="00CE5FF5"/>
    <w:rsid w:val="00CE7552"/>
    <w:rsid w:val="00CF1F46"/>
    <w:rsid w:val="00CF5EF7"/>
    <w:rsid w:val="00CF7F22"/>
    <w:rsid w:val="00D0082D"/>
    <w:rsid w:val="00D03468"/>
    <w:rsid w:val="00D07DED"/>
    <w:rsid w:val="00D24E0F"/>
    <w:rsid w:val="00D26EAE"/>
    <w:rsid w:val="00D35969"/>
    <w:rsid w:val="00D360D0"/>
    <w:rsid w:val="00D40AEB"/>
    <w:rsid w:val="00D5325E"/>
    <w:rsid w:val="00D62503"/>
    <w:rsid w:val="00D631DC"/>
    <w:rsid w:val="00D71A68"/>
    <w:rsid w:val="00D71FE4"/>
    <w:rsid w:val="00D73020"/>
    <w:rsid w:val="00D74A9C"/>
    <w:rsid w:val="00D77494"/>
    <w:rsid w:val="00D8046F"/>
    <w:rsid w:val="00D94687"/>
    <w:rsid w:val="00DA5ED2"/>
    <w:rsid w:val="00DB1ADD"/>
    <w:rsid w:val="00DB26FD"/>
    <w:rsid w:val="00DB3944"/>
    <w:rsid w:val="00DB4CCA"/>
    <w:rsid w:val="00DC0B7D"/>
    <w:rsid w:val="00DC708B"/>
    <w:rsid w:val="00DD4A35"/>
    <w:rsid w:val="00DE514A"/>
    <w:rsid w:val="00DF06A6"/>
    <w:rsid w:val="00E002D3"/>
    <w:rsid w:val="00E03922"/>
    <w:rsid w:val="00E055E9"/>
    <w:rsid w:val="00E13A6D"/>
    <w:rsid w:val="00E234B0"/>
    <w:rsid w:val="00E30323"/>
    <w:rsid w:val="00E32DFE"/>
    <w:rsid w:val="00E362C4"/>
    <w:rsid w:val="00E37AEA"/>
    <w:rsid w:val="00E4071C"/>
    <w:rsid w:val="00E476A0"/>
    <w:rsid w:val="00E505C8"/>
    <w:rsid w:val="00E6505A"/>
    <w:rsid w:val="00E6758C"/>
    <w:rsid w:val="00E83DD8"/>
    <w:rsid w:val="00E859C4"/>
    <w:rsid w:val="00E91391"/>
    <w:rsid w:val="00E95F79"/>
    <w:rsid w:val="00E96A6A"/>
    <w:rsid w:val="00EC1F23"/>
    <w:rsid w:val="00EC2D7A"/>
    <w:rsid w:val="00ED1A7D"/>
    <w:rsid w:val="00ED3723"/>
    <w:rsid w:val="00ED5BD6"/>
    <w:rsid w:val="00ED67AE"/>
    <w:rsid w:val="00EE289B"/>
    <w:rsid w:val="00EE4C87"/>
    <w:rsid w:val="00EE583B"/>
    <w:rsid w:val="00EE70C4"/>
    <w:rsid w:val="00EF6F23"/>
    <w:rsid w:val="00F01E75"/>
    <w:rsid w:val="00F05AF7"/>
    <w:rsid w:val="00F1569C"/>
    <w:rsid w:val="00F177F7"/>
    <w:rsid w:val="00F2483D"/>
    <w:rsid w:val="00F3072D"/>
    <w:rsid w:val="00F36076"/>
    <w:rsid w:val="00F366B5"/>
    <w:rsid w:val="00F36B10"/>
    <w:rsid w:val="00F372AE"/>
    <w:rsid w:val="00F41CA5"/>
    <w:rsid w:val="00F45B03"/>
    <w:rsid w:val="00F46D82"/>
    <w:rsid w:val="00F54EE5"/>
    <w:rsid w:val="00F61708"/>
    <w:rsid w:val="00F61F17"/>
    <w:rsid w:val="00F655DD"/>
    <w:rsid w:val="00F7261B"/>
    <w:rsid w:val="00F81989"/>
    <w:rsid w:val="00F82EF8"/>
    <w:rsid w:val="00F85AE3"/>
    <w:rsid w:val="00F969EA"/>
    <w:rsid w:val="00F97030"/>
    <w:rsid w:val="00F972B7"/>
    <w:rsid w:val="00FA2849"/>
    <w:rsid w:val="00FB31AA"/>
    <w:rsid w:val="00FB4303"/>
    <w:rsid w:val="00FC077E"/>
    <w:rsid w:val="00FC1830"/>
    <w:rsid w:val="00FC5F38"/>
    <w:rsid w:val="00FC6947"/>
    <w:rsid w:val="00FE12CD"/>
    <w:rsid w:val="00FE18C5"/>
    <w:rsid w:val="00FF103B"/>
    <w:rsid w:val="0D2C7AB3"/>
    <w:rsid w:val="19085E5E"/>
    <w:rsid w:val="47FD3733"/>
    <w:rsid w:val="4BEA0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2567</Words>
  <Characters>2999</Characters>
  <Lines>31</Lines>
  <Paragraphs>8</Paragraphs>
  <TotalTime>5</TotalTime>
  <ScaleCrop>false</ScaleCrop>
  <LinksUpToDate>false</LinksUpToDate>
  <CharactersWithSpaces>3197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2022-03-23T01:55:00Z</dcterms:created>
  <dc:creator>Administrator</dc:creator>
  <cp:lastModifiedBy>tsq太神奇那</cp:lastModifiedBy>
  <dcterms:modified xsi:type="dcterms:W3CDTF">2025-05-13T14:57:13Z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3DA8CEE2EB034BC7B36D3FBC1252F471</vt:lpwstr>
  </property>
  <property fmtid="{D5CDD505-2E9C-101B-9397-08002B2CF9AE}" pid="4" name="KSOTemplateDocerSaveRecord">
    <vt:lpwstr>eyJoZGlkIjoiMjlkYmVmNzcyZGNmYmM0MTU3MjkzMDFiMDc4YjhlMzMiLCJ1c2VySWQiOiI0MTY1OTcxODgifQ==</vt:lpwstr>
  </property>
</Properties>
</file>