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lang w:val="en-US"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2</w:t>
      </w:r>
      <w:bookmarkStart w:id="0" w:name="_GoBack"/>
      <w:bookmarkEnd w:id="0"/>
    </w:p>
    <w:tbl>
      <w:tblPr>
        <w:tblStyle w:val="7"/>
        <w:tblW w:w="9999" w:type="dxa"/>
        <w:jc w:val="center"/>
        <w:tblLayout w:type="fixed"/>
        <w:tblCellMar>
          <w:top w:w="0" w:type="dxa"/>
          <w:left w:w="108" w:type="dxa"/>
          <w:bottom w:w="0" w:type="dxa"/>
          <w:right w:w="108" w:type="dxa"/>
        </w:tblCellMar>
      </w:tblPr>
      <w:tblGrid>
        <w:gridCol w:w="1363"/>
        <w:gridCol w:w="1020"/>
        <w:gridCol w:w="1110"/>
        <w:gridCol w:w="1125"/>
        <w:gridCol w:w="1110"/>
        <w:gridCol w:w="255"/>
        <w:gridCol w:w="810"/>
        <w:gridCol w:w="210"/>
        <w:gridCol w:w="960"/>
        <w:gridCol w:w="765"/>
        <w:gridCol w:w="300"/>
        <w:gridCol w:w="971"/>
      </w:tblGrid>
      <w:tr>
        <w:tblPrEx>
          <w:tblCellMar>
            <w:top w:w="0" w:type="dxa"/>
            <w:left w:w="108" w:type="dxa"/>
            <w:bottom w:w="0" w:type="dxa"/>
            <w:right w:w="108" w:type="dxa"/>
          </w:tblCellMar>
        </w:tblPrEx>
        <w:trPr>
          <w:trHeight w:val="549" w:hRule="atLeast"/>
          <w:jc w:val="center"/>
        </w:trPr>
        <w:tc>
          <w:tcPr>
            <w:tcW w:w="9999" w:type="dxa"/>
            <w:gridSpan w:val="12"/>
            <w:tcBorders>
              <w:top w:val="nil"/>
              <w:left w:val="nil"/>
              <w:bottom w:val="nil"/>
              <w:right w:val="nil"/>
            </w:tcBorders>
            <w:shd w:val="clear" w:color="auto" w:fill="auto"/>
            <w:noWrap/>
            <w:vAlign w:val="center"/>
          </w:tcPr>
          <w:p>
            <w:pPr>
              <w:ind w:firstLine="2880" w:firstLineChars="800"/>
              <w:rPr>
                <w:rFonts w:ascii="Times New Roman" w:hAnsi="Times New Roman" w:eastAsia="方正小标宋_GBK"/>
                <w:color w:val="000000"/>
                <w:kern w:val="0"/>
                <w:sz w:val="36"/>
                <w:szCs w:val="36"/>
              </w:rPr>
            </w:pPr>
            <w:r>
              <w:rPr>
                <w:rFonts w:hint="eastAsia" w:ascii="方正小标宋简体" w:hAnsi="方正小标宋简体" w:eastAsia="方正小标宋简体" w:cs="方正小标宋简体"/>
                <w:color w:val="000000"/>
                <w:kern w:val="0"/>
                <w:sz w:val="36"/>
                <w:szCs w:val="36"/>
              </w:rPr>
              <w:t>部门整体支出绩效自评表</w:t>
            </w:r>
          </w:p>
        </w:tc>
      </w:tr>
      <w:tr>
        <w:tblPrEx>
          <w:tblCellMar>
            <w:top w:w="0" w:type="dxa"/>
            <w:left w:w="108" w:type="dxa"/>
            <w:bottom w:w="0" w:type="dxa"/>
            <w:right w:w="108" w:type="dxa"/>
          </w:tblCellMar>
        </w:tblPrEx>
        <w:trPr>
          <w:trHeight w:val="270" w:hRule="atLeast"/>
          <w:jc w:val="center"/>
        </w:trPr>
        <w:tc>
          <w:tcPr>
            <w:tcW w:w="9999" w:type="dxa"/>
            <w:gridSpan w:val="12"/>
            <w:tcBorders>
              <w:top w:val="nil"/>
              <w:left w:val="nil"/>
              <w:bottom w:val="single" w:color="auto" w:sz="4" w:space="0"/>
              <w:right w:val="nil"/>
            </w:tcBorders>
            <w:shd w:val="clear" w:color="auto" w:fill="auto"/>
            <w:noWrap/>
            <w:vAlign w:val="center"/>
          </w:tcPr>
          <w:p>
            <w:pPr>
              <w:widowControl/>
              <w:rPr>
                <w:rFonts w:ascii="Times New Roman" w:hAnsi="Times New Roman"/>
                <w:color w:val="000000"/>
                <w:kern w:val="0"/>
                <w:sz w:val="22"/>
              </w:rPr>
            </w:pPr>
            <w:r>
              <w:rPr>
                <w:rFonts w:ascii="Times New Roman" w:hAnsi="Times New Roman"/>
                <w:color w:val="000000"/>
                <w:kern w:val="0"/>
                <w:sz w:val="22"/>
              </w:rPr>
              <w:t>填报单位： （盖章）</w:t>
            </w:r>
            <w:r>
              <w:rPr>
                <w:rFonts w:hint="eastAsia" w:ascii="Times New Roman" w:hAnsi="Times New Roman"/>
                <w:color w:val="000000"/>
                <w:kern w:val="0"/>
                <w:sz w:val="22"/>
              </w:rPr>
              <w:t xml:space="preserve">                 （2021年度）</w:t>
            </w:r>
          </w:p>
        </w:tc>
      </w:tr>
      <w:tr>
        <w:tblPrEx>
          <w:tblCellMar>
            <w:top w:w="0" w:type="dxa"/>
            <w:left w:w="108" w:type="dxa"/>
            <w:bottom w:w="0" w:type="dxa"/>
            <w:right w:w="108" w:type="dxa"/>
          </w:tblCellMar>
        </w:tblPrEx>
        <w:trPr>
          <w:trHeight w:val="480"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部门名称</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衡阳市自然资源和规划局</w:t>
            </w:r>
            <w:r>
              <w:rPr>
                <w:rFonts w:ascii="Times New Roman" w:hAnsi="Times New Roman" w:eastAsia="仿宋_GB2312"/>
                <w:color w:val="000000"/>
                <w:kern w:val="0"/>
                <w:szCs w:val="21"/>
              </w:rPr>
              <w:t>　</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执行数</w:t>
            </w:r>
          </w:p>
        </w:tc>
        <w:tc>
          <w:tcPr>
            <w:tcW w:w="960" w:type="dxa"/>
            <w:tcBorders>
              <w:top w:val="single" w:color="auto" w:sz="4" w:space="0"/>
              <w:left w:val="nil"/>
              <w:bottom w:val="single" w:color="auto" w:sz="4" w:space="0"/>
              <w:right w:val="single" w:color="000000" w:sz="4" w:space="0"/>
            </w:tcBorders>
            <w:shd w:val="clear" w:color="auto" w:fill="auto"/>
            <w:noWrap/>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资金执行率</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分值</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得分</w:t>
            </w:r>
          </w:p>
        </w:tc>
      </w:tr>
      <w:tr>
        <w:tblPrEx>
          <w:tblCellMar>
            <w:top w:w="0" w:type="dxa"/>
            <w:left w:w="108" w:type="dxa"/>
            <w:bottom w:w="0" w:type="dxa"/>
            <w:right w:w="108" w:type="dxa"/>
          </w:tblCellMar>
        </w:tblPrEx>
        <w:trPr>
          <w:trHeight w:val="395" w:hRule="atLeast"/>
          <w:jc w:val="center"/>
        </w:trPr>
        <w:tc>
          <w:tcPr>
            <w:tcW w:w="1363" w:type="dxa"/>
            <w:vMerge w:val="restart"/>
            <w:tcBorders>
              <w:top w:val="nil"/>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年度预算</w:t>
            </w:r>
          </w:p>
          <w:p>
            <w:pPr>
              <w:widowControl/>
              <w:spacing w:line="26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申请（万元）</w:t>
            </w: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资金总额：</w:t>
            </w:r>
            <w:r>
              <w:rPr>
                <w:rFonts w:hint="eastAsia" w:ascii="Times New Roman" w:hAnsi="Times New Roman" w:eastAsia="仿宋_GB2312"/>
                <w:color w:val="000000"/>
                <w:kern w:val="0"/>
                <w:szCs w:val="21"/>
              </w:rPr>
              <w:t>28449.15万元</w:t>
            </w:r>
          </w:p>
        </w:tc>
        <w:tc>
          <w:tcPr>
            <w:tcW w:w="102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18049.69万元</w:t>
            </w:r>
          </w:p>
        </w:tc>
        <w:tc>
          <w:tcPr>
            <w:tcW w:w="960" w:type="dxa"/>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63.45%</w:t>
            </w:r>
          </w:p>
        </w:tc>
        <w:tc>
          <w:tcPr>
            <w:tcW w:w="1065"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ind w:firstLine="420" w:firstLineChars="2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10</w:t>
            </w:r>
          </w:p>
        </w:tc>
        <w:tc>
          <w:tcPr>
            <w:tcW w:w="971" w:type="dxa"/>
            <w:tcBorders>
              <w:top w:val="single" w:color="auto" w:sz="4" w:space="0"/>
              <w:left w:val="nil"/>
              <w:bottom w:val="single" w:color="auto" w:sz="4" w:space="0"/>
              <w:right w:val="single" w:color="000000" w:sz="4" w:space="0"/>
            </w:tcBorders>
            <w:shd w:val="clear" w:color="auto" w:fill="auto"/>
            <w:noWrap/>
            <w:vAlign w:val="center"/>
          </w:tcPr>
          <w:p>
            <w:pPr>
              <w:widowControl/>
              <w:ind w:firstLine="210" w:firstLineChars="1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w:t>
            </w:r>
          </w:p>
        </w:tc>
      </w:tr>
      <w:tr>
        <w:tblPrEx>
          <w:tblCellMar>
            <w:top w:w="0" w:type="dxa"/>
            <w:left w:w="108" w:type="dxa"/>
            <w:bottom w:w="0" w:type="dxa"/>
            <w:right w:w="108" w:type="dxa"/>
          </w:tblCellMar>
        </w:tblPrEx>
        <w:trPr>
          <w:trHeight w:val="370"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按收入性质分：</w:t>
            </w:r>
            <w:r>
              <w:rPr>
                <w:rFonts w:hint="eastAsia" w:ascii="Times New Roman" w:hAnsi="Times New Roman" w:eastAsia="仿宋_GB2312"/>
                <w:color w:val="000000"/>
                <w:kern w:val="0"/>
                <w:szCs w:val="21"/>
              </w:rPr>
              <w:t xml:space="preserve">                         </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按支出性质分：</w:t>
            </w:r>
          </w:p>
        </w:tc>
      </w:tr>
      <w:tr>
        <w:tblPrEx>
          <w:tblCellMar>
            <w:top w:w="0" w:type="dxa"/>
            <w:left w:w="108" w:type="dxa"/>
            <w:bottom w:w="0" w:type="dxa"/>
            <w:right w:w="108" w:type="dxa"/>
          </w:tblCellMar>
        </w:tblPrEx>
        <w:trPr>
          <w:trHeight w:val="35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其中： 一般公共预算收入：</w:t>
            </w:r>
            <w:r>
              <w:rPr>
                <w:rFonts w:hint="eastAsia" w:ascii="Times New Roman" w:hAnsi="Times New Roman" w:eastAsia="仿宋_GB2312"/>
                <w:color w:val="000000"/>
                <w:kern w:val="0"/>
                <w:szCs w:val="21"/>
              </w:rPr>
              <w:t>16478.29万元</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其中：基本支出：9538.04万元</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ascii="Times New Roman" w:hAnsi="Times New Roman" w:eastAsia="仿宋_GB2312"/>
                <w:color w:val="000000"/>
                <w:kern w:val="0"/>
                <w:szCs w:val="21"/>
              </w:rPr>
              <w:t>政府性基金拨款：</w:t>
            </w:r>
            <w:r>
              <w:rPr>
                <w:rFonts w:hint="eastAsia" w:ascii="Times New Roman" w:hAnsi="Times New Roman" w:eastAsia="仿宋_GB2312"/>
                <w:color w:val="000000"/>
                <w:kern w:val="0"/>
                <w:szCs w:val="21"/>
              </w:rPr>
              <w:t>9396.34万元</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840" w:firstLineChars="400"/>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项目支出：18911.11万元</w:t>
            </w:r>
          </w:p>
        </w:tc>
      </w:tr>
      <w:tr>
        <w:tblPrEx>
          <w:tblCellMar>
            <w:top w:w="0" w:type="dxa"/>
            <w:left w:w="108" w:type="dxa"/>
            <w:bottom w:w="0" w:type="dxa"/>
            <w:right w:w="108" w:type="dxa"/>
          </w:tblCellMar>
        </w:tblPrEx>
        <w:trPr>
          <w:trHeight w:val="385" w:hRule="atLeast"/>
          <w:jc w:val="center"/>
        </w:trPr>
        <w:tc>
          <w:tcPr>
            <w:tcW w:w="1363" w:type="dxa"/>
            <w:vMerge w:val="continue"/>
            <w:tcBorders>
              <w:left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纳入专户管理的非税收入拨款：</w:t>
            </w:r>
            <w:r>
              <w:rPr>
                <w:rFonts w:hint="eastAsia" w:ascii="Times New Roman" w:hAnsi="Times New Roman" w:eastAsia="仿宋_GB2312"/>
                <w:color w:val="000000"/>
                <w:kern w:val="0"/>
                <w:szCs w:val="21"/>
              </w:rPr>
              <w:t>452.92万元</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75" w:hRule="atLeast"/>
          <w:jc w:val="center"/>
        </w:trPr>
        <w:tc>
          <w:tcPr>
            <w:tcW w:w="1363"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60" w:lineRule="exact"/>
              <w:jc w:val="center"/>
              <w:rPr>
                <w:rFonts w:ascii="Times New Roman" w:hAnsi="Times New Roman" w:eastAsia="仿宋_GB2312"/>
                <w:color w:val="000000"/>
                <w:kern w:val="0"/>
                <w:szCs w:val="21"/>
              </w:rPr>
            </w:pPr>
          </w:p>
        </w:tc>
        <w:tc>
          <w:tcPr>
            <w:tcW w:w="462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其他资金：</w:t>
            </w:r>
            <w:r>
              <w:rPr>
                <w:rFonts w:hint="eastAsia" w:ascii="Times New Roman" w:hAnsi="Times New Roman" w:eastAsia="仿宋_GB2312"/>
                <w:color w:val="000000"/>
                <w:kern w:val="0"/>
                <w:szCs w:val="21"/>
              </w:rPr>
              <w:t>2121.6万元</w:t>
            </w:r>
          </w:p>
        </w:tc>
        <w:tc>
          <w:tcPr>
            <w:tcW w:w="4016" w:type="dxa"/>
            <w:gridSpan w:val="6"/>
            <w:tcBorders>
              <w:top w:val="single" w:color="auto" w:sz="4" w:space="0"/>
              <w:left w:val="nil"/>
              <w:bottom w:val="single" w:color="auto" w:sz="4" w:space="0"/>
              <w:right w:val="single" w:color="000000" w:sz="4" w:space="0"/>
            </w:tcBorders>
            <w:shd w:val="clear" w:color="auto" w:fill="auto"/>
            <w:noWrap/>
            <w:vAlign w:val="center"/>
          </w:tcPr>
          <w:p>
            <w:pPr>
              <w:widowControl/>
              <w:ind w:firstLine="1680" w:firstLineChars="800"/>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部门职能职责概述</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1、依法履行全民所有土地、矿产、森林、草原、湿地、水等自然资源资产所有者职责和国土空间用途管制、城乡规划管理职责。宣传、贯彻、执行自然资源和国土空间规划及测绘等法律法规,拟订相关政策并监督检查执行情况。2、负责自然资源调查监测评价。 3、负责自然资源统一确权登记工作。4、负责自然资源和资产有偿使用工作。5、负责自然资源的合理开发利用。6、负责建立空间规划体系并监督实施。7、负责统筹国土空间生态修复。8、负责组织实施最严格的耕地保护制度。9、负责管理地质勘查行业和全市地质工作。10、负责地质灾害预防和治理。11、负责矿产资源管理工作。12、负贵测绘地理信息管理工作。13、负责推进自然资源领域科技发展。14、根据市委、市政府授权,对县市区政府及相关部门落实市委、市政府关于自然资源、国土空间规划和城乡规划的决策部署及法律法规执行情况进行督察。15、负责执行国家历史文化名城保护相关法律法规,承担全市历史文化名城保护相关工作。16、统一领导和管理市林业局。17、负责本行业、领域的应急管理工作,对本行业、领域的安全生产工作实施监督管理。18、完成市委、市政府交办的其他任务。19、职能转变。市自然资源和规划局要落实中央关于统一行使全民所有自然资源资产所有者职责,统一行使所有国土空间用途管制和生态保护修复职责的要求,强化顶层设计,发挥国土空间规划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精简下放有关行政审批事项、强化监管力度,充分发挥市场对资源配置的决定性作用,更好发挥各级政府作用,强化自然资源管理规则、标准、制度的约東性作用,推进自然资源确权登记和评估的便民高效。</w:t>
            </w:r>
          </w:p>
        </w:tc>
      </w:tr>
      <w:tr>
        <w:tblPrEx>
          <w:tblCellMar>
            <w:top w:w="0" w:type="dxa"/>
            <w:left w:w="108" w:type="dxa"/>
            <w:bottom w:w="0" w:type="dxa"/>
            <w:right w:w="108" w:type="dxa"/>
          </w:tblCellMar>
        </w:tblPrEx>
        <w:trPr>
          <w:trHeight w:val="609" w:hRule="atLeast"/>
          <w:jc w:val="center"/>
        </w:trPr>
        <w:tc>
          <w:tcPr>
            <w:tcW w:w="1363"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整体绩效</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目标</w:t>
            </w:r>
          </w:p>
        </w:tc>
        <w:tc>
          <w:tcPr>
            <w:tcW w:w="8636" w:type="dxa"/>
            <w:gridSpan w:val="11"/>
            <w:tcBorders>
              <w:top w:val="single" w:color="auto" w:sz="4" w:space="0"/>
              <w:left w:val="nil"/>
              <w:bottom w:val="single" w:color="auto" w:sz="4" w:space="0"/>
              <w:right w:val="single" w:color="auto" w:sz="4" w:space="0"/>
            </w:tcBorders>
            <w:shd w:val="clear" w:color="auto" w:fill="auto"/>
            <w:noWrap/>
            <w:vAlign w:val="center"/>
          </w:tcPr>
          <w:p>
            <w:pPr>
              <w:widowControl/>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目标1：落实最严格的耕地保护制度，坚决遏制耕地“非农化”、防止“非粮化”。</w:t>
            </w:r>
          </w:p>
          <w:p>
            <w:pPr>
              <w:widowControl/>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目标2：稳妥推进农村宅基地制度改革，基本完成农村宅基地房地一体确权登记颁证工作。</w:t>
            </w:r>
          </w:p>
          <w:p>
            <w:pPr>
              <w:widowControl/>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目标3：加快华侨城来雁新城、苏州湾、虎形山、酃湖等片区及滨江新区开发。</w:t>
            </w:r>
          </w:p>
          <w:p>
            <w:pPr>
              <w:widowControl/>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目标4：科学划定生态保护红线、永久基本农田、城镇开发边界等空间管控边界，完成衡阳市国土空间总体规划和“多规合一”的村庄规划编制。</w:t>
            </w:r>
          </w:p>
          <w:p>
            <w:pPr>
              <w:widowControl/>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目标5：加强“多规合一”信息平台建设，形成全市国土空间开发保护“一张图”。</w:t>
            </w:r>
          </w:p>
          <w:p>
            <w:pPr>
              <w:widowControl/>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目标6：深入推进采石采砂等重点行业专项整治，逐步解决行业性生态环境问题。</w:t>
            </w:r>
          </w:p>
          <w:p>
            <w:pPr>
              <w:widowControl/>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目标7：开展山水林田湖草系统治理，推进生态敏感区、脆弱区和石漠化区、矿区、重金属污染区生态修复。</w:t>
            </w:r>
          </w:p>
          <w:p>
            <w:pPr>
              <w:widowControl/>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目标8：继续妥善解决房地产办证历史遗留问题。</w:t>
            </w:r>
          </w:p>
          <w:p>
            <w:pPr>
              <w:widowControl/>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目标9：支持衡阳建设现代产业强市，依托京广、沪昆、渝长厦通道，建设各具特色和优势的经济带。</w:t>
            </w:r>
          </w:p>
          <w:p>
            <w:pPr>
              <w:widowControl/>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目标10：增强湘南湘西承接产业转移示范区产业链配套能力。</w:t>
            </w:r>
          </w:p>
          <w:p>
            <w:pPr>
              <w:widowControl/>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目标11：加快推进“两库两预警两提升”工程，强化地质灾害防治。</w:t>
            </w:r>
          </w:p>
        </w:tc>
      </w:tr>
      <w:tr>
        <w:tblPrEx>
          <w:tblCellMar>
            <w:top w:w="0" w:type="dxa"/>
            <w:left w:w="108" w:type="dxa"/>
            <w:bottom w:w="0" w:type="dxa"/>
            <w:right w:w="108" w:type="dxa"/>
          </w:tblCellMar>
        </w:tblPrEx>
        <w:trPr>
          <w:trHeight w:val="763" w:hRule="atLeast"/>
          <w:jc w:val="center"/>
        </w:trPr>
        <w:tc>
          <w:tcPr>
            <w:tcW w:w="1363"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部门整体支出年度绩效指标</w:t>
            </w:r>
          </w:p>
        </w:tc>
        <w:tc>
          <w:tcPr>
            <w:tcW w:w="102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一级指标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二级指标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三级指标</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年度</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指标值</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实际</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完成值</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分值</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得分</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偏差原因</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分析及</w:t>
            </w:r>
          </w:p>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改进措施</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产出</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50</w:t>
            </w:r>
            <w:r>
              <w:rPr>
                <w:rFonts w:ascii="Times New Roman" w:hAnsi="Times New Roman" w:eastAsia="仿宋_GB2312"/>
                <w:color w:val="000000"/>
                <w:kern w:val="0"/>
                <w:szCs w:val="21"/>
              </w:rPr>
              <w:t>分)</w:t>
            </w:r>
          </w:p>
          <w:p>
            <w:pPr>
              <w:widowControl/>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w:t>
            </w:r>
          </w:p>
          <w:p>
            <w:pPr>
              <w:jc w:val="left"/>
              <w:rPr>
                <w:rFonts w:ascii="Times New Roman" w:hAnsi="Times New Roman" w:eastAsia="仿宋_GB2312"/>
                <w:color w:val="000000"/>
                <w:kern w:val="0"/>
                <w:szCs w:val="21"/>
              </w:rPr>
            </w:pPr>
          </w:p>
          <w:p>
            <w:pPr>
              <w:jc w:val="left"/>
              <w:rPr>
                <w:rFonts w:ascii="Times New Roman" w:hAnsi="Times New Roman" w:eastAsia="仿宋_GB2312"/>
                <w:color w:val="000000"/>
                <w:kern w:val="0"/>
                <w:szCs w:val="21"/>
              </w:rPr>
            </w:pPr>
          </w:p>
        </w:tc>
        <w:tc>
          <w:tcPr>
            <w:tcW w:w="111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数量指标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FF0000"/>
                <w:kern w:val="0"/>
                <w:szCs w:val="21"/>
              </w:rPr>
            </w:pPr>
            <w:r>
              <w:rPr>
                <w:rFonts w:hint="eastAsia" w:ascii="Times New Roman" w:hAnsi="Times New Roman" w:eastAsia="仿宋_GB2312"/>
                <w:color w:val="000000" w:themeColor="text1"/>
                <w:kern w:val="0"/>
                <w:szCs w:val="21"/>
              </w:rPr>
              <w:t>对我市耕地保护进行检查，落实最严格的耕地保护制度</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FF0000"/>
                <w:kern w:val="0"/>
                <w:szCs w:val="21"/>
              </w:rPr>
            </w:pPr>
            <w:r>
              <w:rPr>
                <w:rFonts w:hint="eastAsia" w:ascii="Times New Roman" w:hAnsi="Times New Roman" w:eastAsia="仿宋_GB2312"/>
                <w:color w:val="000000" w:themeColor="text1"/>
                <w:kern w:val="0"/>
                <w:szCs w:val="21"/>
              </w:rPr>
              <w:t>是否完成年度日常业务工作及项目合同工作内容</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出台了《关于切实保护耕地坚决制止耕地“非农化”》实施办法等一系列措施；向各县市下达了两批次2021年补充耕地开发计划共计17454亩；审核上报建设占用耕地项目20宗3004亩，全部落实占补平衡；完成26个补充耕地开发和土地整治项目验收。</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r>
              <w:rPr>
                <w:rFonts w:ascii="Times New Roman" w:hAnsi="Times New Roman" w:eastAsia="仿宋_GB2312"/>
                <w:color w:val="000000"/>
                <w:kern w:val="0"/>
                <w:szCs w:val="21"/>
              </w:rPr>
              <w:t>　</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加大批而未供和闲置土地处置力度</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建立批而未供、供而未建、已建在建、撤批土地、闲置土地5个数据库，实施挂图作战，“一地一策”逐宗处置</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创新建立批而未供、供而未建、已建在建、撤批土地、闲置土地5个数据库，实行挂图作战，每月对月清“三地”任务清单，逐宗研究，逐一处置</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加快建设地质灾害防治综合信息平台</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新布设 地质灾害隐患点普适型监测预警设备，推动全市综合性和普适型监测预警设备并网运行</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完成80处地质灾害隐患点普适型监测预警设备</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质量指标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开展存量违法用地清查</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“三年清零”专项行动</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省厅下发8批“月清三地”74个违法用地整治任务，面积309.94亩。已立案查处73宗，1宗正在举证中，24宗已结案，10宗已整改到位。</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划定生态保护红线、永久基本农田、城镇开发边界等空间管控边界</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科学划定空间管控边界</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生态保护红线已报部待审，城镇开发边界模拟划定线和耕地保护红线成果已上报省厅</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r>
              <w:t>时效指标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完成农村房地一体确权登记</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调查率100%，登记率100%</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完成农村宅基地和集体建设用地确权登记调查总量152.4万宗，调查率100%；应登记发证数119万宗，已登记发证宗数119万宗，登记率100%</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ind w:firstLine="420" w:firstLineChars="2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逐步推进“交房交证”，将不动产权证书发放到权利人手中</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完成“交房即交证”，有效解决住权和产权脱节的矛盾</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市本级15个项目、各县市区11个项目已完成“交房即交证”，市本级首次登记19973户，转移登记9051户</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成本指标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完成衡阳市“多规合一”协同审批系统优化，降低系统运算及响应时间</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160万元</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完成历史规划数据规整入库，构建“一张蓝图”，推进“多规合一”协同审批系统、规划设计方案审查系统正式运行</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完成衡阳市国土空间总体规划和“多规合一”的村庄规划编制</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920万元</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完成《衡阳市国土空间总体规划（2019-2035）》初步成果，基本完成“1+1+4+9”规划成果体系；各县市区村庄规划编制准备工作、基础调查、编制初步方案和完场率均达到100%，全市计划编制583个村庄规划，实际编制了592个</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10</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10</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restart"/>
            <w:tcBorders>
              <w:top w:val="single" w:color="auto" w:sz="4" w:space="0"/>
              <w:left w:val="nil"/>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效益</w:t>
            </w:r>
          </w:p>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指标</w:t>
            </w:r>
          </w:p>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w:t>
            </w:r>
            <w:r>
              <w:rPr>
                <w:rFonts w:hint="eastAsia" w:ascii="Times New Roman" w:hAnsi="Times New Roman" w:eastAsia="仿宋_GB2312"/>
                <w:color w:val="000000"/>
                <w:kern w:val="0"/>
                <w:szCs w:val="21"/>
              </w:rPr>
              <w:t>40</w:t>
            </w:r>
            <w:r>
              <w:rPr>
                <w:rFonts w:ascii="Times New Roman" w:hAnsi="Times New Roman" w:eastAsia="仿宋_GB2312"/>
                <w:color w:val="000000"/>
                <w:kern w:val="0"/>
                <w:szCs w:val="21"/>
              </w:rPr>
              <w:t>分）</w:t>
            </w:r>
          </w:p>
          <w:p>
            <w:pPr>
              <w:jc w:val="left"/>
              <w:rPr>
                <w:rFonts w:ascii="Times New Roman" w:hAnsi="Times New Roman" w:eastAsia="仿宋_GB2312"/>
                <w:color w:val="000000"/>
                <w:kern w:val="0"/>
                <w:szCs w:val="21"/>
              </w:rPr>
            </w:pPr>
          </w:p>
        </w:tc>
        <w:tc>
          <w:tcPr>
            <w:tcW w:w="1110" w:type="dxa"/>
            <w:vMerge w:val="restart"/>
            <w:tcBorders>
              <w:top w:val="single" w:color="auto" w:sz="4" w:space="0"/>
              <w:left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经济效益指标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积极推进园区周转用地报批</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将周转用地与 “标准地供应”有机结合，变“项目等地”为“地等项目”</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共批回园区周转用地122.3277公顷</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加快完成华华侨城来雁新城、苏州湾、虎形山、酃湖等片区及滨江新区开发</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促进衡阳市经济和社会发展</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一走廊九片区”片区开发工作已全面启动。虎形山、长湖、苏州湾、丰家洲、眼镜小镇片区均已完成概念规划方案的编制和报审工作，其余片区均在开展前期准备及概念方案编制等工作。虎形山片区已实施征拆1164亩，拨付征拆资金约4.775亿元，长湖片区区政府已交付土地200亩</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6</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6</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社会效益指标</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增强湘南湘西承接产业转移示范区产业链配套能力</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全力支持产业链项目建设，做好规划选址、用地报批和供应等服务保障</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市本级共批回土地651.9516公顷，其中产业项目用地181.7669公顷，占比27.88%</w:t>
            </w:r>
          </w:p>
        </w:tc>
        <w:tc>
          <w:tcPr>
            <w:tcW w:w="117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5</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5</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rPr>
                <w:rFonts w:ascii="Times New Roman" w:hAnsi="Times New Roman" w:eastAsia="仿宋_GB2312"/>
                <w:color w:val="000000"/>
                <w:kern w:val="0"/>
                <w:szCs w:val="21"/>
              </w:rPr>
            </w:pPr>
          </w:p>
        </w:tc>
        <w:tc>
          <w:tcPr>
            <w:tcW w:w="111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生态效益指标</w:t>
            </w: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深入推进采石采砂等重点行业专项整治</w:t>
            </w: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逐步解决行业性生态环境问题</w:t>
            </w:r>
            <w:r>
              <w:rPr>
                <w:rFonts w:ascii="Times New Roman" w:hAnsi="Times New Roman" w:eastAsia="仿宋_GB2312"/>
                <w:color w:val="000000"/>
                <w:kern w:val="0"/>
                <w:szCs w:val="21"/>
              </w:rPr>
              <w:t>　</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大力开展打非治违“霹雳”行动，共立案查处非法开采矿产资源案件78宗，没收违法所得1044万元，罚款178万元，移送公安13宗，查处重大案件11宗；落实安全生产专项整治“三年行动”，整改率100%，组织开展“夏季攻势”行动，关停了148家矿山企业，对147家进行全天候监管</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6</w:t>
            </w:r>
          </w:p>
        </w:tc>
        <w:tc>
          <w:tcPr>
            <w:tcW w:w="76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6</w:t>
            </w:r>
          </w:p>
        </w:tc>
        <w:tc>
          <w:tcPr>
            <w:tcW w:w="1271"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vMerge w:val="continue"/>
            <w:tcBorders>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开展山水林田湖草系统治理</w:t>
            </w:r>
          </w:p>
        </w:tc>
        <w:tc>
          <w:tcPr>
            <w:tcW w:w="111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推进生态敏感区、脆弱区和石漠化区、矿区、重金属污染区生态修复</w:t>
            </w:r>
            <w:r>
              <w:rPr>
                <w:rFonts w:ascii="Times New Roman" w:hAnsi="Times New Roman" w:eastAsia="仿宋_GB2312"/>
                <w:color w:val="000000"/>
                <w:kern w:val="0"/>
                <w:szCs w:val="21"/>
              </w:rPr>
              <w:t>　</w:t>
            </w:r>
          </w:p>
        </w:tc>
        <w:tc>
          <w:tcPr>
            <w:tcW w:w="1065"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共修复湘江两岸10公里范围的废弃矿山点126个，图斑215个，修复面积336.85公顷，所有项目均已通过省级竣工验收；常宁水口山铅锌煤矿区实现修复耕地6700余亩，新增或修复林地3000余亩，塌陷区农田修复率超过70%</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6</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6</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 xml:space="preserve">          </w:t>
            </w:r>
            <w:r>
              <w:rPr>
                <w:rFonts w:ascii="Times New Roman" w:hAnsi="Times New Roman" w:eastAsia="仿宋_GB2312"/>
                <w:color w:val="000000"/>
                <w:kern w:val="0"/>
                <w:szCs w:val="21"/>
              </w:rPr>
              <w:t>可持续影响指标</w:t>
            </w:r>
          </w:p>
          <w:p>
            <w:pPr>
              <w:widowControl/>
              <w:spacing w:line="240" w:lineRule="exact"/>
              <w:jc w:val="center"/>
              <w:rPr>
                <w:rFonts w:ascii="Times New Roman" w:hAnsi="Times New Roman" w:eastAsia="仿宋_GB2312"/>
                <w:color w:val="000000"/>
                <w:kern w:val="0"/>
                <w:szCs w:val="21"/>
              </w:rPr>
            </w:pPr>
          </w:p>
        </w:tc>
        <w:tc>
          <w:tcPr>
            <w:tcW w:w="112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全面落实群测群防措施，积极开展防灾宣传和科普活动</w:t>
            </w:r>
          </w:p>
        </w:tc>
        <w:tc>
          <w:tcPr>
            <w:tcW w:w="11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进一步提升基层地质灾害气象预警预报能力和群众地质灾害自我防范能力</w:t>
            </w:r>
          </w:p>
        </w:tc>
        <w:tc>
          <w:tcPr>
            <w:tcW w:w="1065"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持续加强地质灾害防治，累计派出工作组1287次，派出应急工作人员3853人次，排查乡镇1606次，排查巡查隐患点4523次，处置 隐患点575次，紧急转移群众1011次，成功避让4起，无一人伤亡</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6</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6</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1363" w:type="dxa"/>
            <w:vMerge w:val="continue"/>
            <w:tcBorders>
              <w:left w:val="single" w:color="auto" w:sz="4" w:space="0"/>
              <w:right w:val="single" w:color="auto" w:sz="4" w:space="0"/>
            </w:tcBorders>
            <w:shd w:val="clear" w:color="auto" w:fill="auto"/>
            <w:noWrap/>
            <w:vAlign w:val="center"/>
          </w:tcPr>
          <w:p>
            <w:pPr>
              <w:jc w:val="center"/>
              <w:rPr>
                <w:rFonts w:ascii="Times New Roman" w:hAnsi="Times New Roman" w:eastAsia="仿宋_GB2312"/>
                <w:color w:val="000000"/>
                <w:kern w:val="0"/>
                <w:szCs w:val="21"/>
              </w:rPr>
            </w:pPr>
          </w:p>
        </w:tc>
        <w:tc>
          <w:tcPr>
            <w:tcW w:w="1020" w:type="dxa"/>
            <w:vMerge w:val="continue"/>
            <w:tcBorders>
              <w:top w:val="single" w:color="auto" w:sz="4" w:space="0"/>
              <w:left w:val="nil"/>
              <w:bottom w:val="single" w:color="auto" w:sz="4" w:space="0"/>
              <w:right w:val="single" w:color="auto" w:sz="4" w:space="0"/>
            </w:tcBorders>
            <w:shd w:val="clear" w:color="auto" w:fill="auto"/>
            <w:noWrap/>
            <w:vAlign w:val="center"/>
          </w:tcPr>
          <w:p>
            <w:pPr>
              <w:jc w:val="left"/>
              <w:rPr>
                <w:rFonts w:ascii="Times New Roman" w:hAnsi="Times New Roman" w:eastAsia="仿宋_GB2312"/>
                <w:color w:val="000000"/>
                <w:kern w:val="0"/>
                <w:szCs w:val="21"/>
              </w:rPr>
            </w:pPr>
          </w:p>
        </w:tc>
        <w:tc>
          <w:tcPr>
            <w:tcW w:w="1110" w:type="dxa"/>
            <w:tcBorders>
              <w:top w:val="single" w:color="auto" w:sz="4" w:space="0"/>
              <w:left w:val="single" w:color="auto" w:sz="4" w:space="0"/>
              <w:right w:val="single" w:color="auto" w:sz="4" w:space="0"/>
            </w:tcBorders>
            <w:shd w:val="clear" w:color="auto" w:fill="auto"/>
            <w:noWrap/>
            <w:vAlign w:val="center"/>
          </w:tcPr>
          <w:p>
            <w:pPr>
              <w:widowControl/>
              <w:spacing w:line="240" w:lineRule="exact"/>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社会公众或服务对象满意度</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继续妥善解决房地产办证历史遗留问题</w:t>
            </w:r>
          </w:p>
        </w:tc>
        <w:tc>
          <w:tcPr>
            <w:tcW w:w="111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2021年底房地产办证历史遗留问题化解率达到80%省厅下达目标</w:t>
            </w:r>
          </w:p>
        </w:tc>
        <w:tc>
          <w:tcPr>
            <w:tcW w:w="1065"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建立遗留问题集中化解“1+2+</w:t>
            </w: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N</w:t>
            </w:r>
          </w:p>
          <w:p>
            <w:pPr>
              <w:widowControl/>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”模式，按照“两分离，三集中”的原则，发动群策群力，共化解遗留问题项目265个，解决老百姓办证难问题63200户，化解率90%</w:t>
            </w:r>
          </w:p>
        </w:tc>
        <w:tc>
          <w:tcPr>
            <w:tcW w:w="117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 xml:space="preserve"> 6</w:t>
            </w:r>
          </w:p>
        </w:tc>
        <w:tc>
          <w:tcPr>
            <w:tcW w:w="765"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r>
              <w:rPr>
                <w:rFonts w:hint="eastAsia" w:ascii="Times New Roman" w:hAnsi="Times New Roman" w:eastAsia="仿宋_GB2312"/>
                <w:color w:val="000000"/>
                <w:kern w:val="0"/>
                <w:szCs w:val="21"/>
              </w:rPr>
              <w:t>6</w:t>
            </w:r>
          </w:p>
        </w:tc>
        <w:tc>
          <w:tcPr>
            <w:tcW w:w="127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r>
      <w:tr>
        <w:tblPrEx>
          <w:tblCellMar>
            <w:top w:w="0" w:type="dxa"/>
            <w:left w:w="108" w:type="dxa"/>
            <w:bottom w:w="0" w:type="dxa"/>
            <w:right w:w="108" w:type="dxa"/>
          </w:tblCellMar>
        </w:tblPrEx>
        <w:trPr>
          <w:trHeight w:val="340" w:hRule="atLeast"/>
          <w:jc w:val="center"/>
        </w:trPr>
        <w:tc>
          <w:tcPr>
            <w:tcW w:w="6793"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总分</w:t>
            </w:r>
          </w:p>
        </w:tc>
        <w:tc>
          <w:tcPr>
            <w:tcW w:w="11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7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ind w:firstLine="210" w:firstLineChars="100"/>
              <w:jc w:val="left"/>
              <w:rPr>
                <w:rFonts w:ascii="Times New Roman" w:hAnsi="Times New Roman" w:eastAsia="仿宋_GB2312"/>
                <w:color w:val="000000"/>
                <w:kern w:val="0"/>
                <w:szCs w:val="21"/>
              </w:rPr>
            </w:pPr>
            <w:r>
              <w:rPr>
                <w:rFonts w:hint="eastAsia" w:ascii="Times New Roman" w:hAnsi="Times New Roman" w:eastAsia="仿宋_GB2312"/>
                <w:color w:val="000000"/>
                <w:kern w:val="0"/>
                <w:szCs w:val="21"/>
              </w:rPr>
              <w:t>99</w:t>
            </w:r>
          </w:p>
        </w:tc>
        <w:tc>
          <w:tcPr>
            <w:tcW w:w="127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仿宋_GB2312"/>
                <w:color w:val="000000"/>
                <w:kern w:val="0"/>
                <w:szCs w:val="21"/>
              </w:rPr>
            </w:pPr>
          </w:p>
        </w:tc>
      </w:tr>
    </w:tbl>
    <w:tbl>
      <w:tblPr>
        <w:tblStyle w:val="8"/>
        <w:tblpPr w:leftFromText="180" w:rightFromText="180" w:vertAnchor="text" w:tblpX="-4304" w:tblpY="25059"/>
        <w:tblOverlap w:val="never"/>
        <w:tblW w:w="26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616" w:type="dxa"/>
          </w:tcPr>
          <w:p>
            <w:pPr>
              <w:spacing w:beforeLines="50"/>
              <w:rPr>
                <w:rFonts w:ascii="Times New Roman" w:hAnsi="Times New Roman" w:eastAsia="仿宋_GB2312"/>
                <w:sz w:val="24"/>
              </w:rPr>
            </w:pPr>
          </w:p>
        </w:tc>
      </w:tr>
    </w:tbl>
    <w:p>
      <w:pPr>
        <w:spacing w:beforeLines="50"/>
        <w:rPr>
          <w:rFonts w:ascii="Times New Roman" w:hAnsi="Times New Roman" w:eastAsia="黑体"/>
          <w:sz w:val="32"/>
          <w:szCs w:val="32"/>
        </w:rPr>
      </w:pPr>
    </w:p>
    <w:sectPr>
      <w:footerReference r:id="rId3" w:type="default"/>
      <w:footerReference r:id="rId4" w:type="even"/>
      <w:pgSz w:w="11906" w:h="16838"/>
      <w:pgMar w:top="1440" w:right="1797" w:bottom="1440" w:left="1797" w:header="851" w:footer="992" w:gutter="0"/>
      <w:pgNumType w:fmt="numberInDash"/>
      <w:cols w:space="425" w:num="1"/>
      <w:titlePg/>
      <w:rtlGutter w:val="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Times New Roman" w:hAnsi="Times New Roman"/>
        <w:sz w:val="28"/>
        <w:szCs w:val="28"/>
      </w:rPr>
    </w:pPr>
    <w:r>
      <w:rPr>
        <w:rStyle w:val="10"/>
        <w:rFonts w:ascii="Times New Roman" w:hAnsi="Times New Roman"/>
        <w:sz w:val="28"/>
        <w:szCs w:val="28"/>
      </w:rPr>
      <w:fldChar w:fldCharType="begin"/>
    </w:r>
    <w:r>
      <w:rPr>
        <w:rStyle w:val="10"/>
        <w:rFonts w:ascii="Times New Roman" w:hAnsi="Times New Roman"/>
        <w:sz w:val="28"/>
        <w:szCs w:val="28"/>
      </w:rPr>
      <w:instrText xml:space="preserve">PAGE  </w:instrText>
    </w:r>
    <w:r>
      <w:rPr>
        <w:rStyle w:val="10"/>
        <w:rFonts w:ascii="Times New Roman" w:hAnsi="Times New Roman"/>
        <w:sz w:val="28"/>
        <w:szCs w:val="28"/>
      </w:rPr>
      <w:fldChar w:fldCharType="separate"/>
    </w:r>
    <w:r>
      <w:rPr>
        <w:rStyle w:val="10"/>
        <w:rFonts w:ascii="Times New Roman" w:hAnsi="Times New Roman"/>
        <w:sz w:val="28"/>
        <w:szCs w:val="28"/>
      </w:rPr>
      <w:t>- 9 -</w:t>
    </w:r>
    <w:r>
      <w:rPr>
        <w:rStyle w:val="10"/>
        <w:rFonts w:ascii="Times New Roman" w:hAnsi="Times New Roman"/>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2"/>
  </w:compat>
  <w:docVars>
    <w:docVar w:name="commondata" w:val="⬔Ԡ卆䵇묜டⓍ㿿剦耀㿿⮤Ԡ卆䵇벸டⓍ㿿剦耀㿿ⰴԠ卆䵇벜டⓍ㿿剦耀㿿剦耀㿿ⳄԠ卆䵇더ட㦪噦䰀㦪ⵔԠ卆䵇頸ஔ㓍%鹦4鶚耀蓮鹦+鶚픅0蓮伳卆䵇렸ட鳜_x000a_噦倀鳜_x000a_"/>
  </w:docVars>
  <w:rsids>
    <w:rsidRoot w:val="00C553EF"/>
    <w:rsid w:val="00012C93"/>
    <w:rsid w:val="0003385C"/>
    <w:rsid w:val="000734E3"/>
    <w:rsid w:val="000773D5"/>
    <w:rsid w:val="00080625"/>
    <w:rsid w:val="00093B9D"/>
    <w:rsid w:val="00094646"/>
    <w:rsid w:val="000A561A"/>
    <w:rsid w:val="000D5E7F"/>
    <w:rsid w:val="000E2B59"/>
    <w:rsid w:val="000F775C"/>
    <w:rsid w:val="00135131"/>
    <w:rsid w:val="00135395"/>
    <w:rsid w:val="00184AF2"/>
    <w:rsid w:val="001A7CAB"/>
    <w:rsid w:val="001B56F4"/>
    <w:rsid w:val="001B69B6"/>
    <w:rsid w:val="001B6D56"/>
    <w:rsid w:val="00220A85"/>
    <w:rsid w:val="002238BB"/>
    <w:rsid w:val="00225BED"/>
    <w:rsid w:val="002320EB"/>
    <w:rsid w:val="002A03D6"/>
    <w:rsid w:val="002D01D7"/>
    <w:rsid w:val="002F05A3"/>
    <w:rsid w:val="003056F3"/>
    <w:rsid w:val="003126FC"/>
    <w:rsid w:val="00323CF3"/>
    <w:rsid w:val="0032533F"/>
    <w:rsid w:val="003A1408"/>
    <w:rsid w:val="003B7F5C"/>
    <w:rsid w:val="003E1FD6"/>
    <w:rsid w:val="003E5841"/>
    <w:rsid w:val="003F1540"/>
    <w:rsid w:val="004148E0"/>
    <w:rsid w:val="004217FE"/>
    <w:rsid w:val="00440BFE"/>
    <w:rsid w:val="00463FD5"/>
    <w:rsid w:val="00474AD0"/>
    <w:rsid w:val="00487AC5"/>
    <w:rsid w:val="00496F05"/>
    <w:rsid w:val="00537950"/>
    <w:rsid w:val="00551D43"/>
    <w:rsid w:val="00566BA9"/>
    <w:rsid w:val="00581EEE"/>
    <w:rsid w:val="005851E9"/>
    <w:rsid w:val="00591495"/>
    <w:rsid w:val="00594AEE"/>
    <w:rsid w:val="005E61BB"/>
    <w:rsid w:val="006264B7"/>
    <w:rsid w:val="006964D9"/>
    <w:rsid w:val="006F37DA"/>
    <w:rsid w:val="007123D7"/>
    <w:rsid w:val="00713B58"/>
    <w:rsid w:val="00751BF0"/>
    <w:rsid w:val="00764972"/>
    <w:rsid w:val="00771B0E"/>
    <w:rsid w:val="007A6F2C"/>
    <w:rsid w:val="007B3731"/>
    <w:rsid w:val="007C3C5A"/>
    <w:rsid w:val="007E2D1B"/>
    <w:rsid w:val="007E3E71"/>
    <w:rsid w:val="008241E1"/>
    <w:rsid w:val="00847A3C"/>
    <w:rsid w:val="00893AEC"/>
    <w:rsid w:val="00940D4A"/>
    <w:rsid w:val="00971DB4"/>
    <w:rsid w:val="0097394E"/>
    <w:rsid w:val="009D0C0A"/>
    <w:rsid w:val="00A0127D"/>
    <w:rsid w:val="00A148B9"/>
    <w:rsid w:val="00A2187E"/>
    <w:rsid w:val="00A3605E"/>
    <w:rsid w:val="00A377C0"/>
    <w:rsid w:val="00A55C61"/>
    <w:rsid w:val="00A801F4"/>
    <w:rsid w:val="00AC12C1"/>
    <w:rsid w:val="00AC5F31"/>
    <w:rsid w:val="00AF15ED"/>
    <w:rsid w:val="00B049DD"/>
    <w:rsid w:val="00B17D23"/>
    <w:rsid w:val="00B62F82"/>
    <w:rsid w:val="00B702EE"/>
    <w:rsid w:val="00B86511"/>
    <w:rsid w:val="00B86BA1"/>
    <w:rsid w:val="00B9399A"/>
    <w:rsid w:val="00BD4955"/>
    <w:rsid w:val="00C23636"/>
    <w:rsid w:val="00C553EF"/>
    <w:rsid w:val="00C641BD"/>
    <w:rsid w:val="00C708CE"/>
    <w:rsid w:val="00C91F4C"/>
    <w:rsid w:val="00C9428C"/>
    <w:rsid w:val="00CC6012"/>
    <w:rsid w:val="00CC7A03"/>
    <w:rsid w:val="00CD7E4E"/>
    <w:rsid w:val="00CE4DFE"/>
    <w:rsid w:val="00CF0AA7"/>
    <w:rsid w:val="00D64926"/>
    <w:rsid w:val="00D74987"/>
    <w:rsid w:val="00D812AD"/>
    <w:rsid w:val="00D8620A"/>
    <w:rsid w:val="00D90B2D"/>
    <w:rsid w:val="00DC7EE1"/>
    <w:rsid w:val="00DD4AA2"/>
    <w:rsid w:val="00DD5A15"/>
    <w:rsid w:val="00E01819"/>
    <w:rsid w:val="00E039BF"/>
    <w:rsid w:val="00E323CD"/>
    <w:rsid w:val="00E8571A"/>
    <w:rsid w:val="00E94B12"/>
    <w:rsid w:val="00EF0339"/>
    <w:rsid w:val="00F137EB"/>
    <w:rsid w:val="00F2080B"/>
    <w:rsid w:val="00F55DE1"/>
    <w:rsid w:val="00FA2BB2"/>
    <w:rsid w:val="00FC450D"/>
    <w:rsid w:val="00FD081E"/>
    <w:rsid w:val="00FE100B"/>
    <w:rsid w:val="00FE4826"/>
    <w:rsid w:val="0162103B"/>
    <w:rsid w:val="028D58A7"/>
    <w:rsid w:val="03043E77"/>
    <w:rsid w:val="0F262ACD"/>
    <w:rsid w:val="0FF94348"/>
    <w:rsid w:val="12087E47"/>
    <w:rsid w:val="158C17BA"/>
    <w:rsid w:val="15DA6FC6"/>
    <w:rsid w:val="16900E36"/>
    <w:rsid w:val="182B48AA"/>
    <w:rsid w:val="18934E7A"/>
    <w:rsid w:val="217D46AD"/>
    <w:rsid w:val="233B6D2B"/>
    <w:rsid w:val="23A073DD"/>
    <w:rsid w:val="26EF1BA9"/>
    <w:rsid w:val="29DD03DE"/>
    <w:rsid w:val="2AE7568D"/>
    <w:rsid w:val="2BA03472"/>
    <w:rsid w:val="2CA61530"/>
    <w:rsid w:val="2E660FDE"/>
    <w:rsid w:val="2F002930"/>
    <w:rsid w:val="331D3F47"/>
    <w:rsid w:val="352B5A2F"/>
    <w:rsid w:val="3811550D"/>
    <w:rsid w:val="38B8629F"/>
    <w:rsid w:val="398B5761"/>
    <w:rsid w:val="3A987BA2"/>
    <w:rsid w:val="3AB94550"/>
    <w:rsid w:val="3D4445A5"/>
    <w:rsid w:val="3F52287D"/>
    <w:rsid w:val="416B7C26"/>
    <w:rsid w:val="41C61B6B"/>
    <w:rsid w:val="44A75419"/>
    <w:rsid w:val="480D64AF"/>
    <w:rsid w:val="4B46773A"/>
    <w:rsid w:val="4DAC754F"/>
    <w:rsid w:val="4FA32C68"/>
    <w:rsid w:val="4FC15ED9"/>
    <w:rsid w:val="55DF0EB7"/>
    <w:rsid w:val="57B33CD1"/>
    <w:rsid w:val="5AA52142"/>
    <w:rsid w:val="5C2F64BB"/>
    <w:rsid w:val="609A4BD3"/>
    <w:rsid w:val="62F62474"/>
    <w:rsid w:val="640815D9"/>
    <w:rsid w:val="66254314"/>
    <w:rsid w:val="66B91727"/>
    <w:rsid w:val="6708600B"/>
    <w:rsid w:val="687911A6"/>
    <w:rsid w:val="6AF80B9B"/>
    <w:rsid w:val="6BAD2A66"/>
    <w:rsid w:val="6C7236F0"/>
    <w:rsid w:val="6CDE3E9F"/>
    <w:rsid w:val="6D3D76A8"/>
    <w:rsid w:val="71125845"/>
    <w:rsid w:val="75B72ACA"/>
    <w:rsid w:val="76B80C3C"/>
    <w:rsid w:val="770308D5"/>
    <w:rsid w:val="773A3B3B"/>
    <w:rsid w:val="77A24B7F"/>
    <w:rsid w:val="78395DAD"/>
    <w:rsid w:val="7C6D42F3"/>
    <w:rsid w:val="7F4A2182"/>
    <w:rsid w:val="7F531EB8"/>
    <w:rsid w:val="7F910F9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99"/>
    <w:pPr>
      <w:jc w:val="left"/>
    </w:pPr>
    <w:rPr>
      <w:rFonts w:ascii="Times New Roman" w:hAnsi="Times New Roman"/>
      <w:szCs w:val="24"/>
    </w:rPr>
  </w:style>
  <w:style w:type="paragraph" w:styleId="3">
    <w:name w:val="Balloon Text"/>
    <w:basedOn w:val="1"/>
    <w:link w:val="13"/>
    <w:qFormat/>
    <w:uiPriority w:val="99"/>
    <w:rPr>
      <w:rFonts w:ascii="Times New Roman" w:hAnsi="Times New Roman"/>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99"/>
    <w:rPr>
      <w:rFonts w:cs="Times New Roman"/>
    </w:rPr>
  </w:style>
  <w:style w:type="character" w:styleId="11">
    <w:name w:val="annotation reference"/>
    <w:basedOn w:val="9"/>
    <w:qFormat/>
    <w:uiPriority w:val="99"/>
    <w:rPr>
      <w:rFonts w:cs="Times New Roman"/>
      <w:sz w:val="21"/>
      <w:szCs w:val="21"/>
    </w:rPr>
  </w:style>
  <w:style w:type="character" w:customStyle="1" w:styleId="12">
    <w:name w:val="批注文字 Char"/>
    <w:basedOn w:val="9"/>
    <w:link w:val="2"/>
    <w:qFormat/>
    <w:locked/>
    <w:uiPriority w:val="99"/>
    <w:rPr>
      <w:rFonts w:ascii="Times New Roman" w:hAnsi="Times New Roman" w:eastAsia="宋体" w:cs="Times New Roman"/>
      <w:sz w:val="24"/>
      <w:szCs w:val="24"/>
    </w:rPr>
  </w:style>
  <w:style w:type="character" w:customStyle="1" w:styleId="13">
    <w:name w:val="批注框文本 Char"/>
    <w:basedOn w:val="9"/>
    <w:link w:val="3"/>
    <w:qFormat/>
    <w:locked/>
    <w:uiPriority w:val="99"/>
    <w:rPr>
      <w:rFonts w:ascii="Times New Roman" w:hAnsi="Times New Roman" w:eastAsia="宋体" w:cs="Times New Roman"/>
      <w:sz w:val="18"/>
      <w:szCs w:val="18"/>
    </w:rPr>
  </w:style>
  <w:style w:type="character" w:customStyle="1" w:styleId="14">
    <w:name w:val="页脚 Char"/>
    <w:basedOn w:val="9"/>
    <w:link w:val="4"/>
    <w:qFormat/>
    <w:locked/>
    <w:uiPriority w:val="99"/>
    <w:rPr>
      <w:rFonts w:cs="Times New Roman"/>
      <w:sz w:val="18"/>
      <w:szCs w:val="18"/>
    </w:rPr>
  </w:style>
  <w:style w:type="character" w:customStyle="1" w:styleId="15">
    <w:name w:val="页眉 Char"/>
    <w:basedOn w:val="9"/>
    <w:link w:val="5"/>
    <w:qFormat/>
    <w:locked/>
    <w:uiPriority w:val="99"/>
    <w:rPr>
      <w:rFonts w:cs="Times New Roman"/>
      <w:sz w:val="18"/>
      <w:szCs w:val="18"/>
    </w:rPr>
  </w:style>
  <w:style w:type="paragraph" w:customStyle="1" w:styleId="16">
    <w:name w:val="列出段落1"/>
    <w:basedOn w:val="1"/>
    <w:qFormat/>
    <w:uiPriority w:val="99"/>
    <w:pPr>
      <w:ind w:firstLine="420" w:firstLineChars="200"/>
    </w:pPr>
    <w:rPr>
      <w:rFonts w:ascii="Times New Roman" w:hAnsi="Times New Roman"/>
      <w:szCs w:val="24"/>
    </w:rPr>
  </w:style>
  <w:style w:type="paragraph" w:styleId="17">
    <w:name w:val="List Paragraph"/>
    <w:basedOn w:val="1"/>
    <w:qFormat/>
    <w:uiPriority w:val="99"/>
    <w:pPr>
      <w:ind w:firstLine="420" w:firstLineChars="200"/>
    </w:pPr>
    <w:rPr>
      <w:rFonts w:ascii="Times New Roman" w:hAnsi="Times New Roman"/>
      <w:szCs w:val="24"/>
    </w:rPr>
  </w:style>
  <w:style w:type="paragraph" w:customStyle="1" w:styleId="18">
    <w:name w:val="修订1"/>
    <w: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588</Words>
  <Characters>3352</Characters>
  <Lines>27</Lines>
  <Paragraphs>7</Paragraphs>
  <TotalTime>31</TotalTime>
  <ScaleCrop>false</ScaleCrop>
  <LinksUpToDate>false</LinksUpToDate>
  <CharactersWithSpaces>3933</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2021-01-21T07:42:00Z</dcterms:created>
  <dc:creator>lenovo</dc:creator>
  <cp:lastModifiedBy>Administrator</cp:lastModifiedBy>
  <cp:lastPrinted>2022-02-23T02:03:00Z</cp:lastPrinted>
  <dcterms:modified xsi:type="dcterms:W3CDTF">2022-06-22T09:39:03Z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05A3344A75BF4096A4DCE5DEC370004C</vt:lpwstr>
  </property>
</Properties>
</file>