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42328">
      <w:pPr>
        <w:rPr>
          <w:rFonts w:hint="eastAsia" w:ascii="Times New Roman" w:hAnsi="Times New Roman" w:eastAsia="黑体"/>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49B620E5">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7EE9B856">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B348269">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23C5FB04">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14:paraId="5A1FC56D">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1F9758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93C34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衡阳市自然资源和规划局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0FBB75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602530A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23974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71C5F6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157302B3">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4E249CE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0517F1C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0235AAD">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28449.15万元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611D349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18049.69万元</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206670D0">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63.45%</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7B406190">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D687D46">
            <w:pPr>
              <w:widowControl/>
              <w:ind w:firstLine="210" w:firstLineChars="1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w:t>
            </w:r>
          </w:p>
        </w:tc>
      </w:tr>
      <w:tr w14:paraId="211CAC05">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3430174A">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009F89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08BF88C">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14:paraId="67917EC3">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24E8EB55">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C622EEF">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16478.29万元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377BF83">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其中：基本支出：9538.04万元</w:t>
            </w:r>
          </w:p>
        </w:tc>
      </w:tr>
      <w:tr w14:paraId="4E32EEB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70C13BA6">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02CC9AB">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rPr>
              <w:t>9396.34万元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08CE5BA6">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项目支出：18911.11万元</w:t>
            </w:r>
          </w:p>
        </w:tc>
      </w:tr>
      <w:tr w14:paraId="3E66A9C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D4EF044">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8E01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452.92万元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27E1C303">
            <w:pPr>
              <w:widowControl/>
              <w:jc w:val="left"/>
              <w:rPr>
                <w:rFonts w:ascii="Times New Roman" w:hAnsi="Times New Roman" w:eastAsia="仿宋_GB2312"/>
                <w:color w:val="000000"/>
                <w:kern w:val="0"/>
                <w:szCs w:val="21"/>
              </w:rPr>
            </w:pPr>
          </w:p>
        </w:tc>
      </w:tr>
      <w:tr w14:paraId="08047691">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5A32E49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F338F1F">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2121.6万元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F133A06">
            <w:pPr>
              <w:widowControl/>
              <w:ind w:firstLine="1680" w:firstLineChars="800"/>
              <w:jc w:val="left"/>
              <w:rPr>
                <w:rFonts w:ascii="Times New Roman" w:hAnsi="Times New Roman" w:eastAsia="仿宋_GB2312"/>
                <w:color w:val="000000"/>
                <w:kern w:val="0"/>
                <w:szCs w:val="21"/>
              </w:rPr>
            </w:pPr>
          </w:p>
        </w:tc>
      </w:tr>
      <w:tr w14:paraId="16D55B83">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A546A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77F367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1、依法履行全民所有土地、矿产、森林、草原、湿地、水等自然资源资产所有者职责和国土空间用途管制、城乡规划管理职责。宣传、贯彻、执行自然资源和国土空间规划及测绘等法律法规,拟订相关政策并监督检查执行情况。2、负责自然资源调查监测评价。 3、负责自然资源统一确权登记工作。4</w:t>
            </w:r>
            <w:bookmarkStart w:id="0" w:name="_GoBack"/>
            <w:bookmarkEnd w:id="0"/>
            <w:r>
              <w:rPr>
                <w:rFonts w:hint="eastAsia" w:ascii="Times New Roman" w:hAnsi="Times New Roman" w:eastAsia="仿宋_GB2312"/>
                <w:color w:val="000000"/>
                <w:kern w:val="0"/>
                <w:szCs w:val="21"/>
              </w:rPr>
              <w:t>、负责自然资源和资产有偿使用工作。5、负责自然资源的合理开发利用。6、负责建立空间规划体系并监督实施。7、负责统筹国土空间生态修复。8、负责组织实施最严格的耕地保护制度。9、负责管理地质勘查行业和全市地质工作。10、负责地质灾害预防和治理。11、负责矿产资源管理工作。12、</w:t>
            </w:r>
            <w:r>
              <w:rPr>
                <w:rFonts w:hint="eastAsia" w:ascii="Times New Roman" w:hAnsi="Times New Roman" w:eastAsia="仿宋_GB2312"/>
                <w:color w:val="000000"/>
                <w:kern w:val="0"/>
                <w:szCs w:val="21"/>
                <w:lang w:eastAsia="zh-CN"/>
              </w:rPr>
              <w:t>负责</w:t>
            </w:r>
            <w:r>
              <w:rPr>
                <w:rFonts w:hint="eastAsia" w:ascii="Times New Roman" w:hAnsi="Times New Roman" w:eastAsia="仿宋_GB2312"/>
                <w:color w:val="000000"/>
                <w:kern w:val="0"/>
                <w:szCs w:val="21"/>
              </w:rPr>
              <w:t>测绘地理信息管理工作。13、负责推进自然资源领域科技发展。14、根据市委、市政府授权,对县市区政府及相关部门落实市委、市政府关于自然资源、国土空间规划和城乡规划的决策部署及法律法规执行情况进行督察。15、负责执行国家历史文化名城保护相关法律法规,承担全市历史文化名城保护相关工作。16、统一领导和管理市林业局。17、负责本行业、领域的应急管理工作,对本行业、领域的安全生产工作实施监督管理。18、完成市委、市政府交办的其他任务。19、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各级政府作用,强化自然资源管理规则、标准、制度的约東性作用,推进自然资源确权登记和评估的便民高效。</w:t>
            </w:r>
          </w:p>
        </w:tc>
      </w:tr>
      <w:tr w14:paraId="5D8E0301">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52CB1A6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78B7BC9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21BC18C7">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目标1：落实最严格的耕地保护制度，坚决遏制耕地“非农化”、防止“非粮化”。</w:t>
            </w:r>
          </w:p>
          <w:p w14:paraId="1FA2F885">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目标2：稳妥推进农村宅基地制度改革，基本完成农村宅基地房地一体确权登记颁证工作。</w:t>
            </w:r>
          </w:p>
          <w:p w14:paraId="1F2B39D9">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目标3：加快华侨城来雁新城、苏州湾、虎形山、酃湖等片区及滨江新区开发。</w:t>
            </w:r>
          </w:p>
          <w:p w14:paraId="6A565463">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目标4：科学划定生态保护红线、永久基本农田、城镇开发边界等空间管控边界，完成衡阳市国土空间总体规划和“多规合一”的村庄规划编制。</w:t>
            </w:r>
          </w:p>
          <w:p w14:paraId="7801614E">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目标5：加强“多规合一”信息平台建设，形成全市国土空间开发保护“一张图”。</w:t>
            </w:r>
          </w:p>
          <w:p w14:paraId="1E893123">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目标6：深入推进采石采砂等重点行业专项整治，逐步解决行业性生态环境问题。</w:t>
            </w:r>
          </w:p>
          <w:p w14:paraId="4EF0F4C0">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目标7：开展山水林田湖草系统治理，推进生态敏感区、脆弱区和石漠化区、矿区、重金属污染区生态修复。</w:t>
            </w:r>
          </w:p>
          <w:p w14:paraId="0957F8F7">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目标8：继续妥善解决房地产办证历史遗留问题。</w:t>
            </w:r>
          </w:p>
          <w:p w14:paraId="6D4F0B02">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目标9：支持衡阳建设现代产业强市，依托京广、沪昆、渝长厦通道，建设各具特色和优势的经济带。</w:t>
            </w:r>
          </w:p>
          <w:p w14:paraId="38D2B00C">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目标10：增强湘南湘西承接产业转移示范区产业链配套能力。</w:t>
            </w:r>
          </w:p>
          <w:p w14:paraId="22CD9D12">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目标11：加快推进“两库两预警两提升”工程，强化地质灾害防治。</w:t>
            </w:r>
          </w:p>
        </w:tc>
      </w:tr>
      <w:tr w14:paraId="0955445A">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4D905C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0E6F9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66E79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CA378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BB0EC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6132E1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3971B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32722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5B102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94CAAF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2695F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2571E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28401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0EB2A8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98D0D1E">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46EE5B7">
            <w:pPr>
              <w:widowControl/>
              <w:jc w:val="center"/>
              <w:rPr>
                <w:rFonts w:ascii="Times New Roman" w:hAnsi="Times New Roman" w:eastAsia="仿宋_GB2312"/>
                <w:color w:val="000000"/>
                <w:kern w:val="0"/>
                <w:szCs w:val="21"/>
              </w:rPr>
            </w:pPr>
          </w:p>
          <w:p w14:paraId="2FB1DD4D">
            <w:pPr>
              <w:widowControl/>
              <w:jc w:val="center"/>
              <w:rPr>
                <w:rFonts w:ascii="Times New Roman" w:hAnsi="Times New Roman" w:eastAsia="仿宋_GB2312"/>
                <w:color w:val="000000"/>
                <w:kern w:val="0"/>
                <w:szCs w:val="21"/>
              </w:rPr>
            </w:pPr>
          </w:p>
          <w:p w14:paraId="53D4D04F">
            <w:pPr>
              <w:widowControl/>
              <w:jc w:val="center"/>
              <w:rPr>
                <w:rFonts w:ascii="Times New Roman" w:hAnsi="Times New Roman" w:eastAsia="仿宋_GB2312"/>
                <w:color w:val="000000"/>
                <w:kern w:val="0"/>
                <w:szCs w:val="21"/>
              </w:rPr>
            </w:pPr>
          </w:p>
          <w:p w14:paraId="123483ED">
            <w:pPr>
              <w:widowControl/>
              <w:jc w:val="center"/>
              <w:rPr>
                <w:rFonts w:ascii="Times New Roman" w:hAnsi="Times New Roman" w:eastAsia="仿宋_GB2312"/>
                <w:color w:val="000000"/>
                <w:kern w:val="0"/>
                <w:szCs w:val="21"/>
              </w:rPr>
            </w:pPr>
          </w:p>
          <w:p w14:paraId="50DA50C7">
            <w:pPr>
              <w:widowControl/>
              <w:jc w:val="center"/>
              <w:rPr>
                <w:rFonts w:ascii="Times New Roman" w:hAnsi="Times New Roman" w:eastAsia="仿宋_GB2312"/>
                <w:color w:val="000000"/>
                <w:kern w:val="0"/>
                <w:szCs w:val="21"/>
              </w:rPr>
            </w:pPr>
          </w:p>
          <w:p w14:paraId="140F196C">
            <w:pPr>
              <w:widowControl/>
              <w:jc w:val="center"/>
              <w:rPr>
                <w:rFonts w:ascii="Times New Roman" w:hAnsi="Times New Roman" w:eastAsia="仿宋_GB2312"/>
                <w:color w:val="000000"/>
                <w:kern w:val="0"/>
                <w:szCs w:val="21"/>
              </w:rPr>
            </w:pPr>
          </w:p>
          <w:p w14:paraId="1AD37ED2">
            <w:pPr>
              <w:widowControl/>
              <w:jc w:val="center"/>
              <w:rPr>
                <w:rFonts w:ascii="Times New Roman" w:hAnsi="Times New Roman" w:eastAsia="仿宋_GB2312"/>
                <w:color w:val="000000"/>
                <w:kern w:val="0"/>
                <w:szCs w:val="21"/>
              </w:rPr>
            </w:pPr>
          </w:p>
          <w:p w14:paraId="0CCB4920">
            <w:pPr>
              <w:widowControl/>
              <w:jc w:val="center"/>
              <w:rPr>
                <w:rFonts w:ascii="Times New Roman" w:hAnsi="Times New Roman" w:eastAsia="仿宋_GB2312"/>
                <w:color w:val="000000"/>
                <w:kern w:val="0"/>
                <w:szCs w:val="21"/>
              </w:rPr>
            </w:pPr>
          </w:p>
          <w:p w14:paraId="23720377">
            <w:pPr>
              <w:widowControl/>
              <w:jc w:val="center"/>
              <w:rPr>
                <w:rFonts w:ascii="Times New Roman" w:hAnsi="Times New Roman" w:eastAsia="仿宋_GB2312"/>
                <w:color w:val="000000"/>
                <w:kern w:val="0"/>
                <w:szCs w:val="21"/>
              </w:rPr>
            </w:pPr>
          </w:p>
          <w:p w14:paraId="3FB3BA1F">
            <w:pPr>
              <w:widowControl/>
              <w:jc w:val="center"/>
              <w:rPr>
                <w:rFonts w:ascii="Times New Roman" w:hAnsi="Times New Roman" w:eastAsia="仿宋_GB2312"/>
                <w:color w:val="000000"/>
                <w:kern w:val="0"/>
                <w:szCs w:val="21"/>
              </w:rPr>
            </w:pPr>
          </w:p>
          <w:p w14:paraId="1B51C54C">
            <w:pPr>
              <w:widowControl/>
              <w:jc w:val="center"/>
              <w:rPr>
                <w:rFonts w:ascii="Times New Roman" w:hAnsi="Times New Roman" w:eastAsia="仿宋_GB2312"/>
                <w:color w:val="000000"/>
                <w:kern w:val="0"/>
                <w:szCs w:val="21"/>
              </w:rPr>
            </w:pPr>
          </w:p>
          <w:p w14:paraId="66E729D3">
            <w:pPr>
              <w:widowControl/>
              <w:jc w:val="center"/>
              <w:rPr>
                <w:rFonts w:ascii="Times New Roman" w:hAnsi="Times New Roman" w:eastAsia="仿宋_GB2312"/>
                <w:color w:val="000000"/>
                <w:kern w:val="0"/>
                <w:szCs w:val="21"/>
              </w:rPr>
            </w:pPr>
          </w:p>
          <w:p w14:paraId="4108F19D">
            <w:pPr>
              <w:widowControl/>
              <w:jc w:val="center"/>
              <w:rPr>
                <w:rFonts w:ascii="Times New Roman" w:hAnsi="Times New Roman" w:eastAsia="仿宋_GB2312"/>
                <w:color w:val="000000"/>
                <w:kern w:val="0"/>
                <w:szCs w:val="21"/>
              </w:rPr>
            </w:pPr>
          </w:p>
          <w:p w14:paraId="4A6AF5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8D519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1767C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p w14:paraId="2A56F774">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w:t>
            </w:r>
          </w:p>
          <w:p w14:paraId="3A54D6E2">
            <w:pPr>
              <w:jc w:val="left"/>
              <w:rPr>
                <w:rFonts w:ascii="Times New Roman" w:hAnsi="Times New Roman" w:eastAsia="仿宋_GB2312"/>
                <w:color w:val="000000"/>
                <w:kern w:val="0"/>
                <w:szCs w:val="21"/>
              </w:rPr>
            </w:pPr>
          </w:p>
          <w:p w14:paraId="7264EEA2">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035F84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99BAB">
            <w:pPr>
              <w:widowControl/>
              <w:jc w:val="left"/>
              <w:rPr>
                <w:rFonts w:ascii="Times New Roman" w:hAnsi="Times New Roman" w:eastAsia="仿宋_GB2312"/>
                <w:color w:val="FF0000"/>
                <w:kern w:val="0"/>
                <w:szCs w:val="21"/>
              </w:rPr>
            </w:pPr>
            <w:r>
              <w:rPr>
                <w:rFonts w:hint="eastAsia" w:ascii="Times New Roman" w:hAnsi="Times New Roman" w:eastAsia="仿宋_GB2312"/>
                <w:color w:val="000000" w:themeColor="text1"/>
                <w:kern w:val="0"/>
                <w:szCs w:val="21"/>
              </w:rPr>
              <w:t>对我市耕地保护进行检查，落实最严格的耕地保护制度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17E0FE0">
            <w:pPr>
              <w:widowControl/>
              <w:jc w:val="left"/>
              <w:rPr>
                <w:rFonts w:ascii="Times New Roman" w:hAnsi="Times New Roman" w:eastAsia="仿宋_GB2312"/>
                <w:color w:val="FF0000"/>
                <w:kern w:val="0"/>
                <w:szCs w:val="21"/>
              </w:rPr>
            </w:pPr>
            <w:r>
              <w:rPr>
                <w:rFonts w:hint="eastAsia" w:ascii="Times New Roman" w:hAnsi="Times New Roman" w:eastAsia="仿宋_GB2312"/>
                <w:color w:val="000000" w:themeColor="text1"/>
                <w:kern w:val="0"/>
                <w:szCs w:val="21"/>
              </w:rPr>
              <w:t>是否完成年度日常业务工作及项目合同工作内容</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CA88C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出台了《关于切实保护耕地坚决制止耕地“非农化”》实施办法等一系列措施；向各县市下达了两批次2021年补充耕地开发计划共计17454亩；审核上报建设占用耕地项目20宗3004亩，全部落实占补平衡；完成26个补充耕地开发和土地整治项目验收。</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4B11F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6387CC2">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88777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9EB09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93E325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E87459E">
            <w:pPr>
              <w:jc w:val="left"/>
              <w:rPr>
                <w:rFonts w:ascii="Times New Roman" w:hAnsi="Times New Roman" w:eastAsia="仿宋_GB2312"/>
                <w:color w:val="000000"/>
                <w:kern w:val="0"/>
                <w:szCs w:val="21"/>
              </w:rPr>
            </w:pPr>
          </w:p>
        </w:tc>
        <w:tc>
          <w:tcPr>
            <w:tcW w:w="1110" w:type="dxa"/>
            <w:vMerge w:val="continue"/>
            <w:tcBorders>
              <w:left w:val="single" w:color="auto" w:sz="4" w:space="0"/>
              <w:right w:val="single" w:color="auto" w:sz="4" w:space="0"/>
            </w:tcBorders>
            <w:shd w:val="clear" w:color="auto" w:fill="auto"/>
            <w:noWrap/>
            <w:vAlign w:val="center"/>
          </w:tcPr>
          <w:p w14:paraId="16DFB0BF">
            <w:pPr>
              <w:widowControl/>
              <w:jc w:val="center"/>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ABC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加大批而未供和闲置土地处置力度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7D4FA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建立批而未供、供而未建、已建在建、撤批土地、闲置土地5个数据库，实施挂图作战，“一地一策”逐宗处置</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EECB4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创新建立批而未供、供而未建、已建在建、撤批土地、闲置土地5个数据库，实行挂图作战，每月对月清“三地”任务清单，逐宗研究，逐一处置</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207B5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0E25C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C1CEC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043D1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477063A">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8DD3055">
            <w:pPr>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614A12E3">
            <w:pPr>
              <w:widowControl/>
              <w:jc w:val="center"/>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C9C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加快建设地质灾害防治综合信息平台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B80E9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新布设 地质灾害隐患点普适型监测预警设备，推动全市综合性和普适型监测预警设备并网运行</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C06E2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完成80处地质灾害隐患点普适型监测预警设备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A523B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97E08AE">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3AE87F2">
            <w:pPr>
              <w:widowControl/>
              <w:jc w:val="left"/>
              <w:rPr>
                <w:rFonts w:ascii="Times New Roman" w:hAnsi="Times New Roman" w:eastAsia="仿宋_GB2312"/>
                <w:color w:val="000000"/>
                <w:kern w:val="0"/>
                <w:szCs w:val="21"/>
              </w:rPr>
            </w:pPr>
          </w:p>
        </w:tc>
      </w:tr>
      <w:tr w14:paraId="7222031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B2B98C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001A2F8">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37DAEF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5281D8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开展存量违法用地清查</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97C26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“三年清零”专项行动</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FD78D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省厅下发8批“月清三地”74个违法用地整治任务，面积309.94亩。已立案查处73宗，1宗正在举证中，24宗已结案，10宗已整改到位。</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15B1D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6262E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2E177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9CDCA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D434169">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9FE42D6">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D489DBC">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775E4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划定生态保护红线、永久基本农田、城镇开发边界等空间管控边界</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939B3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科学划定空间管控边界</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1E199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生态保护红线已报部待审，城镇开发边界模拟划定线和耕地保护红线成果已上报省厅</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C616F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4BE56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B8C9F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9798A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91460FE">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0254471">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7C27BE">
            <w: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6D85C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完成农村房地一体确权登记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7F7A7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调查率100%，登记率100%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6A276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完成农村宅基地和集体建设用地确权登记调查总量152.4万宗，调查率100%；应登记发证数119万宗，已登记发证宗数119万宗，登记率100%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369CF16">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D211C7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BCD4405">
            <w:pPr>
              <w:widowControl/>
              <w:jc w:val="left"/>
              <w:rPr>
                <w:rFonts w:ascii="Times New Roman" w:hAnsi="Times New Roman" w:eastAsia="仿宋_GB2312"/>
                <w:color w:val="000000"/>
                <w:kern w:val="0"/>
                <w:szCs w:val="21"/>
              </w:rPr>
            </w:pPr>
          </w:p>
        </w:tc>
      </w:tr>
      <w:tr w14:paraId="16BABBC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F9B1242">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0FAC6A9">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F04B3A">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7A673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逐步推进“交房交证”，将不动产权证书发放到权利人手中</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64841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完成“交房即交证”，有效解决住权和产权脱节的矛盾</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A8B43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市本级15个项目、各县市区11个项目已完成“交房即交证”，市本级首次登记19973户，转移登记9051户</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96A27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C9954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390C073">
            <w:pPr>
              <w:widowControl/>
              <w:jc w:val="left"/>
              <w:rPr>
                <w:rFonts w:ascii="Times New Roman" w:hAnsi="Times New Roman" w:eastAsia="仿宋_GB2312"/>
                <w:color w:val="000000"/>
                <w:kern w:val="0"/>
                <w:szCs w:val="21"/>
              </w:rPr>
            </w:pPr>
          </w:p>
        </w:tc>
      </w:tr>
      <w:tr w14:paraId="5B8AF1B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89E23DF">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ADDC0CD">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752D64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741CF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完成衡阳市“多规合一”协同审批系统优化，降低系统运算及响应时间</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754E2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160万元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54647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完成历史规划数据规整入库，构建“一张蓝图”，推进“多规合一”协同审批系统、规划设计方案审查系统正式运行</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708FE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C708F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3E11C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BF5DE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20ACF10">
            <w:pPr>
              <w:jc w:val="center"/>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32337D43">
            <w:pPr>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654CADD2">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C909D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完成衡阳市国土空间总体规划和“多规合一”的村庄规划编制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AB224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920万元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F7DCF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衡阳市国土空间总体规划（2019-2035）》初步成果，基本完成“1+1+4+9”规划成果体系；各县市区村庄规划编制准备工作、基础调查、编制初步方案和完场率均达到100%，全市计划编制583个村庄规划，实际编制了592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2B2F1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7CE52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582BD0D">
            <w:pPr>
              <w:widowControl/>
              <w:jc w:val="left"/>
              <w:rPr>
                <w:rFonts w:ascii="Times New Roman" w:hAnsi="Times New Roman" w:eastAsia="仿宋_GB2312"/>
                <w:color w:val="000000"/>
                <w:kern w:val="0"/>
                <w:szCs w:val="21"/>
              </w:rPr>
            </w:pPr>
          </w:p>
        </w:tc>
      </w:tr>
      <w:tr w14:paraId="20DF6F1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EB13F54">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B00F9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EB055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6EFC90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7A9FC8DA">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1CC024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AFDF1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积极推进园区周转用地报批</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012BE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将周转用地与 “标准地供应”有机结合，变“项目等地”为“地等项目”</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0C838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共批回园区周转用地122.3277公顷</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A76D2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36149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A3F3A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77BD5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E322EC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BE0EDB3">
            <w:pPr>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37A476E1">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ECFEA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加快完成华华侨城来雁新城、苏州湾、虎形山、酃湖等片区及滨江新区开发</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4C49B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促进衡阳市经济和社会发展</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76307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一走廊九片区”片区开发工作已全面启动。虎形山、长湖、苏州湾、丰家洲、眼镜小镇片区均已完成概念规划方案的编制和报审工作，其余片区均在开展前期准备及概念方案编制等工作。虎形山片区已实施征拆1164亩，拨付征拆资金约4.775亿元，长湖片区区政府已交付土地200亩</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3BB86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6</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A39C8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3E250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E7601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323BCE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9BBA42B">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BAF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220C5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增强湘南湘西承接产业转移示范区产业链配套能力</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BE073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全力支持产业链项目建设，做好规划选址、用地报批和供应等服务保障</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CDAF6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市本级共批回土地651.9516公顷，其中产业项目用地181.7669公顷，占比27.88%</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44814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6F428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24238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6769C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9739D24">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EFC2786">
            <w:pPr>
              <w:widowControl/>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6E90AC0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833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深入推进采石采砂等重点行业专项整治</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605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逐步解决行业性生态环境问题</w:t>
            </w:r>
            <w:r>
              <w:rPr>
                <w:rFonts w:ascii="Times New Roman" w:hAnsi="Times New Roman" w:eastAsia="仿宋_GB2312"/>
                <w:color w:val="000000"/>
                <w:kern w:val="0"/>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442C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大力开展打非治违“霹雳”行动，共立案查处非法开采矿产资源案件78宗，没收违法所得1044万元，罚款178万元，移送公安13宗，查处重大案件11宗；落实安全生产专项整治“三年行动”，整改率100%，组织开展“夏季攻势”行动，关停了148家矿山企业，对147家进行全天候监管</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70EA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6</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28981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C0063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C0B53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6FAD4EA">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D1DDCA8">
            <w:pPr>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6CD33B5D">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F0ED1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开展山水林田湖草系统治理</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90FE7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推进生态敏感区、脆弱区和石漠化区、矿区、重金属污染区生态修复</w:t>
            </w: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0DAD3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共修复湘江两岸10公里范围的废弃矿山点126个，图斑215个，修复面积336.85公顷，所有项目均已通过省级竣工验收；常宁水口山铅锌煤矿区实现修复耕地6700余亩，新增或修复林地3000余亩，塌陷区农田修复率超过70%</w:t>
            </w:r>
          </w:p>
        </w:tc>
        <w:tc>
          <w:tcPr>
            <w:tcW w:w="1170" w:type="dxa"/>
            <w:gridSpan w:val="2"/>
            <w:tcBorders>
              <w:top w:val="nil"/>
              <w:left w:val="nil"/>
              <w:bottom w:val="single" w:color="auto" w:sz="4" w:space="0"/>
              <w:right w:val="single" w:color="auto" w:sz="4" w:space="0"/>
            </w:tcBorders>
            <w:shd w:val="clear" w:color="auto" w:fill="auto"/>
            <w:noWrap/>
            <w:vAlign w:val="center"/>
          </w:tcPr>
          <w:p w14:paraId="56CF2B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765" w:type="dxa"/>
            <w:tcBorders>
              <w:top w:val="nil"/>
              <w:left w:val="nil"/>
              <w:bottom w:val="single" w:color="auto" w:sz="4" w:space="0"/>
              <w:right w:val="single" w:color="auto" w:sz="4" w:space="0"/>
            </w:tcBorders>
            <w:shd w:val="clear" w:color="auto" w:fill="auto"/>
            <w:noWrap/>
            <w:vAlign w:val="center"/>
          </w:tcPr>
          <w:p w14:paraId="3496D7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1271" w:type="dxa"/>
            <w:gridSpan w:val="2"/>
            <w:tcBorders>
              <w:top w:val="nil"/>
              <w:left w:val="nil"/>
              <w:bottom w:val="single" w:color="auto" w:sz="4" w:space="0"/>
              <w:right w:val="single" w:color="auto" w:sz="4" w:space="0"/>
            </w:tcBorders>
            <w:shd w:val="clear" w:color="auto" w:fill="auto"/>
            <w:noWrap/>
            <w:vAlign w:val="center"/>
          </w:tcPr>
          <w:p w14:paraId="5D41CF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BE376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B98C690">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DCACB72">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6C4B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可持续影响指标</w:t>
            </w:r>
          </w:p>
          <w:p w14:paraId="112C1B56">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7B7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全面落实群测群防措施，积极开展防灾宣传和科普活动</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319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进一步提升基层地质灾害气象预警预报能力和群众地质灾害自我防范能力</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C77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持续加强地质灾害防治，累计派出工作组1287次，派出应急工作人员3853人次，排查乡镇1606次，排查巡查隐患点4523次，处置 隐患点575次，紧急转移群众1011次，成功避让4起，无一人伤亡</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571E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6</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A1B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5E46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43AEC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6ECB6B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7F3BEF0">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right w:val="single" w:color="auto" w:sz="4" w:space="0"/>
            </w:tcBorders>
            <w:shd w:val="clear" w:color="auto" w:fill="auto"/>
            <w:noWrap/>
            <w:vAlign w:val="center"/>
          </w:tcPr>
          <w:p w14:paraId="04E548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517EDC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继续妥善解决房地产办证历史遗留问题</w:t>
            </w:r>
          </w:p>
        </w:tc>
        <w:tc>
          <w:tcPr>
            <w:tcW w:w="1110" w:type="dxa"/>
            <w:tcBorders>
              <w:top w:val="nil"/>
              <w:left w:val="nil"/>
              <w:bottom w:val="single" w:color="auto" w:sz="4" w:space="0"/>
              <w:right w:val="single" w:color="auto" w:sz="4" w:space="0"/>
            </w:tcBorders>
            <w:shd w:val="clear" w:color="auto" w:fill="auto"/>
            <w:noWrap/>
            <w:vAlign w:val="center"/>
          </w:tcPr>
          <w:p w14:paraId="057767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2021年底房地产办证历史遗留问题化解率达到80%省厅下达目标</w:t>
            </w:r>
          </w:p>
        </w:tc>
        <w:tc>
          <w:tcPr>
            <w:tcW w:w="1065" w:type="dxa"/>
            <w:gridSpan w:val="2"/>
            <w:tcBorders>
              <w:top w:val="nil"/>
              <w:left w:val="nil"/>
              <w:bottom w:val="single" w:color="auto" w:sz="4" w:space="0"/>
              <w:right w:val="single" w:color="auto" w:sz="4" w:space="0"/>
            </w:tcBorders>
            <w:shd w:val="clear" w:color="auto" w:fill="auto"/>
            <w:noWrap/>
            <w:vAlign w:val="center"/>
          </w:tcPr>
          <w:p w14:paraId="2609C1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建立遗留问题集中化解“1+2+</w:t>
            </w:r>
          </w:p>
          <w:p w14:paraId="6E8156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N</w:t>
            </w:r>
          </w:p>
          <w:p w14:paraId="29416D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”模式，按照“两分离，三集中”的原则，发动群策群力，共化解遗留问题项目265个，解决老百姓办证难问题63200户，化解率90%</w:t>
            </w:r>
          </w:p>
        </w:tc>
        <w:tc>
          <w:tcPr>
            <w:tcW w:w="1170" w:type="dxa"/>
            <w:gridSpan w:val="2"/>
            <w:tcBorders>
              <w:top w:val="nil"/>
              <w:left w:val="nil"/>
              <w:bottom w:val="single" w:color="auto" w:sz="4" w:space="0"/>
              <w:right w:val="single" w:color="auto" w:sz="4" w:space="0"/>
            </w:tcBorders>
            <w:shd w:val="clear" w:color="auto" w:fill="auto"/>
            <w:noWrap/>
            <w:vAlign w:val="center"/>
          </w:tcPr>
          <w:p w14:paraId="0928D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 6</w:t>
            </w:r>
          </w:p>
        </w:tc>
        <w:tc>
          <w:tcPr>
            <w:tcW w:w="765" w:type="dxa"/>
            <w:tcBorders>
              <w:top w:val="nil"/>
              <w:left w:val="nil"/>
              <w:bottom w:val="single" w:color="auto" w:sz="4" w:space="0"/>
              <w:right w:val="single" w:color="auto" w:sz="4" w:space="0"/>
            </w:tcBorders>
            <w:shd w:val="clear" w:color="auto" w:fill="auto"/>
            <w:noWrap/>
            <w:vAlign w:val="center"/>
          </w:tcPr>
          <w:p w14:paraId="0BDC90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w:t>
            </w:r>
          </w:p>
        </w:tc>
        <w:tc>
          <w:tcPr>
            <w:tcW w:w="1271" w:type="dxa"/>
            <w:gridSpan w:val="2"/>
            <w:tcBorders>
              <w:top w:val="nil"/>
              <w:left w:val="nil"/>
              <w:bottom w:val="single" w:color="auto" w:sz="4" w:space="0"/>
              <w:right w:val="single" w:color="auto" w:sz="4" w:space="0"/>
            </w:tcBorders>
            <w:shd w:val="clear" w:color="auto" w:fill="auto"/>
            <w:noWrap/>
            <w:vAlign w:val="center"/>
          </w:tcPr>
          <w:p w14:paraId="217712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4AE0AB">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4554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8D63C">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6CD22">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99</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528899">
            <w:pPr>
              <w:widowControl/>
              <w:jc w:val="left"/>
              <w:rPr>
                <w:rFonts w:ascii="Times New Roman" w:hAnsi="Times New Roman" w:eastAsia="仿宋_GB2312"/>
                <w:color w:val="000000"/>
                <w:kern w:val="0"/>
                <w:szCs w:val="21"/>
              </w:rPr>
            </w:pPr>
          </w:p>
        </w:tc>
      </w:tr>
    </w:tbl>
    <w:tbl>
      <w:tblPr>
        <w:tblStyle w:val="8"/>
        <w:tblpPr w:leftFromText="180" w:rightFromText="180" w:vertAnchor="text" w:tblpX="-4304" w:tblpY="25059"/>
        <w:tblOverlap w:val="never"/>
        <w:tblW w:w="2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tblGrid>
      <w:tr w14:paraId="35F6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16" w:type="dxa"/>
          </w:tcPr>
          <w:p w14:paraId="20A76634">
            <w:pPr>
              <w:spacing w:beforeLines="50"/>
              <w:rPr>
                <w:rFonts w:ascii="Times New Roman" w:hAnsi="Times New Roman" w:eastAsia="仿宋_GB2312"/>
                <w:sz w:val="24"/>
              </w:rPr>
            </w:pPr>
          </w:p>
        </w:tc>
      </w:tr>
    </w:tbl>
    <w:p w14:paraId="5D185279">
      <w:pPr>
        <w:spacing w:beforeLines="5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C71F">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- 9 -</w:t>
    </w:r>
    <w:r>
      <w:rPr>
        <w:rStyle w:val="10"/>
        <w:rFonts w:ascii="Times New Roman" w:hAnsi="Times New Roman"/>
        <w:sz w:val="28"/>
        <w:szCs w:val="28"/>
      </w:rPr>
      <w:fldChar w:fldCharType="end"/>
    </w:r>
  </w:p>
  <w:p w14:paraId="296BFDC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3BAD">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D4E949B">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jRiNzE2N2NhMWM4ODI0YjE2MTJhMjliMTI3MjI0YTMifQ=="/>
  </w:docVars>
  <w:rsids>
    <w:rsidRoot w:val="00C553EF"/>
    <w:rsid w:val="00012C93"/>
    <w:rsid w:val="0003385C"/>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5E61BB"/>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708CE"/>
    <w:rsid w:val="00C91F4C"/>
    <w:rsid w:val="00C9428C"/>
    <w:rsid w:val="00CC6012"/>
    <w:rsid w:val="00CC7A03"/>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62103B"/>
    <w:rsid w:val="028D58A7"/>
    <w:rsid w:val="03043E77"/>
    <w:rsid w:val="05955E32"/>
    <w:rsid w:val="0F262ACD"/>
    <w:rsid w:val="0FF94348"/>
    <w:rsid w:val="12087E47"/>
    <w:rsid w:val="158C17BA"/>
    <w:rsid w:val="15DA6FC6"/>
    <w:rsid w:val="16900E36"/>
    <w:rsid w:val="182B48AA"/>
    <w:rsid w:val="18934E7A"/>
    <w:rsid w:val="217D46AD"/>
    <w:rsid w:val="233B6D2B"/>
    <w:rsid w:val="23A073DD"/>
    <w:rsid w:val="26EF1BA9"/>
    <w:rsid w:val="29DD03DE"/>
    <w:rsid w:val="2AE7568D"/>
    <w:rsid w:val="2BA03472"/>
    <w:rsid w:val="2CA61530"/>
    <w:rsid w:val="2E660FDE"/>
    <w:rsid w:val="2F002930"/>
    <w:rsid w:val="331D3F47"/>
    <w:rsid w:val="352B5A2F"/>
    <w:rsid w:val="3811550D"/>
    <w:rsid w:val="38B8629F"/>
    <w:rsid w:val="398B5761"/>
    <w:rsid w:val="3A987BA2"/>
    <w:rsid w:val="3AB94550"/>
    <w:rsid w:val="3D4445A5"/>
    <w:rsid w:val="3F52287D"/>
    <w:rsid w:val="416B7C26"/>
    <w:rsid w:val="41C61B6B"/>
    <w:rsid w:val="44A75419"/>
    <w:rsid w:val="480D64AF"/>
    <w:rsid w:val="4B46773A"/>
    <w:rsid w:val="4DAC754F"/>
    <w:rsid w:val="4FA32C68"/>
    <w:rsid w:val="4FC15ED9"/>
    <w:rsid w:val="55DF0EB7"/>
    <w:rsid w:val="57B33CD1"/>
    <w:rsid w:val="5AA52142"/>
    <w:rsid w:val="5C2F64BB"/>
    <w:rsid w:val="609A4BD3"/>
    <w:rsid w:val="62F62474"/>
    <w:rsid w:val="640815D9"/>
    <w:rsid w:val="66254314"/>
    <w:rsid w:val="66B91727"/>
    <w:rsid w:val="6708600B"/>
    <w:rsid w:val="687911A6"/>
    <w:rsid w:val="6AF80B9B"/>
    <w:rsid w:val="6BAD2A66"/>
    <w:rsid w:val="6C7236F0"/>
    <w:rsid w:val="6CDE3E9F"/>
    <w:rsid w:val="6D3D76A8"/>
    <w:rsid w:val="71125845"/>
    <w:rsid w:val="75B72ACA"/>
    <w:rsid w:val="76B80C3C"/>
    <w:rsid w:val="770308D5"/>
    <w:rsid w:val="773A3B3B"/>
    <w:rsid w:val="77A24B7F"/>
    <w:rsid w:val="78395DAD"/>
    <w:rsid w:val="7C6D42F3"/>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alloon Text"/>
    <w:basedOn w:val="1"/>
    <w:link w:val="13"/>
    <w:qFormat/>
    <w:uiPriority w:val="99"/>
    <w:rPr>
      <w:rFonts w:ascii="Times New Roman" w:hAnsi="Times New Roman"/>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3"/>
    <w:qFormat/>
    <w:locked/>
    <w:uiPriority w:val="99"/>
    <w:rPr>
      <w:rFonts w:ascii="Times New Roman" w:hAnsi="Times New Roman" w:eastAsia="宋体" w:cs="Times New Roman"/>
      <w:sz w:val="18"/>
      <w:szCs w:val="18"/>
    </w:rPr>
  </w:style>
  <w:style w:type="character" w:customStyle="1" w:styleId="14">
    <w:name w:val="页脚 Char"/>
    <w:basedOn w:val="9"/>
    <w:link w:val="4"/>
    <w:qFormat/>
    <w:locked/>
    <w:uiPriority w:val="99"/>
    <w:rPr>
      <w:rFonts w:cs="Times New Roman"/>
      <w:sz w:val="18"/>
      <w:szCs w:val="18"/>
    </w:rPr>
  </w:style>
  <w:style w:type="character" w:customStyle="1" w:styleId="15">
    <w:name w:val="页眉 Char"/>
    <w:basedOn w:val="9"/>
    <w:link w:val="5"/>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3241</Words>
  <Characters>3497</Characters>
  <Lines>27</Lines>
  <Paragraphs>7</Paragraphs>
  <TotalTime>31</TotalTime>
  <ScaleCrop>false</ScaleCrop>
  <LinksUpToDate>false</LinksUpToDate>
  <CharactersWithSpaces>3677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2022-02-23T02:03:00Z</cp:lastPrinted>
  <dcterms:modified xsi:type="dcterms:W3CDTF">2024-09-09T03:19:42Z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05A3344A75BF4096A4DCE5DEC370004C</vt:lpwstr>
  </property>
</Properties>
</file>