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imes New Roman" w:hAnsi="Times New Roman" w:eastAsia="Times New Roman"/>
          <w:sz w:val="36"/>
          <w:szCs w:val="36"/>
        </w:rPr>
      </w:pPr>
    </w:p>
    <w:p>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rPr>
        <w:t>1年度部门整体支出绩效自评报告</w:t>
      </w:r>
    </w:p>
    <w:p>
      <w:pPr>
        <w:jc w:val="center"/>
        <w:rPr>
          <w:rFonts w:ascii="Times New Roman" w:hAnsi="Times New Roman" w:eastAsia="黑体"/>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sz w:val="36"/>
          <w:szCs w:val="36"/>
        </w:rPr>
      </w:pPr>
      <w:r>
        <w:rPr>
          <w:rFonts w:hint="eastAsia" w:ascii="Times New Roman" w:hAnsi="Times New Roman"/>
          <w:sz w:val="36"/>
          <w:szCs w:val="36"/>
        </w:rPr>
        <w:t>单位名称：衡阳市环境保护局</w:t>
      </w:r>
      <w:r>
        <w:rPr>
          <w:rFonts w:hint="eastAsia" w:ascii="Times New Roman" w:hAnsi="Times New Roman"/>
          <w:sz w:val="36"/>
          <w:szCs w:val="36"/>
          <w:lang w:eastAsia="zh-CN"/>
        </w:rPr>
        <w:t>珠晖</w:t>
      </w:r>
      <w:r>
        <w:rPr>
          <w:rFonts w:hint="eastAsia" w:ascii="Times New Roman" w:hAnsi="Times New Roman"/>
          <w:sz w:val="36"/>
          <w:szCs w:val="36"/>
        </w:rPr>
        <w:t>分局</w:t>
      </w:r>
    </w:p>
    <w:p>
      <w:pPr>
        <w:jc w:val="center"/>
        <w:rPr>
          <w:rFonts w:ascii="Times New Roman" w:hAnsi="Times New Roman" w:eastAsia="黑体"/>
          <w:sz w:val="36"/>
          <w:szCs w:val="36"/>
        </w:rPr>
      </w:pPr>
      <w:r>
        <w:rPr>
          <w:rFonts w:hint="eastAsia" w:ascii="Times New Roman" w:hAnsi="Times New Roman"/>
          <w:sz w:val="36"/>
          <w:szCs w:val="36"/>
        </w:rPr>
        <w:t>（单位公章）：</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2022年3月7日</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pPr>
        <w:rPr>
          <w:rFonts w:ascii="Times New Roman" w:hAnsi="Times New Roman" w:eastAsia="方正小标宋_GBK"/>
          <w:sz w:val="32"/>
          <w:szCs w:val="32"/>
        </w:rPr>
      </w:pPr>
    </w:p>
    <w:p>
      <w:pPr>
        <w:pStyle w:val="16"/>
        <w:widowControl/>
        <w:spacing w:line="560" w:lineRule="exact"/>
        <w:ind w:firstLine="640"/>
        <w:rPr>
          <w:rFonts w:eastAsia="黑体"/>
          <w:sz w:val="32"/>
          <w:szCs w:val="32"/>
        </w:rPr>
      </w:pPr>
      <w:r>
        <w:rPr>
          <w:rFonts w:hint="eastAsia" w:eastAsia="黑体"/>
          <w:sz w:val="32"/>
          <w:szCs w:val="32"/>
        </w:rPr>
        <w:t>一、单位基本情况</w:t>
      </w:r>
    </w:p>
    <w:p>
      <w:pPr>
        <w:spacing w:line="560" w:lineRule="exact"/>
        <w:ind w:firstLine="640" w:firstLineChars="200"/>
        <w:rPr>
          <w:rFonts w:ascii="楷体" w:hAnsi="楷体" w:eastAsia="楷体" w:cs="楷体"/>
          <w:sz w:val="32"/>
          <w:szCs w:val="32"/>
        </w:rPr>
      </w:pPr>
      <w:r>
        <w:rPr>
          <w:rFonts w:hint="eastAsia" w:eastAsia="楷体"/>
          <w:sz w:val="32"/>
          <w:szCs w:val="32"/>
        </w:rPr>
        <w:t>1．主要职能：</w:t>
      </w: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pPr>
        <w:pStyle w:val="16"/>
        <w:widowControl/>
        <w:spacing w:line="560" w:lineRule="exact"/>
        <w:ind w:firstLine="640"/>
        <w:rPr>
          <w:rFonts w:eastAsia="楷体"/>
          <w:sz w:val="32"/>
          <w:szCs w:val="32"/>
        </w:rPr>
      </w:pPr>
      <w:r>
        <w:rPr>
          <w:rFonts w:hint="eastAsia" w:eastAsia="楷体"/>
          <w:sz w:val="32"/>
          <w:szCs w:val="32"/>
        </w:rPr>
        <w:t>2．机构情况：</w:t>
      </w:r>
      <w:r>
        <w:rPr>
          <w:rFonts w:hint="eastAsia" w:ascii="楷体" w:hAnsi="楷体" w:eastAsia="楷体" w:cs="楷体"/>
          <w:sz w:val="32"/>
          <w:szCs w:val="32"/>
        </w:rPr>
        <w:t>隶属于衡阳市生态环境局二级机构，是市财政全额拨款的公益性事业单位，独立编制独立核算。</w:t>
      </w:r>
    </w:p>
    <w:p>
      <w:pPr>
        <w:spacing w:line="560" w:lineRule="exact"/>
        <w:ind w:firstLine="640" w:firstLineChars="200"/>
        <w:rPr>
          <w:rFonts w:ascii="楷体" w:hAnsi="楷体" w:eastAsia="楷体" w:cs="楷体"/>
          <w:sz w:val="32"/>
          <w:szCs w:val="32"/>
        </w:rPr>
      </w:pPr>
      <w:r>
        <w:rPr>
          <w:rFonts w:hint="eastAsia" w:eastAsia="楷体"/>
          <w:sz w:val="32"/>
          <w:szCs w:val="32"/>
        </w:rPr>
        <w:t>3．人员</w:t>
      </w:r>
      <w:bookmarkStart w:id="0" w:name="_GoBack"/>
      <w:bookmarkEnd w:id="0"/>
      <w:r>
        <w:rPr>
          <w:rFonts w:hint="eastAsia" w:eastAsia="楷体"/>
          <w:sz w:val="32"/>
          <w:szCs w:val="32"/>
        </w:rPr>
        <w:t>情况：</w:t>
      </w:r>
      <w:r>
        <w:rPr>
          <w:rFonts w:hint="eastAsia" w:ascii="楷体" w:hAnsi="楷体" w:eastAsia="楷体" w:cs="楷体"/>
          <w:sz w:val="32"/>
          <w:szCs w:val="32"/>
        </w:rPr>
        <w:t>全额拨款事业编制人员25人，临时聘用人员</w:t>
      </w:r>
      <w:r>
        <w:rPr>
          <w:rFonts w:hint="eastAsia" w:ascii="楷体" w:hAnsi="楷体" w:eastAsia="楷体" w:cs="楷体"/>
          <w:sz w:val="32"/>
          <w:szCs w:val="32"/>
          <w:lang w:val="en-US" w:eastAsia="zh-CN"/>
        </w:rPr>
        <w:t>2</w:t>
      </w:r>
      <w:r>
        <w:rPr>
          <w:rFonts w:hint="eastAsia" w:ascii="楷体" w:hAnsi="楷体" w:eastAsia="楷体" w:cs="楷体"/>
          <w:sz w:val="32"/>
          <w:szCs w:val="32"/>
        </w:rPr>
        <w:t>人，现有职工25人。2021年年末共有25人。</w:t>
      </w:r>
    </w:p>
    <w:p>
      <w:pPr>
        <w:pStyle w:val="16"/>
        <w:widowControl/>
        <w:spacing w:line="560" w:lineRule="exact"/>
        <w:ind w:firstLine="640"/>
        <w:rPr>
          <w:rFonts w:eastAsia="黑体"/>
          <w:sz w:val="32"/>
          <w:szCs w:val="32"/>
        </w:rPr>
      </w:pPr>
      <w:r>
        <w:rPr>
          <w:rFonts w:hint="eastAsia" w:eastAsia="黑体"/>
          <w:sz w:val="32"/>
          <w:szCs w:val="32"/>
        </w:rPr>
        <w:t>二、一般公共预算支出情况</w:t>
      </w:r>
    </w:p>
    <w:p>
      <w:pPr>
        <w:pStyle w:val="16"/>
        <w:widowControl/>
        <w:spacing w:line="560" w:lineRule="exact"/>
        <w:ind w:firstLine="643"/>
        <w:rPr>
          <w:rFonts w:eastAsia="楷体"/>
          <w:b/>
          <w:sz w:val="32"/>
          <w:szCs w:val="32"/>
        </w:rPr>
      </w:pPr>
      <w:r>
        <w:rPr>
          <w:rFonts w:hint="eastAsia" w:eastAsia="楷体"/>
          <w:b/>
          <w:sz w:val="32"/>
          <w:szCs w:val="32"/>
        </w:rPr>
        <w:t>（一）基本支出情况</w:t>
      </w:r>
    </w:p>
    <w:p>
      <w:pPr>
        <w:pStyle w:val="16"/>
        <w:widowControl/>
        <w:spacing w:line="560" w:lineRule="exact"/>
        <w:ind w:firstLine="640"/>
        <w:rPr>
          <w:rFonts w:eastAsia="楷体"/>
          <w:sz w:val="32"/>
          <w:szCs w:val="32"/>
        </w:rPr>
      </w:pPr>
      <w:r>
        <w:rPr>
          <w:rFonts w:hint="eastAsia" w:eastAsia="楷体"/>
          <w:sz w:val="32"/>
          <w:szCs w:val="32"/>
        </w:rPr>
        <w:t>衡阳市环境保护局</w:t>
      </w:r>
      <w:r>
        <w:rPr>
          <w:rFonts w:hint="eastAsia" w:eastAsia="楷体"/>
          <w:sz w:val="32"/>
          <w:szCs w:val="32"/>
          <w:lang w:eastAsia="zh-CN"/>
        </w:rPr>
        <w:t>珠晖</w:t>
      </w:r>
      <w:r>
        <w:rPr>
          <w:rFonts w:hint="eastAsia" w:eastAsia="楷体"/>
          <w:sz w:val="32"/>
          <w:szCs w:val="32"/>
        </w:rPr>
        <w:t>分局2021年全年一般公共预算支出基本支出总计</w:t>
      </w:r>
      <w:r>
        <w:rPr>
          <w:rFonts w:hint="eastAsia" w:eastAsia="楷体"/>
          <w:sz w:val="32"/>
          <w:szCs w:val="32"/>
          <w:lang w:val="en-US" w:eastAsia="zh-CN"/>
        </w:rPr>
        <w:t>5260136.74</w:t>
      </w:r>
      <w:r>
        <w:rPr>
          <w:rFonts w:hint="eastAsia" w:eastAsia="楷体"/>
          <w:sz w:val="32"/>
          <w:szCs w:val="32"/>
        </w:rPr>
        <w:t>元，其中包括以下几个方面：</w:t>
      </w:r>
    </w:p>
    <w:p>
      <w:pPr>
        <w:pStyle w:val="16"/>
        <w:widowControl/>
        <w:spacing w:line="560" w:lineRule="exact"/>
        <w:ind w:firstLine="640"/>
        <w:rPr>
          <w:rFonts w:eastAsia="楷体"/>
          <w:sz w:val="32"/>
          <w:szCs w:val="32"/>
        </w:rPr>
      </w:pPr>
      <w:r>
        <w:rPr>
          <w:rFonts w:hint="eastAsia" w:eastAsia="楷体"/>
          <w:sz w:val="32"/>
          <w:szCs w:val="32"/>
        </w:rPr>
        <w:t>1、工资福利支出</w:t>
      </w:r>
      <w:r>
        <w:rPr>
          <w:rFonts w:hint="eastAsia" w:eastAsia="楷体"/>
          <w:sz w:val="32"/>
          <w:szCs w:val="32"/>
          <w:lang w:val="en-US" w:eastAsia="zh-CN"/>
        </w:rPr>
        <w:t>3979072.55</w:t>
      </w:r>
      <w:r>
        <w:rPr>
          <w:rFonts w:hint="eastAsia" w:eastAsia="楷体"/>
          <w:sz w:val="32"/>
          <w:szCs w:val="32"/>
        </w:rPr>
        <w:t>元，</w:t>
      </w:r>
    </w:p>
    <w:p>
      <w:pPr>
        <w:pStyle w:val="16"/>
        <w:widowControl/>
        <w:spacing w:line="560" w:lineRule="exact"/>
        <w:ind w:firstLine="640"/>
        <w:rPr>
          <w:rFonts w:eastAsia="楷体"/>
          <w:sz w:val="32"/>
          <w:szCs w:val="32"/>
        </w:rPr>
      </w:pPr>
      <w:r>
        <w:rPr>
          <w:rFonts w:hint="eastAsia" w:eastAsia="楷体"/>
          <w:sz w:val="32"/>
          <w:szCs w:val="32"/>
        </w:rPr>
        <w:t>2、商品和服务支出</w:t>
      </w:r>
      <w:r>
        <w:rPr>
          <w:rFonts w:hint="eastAsia" w:eastAsia="楷体"/>
          <w:sz w:val="32"/>
          <w:szCs w:val="32"/>
          <w:lang w:val="en-US" w:eastAsia="zh-CN"/>
        </w:rPr>
        <w:t>1155539.19</w:t>
      </w:r>
      <w:r>
        <w:rPr>
          <w:rFonts w:hint="eastAsia" w:eastAsia="楷体"/>
          <w:sz w:val="32"/>
          <w:szCs w:val="32"/>
        </w:rPr>
        <w:t>元，</w:t>
      </w:r>
    </w:p>
    <w:p>
      <w:pPr>
        <w:pStyle w:val="16"/>
        <w:widowControl/>
        <w:spacing w:line="560" w:lineRule="exact"/>
        <w:ind w:firstLine="640"/>
        <w:rPr>
          <w:rFonts w:eastAsia="楷体"/>
          <w:sz w:val="32"/>
          <w:szCs w:val="32"/>
        </w:rPr>
      </w:pPr>
      <w:r>
        <w:rPr>
          <w:rFonts w:hint="eastAsia" w:eastAsia="楷体"/>
          <w:sz w:val="32"/>
          <w:szCs w:val="32"/>
        </w:rPr>
        <w:t>3、对个人及家庭的补助</w:t>
      </w:r>
      <w:r>
        <w:rPr>
          <w:rFonts w:hint="eastAsia" w:eastAsia="楷体"/>
          <w:sz w:val="32"/>
          <w:szCs w:val="32"/>
          <w:lang w:val="en-US" w:eastAsia="zh-CN"/>
        </w:rPr>
        <w:t>27660</w:t>
      </w:r>
      <w:r>
        <w:rPr>
          <w:rFonts w:hint="eastAsia" w:eastAsia="楷体"/>
          <w:sz w:val="32"/>
          <w:szCs w:val="32"/>
        </w:rPr>
        <w:t>元。</w:t>
      </w:r>
    </w:p>
    <w:p>
      <w:pPr>
        <w:pStyle w:val="16"/>
        <w:widowControl/>
        <w:spacing w:line="560" w:lineRule="exact"/>
        <w:ind w:firstLine="640"/>
        <w:rPr>
          <w:rFonts w:eastAsia="楷体"/>
          <w:sz w:val="32"/>
          <w:szCs w:val="32"/>
        </w:rPr>
      </w:pPr>
      <w:r>
        <w:rPr>
          <w:rFonts w:hint="eastAsia" w:eastAsia="楷体"/>
          <w:sz w:val="32"/>
          <w:szCs w:val="32"/>
        </w:rPr>
        <w:t xml:space="preserve">4、资本性支出 </w:t>
      </w:r>
      <w:r>
        <w:rPr>
          <w:rFonts w:hint="eastAsia" w:eastAsia="楷体"/>
          <w:sz w:val="32"/>
          <w:szCs w:val="32"/>
          <w:lang w:val="en-US" w:eastAsia="zh-CN"/>
        </w:rPr>
        <w:t>97865</w:t>
      </w:r>
      <w:r>
        <w:rPr>
          <w:rFonts w:hint="eastAsia" w:eastAsia="楷体"/>
          <w:sz w:val="32"/>
          <w:szCs w:val="32"/>
        </w:rPr>
        <w:t>元。</w:t>
      </w:r>
    </w:p>
    <w:p>
      <w:pPr>
        <w:pStyle w:val="16"/>
        <w:widowControl/>
        <w:spacing w:line="560" w:lineRule="exact"/>
        <w:ind w:firstLine="643"/>
        <w:rPr>
          <w:rFonts w:eastAsia="楷体"/>
          <w:b/>
          <w:sz w:val="32"/>
          <w:szCs w:val="32"/>
        </w:rPr>
      </w:pPr>
      <w:r>
        <w:rPr>
          <w:rFonts w:hint="eastAsia" w:eastAsia="楷体"/>
          <w:b/>
          <w:sz w:val="32"/>
          <w:szCs w:val="32"/>
        </w:rPr>
        <w:t>（二）项目支出</w:t>
      </w:r>
    </w:p>
    <w:p>
      <w:pPr>
        <w:pStyle w:val="16"/>
        <w:widowControl/>
        <w:spacing w:line="560" w:lineRule="exact"/>
        <w:ind w:firstLine="640"/>
        <w:rPr>
          <w:rFonts w:eastAsia="楷体"/>
          <w:sz w:val="32"/>
          <w:szCs w:val="32"/>
        </w:rPr>
      </w:pPr>
      <w:r>
        <w:rPr>
          <w:rFonts w:hint="eastAsia" w:eastAsia="楷体"/>
          <w:sz w:val="32"/>
          <w:szCs w:val="32"/>
        </w:rPr>
        <w:t>2021年全年一般公共预算项目总支出为</w:t>
      </w:r>
      <w:r>
        <w:rPr>
          <w:rFonts w:hint="eastAsia" w:eastAsia="楷体"/>
          <w:color w:val="000000" w:themeColor="text1"/>
          <w:sz w:val="32"/>
          <w:szCs w:val="32"/>
          <w:lang w:val="en-US" w:eastAsia="zh-CN"/>
        </w:rPr>
        <w:t>2124946.14</w:t>
      </w:r>
      <w:r>
        <w:rPr>
          <w:rFonts w:hint="eastAsia" w:eastAsia="楷体"/>
          <w:sz w:val="32"/>
          <w:szCs w:val="32"/>
        </w:rPr>
        <w:t>元。</w:t>
      </w:r>
    </w:p>
    <w:p>
      <w:pPr>
        <w:pStyle w:val="16"/>
        <w:widowControl/>
        <w:spacing w:line="560" w:lineRule="exact"/>
        <w:ind w:firstLine="640"/>
        <w:rPr>
          <w:rFonts w:eastAsia="黑体"/>
          <w:sz w:val="32"/>
          <w:szCs w:val="32"/>
        </w:rPr>
      </w:pPr>
      <w:r>
        <w:rPr>
          <w:rFonts w:hint="eastAsia" w:eastAsia="黑体"/>
          <w:sz w:val="32"/>
          <w:szCs w:val="32"/>
        </w:rPr>
        <w:t>三、政府性基金预算支出情况</w:t>
      </w:r>
    </w:p>
    <w:p>
      <w:pPr>
        <w:pStyle w:val="16"/>
        <w:widowControl/>
        <w:spacing w:line="560" w:lineRule="exact"/>
        <w:ind w:firstLine="640"/>
        <w:rPr>
          <w:rFonts w:eastAsia="黑体"/>
          <w:sz w:val="32"/>
          <w:szCs w:val="32"/>
        </w:rPr>
      </w:pPr>
      <w:r>
        <w:rPr>
          <w:rFonts w:hint="eastAsia" w:eastAsia="黑体"/>
          <w:sz w:val="32"/>
          <w:szCs w:val="32"/>
        </w:rPr>
        <w:t>政府性基金预算支出情况无</w:t>
      </w:r>
    </w:p>
    <w:p>
      <w:pPr>
        <w:pStyle w:val="16"/>
        <w:widowControl/>
        <w:spacing w:line="560" w:lineRule="exact"/>
        <w:ind w:firstLine="640"/>
        <w:rPr>
          <w:rFonts w:eastAsia="黑体"/>
          <w:sz w:val="32"/>
          <w:szCs w:val="32"/>
        </w:rPr>
      </w:pPr>
      <w:r>
        <w:rPr>
          <w:rFonts w:hint="eastAsia" w:eastAsia="黑体"/>
          <w:sz w:val="32"/>
          <w:szCs w:val="32"/>
        </w:rPr>
        <w:t>四、国有资本经营预算支出情况</w:t>
      </w:r>
    </w:p>
    <w:p>
      <w:pPr>
        <w:pStyle w:val="16"/>
        <w:widowControl/>
        <w:spacing w:line="560" w:lineRule="exact"/>
        <w:ind w:firstLine="640"/>
        <w:rPr>
          <w:rFonts w:eastAsia="黑体"/>
          <w:sz w:val="32"/>
          <w:szCs w:val="32"/>
        </w:rPr>
      </w:pPr>
      <w:r>
        <w:rPr>
          <w:rFonts w:hint="eastAsia" w:eastAsia="黑体"/>
          <w:sz w:val="32"/>
          <w:szCs w:val="32"/>
        </w:rPr>
        <w:t>国有资本经营预算支出情况无</w:t>
      </w:r>
    </w:p>
    <w:p>
      <w:pPr>
        <w:pStyle w:val="16"/>
        <w:widowControl/>
        <w:spacing w:line="560" w:lineRule="exact"/>
        <w:ind w:firstLine="640"/>
        <w:rPr>
          <w:rFonts w:eastAsia="黑体"/>
          <w:sz w:val="32"/>
          <w:szCs w:val="32"/>
        </w:rPr>
      </w:pPr>
      <w:r>
        <w:rPr>
          <w:rFonts w:hint="eastAsia" w:eastAsia="黑体"/>
          <w:sz w:val="32"/>
          <w:szCs w:val="32"/>
        </w:rPr>
        <w:t>五、社会保险基金预算支出情况</w:t>
      </w:r>
    </w:p>
    <w:p>
      <w:pPr>
        <w:pStyle w:val="16"/>
        <w:widowControl/>
        <w:spacing w:line="560" w:lineRule="exact"/>
        <w:ind w:firstLine="640"/>
        <w:rPr>
          <w:rFonts w:eastAsia="黑体"/>
          <w:sz w:val="32"/>
          <w:szCs w:val="32"/>
        </w:rPr>
      </w:pPr>
      <w:r>
        <w:rPr>
          <w:rFonts w:hint="eastAsia" w:eastAsia="黑体"/>
          <w:sz w:val="32"/>
          <w:szCs w:val="32"/>
        </w:rPr>
        <w:t>社会保险基金预算支出情况无</w:t>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pStyle w:val="16"/>
        <w:widowControl/>
        <w:spacing w:line="560" w:lineRule="exact"/>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pPr>
        <w:pStyle w:val="16"/>
        <w:widowControl/>
        <w:spacing w:line="560" w:lineRule="exact"/>
        <w:ind w:firstLine="640"/>
        <w:rPr>
          <w:rFonts w:eastAsia="黑体"/>
          <w:sz w:val="32"/>
          <w:szCs w:val="32"/>
        </w:rPr>
      </w:pPr>
      <w:r>
        <w:rPr>
          <w:rFonts w:hint="eastAsia" w:eastAsia="黑体"/>
          <w:sz w:val="32"/>
          <w:szCs w:val="32"/>
        </w:rPr>
        <w:t>七、存在的问题及原因分析</w:t>
      </w:r>
    </w:p>
    <w:p>
      <w:pPr>
        <w:pStyle w:val="16"/>
        <w:widowControl/>
        <w:spacing w:line="560" w:lineRule="exact"/>
        <w:ind w:firstLine="640"/>
        <w:rPr>
          <w:rFonts w:hint="eastAsia" w:eastAsia="楷体"/>
          <w:sz w:val="32"/>
          <w:szCs w:val="32"/>
          <w:lang w:val="en-US" w:eastAsia="zh-CN"/>
        </w:rPr>
      </w:pPr>
      <w:r>
        <w:rPr>
          <w:rFonts w:hint="eastAsia" w:eastAsia="楷体"/>
          <w:sz w:val="32"/>
          <w:szCs w:val="32"/>
        </w:rPr>
        <w:t>2021年我局财政预算资金收入为</w:t>
      </w:r>
      <w:r>
        <w:rPr>
          <w:rFonts w:hint="eastAsia" w:eastAsia="楷体"/>
          <w:sz w:val="32"/>
          <w:szCs w:val="32"/>
          <w:lang w:val="en-US" w:eastAsia="zh-CN"/>
        </w:rPr>
        <w:t>4277500</w:t>
      </w:r>
      <w:r>
        <w:rPr>
          <w:rFonts w:hint="eastAsia" w:eastAsia="楷体"/>
          <w:sz w:val="32"/>
          <w:szCs w:val="32"/>
        </w:rPr>
        <w:t>元，其他收入</w:t>
      </w:r>
      <w:r>
        <w:rPr>
          <w:rFonts w:hint="eastAsia" w:eastAsia="楷体"/>
          <w:sz w:val="32"/>
          <w:szCs w:val="32"/>
          <w:lang w:val="en-US" w:eastAsia="zh-CN"/>
        </w:rPr>
        <w:t>98547</w:t>
      </w:r>
      <w:r>
        <w:rPr>
          <w:rFonts w:hint="eastAsia" w:eastAsia="楷体"/>
          <w:sz w:val="32"/>
          <w:szCs w:val="32"/>
        </w:rPr>
        <w:t>元；实际支出</w:t>
      </w:r>
      <w:r>
        <w:rPr>
          <w:rFonts w:hint="eastAsia" w:eastAsia="楷体"/>
          <w:sz w:val="32"/>
          <w:szCs w:val="32"/>
          <w:lang w:val="en-US" w:eastAsia="zh-CN"/>
        </w:rPr>
        <w:t>7385082.88</w:t>
      </w:r>
      <w:r>
        <w:rPr>
          <w:rFonts w:hint="eastAsia" w:eastAsia="楷体"/>
          <w:sz w:val="32"/>
          <w:szCs w:val="32"/>
        </w:rPr>
        <w:t>元，</w:t>
      </w:r>
      <w:r>
        <w:rPr>
          <w:rFonts w:hint="eastAsia" w:eastAsia="楷体"/>
          <w:sz w:val="32"/>
          <w:szCs w:val="32"/>
          <w:lang w:eastAsia="zh-CN"/>
        </w:rPr>
        <w:t>除去项目支出</w:t>
      </w:r>
      <w:r>
        <w:rPr>
          <w:rFonts w:hint="eastAsia" w:eastAsia="楷体"/>
          <w:sz w:val="32"/>
          <w:szCs w:val="32"/>
          <w:lang w:val="en-US" w:eastAsia="zh-CN"/>
        </w:rPr>
        <w:t>2124946.14外，</w:t>
      </w:r>
      <w:r>
        <w:rPr>
          <w:rFonts w:hint="eastAsia" w:eastAsia="楷体"/>
          <w:sz w:val="32"/>
          <w:szCs w:val="32"/>
        </w:rPr>
        <w:t>经费缺口</w:t>
      </w:r>
      <w:r>
        <w:rPr>
          <w:rFonts w:hint="eastAsia" w:eastAsia="楷体"/>
          <w:sz w:val="32"/>
          <w:szCs w:val="32"/>
          <w:lang w:val="en-US" w:eastAsia="zh-CN"/>
        </w:rPr>
        <w:t>982636.74</w:t>
      </w:r>
      <w:r>
        <w:rPr>
          <w:rFonts w:hint="eastAsia" w:eastAsia="楷体"/>
          <w:sz w:val="32"/>
          <w:szCs w:val="32"/>
        </w:rPr>
        <w:t>元</w:t>
      </w:r>
      <w:r>
        <w:rPr>
          <w:rFonts w:hint="eastAsia" w:eastAsia="楷体"/>
          <w:sz w:val="32"/>
          <w:szCs w:val="32"/>
          <w:lang w:eastAsia="zh-CN"/>
        </w:rPr>
        <w:t>。</w:t>
      </w:r>
    </w:p>
    <w:p>
      <w:pPr>
        <w:pStyle w:val="16"/>
        <w:widowControl/>
        <w:spacing w:line="560" w:lineRule="exact"/>
        <w:ind w:firstLine="640"/>
        <w:rPr>
          <w:rFonts w:eastAsia="楷体"/>
          <w:sz w:val="32"/>
          <w:szCs w:val="32"/>
        </w:rPr>
      </w:pPr>
      <w:r>
        <w:rPr>
          <w:rFonts w:hint="eastAsia" w:eastAsia="楷体"/>
          <w:sz w:val="32"/>
          <w:szCs w:val="32"/>
        </w:rPr>
        <w:t>经费缺口无保障主要原因：1、衡阳市环境保护局</w:t>
      </w:r>
      <w:r>
        <w:rPr>
          <w:rFonts w:hint="eastAsia" w:eastAsia="楷体"/>
          <w:sz w:val="32"/>
          <w:szCs w:val="32"/>
          <w:lang w:eastAsia="zh-CN"/>
        </w:rPr>
        <w:t>珠晖</w:t>
      </w:r>
      <w:r>
        <w:rPr>
          <w:rFonts w:hint="eastAsia" w:eastAsia="楷体"/>
          <w:sz w:val="32"/>
          <w:szCs w:val="32"/>
        </w:rPr>
        <w:t>分局所隶属于衡阳市生态环境局二级机构，属于全额拔款单位，全年预算单位运行经费存在缺口。</w:t>
      </w:r>
    </w:p>
    <w:p>
      <w:pPr>
        <w:pStyle w:val="16"/>
        <w:widowControl/>
        <w:spacing w:line="560" w:lineRule="exact"/>
        <w:ind w:firstLine="640"/>
        <w:rPr>
          <w:rFonts w:eastAsia="楷体"/>
          <w:sz w:val="32"/>
          <w:szCs w:val="32"/>
        </w:rPr>
      </w:pPr>
      <w:r>
        <w:rPr>
          <w:rFonts w:hint="eastAsia" w:eastAsia="楷体"/>
          <w:sz w:val="32"/>
          <w:szCs w:val="32"/>
        </w:rPr>
        <w:t xml:space="preserve"> 2、衡阳市环境保护局</w:t>
      </w:r>
      <w:r>
        <w:rPr>
          <w:rFonts w:hint="eastAsia" w:eastAsia="楷体"/>
          <w:sz w:val="32"/>
          <w:szCs w:val="32"/>
          <w:lang w:eastAsia="zh-CN"/>
        </w:rPr>
        <w:t>珠晖</w:t>
      </w:r>
      <w:r>
        <w:rPr>
          <w:rFonts w:hint="eastAsia" w:eastAsia="楷体"/>
          <w:sz w:val="32"/>
          <w:szCs w:val="32"/>
        </w:rPr>
        <w:t>分局自2018年取消了排污费收费业务后，收入来源严重短缺。</w:t>
      </w:r>
    </w:p>
    <w:p>
      <w:pPr>
        <w:pStyle w:val="16"/>
        <w:widowControl/>
        <w:spacing w:line="560" w:lineRule="exact"/>
        <w:ind w:firstLine="640"/>
        <w:rPr>
          <w:rFonts w:eastAsia="楷体"/>
          <w:sz w:val="32"/>
          <w:szCs w:val="32"/>
        </w:rPr>
      </w:pPr>
      <w:r>
        <w:rPr>
          <w:rFonts w:hint="eastAsia" w:eastAsia="楷体"/>
          <w:sz w:val="32"/>
          <w:szCs w:val="32"/>
        </w:rPr>
        <w:t>采取的措施：响应财政局“以事养人”的原则，积极承担辖区内</w:t>
      </w:r>
      <w:r>
        <w:rPr>
          <w:rFonts w:hint="eastAsia" w:ascii="楷体" w:hAnsi="楷体" w:eastAsia="楷体" w:cs="楷体"/>
          <w:sz w:val="32"/>
          <w:szCs w:val="32"/>
        </w:rPr>
        <w:t>环境保护提供监管保障，环境违法行为的查处</w:t>
      </w:r>
      <w:r>
        <w:rPr>
          <w:rFonts w:hint="eastAsia" w:eastAsia="楷体"/>
          <w:sz w:val="32"/>
          <w:szCs w:val="32"/>
        </w:rPr>
        <w:t>工作。</w:t>
      </w:r>
    </w:p>
    <w:p>
      <w:pPr>
        <w:widowControl/>
        <w:spacing w:line="560" w:lineRule="exact"/>
        <w:ind w:firstLine="640" w:firstLineChars="200"/>
        <w:rPr>
          <w:rFonts w:eastAsia="黑体"/>
          <w:sz w:val="32"/>
          <w:szCs w:val="32"/>
        </w:rPr>
      </w:pPr>
      <w:r>
        <w:rPr>
          <w:rFonts w:hint="eastAsia" w:eastAsia="黑体"/>
          <w:sz w:val="32"/>
          <w:szCs w:val="32"/>
        </w:rPr>
        <w:t>八、改进措施和有关建议</w:t>
      </w:r>
    </w:p>
    <w:p>
      <w:pPr>
        <w:pStyle w:val="16"/>
        <w:widowControl/>
        <w:spacing w:line="560" w:lineRule="exact"/>
        <w:ind w:firstLine="640"/>
        <w:rPr>
          <w:rFonts w:eastAsia="楷体"/>
          <w:sz w:val="32"/>
          <w:szCs w:val="32"/>
        </w:rPr>
      </w:pPr>
      <w:r>
        <w:rPr>
          <w:rFonts w:hint="eastAsia" w:eastAsia="楷体"/>
          <w:sz w:val="32"/>
          <w:szCs w:val="32"/>
        </w:rPr>
        <w:t>1.科学合理编制预算，严格执行预算。</w:t>
      </w:r>
    </w:p>
    <w:p>
      <w:pPr>
        <w:pStyle w:val="16"/>
        <w:widowControl/>
        <w:spacing w:line="560" w:lineRule="exact"/>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16"/>
        <w:widowControl/>
        <w:spacing w:line="560" w:lineRule="exact"/>
        <w:ind w:firstLine="640"/>
        <w:rPr>
          <w:rFonts w:eastAsia="楷体"/>
          <w:sz w:val="32"/>
          <w:szCs w:val="32"/>
        </w:rPr>
      </w:pPr>
      <w:r>
        <w:rPr>
          <w:rFonts w:hint="eastAsia" w:eastAsia="楷体"/>
          <w:sz w:val="32"/>
          <w:szCs w:val="32"/>
        </w:rPr>
        <w:t>2.完善管理制度，进一步加强资产管理。</w:t>
      </w:r>
    </w:p>
    <w:p>
      <w:pPr>
        <w:pStyle w:val="16"/>
        <w:widowControl/>
        <w:spacing w:line="560" w:lineRule="exact"/>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16"/>
        <w:widowControl/>
        <w:spacing w:line="560" w:lineRule="exact"/>
        <w:ind w:firstLine="640"/>
        <w:rPr>
          <w:rFonts w:eastAsia="楷体"/>
          <w:sz w:val="32"/>
          <w:szCs w:val="32"/>
        </w:rPr>
      </w:pPr>
      <w:r>
        <w:rPr>
          <w:rFonts w:hint="eastAsia" w:eastAsia="楷体"/>
          <w:sz w:val="32"/>
          <w:szCs w:val="32"/>
        </w:rPr>
        <w:t>3.加强新行政单位会计制度和新预算法学习培训。</w:t>
      </w:r>
    </w:p>
    <w:p>
      <w:pPr>
        <w:pStyle w:val="16"/>
        <w:widowControl/>
        <w:spacing w:line="560" w:lineRule="exact"/>
        <w:ind w:firstLine="640"/>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pPr>
        <w:widowControl/>
        <w:spacing w:line="560" w:lineRule="exact"/>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pPr>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7"/>
        <w:tblW w:w="10337" w:type="dxa"/>
        <w:jc w:val="center"/>
        <w:tblLayout w:type="fixed"/>
        <w:tblCellMar>
          <w:top w:w="0" w:type="dxa"/>
          <w:left w:w="108" w:type="dxa"/>
          <w:bottom w:w="0" w:type="dxa"/>
          <w:right w:w="108" w:type="dxa"/>
        </w:tblCellMar>
      </w:tblPr>
      <w:tblGrid>
        <w:gridCol w:w="1202"/>
        <w:gridCol w:w="840"/>
        <w:gridCol w:w="1185"/>
        <w:gridCol w:w="1665"/>
        <w:gridCol w:w="1091"/>
        <w:gridCol w:w="184"/>
        <w:gridCol w:w="836"/>
        <w:gridCol w:w="409"/>
        <w:gridCol w:w="765"/>
        <w:gridCol w:w="705"/>
        <w:gridCol w:w="225"/>
        <w:gridCol w:w="1230"/>
      </w:tblGrid>
      <w:tr>
        <w:tblPrEx>
          <w:tblCellMar>
            <w:top w:w="0" w:type="dxa"/>
            <w:left w:w="108" w:type="dxa"/>
            <w:bottom w:w="0" w:type="dxa"/>
            <w:right w:w="108" w:type="dxa"/>
          </w:tblCellMar>
        </w:tblPrEx>
        <w:trPr>
          <w:trHeight w:val="549" w:hRule="atLeast"/>
          <w:jc w:val="center"/>
        </w:trPr>
        <w:tc>
          <w:tcPr>
            <w:tcW w:w="10337"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10337"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tblPrEx>
          <w:tblCellMar>
            <w:top w:w="0" w:type="dxa"/>
            <w:left w:w="108" w:type="dxa"/>
            <w:bottom w:w="0" w:type="dxa"/>
            <w:right w:w="108" w:type="dxa"/>
          </w:tblCellMar>
        </w:tblPrEx>
        <w:trPr>
          <w:trHeight w:val="480" w:hRule="atLeast"/>
          <w:jc w:val="center"/>
        </w:trPr>
        <w:tc>
          <w:tcPr>
            <w:tcW w:w="1202"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衡阳市环境保护局</w:t>
            </w:r>
            <w:r>
              <w:rPr>
                <w:rFonts w:hint="eastAsia" w:ascii="Times New Roman" w:hAnsi="Times New Roman" w:eastAsia="仿宋_GB2312"/>
                <w:color w:val="000000"/>
                <w:kern w:val="0"/>
                <w:szCs w:val="21"/>
                <w:lang w:eastAsia="zh-CN"/>
              </w:rPr>
              <w:t>珠晖</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174" w:type="dxa"/>
            <w:gridSpan w:val="2"/>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202"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themeColor="text1"/>
                <w:kern w:val="0"/>
                <w:szCs w:val="21"/>
                <w:lang w:val="en-US" w:eastAsia="zh-CN"/>
              </w:rPr>
              <w:t>427.75</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lang w:val="en-US" w:eastAsia="zh-CN"/>
              </w:rPr>
              <w:t>427.75</w:t>
            </w:r>
          </w:p>
        </w:tc>
        <w:tc>
          <w:tcPr>
            <w:tcW w:w="117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hint="eastAsia"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rPr>
              <w:t>1</w:t>
            </w:r>
            <w:r>
              <w:rPr>
                <w:rFonts w:hint="eastAsia" w:ascii="Times New Roman" w:hAnsi="Times New Roman" w:eastAsia="仿宋_GB2312"/>
                <w:color w:val="000000" w:themeColor="text1"/>
                <w:kern w:val="0"/>
                <w:szCs w:val="21"/>
                <w:lang w:val="en-US" w:eastAsia="zh-CN"/>
              </w:rPr>
              <w:t>0</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w:t>
            </w:r>
          </w:p>
        </w:tc>
      </w:tr>
      <w:tr>
        <w:tblPrEx>
          <w:tblCellMar>
            <w:top w:w="0" w:type="dxa"/>
            <w:left w:w="108" w:type="dxa"/>
            <w:bottom w:w="0" w:type="dxa"/>
            <w:right w:w="108" w:type="dxa"/>
          </w:tblCellMar>
        </w:tblPrEx>
        <w:trPr>
          <w:trHeight w:val="370" w:hRule="atLeast"/>
          <w:jc w:val="center"/>
        </w:trPr>
        <w:tc>
          <w:tcPr>
            <w:tcW w:w="1202"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lang w:val="en-US" w:eastAsia="zh-CN"/>
              </w:rPr>
              <w:t>427.75</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按指出性质分：</w:t>
            </w:r>
            <w:r>
              <w:rPr>
                <w:rFonts w:hint="eastAsia" w:ascii="Times New Roman" w:hAnsi="Times New Roman" w:eastAsia="仿宋_GB2312"/>
                <w:color w:val="000000" w:themeColor="text1"/>
                <w:kern w:val="0"/>
                <w:szCs w:val="21"/>
                <w:lang w:val="en-US" w:eastAsia="zh-CN"/>
              </w:rPr>
              <w:t>427.75</w:t>
            </w:r>
          </w:p>
        </w:tc>
      </w:tr>
      <w:tr>
        <w:tblPrEx>
          <w:tblCellMar>
            <w:top w:w="0" w:type="dxa"/>
            <w:left w:w="108" w:type="dxa"/>
            <w:bottom w:w="0" w:type="dxa"/>
            <w:right w:w="108" w:type="dxa"/>
          </w:tblCellMar>
        </w:tblPrEx>
        <w:trPr>
          <w:trHeight w:val="355" w:hRule="atLeast"/>
          <w:jc w:val="center"/>
        </w:trPr>
        <w:tc>
          <w:tcPr>
            <w:tcW w:w="1202"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themeColor="text1"/>
                <w:kern w:val="0"/>
                <w:szCs w:val="21"/>
                <w:lang w:val="en-US" w:eastAsia="zh-CN"/>
              </w:rPr>
              <w:t>427.75</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themeColor="text1"/>
                <w:kern w:val="0"/>
                <w:szCs w:val="21"/>
                <w:lang w:val="en-US" w:eastAsia="zh-CN"/>
              </w:rPr>
              <w:t>427.75</w:t>
            </w:r>
          </w:p>
        </w:tc>
      </w:tr>
      <w:tr>
        <w:tblPrEx>
          <w:tblCellMar>
            <w:top w:w="0" w:type="dxa"/>
            <w:left w:w="108" w:type="dxa"/>
            <w:bottom w:w="0" w:type="dxa"/>
            <w:right w:w="108" w:type="dxa"/>
          </w:tblCellMar>
        </w:tblPrEx>
        <w:trPr>
          <w:trHeight w:val="385" w:hRule="atLeast"/>
          <w:jc w:val="center"/>
        </w:trPr>
        <w:tc>
          <w:tcPr>
            <w:tcW w:w="1202"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themeColor="text1"/>
                <w:kern w:val="0"/>
                <w:szCs w:val="21"/>
                <w:lang w:val="en-US" w:eastAsia="zh-CN"/>
              </w:rPr>
              <w:t>0</w:t>
            </w:r>
          </w:p>
        </w:tc>
      </w:tr>
      <w:tr>
        <w:tblPrEx>
          <w:tblCellMar>
            <w:top w:w="0" w:type="dxa"/>
            <w:left w:w="108" w:type="dxa"/>
            <w:bottom w:w="0" w:type="dxa"/>
            <w:right w:w="108" w:type="dxa"/>
          </w:tblCellMar>
        </w:tblPrEx>
        <w:trPr>
          <w:trHeight w:val="385" w:hRule="atLeast"/>
          <w:jc w:val="center"/>
        </w:trPr>
        <w:tc>
          <w:tcPr>
            <w:tcW w:w="1202"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202"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themeColor="text1"/>
                <w:kern w:val="0"/>
                <w:szCs w:val="21"/>
                <w:lang w:val="en-US" w:eastAsia="zh-CN"/>
              </w:rPr>
              <w:t>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72" w:hRule="atLeast"/>
          <w:jc w:val="center"/>
        </w:trPr>
        <w:tc>
          <w:tcPr>
            <w:tcW w:w="12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913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从事为环境保护提供监管保障。环境违法行为的查处，水体、大气、土壤、噪音、光、恶臭、机动车等污染和防治及监管，主要污染物排放的总量控制，固体废物的监管。</w:t>
            </w:r>
          </w:p>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2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913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预算执行,强力推动水、气、土三大攻坚战，完成湘江保护和治理“一号重点工程”，实施大气污染防治项目，加快污水处理厂及配套管网建设，和乡镇千吨万人以上集中式饮用水源保护区建设。二氧化硫、氮氧化物、化学需氧量、氨氮排放量年度减排任务全部完成，保障珠晖区空气质量水平，提高人民生活居住环境，符合国家发展需求。</w:t>
            </w:r>
          </w:p>
        </w:tc>
      </w:tr>
      <w:tr>
        <w:tblPrEx>
          <w:tblCellMar>
            <w:top w:w="0" w:type="dxa"/>
            <w:left w:w="108" w:type="dxa"/>
            <w:bottom w:w="0" w:type="dxa"/>
            <w:right w:w="108" w:type="dxa"/>
          </w:tblCellMar>
        </w:tblPrEx>
        <w:trPr>
          <w:trHeight w:val="495" w:hRule="atLeast"/>
          <w:jc w:val="center"/>
        </w:trPr>
        <w:tc>
          <w:tcPr>
            <w:tcW w:w="120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2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974"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6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155个排污口</w:t>
            </w:r>
          </w:p>
        </w:tc>
        <w:tc>
          <w:tcPr>
            <w:tcW w:w="127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155个排污口</w:t>
            </w:r>
          </w:p>
        </w:tc>
        <w:tc>
          <w:tcPr>
            <w:tcW w:w="1245" w:type="dxa"/>
            <w:gridSpan w:val="2"/>
            <w:tcBorders>
              <w:top w:val="single" w:color="auto" w:sz="4" w:space="0"/>
              <w:left w:val="nil"/>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155</w:t>
            </w:r>
          </w:p>
        </w:tc>
        <w:tc>
          <w:tcPr>
            <w:tcW w:w="765" w:type="dxa"/>
            <w:tcBorders>
              <w:top w:val="single" w:color="auto" w:sz="4" w:space="0"/>
              <w:left w:val="nil"/>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10</w:t>
            </w:r>
          </w:p>
        </w:tc>
        <w:tc>
          <w:tcPr>
            <w:tcW w:w="705" w:type="dxa"/>
            <w:tcBorders>
              <w:top w:val="single" w:color="auto" w:sz="4" w:space="0"/>
              <w:left w:val="nil"/>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455" w:type="dxa"/>
            <w:gridSpan w:val="2"/>
            <w:tcBorders>
              <w:top w:val="single" w:color="auto" w:sz="4" w:space="0"/>
              <w:left w:val="nil"/>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lang w:eastAsia="zh-CN"/>
              </w:rPr>
              <w:t>无偏差</w:t>
            </w:r>
          </w:p>
        </w:tc>
      </w:tr>
      <w:tr>
        <w:tblPrEx>
          <w:tblCellMar>
            <w:top w:w="0" w:type="dxa"/>
            <w:left w:w="108" w:type="dxa"/>
            <w:bottom w:w="0" w:type="dxa"/>
            <w:right w:w="108" w:type="dxa"/>
          </w:tblCellMar>
        </w:tblPrEx>
        <w:trPr>
          <w:trHeight w:val="744"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6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珠晖区空气质量比上年提升</w:t>
            </w:r>
          </w:p>
        </w:tc>
        <w:tc>
          <w:tcPr>
            <w:tcW w:w="127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珠晖区空气质量比上年提升</w:t>
            </w:r>
          </w:p>
        </w:tc>
        <w:tc>
          <w:tcPr>
            <w:tcW w:w="124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珠晖区空气质量比上年提升</w:t>
            </w:r>
          </w:p>
        </w:tc>
        <w:tc>
          <w:tcPr>
            <w:tcW w:w="7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05" w:type="dxa"/>
            <w:tcBorders>
              <w:top w:val="single" w:color="auto" w:sz="4" w:space="0"/>
              <w:left w:val="nil"/>
              <w:right w:val="single" w:color="auto" w:sz="4" w:space="0"/>
            </w:tcBorders>
            <w:shd w:val="clear" w:color="auto" w:fill="auto"/>
            <w:noWrap/>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9</w:t>
            </w:r>
          </w:p>
        </w:tc>
        <w:tc>
          <w:tcPr>
            <w:tcW w:w="1455" w:type="dxa"/>
            <w:gridSpan w:val="2"/>
            <w:tcBorders>
              <w:top w:val="single" w:color="auto" w:sz="4" w:space="0"/>
              <w:left w:val="nil"/>
              <w:right w:val="single" w:color="auto" w:sz="4" w:space="0"/>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669"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6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127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水土气各项都按时计划完成</w:t>
            </w:r>
          </w:p>
        </w:tc>
        <w:tc>
          <w:tcPr>
            <w:tcW w:w="124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7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05" w:type="dxa"/>
            <w:tcBorders>
              <w:top w:val="single" w:color="auto" w:sz="4" w:space="0"/>
              <w:left w:val="nil"/>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14</w:t>
            </w:r>
          </w:p>
        </w:tc>
        <w:tc>
          <w:tcPr>
            <w:tcW w:w="1455" w:type="dxa"/>
            <w:gridSpan w:val="2"/>
            <w:tcBorders>
              <w:top w:val="single" w:color="auto" w:sz="4" w:space="0"/>
              <w:left w:val="nil"/>
              <w:right w:val="single" w:color="auto" w:sz="4" w:space="0"/>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148"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665" w:type="dxa"/>
            <w:tcBorders>
              <w:top w:val="single" w:color="auto" w:sz="4" w:space="0"/>
              <w:left w:val="nil"/>
              <w:right w:val="single" w:color="auto" w:sz="4" w:space="0"/>
            </w:tcBorders>
            <w:shd w:val="clear" w:color="auto" w:fill="auto"/>
            <w:noWrap/>
            <w:vAlign w:val="center"/>
          </w:tcPr>
          <w:p>
            <w:pPr>
              <w:widowControl/>
              <w:jc w:val="left"/>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427.75</w:t>
            </w:r>
          </w:p>
        </w:tc>
        <w:tc>
          <w:tcPr>
            <w:tcW w:w="1275" w:type="dxa"/>
            <w:gridSpan w:val="2"/>
            <w:tcBorders>
              <w:top w:val="single" w:color="auto" w:sz="4" w:space="0"/>
              <w:left w:val="nil"/>
              <w:right w:val="single" w:color="auto" w:sz="4" w:space="0"/>
            </w:tcBorders>
            <w:shd w:val="clear" w:color="auto" w:fill="auto"/>
            <w:noWrap/>
            <w:vAlign w:val="center"/>
          </w:tcPr>
          <w:p>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427.75</w:t>
            </w:r>
          </w:p>
        </w:tc>
        <w:tc>
          <w:tcPr>
            <w:tcW w:w="1245" w:type="dxa"/>
            <w:gridSpan w:val="2"/>
            <w:tcBorders>
              <w:top w:val="single" w:color="auto" w:sz="4" w:space="0"/>
              <w:left w:val="nil"/>
              <w:right w:val="single" w:color="auto" w:sz="4" w:space="0"/>
            </w:tcBorders>
            <w:shd w:val="clear" w:color="auto" w:fill="auto"/>
            <w:noWrap/>
            <w:vAlign w:val="center"/>
          </w:tcPr>
          <w:p>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427.75</w:t>
            </w:r>
          </w:p>
        </w:tc>
        <w:tc>
          <w:tcPr>
            <w:tcW w:w="765" w:type="dxa"/>
            <w:tcBorders>
              <w:top w:val="single" w:color="auto" w:sz="4" w:space="0"/>
              <w:left w:val="nil"/>
              <w:right w:val="single" w:color="auto" w:sz="4" w:space="0"/>
            </w:tcBorders>
            <w:shd w:val="clear" w:color="auto" w:fill="auto"/>
            <w:noWrap/>
            <w:vAlign w:val="center"/>
          </w:tcPr>
          <w:p>
            <w:pPr>
              <w:widowControl/>
              <w:jc w:val="both"/>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705" w:type="dxa"/>
            <w:tcBorders>
              <w:top w:val="single" w:color="auto" w:sz="4" w:space="0"/>
              <w:left w:val="nil"/>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455" w:type="dxa"/>
            <w:gridSpan w:val="2"/>
            <w:tcBorders>
              <w:top w:val="single" w:color="auto" w:sz="4" w:space="0"/>
              <w:left w:val="nil"/>
              <w:right w:val="single" w:color="auto" w:sz="4" w:space="0"/>
            </w:tcBorders>
            <w:shd w:val="clear" w:color="auto" w:fill="auto"/>
            <w:noWrap/>
            <w:vAlign w:val="center"/>
          </w:tcPr>
          <w:p>
            <w:pPr>
              <w:widowControl/>
              <w:jc w:val="both"/>
              <w:rPr>
                <w:rFonts w:hint="eastAsia" w:eastAsia="宋体"/>
                <w:color w:val="000000"/>
                <w:kern w:val="0"/>
                <w:sz w:val="18"/>
                <w:szCs w:val="18"/>
                <w:lang w:eastAsia="zh-CN"/>
              </w:rPr>
            </w:pPr>
            <w:r>
              <w:rPr>
                <w:rFonts w:hint="eastAsia"/>
                <w:color w:val="000000"/>
                <w:kern w:val="0"/>
                <w:sz w:val="18"/>
                <w:szCs w:val="18"/>
                <w:lang w:eastAsia="zh-CN"/>
              </w:rPr>
              <w:t>无偏差</w:t>
            </w:r>
          </w:p>
        </w:tc>
      </w:tr>
      <w:tr>
        <w:tblPrEx>
          <w:tblCellMar>
            <w:top w:w="0" w:type="dxa"/>
            <w:left w:w="108" w:type="dxa"/>
            <w:bottom w:w="0" w:type="dxa"/>
            <w:right w:w="108" w:type="dxa"/>
          </w:tblCellMar>
        </w:tblPrEx>
        <w:trPr>
          <w:trHeight w:val="340"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8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6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4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120"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6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协助市局推进环评与排污许可“放管服”改革</w:t>
            </w:r>
            <w:r>
              <w:rPr>
                <w:rFonts w:ascii="Times New Roman" w:hAnsi="Times New Roman" w:eastAsia="仿宋_GB2312"/>
                <w:color w:val="000000"/>
                <w:kern w:val="0"/>
                <w:szCs w:val="21"/>
              </w:rPr>
              <w:t>……</w:t>
            </w:r>
          </w:p>
        </w:tc>
        <w:tc>
          <w:tcPr>
            <w:tcW w:w="127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提高企业手续办理时效</w:t>
            </w:r>
          </w:p>
        </w:tc>
        <w:tc>
          <w:tcPr>
            <w:tcW w:w="124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按要求按时完成技术审核</w:t>
            </w:r>
          </w:p>
        </w:tc>
        <w:tc>
          <w:tcPr>
            <w:tcW w:w="76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0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45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541" w:hRule="atLeast"/>
          <w:jc w:val="center"/>
        </w:trPr>
        <w:tc>
          <w:tcPr>
            <w:tcW w:w="1202"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665" w:type="dxa"/>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强化环评与排污许可事中事后监管</w:t>
            </w:r>
          </w:p>
        </w:tc>
        <w:tc>
          <w:tcPr>
            <w:tcW w:w="1275" w:type="dxa"/>
            <w:gridSpan w:val="2"/>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筑牢绿水青山第一道防线</w:t>
            </w:r>
          </w:p>
        </w:tc>
        <w:tc>
          <w:tcPr>
            <w:tcW w:w="1245" w:type="dxa"/>
            <w:gridSpan w:val="2"/>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05"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455" w:type="dxa"/>
            <w:gridSpan w:val="2"/>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tblPrEx>
          <w:tblCellMar>
            <w:top w:w="0" w:type="dxa"/>
            <w:left w:w="108" w:type="dxa"/>
            <w:bottom w:w="0" w:type="dxa"/>
            <w:right w:w="108" w:type="dxa"/>
          </w:tblCellMar>
        </w:tblPrEx>
        <w:trPr>
          <w:trHeight w:val="307" w:hRule="atLeast"/>
          <w:jc w:val="center"/>
        </w:trPr>
        <w:tc>
          <w:tcPr>
            <w:tcW w:w="1202"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85"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105" w:hRule="atLeast"/>
          <w:jc w:val="center"/>
        </w:trPr>
        <w:tc>
          <w:tcPr>
            <w:tcW w:w="1202"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85"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6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7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02" w:hRule="atLeast"/>
          <w:jc w:val="center"/>
        </w:trPr>
        <w:tc>
          <w:tcPr>
            <w:tcW w:w="1202"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84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85"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665"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275"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245"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05"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455" w:type="dxa"/>
            <w:gridSpan w:val="2"/>
            <w:tcBorders>
              <w:top w:val="nil"/>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tblPrEx>
          <w:tblCellMar>
            <w:top w:w="0" w:type="dxa"/>
            <w:left w:w="108" w:type="dxa"/>
            <w:bottom w:w="0" w:type="dxa"/>
            <w:right w:w="108" w:type="dxa"/>
          </w:tblCellMar>
        </w:tblPrEx>
        <w:trPr>
          <w:trHeight w:val="609" w:hRule="atLeast"/>
          <w:jc w:val="center"/>
        </w:trPr>
        <w:tc>
          <w:tcPr>
            <w:tcW w:w="741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9</w:t>
            </w:r>
            <w:r>
              <w:rPr>
                <w:rFonts w:hint="eastAsia" w:ascii="Times New Roman" w:hAnsi="Times New Roman" w:eastAsia="仿宋_GB2312"/>
                <w:color w:val="000000"/>
                <w:kern w:val="0"/>
                <w:szCs w:val="21"/>
                <w:lang w:val="en-US" w:eastAsia="zh-CN"/>
              </w:rPr>
              <w:t>8</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邹芙蓉</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2022.3.9</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2892746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周平扬</w:t>
      </w: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p>
    <w:p>
      <w:pPr>
        <w:spacing w:line="560" w:lineRule="exact"/>
        <w:ind w:firstLine="640" w:firstLineChars="200"/>
        <w:rPr>
          <w:rFonts w:ascii="Times New Roman" w:hAnsi="Times New Roman" w:eastAsia="仿宋"/>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p>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79" w:type="dxa"/>
        <w:jc w:val="center"/>
        <w:tblLayout w:type="fixed"/>
        <w:tblCellMar>
          <w:top w:w="0" w:type="dxa"/>
          <w:left w:w="108" w:type="dxa"/>
          <w:bottom w:w="0" w:type="dxa"/>
          <w:right w:w="108" w:type="dxa"/>
        </w:tblCellMar>
      </w:tblPr>
      <w:tblGrid>
        <w:gridCol w:w="3359"/>
        <w:gridCol w:w="2041"/>
        <w:gridCol w:w="2244"/>
        <w:gridCol w:w="1835"/>
      </w:tblGrid>
      <w:tr>
        <w:tblPrEx>
          <w:tblCellMar>
            <w:top w:w="0" w:type="dxa"/>
            <w:left w:w="108" w:type="dxa"/>
            <w:bottom w:w="0" w:type="dxa"/>
            <w:right w:w="108" w:type="dxa"/>
          </w:tblCellMar>
        </w:tblPrEx>
        <w:trPr>
          <w:trHeight w:val="246" w:hRule="atLeast"/>
          <w:jc w:val="center"/>
        </w:trPr>
        <w:tc>
          <w:tcPr>
            <w:tcW w:w="33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21年实际在职人数</w:t>
            </w:r>
          </w:p>
        </w:tc>
        <w:tc>
          <w:tcPr>
            <w:tcW w:w="18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tblPrEx>
          <w:tblCellMar>
            <w:top w:w="0" w:type="dxa"/>
            <w:left w:w="108" w:type="dxa"/>
            <w:bottom w:w="0" w:type="dxa"/>
            <w:right w:w="108" w:type="dxa"/>
          </w:tblCellMar>
        </w:tblPrEx>
        <w:trPr>
          <w:trHeight w:val="197" w:hRule="atLeast"/>
          <w:jc w:val="center"/>
        </w:trPr>
        <w:tc>
          <w:tcPr>
            <w:tcW w:w="3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41"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3</w:t>
            </w:r>
            <w:r>
              <w:rPr>
                <w:rFonts w:hint="eastAsia" w:ascii="Times New Roman" w:hAnsi="Times New Roman"/>
                <w:kern w:val="0"/>
                <w:szCs w:val="21"/>
                <w:lang w:val="en-US" w:eastAsia="zh-CN"/>
              </w:rPr>
              <w:t>1</w:t>
            </w:r>
          </w:p>
        </w:tc>
        <w:tc>
          <w:tcPr>
            <w:tcW w:w="22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25</w:t>
            </w:r>
          </w:p>
        </w:tc>
        <w:tc>
          <w:tcPr>
            <w:tcW w:w="18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80%</w:t>
            </w:r>
          </w:p>
        </w:tc>
      </w:tr>
      <w:tr>
        <w:tblPrEx>
          <w:tblCellMar>
            <w:top w:w="0" w:type="dxa"/>
            <w:left w:w="108" w:type="dxa"/>
            <w:bottom w:w="0" w:type="dxa"/>
            <w:right w:w="108" w:type="dxa"/>
          </w:tblCellMar>
        </w:tblPrEx>
        <w:trPr>
          <w:trHeight w:val="445"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21年预算数</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470.89</w:t>
            </w:r>
          </w:p>
        </w:tc>
        <w:tc>
          <w:tcPr>
            <w:tcW w:w="2244" w:type="dxa"/>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440.02</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526.13</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46.56</w:t>
            </w:r>
          </w:p>
        </w:tc>
        <w:tc>
          <w:tcPr>
            <w:tcW w:w="2244" w:type="dxa"/>
            <w:tcBorders>
              <w:top w:val="single" w:color="auto" w:sz="4" w:space="0"/>
              <w:left w:val="nil"/>
              <w:bottom w:val="single" w:color="auto" w:sz="4" w:space="0"/>
              <w:right w:val="single" w:color="000000" w:sz="4" w:space="0"/>
            </w:tcBorders>
            <w:vAlign w:val="center"/>
          </w:tcPr>
          <w:p>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37.5</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81.22</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6.63</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6.5</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10.57</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6.03</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5.5</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9.41</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0.2</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color w:val="000000" w:themeColor="text1"/>
                <w:kern w:val="0"/>
                <w:szCs w:val="21"/>
                <w:lang w:eastAsia="zh-CN"/>
              </w:rPr>
            </w:pPr>
            <w:r>
              <w:rPr>
                <w:rFonts w:hint="eastAsia" w:ascii="Times New Roman" w:hAnsi="Times New Roman" w:eastAsiaTheme="minorEastAsia"/>
                <w:color w:val="000000" w:themeColor="text1"/>
                <w:kern w:val="0"/>
                <w:szCs w:val="21"/>
                <w:lang w:val="en-US" w:eastAsia="zh-CN"/>
              </w:rPr>
              <w:t>1</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0.65</w:t>
            </w: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r>
      <w:tr>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18.86</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30.5</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18.81</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11.89</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12</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rPr>
              <w:t>11.</w:t>
            </w:r>
            <w:r>
              <w:rPr>
                <w:rFonts w:hint="eastAsia" w:ascii="Times New Roman" w:hAnsi="Times New Roman"/>
                <w:color w:val="000000" w:themeColor="text1"/>
                <w:kern w:val="0"/>
                <w:szCs w:val="21"/>
                <w:lang w:val="en-US" w:eastAsia="zh-CN"/>
              </w:rPr>
              <w:t>86</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6.97</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18.5</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6.95</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154.4</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212.49</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FF0000"/>
                <w:kern w:val="0"/>
                <w:szCs w:val="21"/>
              </w:rPr>
            </w:pP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ind w:firstLine="105" w:firstLineChars="50"/>
              <w:rPr>
                <w:rFonts w:ascii="Times New Roman" w:hAnsi="Times New Roman" w:eastAsia="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color w:val="FF0000"/>
                <w:kern w:val="0"/>
                <w:szCs w:val="21"/>
              </w:rPr>
            </w:pP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kern w:val="0"/>
                <w:szCs w:val="21"/>
              </w:rPr>
              <w:t>节能环保</w:t>
            </w:r>
          </w:p>
        </w:tc>
        <w:tc>
          <w:tcPr>
            <w:tcW w:w="204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154.4</w:t>
            </w:r>
          </w:p>
        </w:tc>
        <w:tc>
          <w:tcPr>
            <w:tcW w:w="224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212.49</w:t>
            </w:r>
          </w:p>
        </w:tc>
      </w:tr>
      <w:tr>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kern w:val="0"/>
                <w:szCs w:val="21"/>
              </w:rPr>
            </w:pPr>
          </w:p>
        </w:tc>
        <w:tc>
          <w:tcPr>
            <w:tcW w:w="2244" w:type="dxa"/>
            <w:tcBorders>
              <w:top w:val="single" w:color="auto" w:sz="4" w:space="0"/>
              <w:left w:val="nil"/>
              <w:bottom w:val="single" w:color="auto" w:sz="4" w:space="0"/>
              <w:right w:val="single" w:color="000000" w:sz="4" w:space="0"/>
            </w:tcBorders>
            <w:vAlign w:val="center"/>
          </w:tcPr>
          <w:p>
            <w:pPr>
              <w:widowControl/>
              <w:rPr>
                <w:rFonts w:ascii="Times New Roman" w:hAnsi="Times New Roman" w:eastAsiaTheme="minorEastAsia"/>
                <w:kern w:val="0"/>
                <w:szCs w:val="21"/>
              </w:rPr>
            </w:pPr>
          </w:p>
        </w:tc>
        <w:tc>
          <w:tcPr>
            <w:tcW w:w="183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063" w:hRule="atLeast"/>
          <w:jc w:val="center"/>
        </w:trPr>
        <w:tc>
          <w:tcPr>
            <w:tcW w:w="33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2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本单位在保障基本运转的前提下，大力提倡厉行节约，全年无公务出国费用，严格控制公务接待费。　</w:t>
            </w:r>
          </w:p>
        </w:tc>
      </w:tr>
    </w:tbl>
    <w:p>
      <w:pPr>
        <w:widowControl/>
        <w:jc w:val="left"/>
        <w:rPr>
          <w:rFonts w:hint="eastAsia" w:ascii="仿宋_GB2312" w:hAnsi="Times New Roman" w:eastAsia="仿宋_GB2312"/>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Times New Roman" w:hAnsi="Times New Roman" w:eastAsiaTheme="minorEastAsia"/>
          <w:kern w:val="0"/>
          <w:sz w:val="22"/>
        </w:rPr>
        <w:t xml:space="preserve">   </w:t>
      </w:r>
      <w:r>
        <w:rPr>
          <w:rFonts w:hint="eastAsia" w:ascii="仿宋_GB2312" w:hAnsi="Times New Roman" w:eastAsia="仿宋_GB2312"/>
          <w:sz w:val="32"/>
          <w:szCs w:val="32"/>
        </w:rPr>
        <w:t xml:space="preserve">附件4 </w:t>
      </w:r>
    </w:p>
    <w:p>
      <w:pPr>
        <w:widowControl/>
        <w:ind w:firstLine="2520" w:firstLineChars="7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7"/>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节能环保支出</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eastAsia="zh-CN"/>
              </w:rPr>
              <w:t>周平扬</w:t>
            </w:r>
            <w:r>
              <w:rPr>
                <w:rFonts w:hint="eastAsia" w:ascii="Times New Roman" w:hAnsi="Times New Roman"/>
                <w:color w:val="000000"/>
                <w:kern w:val="0"/>
                <w:szCs w:val="21"/>
                <w:lang w:val="en-US" w:eastAsia="zh-CN"/>
              </w:rPr>
              <w:t>2892746</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衡阳市生态环境局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衡阳市环境保护局</w:t>
            </w:r>
            <w:r>
              <w:rPr>
                <w:rFonts w:hint="eastAsia" w:ascii="Times New Roman" w:hAnsi="Times New Roman"/>
                <w:color w:val="000000"/>
                <w:kern w:val="0"/>
                <w:szCs w:val="21"/>
                <w:lang w:eastAsia="zh-CN"/>
              </w:rPr>
              <w:t>珠晖</w:t>
            </w:r>
            <w:r>
              <w:rPr>
                <w:rFonts w:hint="eastAsia" w:ascii="Times New Roman" w:hAnsi="Times New Roman"/>
                <w:color w:val="000000"/>
                <w:kern w:val="0"/>
                <w:szCs w:val="21"/>
              </w:rPr>
              <w:t>分局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lang w:val="en-US" w:eastAsia="zh-CN"/>
              </w:rPr>
              <w:t>212.49</w:t>
            </w:r>
            <w:r>
              <w:rPr>
                <w:rFonts w:hint="eastAsia" w:ascii="Times New Roman" w:hAnsi="Times New Roman"/>
                <w:color w:val="000000" w:themeColor="text1"/>
                <w:kern w:val="0"/>
                <w:szCs w:val="21"/>
              </w:rPr>
              <w:t>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FF0000"/>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lang w:val="en-US" w:eastAsia="zh-CN"/>
              </w:rPr>
              <w:t>212.49</w:t>
            </w:r>
            <w:r>
              <w:rPr>
                <w:rFonts w:hint="eastAsia" w:ascii="Times New Roman" w:hAnsi="Times New Roman"/>
                <w:color w:val="000000" w:themeColor="text1"/>
                <w:kern w:val="0"/>
                <w:szCs w:val="21"/>
              </w:rPr>
              <w:t>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指标值</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2个大气污染防治项目、155个排污口</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2个大气污染防治项目、155个排污口</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nil"/>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nil"/>
              <w:right w:val="single" w:color="auto" w:sz="4" w:space="0"/>
            </w:tcBorders>
            <w:noWrap/>
            <w:vAlign w:val="center"/>
          </w:tcPr>
          <w:p>
            <w:pPr>
              <w:widowControl/>
              <w:rPr>
                <w:rFonts w:ascii="宋体" w:hAnsi="宋体" w:cs="宋体"/>
                <w:color w:val="000000"/>
                <w:kern w:val="0"/>
                <w:szCs w:val="21"/>
              </w:rPr>
            </w:pP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nil"/>
              <w:right w:val="single" w:color="auto" w:sz="4" w:space="0"/>
            </w:tcBorders>
            <w:noWrap/>
            <w:vAlign w:val="center"/>
          </w:tcPr>
          <w:p>
            <w:pPr>
              <w:widowControl/>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212.49</w:t>
            </w:r>
          </w:p>
        </w:tc>
        <w:tc>
          <w:tcPr>
            <w:tcW w:w="1105" w:type="dxa"/>
            <w:gridSpan w:val="2"/>
            <w:tcBorders>
              <w:top w:val="single" w:color="auto" w:sz="4" w:space="0"/>
              <w:left w:val="nil"/>
              <w:bottom w:val="nil"/>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845"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8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10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3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84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27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105"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98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845"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277"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105" w:type="dxa"/>
            <w:gridSpan w:val="2"/>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984" w:type="dxa"/>
            <w:tcBorders>
              <w:top w:val="single" w:color="auto" w:sz="4" w:space="0"/>
              <w:left w:val="nil"/>
              <w:bottom w:val="nil"/>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6"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rPr>
          <w:rFonts w:ascii="Times New Roman" w:hAnsi="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- 8 -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553EF"/>
    <w:rsid w:val="000003CE"/>
    <w:rsid w:val="00005903"/>
    <w:rsid w:val="00012C93"/>
    <w:rsid w:val="00042E0A"/>
    <w:rsid w:val="00047F84"/>
    <w:rsid w:val="000576D3"/>
    <w:rsid w:val="00063C01"/>
    <w:rsid w:val="000734E3"/>
    <w:rsid w:val="00075A0A"/>
    <w:rsid w:val="000773D5"/>
    <w:rsid w:val="00080625"/>
    <w:rsid w:val="00093B9D"/>
    <w:rsid w:val="00094646"/>
    <w:rsid w:val="0009693E"/>
    <w:rsid w:val="000A4F26"/>
    <w:rsid w:val="000B198C"/>
    <w:rsid w:val="000D2C41"/>
    <w:rsid w:val="000D797C"/>
    <w:rsid w:val="000F775C"/>
    <w:rsid w:val="001202E2"/>
    <w:rsid w:val="00125025"/>
    <w:rsid w:val="00135395"/>
    <w:rsid w:val="00156241"/>
    <w:rsid w:val="00184AF2"/>
    <w:rsid w:val="00184FD6"/>
    <w:rsid w:val="00192C8B"/>
    <w:rsid w:val="00193BE4"/>
    <w:rsid w:val="001B56F4"/>
    <w:rsid w:val="001B69B6"/>
    <w:rsid w:val="001B772F"/>
    <w:rsid w:val="001C3152"/>
    <w:rsid w:val="001D51B4"/>
    <w:rsid w:val="001E72C3"/>
    <w:rsid w:val="001F7E2A"/>
    <w:rsid w:val="001F7E8F"/>
    <w:rsid w:val="0020617B"/>
    <w:rsid w:val="002175AB"/>
    <w:rsid w:val="00222171"/>
    <w:rsid w:val="002238BB"/>
    <w:rsid w:val="002320EB"/>
    <w:rsid w:val="00245E69"/>
    <w:rsid w:val="00261A26"/>
    <w:rsid w:val="00264F99"/>
    <w:rsid w:val="0026532B"/>
    <w:rsid w:val="0027341E"/>
    <w:rsid w:val="002734F8"/>
    <w:rsid w:val="00282157"/>
    <w:rsid w:val="002A1848"/>
    <w:rsid w:val="002E75D6"/>
    <w:rsid w:val="002F028F"/>
    <w:rsid w:val="002F05A3"/>
    <w:rsid w:val="002F703C"/>
    <w:rsid w:val="003115C2"/>
    <w:rsid w:val="003126FC"/>
    <w:rsid w:val="0032265F"/>
    <w:rsid w:val="00323CF3"/>
    <w:rsid w:val="0032533F"/>
    <w:rsid w:val="00327792"/>
    <w:rsid w:val="00331CB2"/>
    <w:rsid w:val="00336605"/>
    <w:rsid w:val="00354BCF"/>
    <w:rsid w:val="003655C9"/>
    <w:rsid w:val="00371658"/>
    <w:rsid w:val="003763E1"/>
    <w:rsid w:val="00384BCE"/>
    <w:rsid w:val="00386D93"/>
    <w:rsid w:val="00395AA2"/>
    <w:rsid w:val="003B6814"/>
    <w:rsid w:val="003B7F5C"/>
    <w:rsid w:val="003E1FD6"/>
    <w:rsid w:val="003F7EAF"/>
    <w:rsid w:val="004148E0"/>
    <w:rsid w:val="00417CBA"/>
    <w:rsid w:val="004217FE"/>
    <w:rsid w:val="00422C2A"/>
    <w:rsid w:val="00430997"/>
    <w:rsid w:val="004548A9"/>
    <w:rsid w:val="00455F36"/>
    <w:rsid w:val="00474A27"/>
    <w:rsid w:val="00474AD0"/>
    <w:rsid w:val="00481E94"/>
    <w:rsid w:val="00487AC5"/>
    <w:rsid w:val="00496F05"/>
    <w:rsid w:val="004C0C59"/>
    <w:rsid w:val="004E57B7"/>
    <w:rsid w:val="004F4295"/>
    <w:rsid w:val="005010B5"/>
    <w:rsid w:val="00541A59"/>
    <w:rsid w:val="00551D43"/>
    <w:rsid w:val="005522E1"/>
    <w:rsid w:val="00555FFA"/>
    <w:rsid w:val="00562EEB"/>
    <w:rsid w:val="00564823"/>
    <w:rsid w:val="0056660C"/>
    <w:rsid w:val="005851E9"/>
    <w:rsid w:val="00586559"/>
    <w:rsid w:val="00594AEE"/>
    <w:rsid w:val="005C60D5"/>
    <w:rsid w:val="00637CE2"/>
    <w:rsid w:val="00661738"/>
    <w:rsid w:val="006906AF"/>
    <w:rsid w:val="006964D9"/>
    <w:rsid w:val="00697D4B"/>
    <w:rsid w:val="006B2BDA"/>
    <w:rsid w:val="006F37DA"/>
    <w:rsid w:val="00704941"/>
    <w:rsid w:val="00705365"/>
    <w:rsid w:val="0071000B"/>
    <w:rsid w:val="007119B1"/>
    <w:rsid w:val="007123D7"/>
    <w:rsid w:val="0074205B"/>
    <w:rsid w:val="00751BF0"/>
    <w:rsid w:val="00753AFA"/>
    <w:rsid w:val="00757006"/>
    <w:rsid w:val="0076487F"/>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F1EAF"/>
    <w:rsid w:val="007F2039"/>
    <w:rsid w:val="00820EEF"/>
    <w:rsid w:val="00821009"/>
    <w:rsid w:val="008242F9"/>
    <w:rsid w:val="00847A3C"/>
    <w:rsid w:val="00866148"/>
    <w:rsid w:val="00875CA8"/>
    <w:rsid w:val="00893AEC"/>
    <w:rsid w:val="0089420D"/>
    <w:rsid w:val="008A04C6"/>
    <w:rsid w:val="008B1760"/>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B1E7E"/>
    <w:rsid w:val="00AB363C"/>
    <w:rsid w:val="00AB6D50"/>
    <w:rsid w:val="00AC12C1"/>
    <w:rsid w:val="00AD4A25"/>
    <w:rsid w:val="00AD7EFB"/>
    <w:rsid w:val="00AF0245"/>
    <w:rsid w:val="00AF15ED"/>
    <w:rsid w:val="00AF1AD7"/>
    <w:rsid w:val="00B215FA"/>
    <w:rsid w:val="00B304A1"/>
    <w:rsid w:val="00B702EE"/>
    <w:rsid w:val="00B76FF3"/>
    <w:rsid w:val="00B834A3"/>
    <w:rsid w:val="00B8758E"/>
    <w:rsid w:val="00B910F1"/>
    <w:rsid w:val="00BC3C98"/>
    <w:rsid w:val="00BC671F"/>
    <w:rsid w:val="00BD4955"/>
    <w:rsid w:val="00BE3C11"/>
    <w:rsid w:val="00C02A71"/>
    <w:rsid w:val="00C03525"/>
    <w:rsid w:val="00C23636"/>
    <w:rsid w:val="00C338B7"/>
    <w:rsid w:val="00C37587"/>
    <w:rsid w:val="00C553EF"/>
    <w:rsid w:val="00C641BD"/>
    <w:rsid w:val="00C64651"/>
    <w:rsid w:val="00C67D46"/>
    <w:rsid w:val="00C71D0A"/>
    <w:rsid w:val="00C737E3"/>
    <w:rsid w:val="00CB5751"/>
    <w:rsid w:val="00CC4373"/>
    <w:rsid w:val="00CD207D"/>
    <w:rsid w:val="00CD7E4E"/>
    <w:rsid w:val="00CF6D84"/>
    <w:rsid w:val="00CF76A2"/>
    <w:rsid w:val="00D17393"/>
    <w:rsid w:val="00D34C90"/>
    <w:rsid w:val="00D75793"/>
    <w:rsid w:val="00D8620A"/>
    <w:rsid w:val="00D91166"/>
    <w:rsid w:val="00D95FAF"/>
    <w:rsid w:val="00DC38FA"/>
    <w:rsid w:val="00DD4AA2"/>
    <w:rsid w:val="00DD58E9"/>
    <w:rsid w:val="00DD5A15"/>
    <w:rsid w:val="00DD5F47"/>
    <w:rsid w:val="00DF0B7A"/>
    <w:rsid w:val="00DF4839"/>
    <w:rsid w:val="00DF732C"/>
    <w:rsid w:val="00E0326A"/>
    <w:rsid w:val="00E15DDC"/>
    <w:rsid w:val="00E25A7B"/>
    <w:rsid w:val="00E323CD"/>
    <w:rsid w:val="00E4161A"/>
    <w:rsid w:val="00E45456"/>
    <w:rsid w:val="00E567D4"/>
    <w:rsid w:val="00E568EB"/>
    <w:rsid w:val="00E63866"/>
    <w:rsid w:val="00E6499E"/>
    <w:rsid w:val="00E66CFE"/>
    <w:rsid w:val="00E8571A"/>
    <w:rsid w:val="00E94B12"/>
    <w:rsid w:val="00EA6A68"/>
    <w:rsid w:val="00EB2368"/>
    <w:rsid w:val="00EB5376"/>
    <w:rsid w:val="00EE097B"/>
    <w:rsid w:val="00F10B3D"/>
    <w:rsid w:val="00F23A42"/>
    <w:rsid w:val="00F31255"/>
    <w:rsid w:val="00F43730"/>
    <w:rsid w:val="00F43C63"/>
    <w:rsid w:val="00F55DE1"/>
    <w:rsid w:val="00F578D5"/>
    <w:rsid w:val="00F870A7"/>
    <w:rsid w:val="00FA2BB2"/>
    <w:rsid w:val="00FB36C0"/>
    <w:rsid w:val="00FC450D"/>
    <w:rsid w:val="00FD081E"/>
    <w:rsid w:val="00FD3E57"/>
    <w:rsid w:val="00FE4826"/>
    <w:rsid w:val="04E24E94"/>
    <w:rsid w:val="0F09674C"/>
    <w:rsid w:val="0F262ACD"/>
    <w:rsid w:val="10C9691D"/>
    <w:rsid w:val="15DA6FC6"/>
    <w:rsid w:val="1B3B6C75"/>
    <w:rsid w:val="2DE47554"/>
    <w:rsid w:val="2E660FDE"/>
    <w:rsid w:val="34EF3B8A"/>
    <w:rsid w:val="3C9F4ACC"/>
    <w:rsid w:val="4A377F3D"/>
    <w:rsid w:val="5DC63529"/>
    <w:rsid w:val="5E411A7A"/>
    <w:rsid w:val="655C62D6"/>
    <w:rsid w:val="712D259A"/>
    <w:rsid w:val="72957E10"/>
    <w:rsid w:val="732E7386"/>
    <w:rsid w:val="7C6D16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locked/>
    <w:uiPriority w:val="99"/>
    <w:rPr>
      <w:rFonts w:cs="Times New Roman"/>
      <w:sz w:val="18"/>
      <w:szCs w:val="18"/>
    </w:rPr>
  </w:style>
  <w:style w:type="character" w:customStyle="1" w:styleId="14">
    <w:name w:val="页眉 Char"/>
    <w:basedOn w:val="8"/>
    <w:link w:val="5"/>
    <w:locked/>
    <w:uiPriority w:val="99"/>
    <w:rPr>
      <w:rFonts w:cs="Times New Roman"/>
      <w:sz w:val="18"/>
      <w:szCs w:val="18"/>
    </w:rPr>
  </w:style>
  <w:style w:type="paragraph" w:customStyle="1" w:styleId="15">
    <w:name w:val="列出段落1"/>
    <w:basedOn w:val="1"/>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628</Words>
  <Characters>3585</Characters>
  <Lines>29</Lines>
  <Paragraphs>8</Paragraphs>
  <TotalTime>10</TotalTime>
  <ScaleCrop>false</ScaleCrop>
  <LinksUpToDate>false</LinksUpToDate>
  <CharactersWithSpaces>4205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Administrator</cp:lastModifiedBy>
  <cp:lastPrinted>2022-03-11T07:54:14Z</cp:lastPrinted>
  <dcterms:modified xsi:type="dcterms:W3CDTF">2022-03-11T07:56:34Z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9A179FA3545E41D2B0AAC26E62AE6328</vt:lpwstr>
  </property>
</Properties>
</file>