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：衡阳市生态环境局祁东分局（盖章）</w:t>
      </w:r>
    </w:p>
    <w:p>
      <w:pPr>
        <w:jc w:val="center"/>
        <w:rPr>
          <w:rFonts w:ascii="Times New Roman" w:hAnsi="Times New Roman"/>
          <w:sz w:val="36"/>
          <w:szCs w:val="36"/>
        </w:rPr>
      </w:pP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ascii="Times New Roman" w:hAnsi="Times New Roman" w:eastAsia="黑体"/>
          <w:sz w:val="36"/>
          <w:szCs w:val="36"/>
        </w:rPr>
        <w:t xml:space="preserve"> </w:t>
      </w: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rPr>
        <w:t>2022</w:t>
      </w:r>
      <w:r>
        <w:rPr>
          <w:rFonts w:ascii="Times New Roman" w:hAnsi="Times New Roman" w:eastAsia="黑体"/>
          <w:sz w:val="32"/>
          <w:szCs w:val="32"/>
        </w:rPr>
        <w:t xml:space="preserve">年 </w:t>
      </w:r>
      <w:r>
        <w:rPr>
          <w:rFonts w:hint="eastAsia" w:ascii="Times New Roman" w:hAnsi="Times New Roman" w:eastAsia="黑体"/>
          <w:sz w:val="32"/>
          <w:szCs w:val="32"/>
        </w:rPr>
        <w:t>3</w:t>
      </w:r>
      <w:r>
        <w:rPr>
          <w:rFonts w:ascii="Times New Roman" w:hAnsi="Times New Roman" w:eastAsia="黑体"/>
          <w:sz w:val="32"/>
          <w:szCs w:val="32"/>
        </w:rPr>
        <w:t xml:space="preserve">月 </w:t>
      </w:r>
      <w:r>
        <w:rPr>
          <w:rFonts w:hint="eastAsia" w:ascii="Times New Roman" w:hAnsi="Times New Roman" w:eastAsia="黑体"/>
          <w:sz w:val="32"/>
          <w:szCs w:val="32"/>
        </w:rPr>
        <w:t xml:space="preserve">26 </w:t>
      </w:r>
      <w:r>
        <w:rPr>
          <w:rFonts w:ascii="Times New Roman" w:hAnsi="Times New Roman" w:eastAsia="黑体"/>
          <w:sz w:val="32"/>
          <w:szCs w:val="32"/>
        </w:rPr>
        <w:t>日</w:t>
      </w:r>
    </w:p>
    <w:p>
      <w:pPr>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衡阳市生态环境局祁东分局</w:t>
      </w:r>
    </w:p>
    <w:p>
      <w:pPr>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整体支出绩效自评报告</w:t>
      </w:r>
    </w:p>
    <w:p>
      <w:pPr>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根据《衡阳市财政局关于开展2021年度预算支出绩效自评工作的通知》精神，我局对2021年度部门整体支出绩效进行了全面、综合评价，现将评价情况报告如下：</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一、部门基本情况</w:t>
      </w:r>
    </w:p>
    <w:p>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（一）部门职责</w:t>
      </w:r>
    </w:p>
    <w:p>
      <w:pPr>
        <w:spacing w:line="560" w:lineRule="exact"/>
        <w:ind w:firstLine="560" w:firstLineChars="200"/>
        <w:rPr>
          <w:rFonts w:ascii="仿宋" w:hAnsi="仿宋" w:eastAsia="仿宋" w:cs="仿宋_GB2312"/>
          <w:kern w:val="0"/>
          <w:sz w:val="28"/>
          <w:szCs w:val="28"/>
        </w:rPr>
      </w:pPr>
      <w:r>
        <w:rPr>
          <w:rFonts w:ascii="仿宋" w:hAnsi="仿宋" w:eastAsia="仿宋" w:cs="仿宋_GB2312"/>
          <w:kern w:val="0"/>
          <w:sz w:val="28"/>
          <w:szCs w:val="28"/>
        </w:rPr>
        <w:t>负责贯彻执行国家、省、市环境保护的方针、政策和法律法规，拟定并监督实施全县环境保护规章制度；贯彻执行国家、省、市有关大气、水体、土壤、噪声、固体废物、有毒化学品、机动车、辐射放射等各类污染源的防治法规、规章和管理办法，监督对生态环境有影响的自然资源开发利用活动、重要生态环境建设和生态破坏恢复工作；指导和协调解决全县重大环境问题，调查处理重大环境污染事故和生态破坏事件。组织全县环境监测网络规划和建设,优化环境监测点位的设置,实施环境质量监测和污染源监督性监测。承办县委、县政府及上级环保部门交办的其他事项。</w:t>
      </w:r>
    </w:p>
    <w:p>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（二）机构设置情况</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衡阳市生态环境局祁东分局内设机构9个，分别为办公室、综合股、机关党（纪）委、自然生态和监测股、固体废物与辐射管理股、土壤生态环境股、大气环境股、水生态环境股、环境影响评价与排放管理股。下设祁东生态环境综合行政执法大队、祁东生态环境监测站、祁东生态环境事务中心。</w:t>
      </w:r>
    </w:p>
    <w:p>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（三）人员编制情况</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衡阳市生态环境局祁东分局行政编制11人，实有人数  14人；事业人员编制103人，实有人数99人。</w:t>
      </w:r>
    </w:p>
    <w:p>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（四）2021年单位工作任务</w:t>
      </w:r>
    </w:p>
    <w:p>
      <w:pPr>
        <w:ind w:firstLine="630"/>
        <w:rPr>
          <w:rFonts w:ascii="仿宋" w:hAnsi="仿宋" w:eastAsia="仿宋" w:cs="仿宋"/>
          <w:sz w:val="28"/>
          <w:szCs w:val="28"/>
        </w:rPr>
      </w:pPr>
      <w:r>
        <w:rPr>
          <w:rFonts w:hint="eastAsia" w:ascii="仿宋" w:hAnsi="仿宋" w:eastAsia="仿宋" w:cs="仿宋"/>
          <w:sz w:val="28"/>
          <w:szCs w:val="28"/>
        </w:rPr>
        <w:t>1、大力强化环境管理工作。</w:t>
      </w:r>
      <w:r>
        <w:rPr>
          <w:rFonts w:hint="eastAsia" w:ascii="仿宋" w:hAnsi="仿宋" w:eastAsia="仿宋" w:cs="楷体_GB2312"/>
          <w:sz w:val="28"/>
          <w:szCs w:val="28"/>
        </w:rPr>
        <w:t>严格落实总量控制要求，</w:t>
      </w:r>
      <w:r>
        <w:rPr>
          <w:rFonts w:hint="eastAsia" w:ascii="仿宋" w:hAnsi="仿宋" w:eastAsia="仿宋"/>
          <w:sz w:val="28"/>
          <w:szCs w:val="28"/>
        </w:rPr>
        <w:t>以“生态保护红线、环境质量底线、资源利用上线和环境准入负面清单”（简称“三线一单”）为手段，强化空间、总量准入环境管理，</w:t>
      </w:r>
      <w:r>
        <w:rPr>
          <w:rFonts w:hint="eastAsia" w:ascii="仿宋" w:hAnsi="仿宋" w:eastAsia="仿宋" w:cs="仿宋"/>
          <w:sz w:val="28"/>
          <w:szCs w:val="28"/>
        </w:rPr>
        <w:t>将区域环境承载力作为产业布局和经济社会可持续发展的红线管理，</w:t>
      </w:r>
      <w:r>
        <w:rPr>
          <w:rFonts w:hint="eastAsia" w:ascii="仿宋" w:hAnsi="仿宋" w:eastAsia="仿宋"/>
          <w:sz w:val="28"/>
          <w:szCs w:val="28"/>
        </w:rPr>
        <w:t>实行源头严控。</w:t>
      </w:r>
      <w:r>
        <w:rPr>
          <w:rFonts w:hint="eastAsia" w:ascii="仿宋" w:hAnsi="仿宋" w:eastAsia="仿宋" w:cs="楷体_GB2312"/>
          <w:sz w:val="28"/>
          <w:szCs w:val="28"/>
        </w:rPr>
        <w:t>严把项目环评审批关和“三同时”验收关。</w:t>
      </w:r>
      <w:r>
        <w:rPr>
          <w:rFonts w:hint="eastAsia" w:ascii="仿宋" w:hAnsi="仿宋" w:eastAsia="仿宋" w:cs="仿宋"/>
          <w:sz w:val="28"/>
          <w:szCs w:val="28"/>
        </w:rPr>
        <w:t>严格环境准入关，坚持“疏”、“堵”结合，执行分级分类审批，严把“三同时”验收关，服务经济社会发展。</w:t>
      </w:r>
    </w:p>
    <w:p>
      <w:pPr>
        <w:ind w:firstLine="560" w:firstLineChars="200"/>
        <w:rPr>
          <w:rFonts w:ascii="仿宋" w:hAnsi="仿宋" w:eastAsia="仿宋" w:cs="宋体"/>
          <w:kern w:val="0"/>
          <w:sz w:val="28"/>
          <w:szCs w:val="28"/>
        </w:rPr>
      </w:pPr>
      <w:r>
        <w:rPr>
          <w:rFonts w:hint="eastAsia" w:ascii="仿宋" w:hAnsi="仿宋" w:eastAsia="仿宋" w:cs="仿宋"/>
          <w:sz w:val="28"/>
          <w:szCs w:val="28"/>
        </w:rPr>
        <w:t>2、扎实推进主要污染物减排。</w:t>
      </w:r>
      <w:r>
        <w:rPr>
          <w:rFonts w:hint="eastAsia" w:ascii="仿宋" w:hAnsi="仿宋" w:eastAsia="仿宋" w:cs="仿宋_GB2312"/>
          <w:kern w:val="0"/>
          <w:sz w:val="28"/>
          <w:szCs w:val="28"/>
        </w:rPr>
        <w:t>通过强力</w:t>
      </w:r>
      <w:r>
        <w:rPr>
          <w:rFonts w:hint="eastAsia" w:ascii="仿宋" w:hAnsi="仿宋" w:eastAsia="仿宋" w:cs="仿宋_GB2312"/>
          <w:sz w:val="28"/>
          <w:szCs w:val="28"/>
        </w:rPr>
        <w:t>推进工程减排、结构减排、管理减排，</w:t>
      </w:r>
      <w:r>
        <w:rPr>
          <w:rFonts w:hint="eastAsia" w:ascii="仿宋" w:hAnsi="仿宋" w:eastAsia="仿宋" w:cs="仿宋_GB2312"/>
          <w:kern w:val="0"/>
          <w:sz w:val="28"/>
          <w:szCs w:val="28"/>
        </w:rPr>
        <w:t>大力开展农业源污染减排，强化主要污染物排放总量管理</w:t>
      </w:r>
      <w:r>
        <w:rPr>
          <w:rFonts w:hint="eastAsia" w:ascii="仿宋" w:hAnsi="仿宋" w:eastAsia="仿宋" w:cs="宋体"/>
          <w:kern w:val="0"/>
          <w:sz w:val="28"/>
          <w:szCs w:val="28"/>
        </w:rPr>
        <w:t>等措施，促成了减排目标任务的达成。</w:t>
      </w:r>
    </w:p>
    <w:p>
      <w:pPr>
        <w:ind w:firstLine="560" w:firstLineChars="200"/>
        <w:rPr>
          <w:rFonts w:ascii="仿宋" w:hAnsi="仿宋" w:eastAsia="仿宋"/>
          <w:spacing w:val="9"/>
          <w:sz w:val="28"/>
          <w:szCs w:val="28"/>
        </w:rPr>
      </w:pPr>
      <w:r>
        <w:rPr>
          <w:rFonts w:hint="eastAsia" w:ascii="仿宋" w:hAnsi="仿宋" w:eastAsia="仿宋" w:cs="宋体"/>
          <w:kern w:val="0"/>
          <w:sz w:val="28"/>
          <w:szCs w:val="28"/>
        </w:rPr>
        <w:t>3、</w:t>
      </w:r>
      <w:r>
        <w:rPr>
          <w:rFonts w:hint="eastAsia" w:ascii="仿宋" w:hAnsi="仿宋" w:eastAsia="仿宋" w:cs="仿宋"/>
          <w:sz w:val="28"/>
          <w:szCs w:val="28"/>
        </w:rPr>
        <w:t>坚决打好污染防治攻坚战。</w:t>
      </w:r>
      <w:r>
        <w:rPr>
          <w:rFonts w:hint="eastAsia" w:ascii="仿宋" w:hAnsi="仿宋" w:eastAsia="仿宋" w:cs="仿宋_GB2312"/>
          <w:bCs/>
          <w:sz w:val="28"/>
          <w:szCs w:val="28"/>
        </w:rPr>
        <w:t>以实施水、大气、土壤污染防治行动计划为载体，着力打好污染防治攻坚战。</w:t>
      </w:r>
      <w:r>
        <w:rPr>
          <w:rFonts w:hint="eastAsia" w:ascii="仿宋" w:hAnsi="仿宋" w:eastAsia="仿宋"/>
          <w:spacing w:val="9"/>
          <w:sz w:val="28"/>
          <w:szCs w:val="28"/>
        </w:rPr>
        <w:t>全力打好清水保卫战。持续推进湘江保护和治理（一号重点工程），进一步</w:t>
      </w:r>
      <w:r>
        <w:rPr>
          <w:rFonts w:hint="eastAsia" w:ascii="仿宋" w:hAnsi="仿宋" w:eastAsia="仿宋"/>
          <w:sz w:val="28"/>
          <w:szCs w:val="28"/>
        </w:rPr>
        <w:t>完善城乡环境基础设施，突出抓好祁水、白河等重点流域保护，</w:t>
      </w:r>
      <w:r>
        <w:rPr>
          <w:rFonts w:hint="eastAsia" w:ascii="仿宋" w:hAnsi="仿宋" w:eastAsia="仿宋"/>
          <w:bCs/>
          <w:sz w:val="28"/>
          <w:szCs w:val="28"/>
        </w:rPr>
        <w:t>深化重点区域、重点行业污染防治，</w:t>
      </w:r>
      <w:r>
        <w:rPr>
          <w:rFonts w:hint="eastAsia" w:ascii="仿宋" w:hAnsi="仿宋" w:eastAsia="仿宋"/>
          <w:spacing w:val="9"/>
          <w:sz w:val="28"/>
          <w:szCs w:val="28"/>
        </w:rPr>
        <w:t>统筹打好</w:t>
      </w:r>
      <w:r>
        <w:rPr>
          <w:rFonts w:hint="eastAsia" w:ascii="仿宋" w:hAnsi="仿宋" w:eastAsia="仿宋"/>
          <w:sz w:val="28"/>
          <w:szCs w:val="28"/>
        </w:rPr>
        <w:t>城市黑臭水体治理、长江保护修复、水源地保护、农业农村污染治理等标志性重大战役</w:t>
      </w:r>
      <w:r>
        <w:rPr>
          <w:rFonts w:hint="eastAsia" w:ascii="仿宋" w:hAnsi="仿宋" w:eastAsia="仿宋"/>
          <w:spacing w:val="9"/>
          <w:sz w:val="28"/>
          <w:szCs w:val="28"/>
        </w:rPr>
        <w:t>。</w:t>
      </w:r>
    </w:p>
    <w:p>
      <w:pPr>
        <w:ind w:firstLine="560" w:firstLineChars="200"/>
        <w:rPr>
          <w:rFonts w:ascii="仿宋" w:hAnsi="仿宋" w:eastAsia="仿宋" w:cs="仿宋_GB2312"/>
          <w:spacing w:val="-4"/>
          <w:sz w:val="28"/>
          <w:szCs w:val="28"/>
        </w:rPr>
      </w:pPr>
      <w:r>
        <w:rPr>
          <w:rFonts w:hint="eastAsia" w:ascii="仿宋" w:hAnsi="仿宋" w:eastAsia="仿宋" w:cs="宋体"/>
          <w:kern w:val="0"/>
          <w:sz w:val="28"/>
          <w:szCs w:val="28"/>
        </w:rPr>
        <w:t>4、</w:t>
      </w:r>
      <w:r>
        <w:rPr>
          <w:rFonts w:hint="eastAsia" w:ascii="仿宋" w:hAnsi="仿宋" w:eastAsia="仿宋"/>
          <w:sz w:val="28"/>
          <w:szCs w:val="28"/>
        </w:rPr>
        <w:t>着力抓好突出环境问题整改。</w:t>
      </w:r>
    </w:p>
    <w:p>
      <w:pPr>
        <w:ind w:firstLine="560" w:firstLineChars="200"/>
        <w:rPr>
          <w:rFonts w:ascii="仿宋" w:hAnsi="仿宋" w:eastAsia="仿宋" w:cs="仿宋_GB2312"/>
          <w:sz w:val="28"/>
          <w:szCs w:val="28"/>
        </w:rPr>
      </w:pPr>
      <w:r>
        <w:rPr>
          <w:rFonts w:hint="eastAsia" w:ascii="仿宋" w:hAnsi="仿宋" w:eastAsia="仿宋" w:cs="仿宋"/>
          <w:sz w:val="28"/>
          <w:szCs w:val="28"/>
        </w:rPr>
        <w:t>5、积极开展环保专项工作。</w:t>
      </w:r>
    </w:p>
    <w:p>
      <w:pPr>
        <w:ind w:firstLine="544" w:firstLineChars="200"/>
        <w:rPr>
          <w:rFonts w:ascii="仿宋" w:hAnsi="仿宋" w:eastAsia="仿宋" w:cs="仿宋"/>
          <w:sz w:val="28"/>
          <w:szCs w:val="28"/>
        </w:rPr>
      </w:pPr>
      <w:r>
        <w:rPr>
          <w:rFonts w:hint="eastAsia" w:ascii="仿宋" w:hAnsi="仿宋" w:eastAsia="仿宋" w:cs="仿宋_GB2312"/>
          <w:spacing w:val="-4"/>
          <w:sz w:val="28"/>
          <w:szCs w:val="28"/>
        </w:rPr>
        <w:t>6、</w:t>
      </w:r>
      <w:r>
        <w:rPr>
          <w:rFonts w:ascii="仿宋" w:hAnsi="仿宋" w:eastAsia="仿宋" w:cs="仿宋"/>
          <w:sz w:val="28"/>
          <w:szCs w:val="28"/>
        </w:rPr>
        <w:t>不断加大环境监管执法力度</w:t>
      </w:r>
      <w:r>
        <w:rPr>
          <w:rFonts w:hint="eastAsia" w:ascii="仿宋" w:hAnsi="仿宋" w:eastAsia="仿宋" w:cs="仿宋"/>
          <w:sz w:val="28"/>
          <w:szCs w:val="28"/>
        </w:rPr>
        <w:t>。</w:t>
      </w:r>
      <w:r>
        <w:rPr>
          <w:rFonts w:hint="eastAsia" w:ascii="仿宋" w:hAnsi="仿宋" w:eastAsia="仿宋" w:cs="楷体_GB2312"/>
          <w:bCs/>
          <w:sz w:val="28"/>
          <w:szCs w:val="28"/>
        </w:rPr>
        <w:t>认真贯彻实施环保法律法规，加强司法联动，</w:t>
      </w:r>
      <w:r>
        <w:rPr>
          <w:rFonts w:hint="eastAsia" w:ascii="仿宋" w:hAnsi="仿宋" w:eastAsia="仿宋"/>
          <w:sz w:val="28"/>
          <w:szCs w:val="28"/>
        </w:rPr>
        <w:t>扎实开展专项行动，</w:t>
      </w:r>
      <w:r>
        <w:rPr>
          <w:rFonts w:hint="eastAsia" w:ascii="仿宋" w:hAnsi="仿宋" w:eastAsia="仿宋" w:cs="仿宋"/>
          <w:sz w:val="28"/>
          <w:szCs w:val="28"/>
        </w:rPr>
        <w:t>依法严肃查处一批环境违法行为，保障了全县环境安全。</w:t>
      </w:r>
    </w:p>
    <w:p>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二、一般公共预算支出情况</w:t>
      </w:r>
    </w:p>
    <w:p>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（一）2021年度收入支出决算总体情况</w:t>
      </w:r>
    </w:p>
    <w:p>
      <w:pPr>
        <w:spacing w:line="56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2021年度收入总计2094.78 万元，其中：一般公共预算财政拨款收入1400.44万元，其他收入694.34 万元。</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2021年整体支出数为2094.78万元，其中基本支出1468.75万元，项目支出626.03万元。</w:t>
      </w:r>
    </w:p>
    <w:p>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（二）2021年度财政拨款收入基本支出情况</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本年基本支出</w:t>
      </w:r>
      <w:r>
        <w:rPr>
          <w:rFonts w:hint="eastAsia" w:ascii="仿宋" w:hAnsi="仿宋" w:eastAsia="仿宋" w:cs="仿宋_GB2312"/>
          <w:kern w:val="0"/>
          <w:sz w:val="28"/>
          <w:szCs w:val="28"/>
        </w:rPr>
        <w:t>1468.75万元，占财政拨款支出总额的70.11 %，其中:</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w:t>
      </w:r>
      <w:r>
        <w:rPr>
          <w:rFonts w:hint="eastAsia" w:ascii="仿宋" w:hAnsi="仿宋" w:eastAsia="仿宋" w:cs="仿宋_GB2312"/>
          <w:kern w:val="0"/>
          <w:sz w:val="28"/>
          <w:szCs w:val="28"/>
        </w:rPr>
        <w:t>工资福利支出1162.35万元，包括基本工资、津贴补贴、奖金、伙食补助费、社会保障缴费、其它工资福利支出；</w:t>
      </w:r>
    </w:p>
    <w:p>
      <w:pPr>
        <w:spacing w:line="560" w:lineRule="exact"/>
        <w:ind w:firstLine="560" w:firstLineChars="200"/>
        <w:rPr>
          <w:rFonts w:ascii="仿宋" w:hAnsi="仿宋" w:eastAsia="仿宋"/>
          <w:sz w:val="28"/>
          <w:szCs w:val="28"/>
        </w:rPr>
      </w:pPr>
      <w:r>
        <w:rPr>
          <w:rFonts w:hint="eastAsia" w:ascii="仿宋" w:hAnsi="仿宋" w:eastAsia="仿宋" w:cs="仿宋_GB2312"/>
          <w:kern w:val="0"/>
          <w:sz w:val="28"/>
          <w:szCs w:val="28"/>
        </w:rPr>
        <w:t>（2）商品服务支出272.91万元，包括</w:t>
      </w:r>
      <w:r>
        <w:rPr>
          <w:rFonts w:ascii="仿宋" w:hAnsi="仿宋" w:eastAsia="仿宋"/>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p>
    <w:p>
      <w:pPr>
        <w:spacing w:line="560" w:lineRule="exact"/>
        <w:ind w:firstLine="560" w:firstLineChars="200"/>
        <w:rPr>
          <w:rFonts w:ascii="仿宋" w:hAnsi="仿宋" w:eastAsia="仿宋"/>
          <w:sz w:val="28"/>
          <w:szCs w:val="28"/>
        </w:rPr>
      </w:pPr>
      <w:r>
        <w:rPr>
          <w:rFonts w:ascii="仿宋" w:hAnsi="仿宋" w:eastAsia="仿宋"/>
          <w:sz w:val="28"/>
          <w:szCs w:val="28"/>
        </w:rPr>
        <w:t>（3）对个人和家庭补助支出</w:t>
      </w:r>
      <w:r>
        <w:rPr>
          <w:rFonts w:hint="eastAsia" w:ascii="仿宋" w:hAnsi="仿宋" w:eastAsia="仿宋"/>
          <w:sz w:val="28"/>
          <w:szCs w:val="28"/>
        </w:rPr>
        <w:t>28.29</w:t>
      </w:r>
      <w:r>
        <w:rPr>
          <w:rFonts w:ascii="仿宋" w:hAnsi="仿宋" w:eastAsia="仿宋"/>
          <w:sz w:val="28"/>
          <w:szCs w:val="28"/>
        </w:rPr>
        <w:t>万元，包括抚恤金</w:t>
      </w:r>
      <w:r>
        <w:rPr>
          <w:rFonts w:hint="eastAsia" w:ascii="仿宋" w:hAnsi="仿宋" w:eastAsia="仿宋"/>
          <w:sz w:val="28"/>
          <w:szCs w:val="28"/>
        </w:rPr>
        <w:t>及遗属生活补助。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(4)资本性支出5.2万元，包括信息网络及软件购置更新。</w:t>
      </w:r>
    </w:p>
    <w:p>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（三）2021年度财政拨款收入项目支出情况</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本年项目支出共计626.03万元,占财政拨款支出总额的29.89 %。其中：</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市本级财政下达资金161.64万元，具体项目:</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1、环保局办公租赁费15万元，根据租赁合同，主要用于租赁办公楼的网络费、水电费等开支，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2、13个农村饮用水源水质监测工作经费18万元，主要用于农村饮用水源水质监测委托业务费。</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3、环保督查工作经费20万元，主要用于保障环保督查工作所发生的差旅费、办公费、印刷费、交通费、公务接待费等开支。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4、空气自动站运行管理7.39万元，主要用于保障空气自动站日常运转工作所发生的差旅费、交通费、维修（护）费等开支。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5、六五世界环境日宣传5万元，主要用于保障六五世界环境日宣传工作所发生的办公费，印刷费、差旅费等开支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6、实验室试剂耗材及仪器保养 5.61万元，主要用于监测站购买实验室试剂耗材及仪器维修等开支。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7、污染物减排工作经费18.88万元，主要用于保障污染物减排工作所发生的办公费，印刷费、差旅费、交通费、会议费等开支。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8、县级3个饮用水源地监测工作经费7.36万元，主要用于保障县级3个饮用水源地监测工作所发生的差旅费、交通费、专用材料费等开支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9、湘江一号工程污染治理工作经费12万元，主要用于保障湘江一号工程污染治理工作所发生的办公费，印刷费、差旅费、交通费等开支。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10、环境监察执法工作经费5万元，主要用于保障环境监察执法工作所发生的的交通费用。</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11、土壤重点监测工作经费2.4万元，主要用于土壤监测工作所发生的办公费、交通费、差旅费、专用材料费等开支</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12、2021年省级农村环境综合整治资金20万元，全部用于农村环境综合治理。</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13、中央环保督查奖补资金25万元，全部用于奖补过水坪镇镇政府对环保督查交办件整改到位（忠兴陶粒厂整体拆除）。</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县级财政下达资金共464.39万元，具体项目：</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w:t>
      </w:r>
      <w:r>
        <w:rPr>
          <w:rFonts w:hint="eastAsia" w:ascii="仿宋" w:hAnsi="仿宋" w:eastAsia="仿宋"/>
          <w:sz w:val="28"/>
          <w:szCs w:val="28"/>
        </w:rPr>
        <w:t>23处“千人以上”集中式饮用水源保护区划定技术方案编制78.5万元。</w:t>
      </w:r>
    </w:p>
    <w:p>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2、</w:t>
      </w:r>
      <w:r>
        <w:rPr>
          <w:rFonts w:hint="eastAsia" w:ascii="仿宋" w:hAnsi="仿宋" w:eastAsia="仿宋"/>
          <w:sz w:val="28"/>
          <w:szCs w:val="28"/>
        </w:rPr>
        <w:t>2020年农村环境综合整治项目验收60万元。</w:t>
      </w:r>
    </w:p>
    <w:p>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3、</w:t>
      </w:r>
      <w:r>
        <w:rPr>
          <w:rFonts w:hint="eastAsia" w:ascii="仿宋" w:hAnsi="仿宋" w:eastAsia="仿宋"/>
          <w:sz w:val="28"/>
          <w:szCs w:val="28"/>
        </w:rPr>
        <w:t>城区声功能区划技术方案等应急预案编制21万元。</w:t>
      </w:r>
    </w:p>
    <w:p>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4、</w:t>
      </w:r>
      <w:r>
        <w:rPr>
          <w:rFonts w:hint="eastAsia" w:ascii="仿宋" w:hAnsi="仿宋" w:eastAsia="仿宋"/>
          <w:sz w:val="28"/>
          <w:szCs w:val="28"/>
        </w:rPr>
        <w:t>湘江祁东段入河排污口整治40.85万元。</w:t>
      </w:r>
    </w:p>
    <w:p>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5、重点办前期项目（包括</w:t>
      </w:r>
      <w:r>
        <w:rPr>
          <w:rFonts w:hint="eastAsia" w:ascii="仿宋" w:hAnsi="仿宋" w:eastAsia="仿宋"/>
          <w:sz w:val="28"/>
          <w:szCs w:val="28"/>
        </w:rPr>
        <w:t>省级生态文明示范县规划编制费用及农村生活污水治理专项规划编制）19.04万元。</w:t>
      </w:r>
    </w:p>
    <w:p>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6、环保督查工作经费30万元，主要用于保障环保督查工作所发生的差旅费、办公费、印刷费、交通费、公务接待费等开支。</w:t>
      </w:r>
    </w:p>
    <w:p>
      <w:pPr>
        <w:spacing w:line="560" w:lineRule="exact"/>
        <w:ind w:firstLine="630"/>
        <w:rPr>
          <w:rFonts w:ascii="仿宋" w:hAnsi="仿宋" w:eastAsia="仿宋" w:cs="仿宋_GB2312"/>
          <w:sz w:val="28"/>
          <w:szCs w:val="28"/>
        </w:rPr>
      </w:pPr>
      <w:r>
        <w:rPr>
          <w:rFonts w:hint="eastAsia" w:ascii="仿宋" w:hAnsi="仿宋" w:eastAsia="仿宋" w:cs="仿宋_GB2312"/>
          <w:sz w:val="28"/>
          <w:szCs w:val="28"/>
        </w:rPr>
        <w:t>7、2016年农村环境综合整治整县推进（省级资金）215万元。</w:t>
      </w:r>
    </w:p>
    <w:p>
      <w:pPr>
        <w:spacing w:line="560" w:lineRule="exact"/>
        <w:ind w:firstLine="560"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三、部门整体支出绩效情况</w:t>
      </w:r>
    </w:p>
    <w:p>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（一）总体目标</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2021年我局认真落实全国、省环境保护工作会议和市委市政府等会议精神，坚持以改善生态环境质量为核心，以污染防治攻坚战为总揽，以环保督察问题整改为契机，对照《2021年衡阳市深入打好污染防治攻坚战工作方案》《2021年衡阳市污染防治攻坚战“夏季攻势”任务清单》《2021年衡阳市生态环境保护工作考核细则》和《2021年祁东县污染防治攻坚战任务清单》等年度工作目标，通过加强预算收支管理 ，不断健全内部管理制度，强化内部管理及操作流程，做到经费有效保障，以便本单位各部门工作有效有序开展，部门整体支出管理得到提升。不断提高生态环境保护工作的水平，着力解决人民群众反映强烈的突出生态环境问题，持续改善生态环境质量。具体抓好以下几个方面：</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1、持续做好环保督察整改工作。</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2、全面加强大气污染防治工作。</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3、深入推进水污染防治工作。</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4、持续推进土壤污染防治工作。</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5、进一步加大环境执法力度。</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6、依法严格环境准入管理。</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7、切实强化固体废物环境监管。</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8、大幅提升支撑保障能力。</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9、进一步强化思想政治建设。</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
          <w:sz w:val="28"/>
          <w:szCs w:val="28"/>
        </w:rPr>
        <w:t>10、提高财政资金投入及使用能力。</w:t>
      </w:r>
    </w:p>
    <w:p>
      <w:pPr>
        <w:spacing w:line="560" w:lineRule="exact"/>
        <w:ind w:firstLine="560"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（二）业务绩效指标完成情况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1、坚持抓好中央层面反馈、指出问题和省级生态环保督察“回头看”反馈问题整改。第二轮中央环保督察信访交办件24件全部办结。省环保督察“回头看”反馈的3件整改任务,整改全部完成并销号。</w:t>
      </w:r>
    </w:p>
    <w:p>
      <w:pPr>
        <w:ind w:firstLine="560" w:firstLineChars="200"/>
        <w:rPr>
          <w:rFonts w:hint="eastAsia" w:ascii="仿宋" w:hAnsi="仿宋" w:eastAsia="仿宋" w:cs="仿宋"/>
          <w:sz w:val="28"/>
          <w:szCs w:val="28"/>
        </w:rPr>
      </w:pPr>
      <w:r>
        <w:rPr>
          <w:rFonts w:hint="eastAsia" w:ascii="仿宋" w:hAnsi="仿宋" w:eastAsia="仿宋" w:cs="仿宋_GB2312"/>
          <w:kern w:val="0"/>
          <w:sz w:val="28"/>
          <w:szCs w:val="28"/>
        </w:rPr>
        <w:t>2、六五环境宣传：</w:t>
      </w:r>
      <w:r>
        <w:rPr>
          <w:rFonts w:hint="eastAsia" w:ascii="仿宋" w:hAnsi="仿宋" w:eastAsia="仿宋" w:cs="仿宋"/>
          <w:sz w:val="28"/>
          <w:szCs w:val="28"/>
        </w:rPr>
        <w:t>围绕第50个世界环境日，以“人与自然和谐共生”的主题，我局组织开展了“进企业、进社区、进学校”的三进宣传活动。收到了良好的社会效果。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3、全县空气环境指数：全年县城区空气质量达到二级标准。PM</w:t>
      </w:r>
      <w:r>
        <w:rPr>
          <w:rFonts w:hint="eastAsia" w:ascii="仿宋" w:hAnsi="仿宋" w:eastAsia="仿宋" w:cs="仿宋"/>
          <w:sz w:val="28"/>
          <w:szCs w:val="28"/>
          <w:vertAlign w:val="subscript"/>
        </w:rPr>
        <w:t>2.5</w:t>
      </w:r>
      <w:r>
        <w:rPr>
          <w:rFonts w:hint="eastAsia" w:ascii="仿宋" w:hAnsi="仿宋" w:eastAsia="仿宋" w:cs="仿宋"/>
          <w:sz w:val="28"/>
          <w:szCs w:val="28"/>
        </w:rPr>
        <w:t xml:space="preserve"> 平均浓度为29ug/m</w:t>
      </w:r>
      <w:r>
        <w:rPr>
          <w:rFonts w:hint="eastAsia" w:ascii="仿宋" w:hAnsi="仿宋" w:eastAsia="仿宋" w:cs="仿宋"/>
          <w:sz w:val="28"/>
          <w:szCs w:val="28"/>
          <w:vertAlign w:val="superscript"/>
        </w:rPr>
        <w:t>3</w:t>
      </w:r>
      <w:r>
        <w:rPr>
          <w:rFonts w:hint="eastAsia" w:ascii="仿宋" w:hAnsi="仿宋" w:eastAsia="仿宋" w:cs="仿宋"/>
          <w:sz w:val="28"/>
          <w:szCs w:val="28"/>
        </w:rPr>
        <w:t>,控制在年度目标(39ug/m</w:t>
      </w:r>
      <w:r>
        <w:rPr>
          <w:rFonts w:hint="eastAsia" w:ascii="仿宋" w:hAnsi="仿宋" w:eastAsia="仿宋" w:cs="仿宋"/>
          <w:sz w:val="28"/>
          <w:szCs w:val="28"/>
          <w:vertAlign w:val="superscript"/>
        </w:rPr>
        <w:t>3</w:t>
      </w:r>
      <w:r>
        <w:rPr>
          <w:rFonts w:hint="eastAsia" w:ascii="仿宋" w:hAnsi="仿宋" w:eastAsia="仿宋" w:cs="仿宋"/>
          <w:sz w:val="28"/>
          <w:szCs w:val="28"/>
        </w:rPr>
        <w:t>)内,与去年相比(30ug/m</w:t>
      </w:r>
      <w:r>
        <w:rPr>
          <w:rFonts w:hint="eastAsia" w:ascii="仿宋" w:hAnsi="仿宋" w:eastAsia="仿宋" w:cs="仿宋"/>
          <w:sz w:val="28"/>
          <w:szCs w:val="28"/>
          <w:vertAlign w:val="superscript"/>
        </w:rPr>
        <w:t>3</w:t>
      </w:r>
      <w:r>
        <w:rPr>
          <w:rFonts w:hint="eastAsia" w:ascii="仿宋" w:hAnsi="仿宋" w:eastAsia="仿宋" w:cs="仿宋"/>
          <w:sz w:val="28"/>
          <w:szCs w:val="28"/>
        </w:rPr>
        <w:t>)下降3.33%,PM</w:t>
      </w:r>
      <w:r>
        <w:rPr>
          <w:rFonts w:hint="eastAsia" w:ascii="仿宋" w:hAnsi="仿宋" w:eastAsia="仿宋" w:cs="仿宋"/>
          <w:sz w:val="28"/>
          <w:szCs w:val="28"/>
          <w:vertAlign w:val="subscript"/>
        </w:rPr>
        <w:t>2.5</w:t>
      </w:r>
      <w:r>
        <w:rPr>
          <w:rFonts w:hint="eastAsia" w:ascii="仿宋" w:hAnsi="仿宋" w:eastAsia="仿宋" w:cs="仿宋"/>
          <w:sz w:val="28"/>
          <w:szCs w:val="28"/>
        </w:rPr>
        <w:t xml:space="preserve"> 平均浓度改善排名全省第2位，特护期PM</w:t>
      </w:r>
      <w:r>
        <w:rPr>
          <w:rFonts w:hint="eastAsia" w:ascii="仿宋" w:hAnsi="仿宋" w:eastAsia="仿宋" w:cs="仿宋"/>
          <w:sz w:val="28"/>
          <w:szCs w:val="28"/>
          <w:vertAlign w:val="subscript"/>
        </w:rPr>
        <w:t>2.5</w:t>
      </w:r>
      <w:r>
        <w:rPr>
          <w:rFonts w:hint="eastAsia" w:ascii="仿宋" w:hAnsi="仿宋" w:eastAsia="仿宋" w:cs="仿宋"/>
          <w:sz w:val="28"/>
          <w:szCs w:val="28"/>
        </w:rPr>
        <w:t>平均浓度与上年同期持平；全年我县大气综合指数为2.89,同比上升0.04%。综合指数改善在全市排名第2位,改善幅度上升0.9%；全年优良天数比例为96.4%,改善幅度为上升2.1%；臭氧（O3）浓度与上年同期持平；今年我县重污染天数为0天。</w:t>
      </w:r>
    </w:p>
    <w:p>
      <w:pPr>
        <w:ind w:firstLine="560" w:firstLineChars="200"/>
        <w:rPr>
          <w:rFonts w:ascii="仿宋" w:hAnsi="仿宋" w:eastAsia="仿宋" w:cs="仿宋"/>
          <w:sz w:val="28"/>
          <w:szCs w:val="28"/>
        </w:rPr>
      </w:pPr>
      <w:r>
        <w:rPr>
          <w:rFonts w:hint="eastAsia" w:ascii="仿宋" w:hAnsi="仿宋" w:eastAsia="仿宋" w:cs="仿宋"/>
          <w:sz w:val="28"/>
          <w:szCs w:val="28"/>
        </w:rPr>
        <w:t>4、饮用水源及断面水质：县级及以上城市集中式饮用水水源水质。今年1-12月，我县3个县级城市集中式饮用水水源，均达到地表水Ⅲ类水质，达到年度考核要求；今年1-12月,我县1个国考断面水质年均值为Ⅲ类水质，达到或优于Ⅲ类水质,达到考核要求；今年1-12月,我县5个地表水考核监测断面中,均达到地表水Ⅲ类水质，省控断面均达到年度考核要求。</w:t>
      </w:r>
    </w:p>
    <w:p>
      <w:pPr>
        <w:ind w:firstLine="560" w:firstLineChars="200"/>
        <w:rPr>
          <w:rFonts w:ascii="仿宋" w:hAnsi="仿宋" w:eastAsia="仿宋" w:cs="仿宋"/>
          <w:sz w:val="28"/>
          <w:szCs w:val="28"/>
        </w:rPr>
      </w:pPr>
      <w:r>
        <w:rPr>
          <w:rFonts w:hint="eastAsia" w:ascii="仿宋" w:hAnsi="仿宋" w:eastAsia="仿宋" w:cs="仿宋"/>
          <w:sz w:val="28"/>
          <w:szCs w:val="28"/>
        </w:rPr>
        <w:t>5、污染物减排：挥发性有机物、氮氧化物、二氧化碳排放削减率完成年度减排任务；柴油货车路检路查及入户检查工作已完成；高排放非道路移动机械限制作业区划定、公布工作已完成；推进非道路移动机械摸底调查和编码登记，目前完成率90%以上，已圆满完成任务；无钢铁超低排放改造年度任务；完成了工业窑炉治理和市级VOCs治理项目。共安装净化装置707台，完成了油烟灶治理任务。完成了老旧车辆淘汰任务，制定并严格落实了重点行业错峰生产计划；全县城市建成区工地完成“六个百分之百”扬尘污染防治工作,同时开展建筑垃圾规范管理100%；定期对扬尘污染防治工作开展落实情况监督抽查；按要求开展了枯水期流域水生态环境管理工作，全年水质未造成不良影响；按要求完成了长江保护修复攻坚战、湘江保护和治理等重点整治工作任务；我县河长制工作荣获湖南省河湖长制工作真抓实干先进县。《祁东县“十四五"重点流域水生态环境保护规划”》已编制完成;我县年度无水污染防治资金项目实施;船舶污染防治设施均按要求配备到位,船舶水污染物联合监管与服务信息系统持续有效运行;我县黑臭水体整治工作均按要求完成,未出现反黑反臭现象；我县年度无小流域治理项目。</w:t>
      </w:r>
    </w:p>
    <w:p>
      <w:pPr>
        <w:ind w:firstLine="560" w:firstLineChars="200"/>
        <w:rPr>
          <w:rFonts w:ascii="仿宋" w:hAnsi="仿宋" w:eastAsia="仿宋" w:cs="仿宋"/>
          <w:sz w:val="28"/>
          <w:szCs w:val="28"/>
        </w:rPr>
      </w:pPr>
      <w:r>
        <w:rPr>
          <w:rFonts w:hint="eastAsia" w:ascii="仿宋" w:hAnsi="仿宋" w:eastAsia="仿宋" w:cs="仿宋"/>
          <w:sz w:val="28"/>
          <w:szCs w:val="28"/>
        </w:rPr>
        <w:t>6、污染排查及治理：我县共9块疑似污染地块，已全部得到管控。已完成金水塘矿业、鸟江大岭铅锌矿、炼晚垃圾填埋场的隐患排查工作，除鸟江停产外，隐患排查整治已完成。加强农业农村面源污染治理。2021年我县主要农作物单位面积使用量零增长，农药使用量较上年减少0.8%以上；我县农膜回收率和秸秆综合利用率分别达到81%以上和86%以上；2021年我县畜禽粪污综合利用率达到了90%以上； 完成2021年下达各县市区的新增农村环境综合整治村任务。（我县没有新增任务）；对已整改销号的农村非正规垃圾堆放点开展“回头看”。9月15日会同城市综合执法局对官家嘴非正规垃圾填埋点进行了回头看，没有发现死灰复燃情况。</w:t>
      </w:r>
    </w:p>
    <w:p>
      <w:pPr>
        <w:ind w:firstLine="560" w:firstLineChars="200"/>
        <w:rPr>
          <w:rFonts w:ascii="仿宋" w:hAnsi="仿宋" w:eastAsia="仿宋" w:cs="仿宋"/>
          <w:sz w:val="28"/>
          <w:szCs w:val="28"/>
        </w:rPr>
      </w:pPr>
      <w:r>
        <w:rPr>
          <w:rFonts w:hint="eastAsia" w:ascii="仿宋" w:hAnsi="仿宋" w:eastAsia="仿宋" w:cs="仿宋"/>
          <w:sz w:val="28"/>
          <w:szCs w:val="28"/>
        </w:rPr>
        <w:t>7、推进生态文明示范创建。根据《衡阳市生态环境局办公室关于抓紧做好生态文明建设示范镇村申报工作的通知》的文件要求，我县申报了鸟江镇金槐村生态文明建设示范村，目前基础性创建编制工作已完成，并上报市局进行评审。根据《衡阳市生态环境局办公室关于加快推进生态文明建设示范县（市）区创建的通知》的文件要求，我县完成了祁东县生态文明创建规划编制工作，并通过省厅评审。</w:t>
      </w:r>
    </w:p>
    <w:p>
      <w:pPr>
        <w:ind w:firstLine="560" w:firstLineChars="200"/>
        <w:rPr>
          <w:rFonts w:ascii="仿宋" w:hAnsi="仿宋" w:eastAsia="仿宋" w:cs="仿宋"/>
          <w:sz w:val="28"/>
          <w:szCs w:val="28"/>
        </w:rPr>
      </w:pPr>
      <w:r>
        <w:rPr>
          <w:rFonts w:hint="eastAsia" w:ascii="仿宋" w:hAnsi="仿宋" w:eastAsia="仿宋" w:cs="仿宋"/>
          <w:sz w:val="28"/>
          <w:szCs w:val="28"/>
        </w:rPr>
        <w:t>8、严格生态环境行政许可；积极完成了省市整年的季度抽查、排查任务；审批报告书4个、报告表19个，审批中规范流程，严格按照“三线一单”的要求把控；核发排污许可证47家（变更23家、首次申请6家、延续3家、整改后申请15家），排污许可登记26家，审批中流程规范，严格把关、依法行政。</w:t>
      </w:r>
    </w:p>
    <w:p>
      <w:pPr>
        <w:ind w:firstLine="560" w:firstLineChars="200"/>
        <w:rPr>
          <w:rFonts w:ascii="仿宋" w:hAnsi="仿宋" w:eastAsia="仿宋" w:cs="仿宋"/>
          <w:sz w:val="28"/>
          <w:szCs w:val="28"/>
        </w:rPr>
      </w:pPr>
      <w:r>
        <w:rPr>
          <w:rFonts w:hint="eastAsia" w:ascii="仿宋" w:hAnsi="仿宋" w:eastAsia="仿宋" w:cs="仿宋"/>
          <w:sz w:val="28"/>
          <w:szCs w:val="28"/>
        </w:rPr>
        <w:t>9、严格生态环境执法。加强移动执法系统的全覆盖使用，已按要求开展“双随机、一公开”日常执法，及时动态更新一单两库并制定随机抽查计划和开展“双随机”执法并信息公开，及时完成将“双随机、一公开”结果归集到信息系统；加强两法衔接，环保、公安部门按要求及时办理交办、督办案件，没有查处案件程序违法或者不到位的现象，落实四个配套办法，其中已办理两起行政拘留案件，下达停产整治决定书65份；已完成全国环境行政处罚案件办理信息系统案件填报;按要求了开展涉铊、涉危废专项执法检查；2021年生态环境行政处罚罚款金额187.5万元，位于全市前四；加强执法廉政建设，没有发现环境执法违纪事件。</w:t>
      </w:r>
    </w:p>
    <w:p>
      <w:pPr>
        <w:ind w:firstLine="560" w:firstLineChars="200"/>
        <w:rPr>
          <w:rFonts w:ascii="仿宋" w:hAnsi="仿宋" w:eastAsia="仿宋" w:cs="仿宋"/>
          <w:sz w:val="28"/>
          <w:szCs w:val="28"/>
        </w:rPr>
      </w:pPr>
      <w:r>
        <w:rPr>
          <w:rFonts w:hint="eastAsia" w:ascii="仿宋" w:hAnsi="仿宋" w:eastAsia="仿宋" w:cs="仿宋"/>
          <w:sz w:val="28"/>
          <w:szCs w:val="28"/>
        </w:rPr>
        <w:t>10、强化应急处置。2021年未发生突发环境事件；按照《关于加强突发环境事件应急预案管理的通知》（湘环办〔2021〕145 号）要求，2021年底完成了长江经济带我县渉危化涉重金属企业（鸟江大岭、金水塘铅锌矿）应急预案修编工作；完成涉铊企业（顺隆能源、鸟江大岭、金水塘铅锌矿）铊污染处置专章;组织湖南金水塘铅锌矿业有限责任公司开展了一次突发环境事件应急演练，并按要求在应急演练前报送演练方案，应急演练后报送照片资料（已报市局应急办）；在队站办公楼建立了县级环境应急物资库并挂牌（已拍照上报市局应急办）；祁东县突发环境事件应急预案（修编版）已通过专家评审。</w:t>
      </w:r>
    </w:p>
    <w:p>
      <w:pPr>
        <w:ind w:firstLine="560" w:firstLineChars="200"/>
        <w:rPr>
          <w:rFonts w:ascii="仿宋" w:hAnsi="仿宋" w:eastAsia="仿宋" w:cs="仿宋"/>
          <w:sz w:val="28"/>
          <w:szCs w:val="28"/>
        </w:rPr>
      </w:pPr>
      <w:r>
        <w:rPr>
          <w:rFonts w:hint="eastAsia" w:ascii="仿宋" w:hAnsi="仿宋" w:eastAsia="仿宋" w:cs="仿宋"/>
          <w:sz w:val="28"/>
          <w:szCs w:val="28"/>
        </w:rPr>
        <w:t>11、构建全民行动体系。基本做到了每周最少一次登录12369环保举报联网管理平台，并及时受理、规范办结辖区内本局职责内举报件，做到了不因举报件办理不规范被部、厅督办。对辖区内不属于本局职责范围内交办件，按照规定告知投诉举报人救济途径。每件举报件办理规范，部、省抽查均通过。典型案例已全部按要求上报。</w:t>
      </w:r>
    </w:p>
    <w:p>
      <w:pPr>
        <w:rPr>
          <w:rFonts w:ascii="仿宋" w:hAnsi="仿宋" w:eastAsia="仿宋" w:cs="仿宋"/>
          <w:sz w:val="28"/>
          <w:szCs w:val="28"/>
        </w:rPr>
      </w:pPr>
      <w:r>
        <w:rPr>
          <w:rFonts w:hint="eastAsia" w:ascii="仿宋" w:hAnsi="仿宋" w:eastAsia="仿宋" w:cs="仿宋"/>
          <w:sz w:val="28"/>
          <w:szCs w:val="28"/>
        </w:rPr>
        <w:t xml:space="preserve">    12、推进能力建设。现"双随机"日常执法已全部实现网上记录；已建立污染源自动监控管理机制,严格落实值班值守制度；省控空气站（教育局站）已更换PM10和PM2.5组分仪器，目前正进行试运行与调试阶段，下步将按国家总站最新技术要求完成验收。已按省厅要求完成了2021年度县级饮用水源地（红旗水库、曹口堰水库）水质自动监测站选址工作，待省厅、市局建设方案下达后开展下一步工作；上一批（2020年）长江经济带水站（管山村站、文明铺站）已完成验收；国省控水质自动站、省控空气站通信、防雷、用电、用水等后障保障工作到位。我县未发生人为干扰环境监测情况；圆满完成全年监测任务，并及时准确将相关监测数据上传至国、省控数据平台，未出现漏报和误报情况；将监测站执法应急亟需具备的能力建设纳入工作计划，分局积极向县委、政府争取相关能力建设资金，在县委、政府领导的重视下，县财政批复分局110万元监测仪器设备提高了监测人员业务技能。</w:t>
      </w:r>
    </w:p>
    <w:p>
      <w:pPr>
        <w:ind w:firstLine="560" w:firstLineChars="200"/>
        <w:rPr>
          <w:rFonts w:ascii="仿宋" w:hAnsi="仿宋" w:eastAsia="仿宋" w:cs="仿宋"/>
          <w:sz w:val="28"/>
          <w:szCs w:val="28"/>
        </w:rPr>
      </w:pPr>
      <w:r>
        <w:rPr>
          <w:rFonts w:hint="eastAsia" w:ascii="仿宋" w:hAnsi="仿宋" w:eastAsia="仿宋" w:cs="仿宋"/>
          <w:sz w:val="28"/>
          <w:szCs w:val="28"/>
        </w:rPr>
        <w:t>13、生态环境保护财政资金投入及使用情况。2021年，我县中央和地方生态环境保护财政资金预算执行率≥90%；2021年未因生态环境保护方面财政资金管理及项目管理方面存在问题被列入审计署、财政部（湖南监管局）报告；完成了环境质量约束性指标；市、县财政加大了对祁东分局工作经费投入和保障力度，按时拨付，确保了正常运行。</w:t>
      </w:r>
    </w:p>
    <w:p>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（三）部门资产管理</w:t>
      </w:r>
    </w:p>
    <w:p>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建立了健全的资产管理制度，推动国有资产的合理配置和有效使用，定期进行了盘点和资产清理，总体执行较好。</w:t>
      </w:r>
    </w:p>
    <w:p>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从整体情况来看，2021年我局严格按照年初预算进行部门整体支出，在支出过程中，能严格遵守各项规章制度，“三公经费”有所下降；所有项目都详细制定了方案，严格按方案组织实施，并加强了监督，尤其是项目经费支出上，严格按项目实施计划的进度情况进行资金拨付，无截留、无挪用等情况。实行了先有预算、后有执行、“用钱必问效、无效必问责”的新常态。通过项目的实施，民众对生态环境满意度上升。预算执行率100%，整体支出绩效目标完成率100%。</w:t>
      </w:r>
    </w:p>
    <w:p>
      <w:pPr>
        <w:spacing w:line="360" w:lineRule="auto"/>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四、存在的主要问题及原因及分析</w:t>
      </w:r>
    </w:p>
    <w:p>
      <w:pPr>
        <w:pStyle w:val="6"/>
        <w:adjustRightInd w:val="0"/>
        <w:snapToGrid w:val="0"/>
        <w:spacing w:before="0" w:beforeAutospacing="0" w:after="0" w:afterAutospacing="0" w:line="360" w:lineRule="auto"/>
        <w:ind w:left="560"/>
        <w:jc w:val="both"/>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预算编工作有待细化，预算编制的合理性需要提高，预算</w:t>
      </w:r>
    </w:p>
    <w:p>
      <w:pPr>
        <w:pStyle w:val="6"/>
        <w:adjustRightInd w:val="0"/>
        <w:snapToGrid w:val="0"/>
        <w:spacing w:before="0" w:beforeAutospacing="0" w:after="0" w:afterAutospacing="0" w:line="360" w:lineRule="auto"/>
        <w:jc w:val="both"/>
        <w:rPr>
          <w:rFonts w:ascii="仿宋" w:hAnsi="仿宋" w:eastAsia="仿宋"/>
          <w:sz w:val="28"/>
          <w:szCs w:val="28"/>
        </w:rPr>
      </w:pPr>
      <w:r>
        <w:rPr>
          <w:rFonts w:ascii="仿宋" w:hAnsi="仿宋" w:eastAsia="仿宋"/>
          <w:sz w:val="28"/>
          <w:szCs w:val="28"/>
        </w:rPr>
        <w:t>执行度需进一步加强。</w:t>
      </w:r>
    </w:p>
    <w:p>
      <w:pPr>
        <w:pStyle w:val="6"/>
        <w:adjustRightInd w:val="0"/>
        <w:snapToGrid w:val="0"/>
        <w:spacing w:before="0" w:beforeAutospacing="0" w:after="0" w:afterAutospacing="0" w:line="360" w:lineRule="auto"/>
        <w:ind w:left="560"/>
        <w:jc w:val="both"/>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资金压力大。绩效工资</w:t>
      </w:r>
      <w:r>
        <w:rPr>
          <w:rFonts w:hint="eastAsia" w:ascii="仿宋" w:hAnsi="仿宋" w:eastAsia="仿宋"/>
          <w:sz w:val="28"/>
          <w:szCs w:val="28"/>
        </w:rPr>
        <w:t>和日常公用经费不足。</w:t>
      </w:r>
    </w:p>
    <w:p>
      <w:pPr>
        <w:pStyle w:val="6"/>
        <w:adjustRightInd w:val="0"/>
        <w:snapToGrid w:val="0"/>
        <w:spacing w:before="0" w:beforeAutospacing="0" w:after="0" w:afterAutospacing="0" w:line="360" w:lineRule="auto"/>
        <w:ind w:left="560"/>
        <w:jc w:val="both"/>
        <w:rPr>
          <w:rFonts w:ascii="仿宋" w:hAnsi="仿宋" w:eastAsia="仿宋"/>
          <w:sz w:val="28"/>
          <w:szCs w:val="28"/>
        </w:rPr>
      </w:pPr>
      <w:r>
        <w:rPr>
          <w:rFonts w:hint="eastAsia" w:ascii="仿宋" w:hAnsi="仿宋" w:eastAsia="仿宋"/>
          <w:sz w:val="28"/>
          <w:szCs w:val="28"/>
        </w:rPr>
        <w:t>3、公用经费基本为刚性支出，经费控制有一定难度。</w:t>
      </w:r>
    </w:p>
    <w:p>
      <w:pPr>
        <w:spacing w:line="360" w:lineRule="auto"/>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五、下一步改进措施</w:t>
      </w:r>
    </w:p>
    <w:p>
      <w:pPr>
        <w:pStyle w:val="6"/>
        <w:adjustRightInd w:val="0"/>
        <w:snapToGrid w:val="0"/>
        <w:spacing w:before="0" w:beforeAutospacing="0" w:after="0" w:afterAutospacing="0" w:line="360" w:lineRule="auto"/>
        <w:ind w:firstLine="700" w:firstLineChars="250"/>
        <w:jc w:val="both"/>
        <w:rPr>
          <w:rFonts w:ascii="仿宋" w:hAnsi="仿宋" w:eastAsia="仿宋"/>
          <w:sz w:val="28"/>
          <w:szCs w:val="28"/>
        </w:rPr>
      </w:pPr>
      <w:r>
        <w:rPr>
          <w:rFonts w:hint="eastAsia" w:ascii="仿宋" w:hAnsi="仿宋" w:eastAsia="仿宋"/>
          <w:sz w:val="28"/>
          <w:szCs w:val="28"/>
        </w:rPr>
        <w:t>下一步</w:t>
      </w:r>
      <w:r>
        <w:rPr>
          <w:rFonts w:ascii="仿宋" w:hAnsi="仿宋" w:eastAsia="仿宋"/>
          <w:sz w:val="28"/>
          <w:szCs w:val="28"/>
        </w:rPr>
        <w:t>改进措施</w:t>
      </w:r>
      <w:r>
        <w:rPr>
          <w:rFonts w:hint="eastAsia" w:ascii="仿宋" w:hAnsi="仿宋" w:eastAsia="仿宋"/>
          <w:sz w:val="28"/>
          <w:szCs w:val="28"/>
        </w:rPr>
        <w:t>及</w:t>
      </w:r>
      <w:r>
        <w:rPr>
          <w:rFonts w:ascii="仿宋" w:hAnsi="仿宋" w:eastAsia="仿宋"/>
          <w:sz w:val="28"/>
          <w:szCs w:val="28"/>
        </w:rPr>
        <w:t>建议</w:t>
      </w:r>
      <w:r>
        <w:rPr>
          <w:rFonts w:hint="eastAsia" w:ascii="仿宋" w:hAnsi="仿宋" w:eastAsia="仿宋"/>
          <w:sz w:val="28"/>
          <w:szCs w:val="28"/>
        </w:rPr>
        <w:t>有：</w:t>
      </w:r>
    </w:p>
    <w:p>
      <w:pPr>
        <w:pStyle w:val="6"/>
        <w:adjustRightInd w:val="0"/>
        <w:snapToGrid w:val="0"/>
        <w:spacing w:before="0" w:beforeAutospacing="0" w:after="0" w:afterAutospacing="0" w:line="360" w:lineRule="auto"/>
        <w:ind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1）细化预算编制，</w:t>
      </w:r>
      <w:r>
        <w:rPr>
          <w:rFonts w:hint="eastAsia" w:ascii="仿宋" w:hAnsi="仿宋" w:eastAsia="仿宋"/>
          <w:sz w:val="28"/>
          <w:szCs w:val="28"/>
        </w:rPr>
        <w:t>精益求精</w:t>
      </w:r>
      <w:r>
        <w:rPr>
          <w:rFonts w:ascii="仿宋" w:hAnsi="仿宋" w:eastAsia="仿宋"/>
          <w:sz w:val="28"/>
          <w:szCs w:val="28"/>
        </w:rPr>
        <w:t>做好预算编制</w:t>
      </w:r>
      <w:r>
        <w:rPr>
          <w:rFonts w:hint="eastAsia" w:ascii="仿宋" w:hAnsi="仿宋" w:eastAsia="仿宋"/>
          <w:sz w:val="28"/>
          <w:szCs w:val="28"/>
        </w:rPr>
        <w:t>工作</w:t>
      </w:r>
      <w:r>
        <w:rPr>
          <w:rFonts w:ascii="仿宋" w:hAnsi="仿宋" w:eastAsia="仿宋"/>
          <w:sz w:val="28"/>
          <w:szCs w:val="28"/>
        </w:rPr>
        <w:t>。</w:t>
      </w:r>
      <w:r>
        <w:rPr>
          <w:rFonts w:hint="eastAsia" w:ascii="仿宋" w:hAnsi="仿宋" w:eastAsia="仿宋"/>
          <w:sz w:val="28"/>
          <w:szCs w:val="28"/>
        </w:rPr>
        <w:t>同时</w:t>
      </w:r>
      <w:r>
        <w:rPr>
          <w:rFonts w:ascii="仿宋" w:hAnsi="仿宋" w:eastAsia="仿宋"/>
          <w:sz w:val="28"/>
          <w:szCs w:val="28"/>
        </w:rPr>
        <w:t>进一步加强内设机构的预算管理意识，严格按照预算编制的相关制度和</w:t>
      </w:r>
      <w:r>
        <w:rPr>
          <w:rFonts w:hint="eastAsia" w:ascii="仿宋" w:hAnsi="仿宋" w:eastAsia="仿宋"/>
          <w:sz w:val="28"/>
          <w:szCs w:val="28"/>
        </w:rPr>
        <w:t>指标</w:t>
      </w:r>
      <w:r>
        <w:rPr>
          <w:rFonts w:ascii="仿宋" w:hAnsi="仿宋" w:eastAsia="仿宋"/>
          <w:sz w:val="28"/>
          <w:szCs w:val="28"/>
        </w:rPr>
        <w:t>要求进行</w:t>
      </w:r>
      <w:r>
        <w:rPr>
          <w:rFonts w:hint="eastAsia" w:ascii="仿宋" w:hAnsi="仿宋" w:eastAsia="仿宋"/>
          <w:sz w:val="28"/>
          <w:szCs w:val="28"/>
        </w:rPr>
        <w:t>操作。</w:t>
      </w:r>
    </w:p>
    <w:p>
      <w:pPr>
        <w:pStyle w:val="6"/>
        <w:adjustRightInd w:val="0"/>
        <w:snapToGrid w:val="0"/>
        <w:spacing w:before="0" w:beforeAutospacing="0" w:after="0" w:afterAutospacing="0" w:line="360" w:lineRule="auto"/>
        <w:ind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6"/>
        <w:adjustRightInd w:val="0"/>
        <w:snapToGrid w:val="0"/>
        <w:spacing w:before="0" w:beforeAutospacing="0" w:after="0" w:afterAutospacing="0" w:line="360" w:lineRule="auto"/>
        <w:ind w:firstLine="560" w:firstLineChars="200"/>
        <w:jc w:val="both"/>
        <w:rPr>
          <w:rFonts w:ascii="仿宋" w:hAnsi="仿宋" w:eastAsia="仿宋"/>
          <w:sz w:val="30"/>
          <w:szCs w:val="30"/>
        </w:rPr>
      </w:pPr>
      <w:r>
        <w:rPr>
          <w:rFonts w:hint="eastAsia" w:ascii="仿宋" w:hAnsi="仿宋" w:eastAsia="仿宋"/>
          <w:sz w:val="28"/>
          <w:szCs w:val="28"/>
        </w:rPr>
        <w:t>（</w:t>
      </w:r>
      <w:r>
        <w:rPr>
          <w:rFonts w:ascii="仿宋" w:hAnsi="仿宋" w:eastAsia="仿宋"/>
          <w:sz w:val="28"/>
          <w:szCs w:val="28"/>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rPr>
          <w:rFonts w:ascii="仿宋" w:hAnsi="仿宋" w:eastAsia="仿宋"/>
          <w:sz w:val="30"/>
          <w:szCs w:val="30"/>
        </w:rPr>
      </w:pPr>
      <w:r>
        <w:rPr>
          <w:rFonts w:hint="eastAsia" w:ascii="仿宋" w:hAnsi="仿宋" w:eastAsia="仿宋"/>
          <w:sz w:val="30"/>
          <w:szCs w:val="30"/>
        </w:rPr>
        <w:t>自评</w:t>
      </w:r>
      <w:r>
        <w:rPr>
          <w:rFonts w:ascii="Times New Roman" w:hAnsi="Times New Roman" w:eastAsia="仿宋"/>
          <w:sz w:val="32"/>
          <w:szCs w:val="32"/>
        </w:rPr>
        <w:t>报告附件（附后）：</w:t>
      </w:r>
    </w:p>
    <w:p>
      <w:pPr>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部门整体支出绩效评价基础数据</w:t>
      </w:r>
    </w:p>
    <w:p>
      <w:pPr>
        <w:ind w:left="359" w:leftChars="171" w:right="640"/>
        <w:jc w:val="left"/>
        <w:rPr>
          <w:rFonts w:ascii="方正小标宋简体" w:hAnsi="方正小标宋简体" w:cs="方正小标宋简体" w:eastAsiaTheme="minorEastAsia"/>
          <w:sz w:val="36"/>
          <w:szCs w:val="36"/>
        </w:rPr>
      </w:pPr>
      <w:r>
        <w:rPr>
          <w:rFonts w:ascii="Times New Roman" w:hAnsi="Times New Roman"/>
          <w:kern w:val="0"/>
          <w:sz w:val="24"/>
        </w:rPr>
        <w:t>填报单位：衡阳市生态环境局祁东分局</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114</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113</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1405.11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1105.97</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1468.75</w:t>
            </w:r>
          </w:p>
        </w:tc>
      </w:tr>
      <w:tr>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240.26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116.54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272.91</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49.77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77.54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69.63</w:t>
            </w:r>
          </w:p>
        </w:tc>
      </w:tr>
      <w:tr>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水费、电费、差旅费、邮电费、取暖费，租赁费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34.93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28.67</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办公费、印刷费、咨询费、手续费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11.92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34.64</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其他交通费用</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2.92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10.14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6.32</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物业管理、维（修）护费、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1.73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2.75</w:t>
            </w:r>
          </w:p>
        </w:tc>
      </w:tr>
      <w:tr>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专用材料费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0.36</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kern w:val="0"/>
                <w:szCs w:val="21"/>
              </w:rPr>
            </w:pPr>
            <w:r>
              <w:rPr>
                <w:rFonts w:ascii="Times New Roman" w:hAnsi="Times New Roman" w:eastAsia="Times New Roman"/>
                <w:kern w:val="0"/>
                <w:szCs w:val="21"/>
              </w:rPr>
              <w:t>劳务费、委托业务费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23.16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3.77</w:t>
            </w:r>
          </w:p>
        </w:tc>
      </w:tr>
      <w:tr>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工会经费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52.13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63.84</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福利费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7.56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0</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6.71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4.74</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ascii="Times New Roman" w:hAnsi="Times New Roman"/>
                <w:kern w:val="0"/>
                <w:szCs w:val="21"/>
              </w:rPr>
              <w:t>其他商品服务支出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27.06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98.96</w:t>
            </w:r>
          </w:p>
        </w:tc>
      </w:tr>
      <w:tr>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35.55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28.86</w:t>
            </w:r>
          </w:p>
        </w:tc>
      </w:tr>
      <w:tr>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31.65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25.02</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31.65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25.02</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3.84</w:t>
            </w:r>
          </w:p>
        </w:tc>
      </w:tr>
      <w:tr>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139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139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626.03</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1、环保局办公租赁费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15</w:t>
            </w:r>
          </w:p>
        </w:tc>
      </w:tr>
      <w:tr>
        <w:tblPrEx>
          <w:tblCellMar>
            <w:top w:w="0" w:type="dxa"/>
            <w:left w:w="108" w:type="dxa"/>
            <w:bottom w:w="0" w:type="dxa"/>
            <w:right w:w="108" w:type="dxa"/>
          </w:tblCellMar>
        </w:tblPrEx>
        <w:trPr>
          <w:trHeight w:val="7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2、13个农村饮用水源水质监测工作经费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3、环保督查工作经费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4、空气自动站运行管理</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7.39</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5、六五世界环境日宣传</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6、实验室试剂耗材及仪器保养</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5.61</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7、污染物减排工作经费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30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30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18.88</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8、县级3个饮用水源地监测工作经费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7.36</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9、湘江一号工程污染治理工作经费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12</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10、环境监察执法工作经费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r>
      <w:tr>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11、土壤重点监测工作经费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2.4</w:t>
            </w:r>
          </w:p>
        </w:tc>
      </w:tr>
      <w:tr>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12、2021年省级农村环境综合整治资金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13、中央环保督查奖补资金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25</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asciiTheme="majorEastAsia" w:hAnsiTheme="majorEastAsia" w:eastAsiaTheme="majorEastAsia"/>
                <w:szCs w:val="21"/>
              </w:rPr>
              <w:t>14、23处“千人以上”集中式饮用水源保护区划定技术方案编制</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78.5</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heme="majorEastAsia" w:hAnsiTheme="majorEastAsia" w:eastAsiaTheme="majorEastAsia"/>
                <w:kern w:val="0"/>
                <w:szCs w:val="21"/>
              </w:rPr>
            </w:pPr>
            <w:r>
              <w:rPr>
                <w:rFonts w:hint="eastAsia" w:asciiTheme="majorEastAsia" w:hAnsiTheme="majorEastAsia" w:eastAsiaTheme="majorEastAsia"/>
                <w:szCs w:val="21"/>
              </w:rPr>
              <w:t>15、2020年农村环境综合整治项目验收</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60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asciiTheme="majorEastAsia" w:hAnsiTheme="majorEastAsia" w:eastAsiaTheme="majorEastAsia"/>
                <w:szCs w:val="21"/>
              </w:rPr>
              <w:t>16、城区声功能区划技术方案等应急预案编制</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21</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asciiTheme="majorEastAsia" w:hAnsiTheme="majorEastAsia" w:eastAsiaTheme="majorEastAsia"/>
                <w:szCs w:val="21"/>
              </w:rPr>
              <w:t>17、湘江祁东段入河排污口整治</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4.85</w:t>
            </w:r>
          </w:p>
        </w:tc>
      </w:tr>
      <w:tr>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18、重点办前期项目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19.04</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19、环保督查工作经费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30</w:t>
            </w:r>
          </w:p>
        </w:tc>
      </w:tr>
      <w:tr>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szCs w:val="21"/>
              </w:rPr>
              <w:t>20、2016年农村环境综合整治整县推进（省级资金）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215</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r>
              <w:rPr>
                <w:rFonts w:asciiTheme="majorEastAsia" w:hAnsiTheme="majorEastAsia" w:eastAsiaTheme="majorEastAsia"/>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r>
              <w:rPr>
                <w:rFonts w:asciiTheme="majorEastAsia" w:hAnsiTheme="majorEastAsia" w:eastAsiaTheme="majorEastAsia"/>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226.83</w:t>
            </w:r>
          </w:p>
        </w:tc>
      </w:tr>
      <w:tr>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szCs w:val="21"/>
              </w:rPr>
              <w:t>加强单位财务管理，健全单位财务管理制度体系，规范单位财务行为。在费用报账支付时，按照预算规定的费用项目和用途进行资金使用审核、财务严格核算，严格按照预算编制的相关制度和</w:t>
            </w:r>
            <w:r>
              <w:rPr>
                <w:rFonts w:hint="eastAsia" w:asciiTheme="majorEastAsia" w:hAnsiTheme="majorEastAsia" w:eastAsiaTheme="majorEastAsia"/>
                <w:szCs w:val="21"/>
              </w:rPr>
              <w:t>指标</w:t>
            </w:r>
            <w:r>
              <w:rPr>
                <w:rFonts w:asciiTheme="majorEastAsia" w:hAnsiTheme="majorEastAsia" w:eastAsiaTheme="majorEastAsia"/>
                <w:szCs w:val="21"/>
              </w:rPr>
              <w:t>要求进行</w:t>
            </w:r>
            <w:r>
              <w:rPr>
                <w:rFonts w:hint="eastAsia" w:asciiTheme="majorEastAsia" w:hAnsiTheme="majorEastAsia" w:eastAsiaTheme="majorEastAsia"/>
                <w:szCs w:val="21"/>
              </w:rPr>
              <w:t>操作，</w:t>
            </w:r>
            <w:r>
              <w:rPr>
                <w:rFonts w:asciiTheme="majorEastAsia" w:hAnsiTheme="majorEastAsia" w:eastAsiaTheme="majorEastAsia"/>
                <w:szCs w:val="21"/>
              </w:rPr>
              <w:t>杜绝超支现象的发生</w:t>
            </w:r>
            <w:r>
              <w:rPr>
                <w:rFonts w:hint="eastAsia" w:asciiTheme="majorEastAsia" w:hAnsiTheme="majorEastAsia" w:eastAsiaTheme="majorEastAsia"/>
                <w:kern w:val="0"/>
                <w:szCs w:val="21"/>
              </w:rPr>
              <w:t>。</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仿宋_GB2312"/>
          <w:szCs w:val="21"/>
        </w:rPr>
      </w:pPr>
    </w:p>
    <w:p>
      <w:pPr>
        <w:rPr>
          <w:rFonts w:hint="eastAsia"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ascii="Times New Roman" w:hAnsi="Times New Roman" w:eastAsia="黑体"/>
          <w:szCs w:val="21"/>
        </w:rPr>
        <w:t xml:space="preserve"> 段红卫</w:t>
      </w: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附件3</w:t>
      </w:r>
    </w:p>
    <w:tbl>
      <w:tblPr>
        <w:tblStyle w:val="7"/>
        <w:tblW w:w="10008" w:type="dxa"/>
        <w:jc w:val="center"/>
        <w:tblLayout w:type="fixed"/>
        <w:tblCellMar>
          <w:top w:w="0" w:type="dxa"/>
          <w:left w:w="108" w:type="dxa"/>
          <w:bottom w:w="0" w:type="dxa"/>
          <w:right w:w="108" w:type="dxa"/>
        </w:tblCellMar>
      </w:tblPr>
      <w:tblGrid>
        <w:gridCol w:w="1364"/>
        <w:gridCol w:w="1021"/>
        <w:gridCol w:w="1111"/>
        <w:gridCol w:w="1126"/>
        <w:gridCol w:w="1111"/>
        <w:gridCol w:w="254"/>
        <w:gridCol w:w="812"/>
        <w:gridCol w:w="209"/>
        <w:gridCol w:w="962"/>
        <w:gridCol w:w="766"/>
        <w:gridCol w:w="300"/>
        <w:gridCol w:w="972"/>
      </w:tblGrid>
      <w:tr>
        <w:tblPrEx>
          <w:tblCellMar>
            <w:top w:w="0" w:type="dxa"/>
            <w:left w:w="108" w:type="dxa"/>
            <w:bottom w:w="0" w:type="dxa"/>
            <w:right w:w="108" w:type="dxa"/>
          </w:tblCellMar>
        </w:tblPrEx>
        <w:trPr>
          <w:trHeight w:val="492" w:hRule="atLeast"/>
          <w:jc w:val="center"/>
        </w:trPr>
        <w:tc>
          <w:tcPr>
            <w:tcW w:w="10006"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42" w:hRule="atLeast"/>
          <w:jc w:val="center"/>
        </w:trPr>
        <w:tc>
          <w:tcPr>
            <w:tcW w:w="10006"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tblPrEx>
          <w:tblCellMar>
            <w:top w:w="0" w:type="dxa"/>
            <w:left w:w="108" w:type="dxa"/>
            <w:bottom w:w="0" w:type="dxa"/>
            <w:right w:w="108" w:type="dxa"/>
          </w:tblCellMar>
        </w:tblPrEx>
        <w:trPr>
          <w:trHeight w:val="430" w:hRule="atLeast"/>
          <w:jc w:val="center"/>
        </w:trPr>
        <w:tc>
          <w:tcPr>
            <w:tcW w:w="136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c>
          <w:tcPr>
            <w:tcW w:w="102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1"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445" w:hRule="atLeast"/>
          <w:jc w:val="center"/>
        </w:trPr>
        <w:tc>
          <w:tcPr>
            <w:tcW w:w="1364"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2094.78</w:t>
            </w:r>
          </w:p>
        </w:tc>
        <w:tc>
          <w:tcPr>
            <w:tcW w:w="102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2094.78</w:t>
            </w:r>
          </w:p>
        </w:tc>
        <w:tc>
          <w:tcPr>
            <w:tcW w:w="961"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2"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504" w:hRule="atLeast"/>
          <w:jc w:val="center"/>
        </w:trPr>
        <w:tc>
          <w:tcPr>
            <w:tcW w:w="1364"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tblPrEx>
          <w:tblCellMar>
            <w:top w:w="0" w:type="dxa"/>
            <w:left w:w="108" w:type="dxa"/>
            <w:bottom w:w="0" w:type="dxa"/>
            <w:right w:w="108" w:type="dxa"/>
          </w:tblCellMar>
        </w:tblPrEx>
        <w:trPr>
          <w:trHeight w:val="318" w:hRule="atLeast"/>
          <w:jc w:val="center"/>
        </w:trPr>
        <w:tc>
          <w:tcPr>
            <w:tcW w:w="1364"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1400.44</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其中：基本支出：1468.75</w:t>
            </w:r>
          </w:p>
        </w:tc>
      </w:tr>
      <w:tr>
        <w:tblPrEx>
          <w:tblCellMar>
            <w:top w:w="0" w:type="dxa"/>
            <w:left w:w="108" w:type="dxa"/>
            <w:bottom w:w="0" w:type="dxa"/>
            <w:right w:w="108" w:type="dxa"/>
          </w:tblCellMar>
        </w:tblPrEx>
        <w:trPr>
          <w:trHeight w:val="345" w:hRule="atLeast"/>
          <w:jc w:val="center"/>
        </w:trPr>
        <w:tc>
          <w:tcPr>
            <w:tcW w:w="1364"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项目支出：626.03</w:t>
            </w:r>
          </w:p>
        </w:tc>
      </w:tr>
      <w:tr>
        <w:tblPrEx>
          <w:tblCellMar>
            <w:top w:w="0" w:type="dxa"/>
            <w:left w:w="108" w:type="dxa"/>
            <w:bottom w:w="0" w:type="dxa"/>
            <w:right w:w="108" w:type="dxa"/>
          </w:tblCellMar>
        </w:tblPrEx>
        <w:trPr>
          <w:trHeight w:val="345" w:hRule="atLeast"/>
          <w:jc w:val="center"/>
        </w:trPr>
        <w:tc>
          <w:tcPr>
            <w:tcW w:w="1364"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36" w:hRule="atLeast"/>
          <w:jc w:val="center"/>
        </w:trPr>
        <w:tc>
          <w:tcPr>
            <w:tcW w:w="136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694.34</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462" w:hRule="atLeast"/>
          <w:jc w:val="center"/>
        </w:trPr>
        <w:tc>
          <w:tcPr>
            <w:tcW w:w="136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42"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ind w:firstLine="400" w:firstLineChars="2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（一） 负责建立祁东县环境保护基本制度。　　</w:t>
            </w:r>
          </w:p>
          <w:p>
            <w:pPr>
              <w:widowControl/>
              <w:ind w:firstLine="400" w:firstLineChars="2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（二）负责建立健全环境保护管理制度。结合本县实际组织、监督实施。</w:t>
            </w:r>
          </w:p>
          <w:p>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（三）负责环境污染防治监督管理工作。</w:t>
            </w:r>
          </w:p>
          <w:p>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（四）负责生态环境保护监督管理工作。编制祁东县生态保护规划，组织评估生态环境质量状况，，拟定祁东县生态环境保护补偿制度并组织实施；组织、指导生态系列创建工作。</w:t>
            </w:r>
          </w:p>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（五）负责职责范围内的核与辐射环境监管以及祁东县核事故应急管理工作。组织实施国家核与辐射安全政策、规划、标准。</w:t>
            </w:r>
          </w:p>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六）负责祁东县环境监测管理工作。组织祁东县环境监测网络规划和建设，优化环境监测点位的设置，实施环境质量监测和污染源监督性监测，会同和配合有关部门建立健全环境与健康监测、调查和风险评估制度。</w:t>
            </w:r>
          </w:p>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七）负责祁东县环境保护行政执法监管。组织实施国家和地方环境保护法律制度，开展环境保护执法检查，查处环境违法行为，规范和监督祁东县环境保护执法工作，监督环境保护执法行为；负责对各类环境保护责任主体履行环境保护义务进行稽查。</w:t>
            </w:r>
          </w:p>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（八）负责环境应急和污染事故纠纷处理。</w:t>
            </w:r>
          </w:p>
          <w:p>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（九）负责祁东县环境保护经济政策的制定和实施。</w:t>
            </w:r>
          </w:p>
          <w:p>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十)开展环境保护科技工作。组织开展环境保护重大科学研究和技术工程示范，推动环境技术管理体系建设；组织市级环境保护科技成果的鉴定、交流与推广；提出祁东县环境保护对外合作交流中有关问题的建议，开展对外环境保护信息交流工作；参与处理涉外环境保护事务和应对气候变化工作。</w:t>
            </w:r>
          </w:p>
          <w:p>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（十一）组织、指导和协调祁东县环境保护宣传教育工作。</w:t>
            </w:r>
          </w:p>
          <w:p>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十二）负责祁东县环境信息发布工作。负责编制并发布祁东县环境质量状况报告、重点污染源监督性监测报告，发布重大环境事件处理处置情况信息；推动环境政务信息公开，指导并监督重点污染企业环境信息公开。</w:t>
            </w:r>
          </w:p>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十三）制定并组织实施祁东县环境保护目标责任制。受市人民政府委托，将祁东县环境保护重点工作任务分解落实到市直相关部门、各县（市、区）人民政府、相关企业，实行目标管理，并对环境保护目标任务完成情况进行监督、考核。</w:t>
            </w:r>
          </w:p>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(十四)负责对职责范围内有关行业、领域的安全生产工作实施监督管理。</w:t>
            </w:r>
          </w:p>
        </w:tc>
      </w:tr>
      <w:tr>
        <w:tblPrEx>
          <w:tblCellMar>
            <w:top w:w="0" w:type="dxa"/>
            <w:left w:w="108" w:type="dxa"/>
            <w:bottom w:w="0" w:type="dxa"/>
            <w:right w:w="108" w:type="dxa"/>
          </w:tblCellMar>
        </w:tblPrEx>
        <w:trPr>
          <w:trHeight w:val="546" w:hRule="atLeast"/>
          <w:jc w:val="center"/>
        </w:trPr>
        <w:tc>
          <w:tcPr>
            <w:tcW w:w="136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42"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olor w:val="000000"/>
                <w:kern w:val="0"/>
                <w:sz w:val="20"/>
                <w:szCs w:val="20"/>
              </w:rPr>
            </w:pPr>
            <w:r>
              <w:rPr>
                <w:rFonts w:hint="eastAsia" w:asciiTheme="majorEastAsia" w:hAnsiTheme="majorEastAsia" w:eastAsiaTheme="majorEastAsia"/>
                <w:color w:val="000000"/>
                <w:kern w:val="0"/>
                <w:sz w:val="20"/>
                <w:szCs w:val="20"/>
              </w:rPr>
              <w:t xml:space="preserve">    </w:t>
            </w:r>
            <w:r>
              <w:rPr>
                <w:rFonts w:asciiTheme="majorEastAsia" w:hAnsiTheme="majorEastAsia" w:eastAsiaTheme="majorEastAsia"/>
                <w:color w:val="000000"/>
                <w:kern w:val="0"/>
                <w:sz w:val="20"/>
                <w:szCs w:val="20"/>
              </w:rPr>
              <w:t>严格执行国家财经法律法规和内部财务财产管理制度，控制和规范管理经费支出，增强经费预算刚性，提高资金使用效益，保障职工工资福利待遇及各部门工作开展所需公用经费投入。完成省市县下达的绩效考核指标任务，完成污染减排任务，加入重点污染源的监管，提高环境执法监管水平，维护群众的合法环境权益，控制和规范管理经费支出，提高资金使用效益。</w:t>
            </w:r>
          </w:p>
        </w:tc>
      </w:tr>
      <w:tr>
        <w:tblPrEx>
          <w:tblCellMar>
            <w:top w:w="0" w:type="dxa"/>
            <w:left w:w="108" w:type="dxa"/>
            <w:bottom w:w="0" w:type="dxa"/>
            <w:right w:w="108" w:type="dxa"/>
          </w:tblCellMar>
        </w:tblPrEx>
        <w:trPr>
          <w:trHeight w:val="684" w:hRule="atLeast"/>
          <w:jc w:val="center"/>
        </w:trPr>
        <w:tc>
          <w:tcPr>
            <w:tcW w:w="1364"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县城空气质量达标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达标</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w:t>
            </w:r>
            <w:r>
              <w:rPr>
                <w:rFonts w:ascii="Times New Roman" w:hAnsi="Times New Roman" w:eastAsia="仿宋_GB2312"/>
                <w:color w:val="000000"/>
                <w:kern w:val="0"/>
                <w:szCs w:val="21"/>
              </w:rPr>
              <w:t>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1507"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城区及农村饮用水源地水质达标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达标</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基本</w:t>
            </w:r>
            <w:r>
              <w:rPr>
                <w:rFonts w:ascii="Times New Roman" w:hAnsi="Times New Roman" w:eastAsia="仿宋_GB2312"/>
                <w:color w:val="000000"/>
                <w:kern w:val="0"/>
                <w:szCs w:val="21"/>
              </w:rPr>
              <w:t>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159"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湘江断面监测</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365天</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95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县城空气质量</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优良</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基本</w:t>
            </w:r>
            <w:r>
              <w:rPr>
                <w:rFonts w:ascii="Times New Roman" w:hAnsi="Times New Roman" w:eastAsia="仿宋_GB2312"/>
                <w:color w:val="000000"/>
                <w:kern w:val="0"/>
                <w:szCs w:val="21"/>
              </w:rPr>
              <w:t>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151"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w:t>
            </w:r>
            <w:r>
              <w:rPr>
                <w:rFonts w:ascii="Times New Roman" w:hAnsi="Times New Roman" w:eastAsia="仿宋_GB2312"/>
                <w:color w:val="000000"/>
                <w:kern w:val="0"/>
                <w:szCs w:val="21"/>
              </w:rPr>
              <w:t>城饮用</w:t>
            </w:r>
            <w:r>
              <w:rPr>
                <w:rFonts w:hint="eastAsia" w:ascii="Times New Roman" w:hAnsi="Times New Roman" w:eastAsia="仿宋_GB2312"/>
                <w:color w:val="000000"/>
                <w:kern w:val="0"/>
                <w:szCs w:val="21"/>
              </w:rPr>
              <w:t>水质量</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三类</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湘江断面水质</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三类</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w:t>
            </w:r>
            <w:r>
              <w:rPr>
                <w:rFonts w:ascii="Times New Roman" w:hAnsi="Times New Roman" w:eastAsia="仿宋_GB2312"/>
                <w:color w:val="000000"/>
                <w:kern w:val="0"/>
                <w:szCs w:val="21"/>
              </w:rPr>
              <w:t>年</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1-12月</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全年财政总预算</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2094.78万元</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2094.78万元</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促进企业加强管理达标排放</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有效控制</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环境改善，环保意识提高</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环保意识逐步提高</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引导地方采取有效措施改善生态环境质量</w:t>
            </w: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生态环境逐步改善</w:t>
            </w: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环境质量改善，环保理念推广</w:t>
            </w: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加大宣传力度，营造良好环保氛围</w:t>
            </w: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1"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民众对辖区环境满意度</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nil"/>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434" w:hRule="atLeast"/>
          <w:jc w:val="center"/>
        </w:trPr>
        <w:tc>
          <w:tcPr>
            <w:tcW w:w="67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-1</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57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13个农村饮用水源水质监测</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确保农村饮水安全，水质达到三类标准。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监测点位覆盖率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监测因子覆盖率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断面水质</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三类</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三类</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产出间隔时限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w:t>
            </w:r>
            <w:r>
              <w:rPr>
                <w:rFonts w:ascii="Times New Roman" w:hAnsi="Times New Roman" w:eastAsia="仿宋_GB2312"/>
                <w:color w:val="000000"/>
                <w:kern w:val="0"/>
                <w:szCs w:val="21"/>
              </w:rPr>
              <w:t>季度一次，一年</w:t>
            </w:r>
            <w:r>
              <w:rPr>
                <w:rFonts w:hint="eastAsia" w:ascii="Times New Roman" w:hAnsi="Times New Roman" w:eastAsia="仿宋_GB2312"/>
                <w:color w:val="000000"/>
                <w:kern w:val="0"/>
                <w:szCs w:val="21"/>
              </w:rPr>
              <w:t>4次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4次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饮水质量达标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农村饮水安全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长期监测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提供持续的水质监测</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农村居民满意度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ascii="Times New Roman" w:hAnsi="Times New Roman" w:eastAsia="黑体"/>
          <w:szCs w:val="21"/>
        </w:rPr>
        <w:t xml:space="preserve"> </w:t>
      </w:r>
      <w:r>
        <w:rPr>
          <w:rFonts w:hint="eastAsia" w:ascii="Times New Roman" w:hAnsi="Times New Roman" w:eastAsia="黑体"/>
          <w:szCs w:val="21"/>
        </w:rPr>
        <w:t>段红卫</w:t>
      </w:r>
    </w:p>
    <w:tbl>
      <w:tblPr>
        <w:tblStyle w:val="7"/>
        <w:tblW w:w="9999" w:type="dxa"/>
        <w:jc w:val="center"/>
        <w:tblLayout w:type="fixed"/>
        <w:tblCellMar>
          <w:top w:w="0" w:type="dxa"/>
          <w:left w:w="108" w:type="dxa"/>
          <w:bottom w:w="0" w:type="dxa"/>
          <w:right w:w="108" w:type="dxa"/>
        </w:tblCellMar>
      </w:tblPr>
      <w:tblGrid>
        <w:gridCol w:w="1135"/>
        <w:gridCol w:w="992"/>
        <w:gridCol w:w="1261"/>
        <w:gridCol w:w="1155"/>
        <w:gridCol w:w="1399"/>
        <w:gridCol w:w="938"/>
        <w:gridCol w:w="993"/>
        <w:gridCol w:w="855"/>
        <w:gridCol w:w="1271"/>
      </w:tblGrid>
      <w:tr>
        <w:tblPrEx>
          <w:tblCellMar>
            <w:top w:w="0" w:type="dxa"/>
            <w:left w:w="108" w:type="dxa"/>
            <w:bottom w:w="0" w:type="dxa"/>
            <w:right w:w="108" w:type="dxa"/>
          </w:tblCellMar>
        </w:tblPrEx>
        <w:trPr>
          <w:trHeight w:val="978"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-2</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46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环保督查工作经费</w:t>
            </w:r>
          </w:p>
        </w:tc>
      </w:tr>
      <w:tr>
        <w:tblPrEx>
          <w:tblCellMar>
            <w:top w:w="0" w:type="dxa"/>
            <w:left w:w="108" w:type="dxa"/>
            <w:bottom w:w="0" w:type="dxa"/>
            <w:right w:w="108" w:type="dxa"/>
          </w:tblCellMar>
        </w:tblPrEx>
        <w:trPr>
          <w:trHeight w:val="429"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0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399"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938"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3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3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3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3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0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05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282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80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Ansi="宋体"/>
                <w:kern w:val="0"/>
                <w:sz w:val="20"/>
                <w:szCs w:val="20"/>
              </w:rPr>
              <w:t>建立健全生态环境保护督察制度,组织协调生态环境保护督察工作。协调解决生态环境保护中的重大问题。承担生态环境保护督察工作领导小组日常工作,协调配合中央</w:t>
            </w:r>
            <w:r>
              <w:rPr>
                <w:rFonts w:hint="eastAsia" w:hAnsi="宋体"/>
                <w:kern w:val="0"/>
                <w:sz w:val="20"/>
                <w:szCs w:val="20"/>
              </w:rPr>
              <w:t>、省、市</w:t>
            </w:r>
            <w:r>
              <w:rPr>
                <w:rFonts w:hAnsi="宋体"/>
                <w:kern w:val="0"/>
                <w:sz w:val="20"/>
                <w:szCs w:val="20"/>
              </w:rPr>
              <w:t>生态环境保护督察。组织相关部门加强生态环境保护监管执法,严厉查处生态环境违法行为,依法取缔或者关闭严重生态环境违法和不符合国家产业政策的企业、其他生产经营者。配备与生态环境保护监督管理任务相适应的工作力量。指导生态环境保护综合执法队伍建设和业务工作。</w:t>
            </w:r>
          </w:p>
        </w:tc>
        <w:tc>
          <w:tcPr>
            <w:tcW w:w="405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619"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39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93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督查频次</w:t>
            </w:r>
          </w:p>
        </w:tc>
        <w:tc>
          <w:tcPr>
            <w:tcW w:w="13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38"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574"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辖</w:t>
            </w:r>
            <w:r>
              <w:rPr>
                <w:rFonts w:ascii="Times New Roman" w:hAnsi="Times New Roman" w:eastAsia="仿宋_GB2312"/>
                <w:color w:val="000000"/>
                <w:kern w:val="0"/>
                <w:szCs w:val="21"/>
              </w:rPr>
              <w:t>区内环境</w:t>
            </w:r>
          </w:p>
        </w:tc>
        <w:tc>
          <w:tcPr>
            <w:tcW w:w="13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9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督查</w:t>
            </w:r>
            <w:r>
              <w:rPr>
                <w:rFonts w:ascii="Times New Roman" w:hAnsi="Times New Roman" w:eastAsia="仿宋_GB2312"/>
                <w:color w:val="000000"/>
                <w:kern w:val="0"/>
                <w:szCs w:val="21"/>
              </w:rPr>
              <w:t>及时率</w:t>
            </w:r>
          </w:p>
        </w:tc>
        <w:tc>
          <w:tcPr>
            <w:tcW w:w="13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3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w:t>
            </w:r>
          </w:p>
        </w:tc>
        <w:tc>
          <w:tcPr>
            <w:tcW w:w="9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3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w:t>
            </w:r>
            <w:r>
              <w:rPr>
                <w:rFonts w:ascii="Times New Roman" w:hAnsi="Times New Roman" w:eastAsia="仿宋_GB2312"/>
                <w:color w:val="000000"/>
                <w:kern w:val="0"/>
                <w:szCs w:val="21"/>
              </w:rPr>
              <w:t>隐患降低</w:t>
            </w:r>
          </w:p>
        </w:tc>
        <w:tc>
          <w:tcPr>
            <w:tcW w:w="13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9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469"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辖</w:t>
            </w:r>
            <w:r>
              <w:rPr>
                <w:rFonts w:ascii="Times New Roman" w:hAnsi="Times New Roman" w:eastAsia="仿宋_GB2312"/>
                <w:color w:val="000000"/>
                <w:kern w:val="0"/>
                <w:szCs w:val="21"/>
              </w:rPr>
              <w:t>区企业生态环境</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27"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改善生态环境质量</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效保障</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416"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w:t>
            </w:r>
            <w:r>
              <w:rPr>
                <w:rFonts w:ascii="Times New Roman" w:hAnsi="Times New Roman" w:eastAsia="仿宋_GB2312"/>
                <w:color w:val="000000"/>
                <w:kern w:val="0"/>
                <w:szCs w:val="21"/>
              </w:rPr>
              <w:t>民群众对环境质量满意度</w:t>
            </w:r>
          </w:p>
        </w:tc>
        <w:tc>
          <w:tcPr>
            <w:tcW w:w="13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29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-3</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环保</w:t>
            </w:r>
            <w:r>
              <w:rPr>
                <w:rFonts w:ascii="Times New Roman" w:hAnsi="Times New Roman" w:eastAsia="仿宋_GB2312"/>
                <w:color w:val="000000"/>
                <w:kern w:val="0"/>
                <w:szCs w:val="21"/>
              </w:rPr>
              <w:t>局办公租赁费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Ansi="宋体"/>
                <w:kern w:val="0"/>
                <w:sz w:val="20"/>
                <w:szCs w:val="20"/>
              </w:rPr>
            </w:pPr>
            <w:r>
              <w:rPr>
                <w:rFonts w:hint="eastAsia" w:hAnsi="宋体"/>
                <w:kern w:val="0"/>
                <w:sz w:val="20"/>
                <w:szCs w:val="20"/>
              </w:rPr>
              <w:t>解决环保局办公用房，以进行开展环保业务工作</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宋体" w:hAnsi="宋体" w:cs="宋体"/>
                <w:color w:val="000000"/>
                <w:kern w:val="0"/>
                <w:szCs w:val="21"/>
              </w:rPr>
              <w:t>办公用房数量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1幢</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办公用房</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租用时限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140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办公用房需求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767"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2085"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职工</w:t>
            </w:r>
            <w:r>
              <w:rPr>
                <w:rFonts w:ascii="Times New Roman" w:hAnsi="Times New Roman" w:eastAsia="仿宋_GB2312"/>
                <w:color w:val="000000"/>
                <w:kern w:val="0"/>
                <w:szCs w:val="21"/>
              </w:rPr>
              <w:t>对办公环境满意度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903"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-4</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42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环境</w:t>
            </w:r>
            <w:r>
              <w:rPr>
                <w:rFonts w:ascii="Times New Roman" w:hAnsi="Times New Roman" w:eastAsia="仿宋_GB2312"/>
                <w:color w:val="000000"/>
                <w:kern w:val="0"/>
                <w:szCs w:val="21"/>
              </w:rPr>
              <w:t>监察执法</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45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16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2226"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Ansi="宋体"/>
                <w:kern w:val="0"/>
                <w:sz w:val="20"/>
                <w:szCs w:val="20"/>
              </w:rPr>
            </w:pPr>
            <w:r>
              <w:rPr>
                <w:rFonts w:hAnsi="宋体"/>
                <w:kern w:val="0"/>
                <w:sz w:val="20"/>
                <w:szCs w:val="20"/>
              </w:rPr>
              <w:t>组织相关部门加强生态环境保护监管执法,严厉查处生态环境违法行为,依法取缔或者关闭严重生态环境违法和不符合国家产业政策的企业、其他生产经营者。协调解决生态环境保护中的重大问题。承担生态环境保护</w:t>
            </w:r>
            <w:r>
              <w:rPr>
                <w:rFonts w:hint="eastAsia" w:hAnsi="宋体"/>
                <w:kern w:val="0"/>
                <w:sz w:val="20"/>
                <w:szCs w:val="20"/>
              </w:rPr>
              <w:t>执法</w:t>
            </w:r>
            <w:r>
              <w:rPr>
                <w:rFonts w:hAnsi="宋体"/>
                <w:kern w:val="0"/>
                <w:sz w:val="20"/>
                <w:szCs w:val="20"/>
              </w:rPr>
              <w:t>工作领导小组日常工作,协调配合中央</w:t>
            </w:r>
            <w:r>
              <w:rPr>
                <w:rFonts w:hint="eastAsia" w:hAnsi="宋体"/>
                <w:kern w:val="0"/>
                <w:sz w:val="20"/>
                <w:szCs w:val="20"/>
              </w:rPr>
              <w:t>、省、市</w:t>
            </w:r>
            <w:r>
              <w:rPr>
                <w:rFonts w:hAnsi="宋体"/>
                <w:kern w:val="0"/>
                <w:sz w:val="20"/>
                <w:szCs w:val="20"/>
              </w:rPr>
              <w:t>生态环境保护</w:t>
            </w:r>
            <w:r>
              <w:rPr>
                <w:rFonts w:hint="eastAsia" w:hAnsi="宋体"/>
                <w:kern w:val="0"/>
                <w:sz w:val="20"/>
                <w:szCs w:val="20"/>
              </w:rPr>
              <w:t>执法</w:t>
            </w:r>
            <w:r>
              <w:rPr>
                <w:rFonts w:hAnsi="宋体"/>
                <w:kern w:val="0"/>
                <w:sz w:val="20"/>
                <w:szCs w:val="20"/>
              </w:rPr>
              <w:t>。</w:t>
            </w:r>
            <w:r>
              <w:rPr>
                <w:rFonts w:hint="eastAsia" w:hAnsi="宋体"/>
                <w:kern w:val="0"/>
                <w:sz w:val="20"/>
                <w:szCs w:val="20"/>
              </w:rPr>
              <w:t>努力提升</w:t>
            </w:r>
            <w:r>
              <w:rPr>
                <w:rFonts w:hAnsi="宋体"/>
                <w:kern w:val="0"/>
                <w:sz w:val="20"/>
                <w:szCs w:val="20"/>
              </w:rPr>
              <w:t>生态环境保护综合执法队伍建设和业务工作</w:t>
            </w:r>
            <w:r>
              <w:rPr>
                <w:rFonts w:hint="eastAsia" w:hAnsi="宋体"/>
                <w:kern w:val="0"/>
                <w:sz w:val="20"/>
                <w:szCs w:val="20"/>
              </w:rPr>
              <w:t>能力</w:t>
            </w:r>
            <w:r>
              <w:rPr>
                <w:rFonts w:hAnsi="宋体"/>
                <w:kern w:val="0"/>
                <w:sz w:val="20"/>
                <w:szCs w:val="20"/>
              </w:rPr>
              <w:t>。</w:t>
            </w:r>
          </w:p>
          <w:p>
            <w:pPr>
              <w:widowControl/>
              <w:jc w:val="left"/>
              <w:rPr>
                <w:rFonts w:ascii="Times New Roman" w:hAnsi="Times New Roman" w:eastAsia="仿宋_GB2312"/>
                <w:color w:val="000000"/>
                <w:kern w:val="0"/>
                <w:szCs w:val="21"/>
              </w:rPr>
            </w:pP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90"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执法完成率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631"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生态环境执法能力提升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执法及时</w:t>
            </w:r>
            <w:r>
              <w:rPr>
                <w:rFonts w:ascii="Times New Roman" w:hAnsi="Times New Roman" w:eastAsia="仿宋_GB2312"/>
                <w:color w:val="000000"/>
                <w:kern w:val="0"/>
                <w:sz w:val="18"/>
                <w:szCs w:val="18"/>
              </w:rPr>
              <w:t>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27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45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民众生活环境质量提高</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781"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辖</w:t>
            </w:r>
            <w:r>
              <w:rPr>
                <w:rFonts w:ascii="Times New Roman" w:hAnsi="Times New Roman" w:eastAsia="仿宋_GB2312"/>
                <w:color w:val="000000"/>
                <w:kern w:val="0"/>
                <w:szCs w:val="21"/>
              </w:rPr>
              <w:t>区企业生态环境质量提高</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424"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改善生态环境质量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r>
              <w:rPr>
                <w:rFonts w:ascii="Times New Roman" w:hAnsi="Times New Roman" w:eastAsia="仿宋_GB2312"/>
                <w:color w:val="000000"/>
                <w:kern w:val="0"/>
                <w:szCs w:val="21"/>
              </w:rPr>
              <w:t>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736"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w:t>
            </w:r>
            <w:r>
              <w:rPr>
                <w:rFonts w:ascii="Times New Roman" w:hAnsi="Times New Roman" w:eastAsia="仿宋_GB2312"/>
                <w:color w:val="000000"/>
                <w:kern w:val="0"/>
                <w:szCs w:val="21"/>
              </w:rPr>
              <w:t>民群众对环境质量满意度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-5</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空气自动站运行管理（教育局，归阳工业园）</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41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实时监测县城空气质量，确保人们身心健康</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已基本完成年度总体目标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100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监测点位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3个</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3个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22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61" w:type="dxa"/>
            <w:vMerge w:val="continue"/>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监测因子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56个</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243"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监测频次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每天</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24"/>
                <w:szCs w:val="24"/>
              </w:rPr>
              <w:t>时</w:t>
            </w:r>
            <w:r>
              <w:rPr>
                <w:rFonts w:ascii="Times New Roman" w:hAnsi="Times New Roman" w:eastAsia="仿宋_GB2312"/>
                <w:color w:val="000000"/>
                <w:kern w:val="0"/>
                <w:szCs w:val="21"/>
              </w:rPr>
              <w:t>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监测时长</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每天</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保障工作所需为前提，厉行节约。</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616"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空气生态环境质量达标率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862"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改善生态环境空气质量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r>
              <w:rPr>
                <w:rFonts w:ascii="Times New Roman" w:hAnsi="Times New Roman" w:eastAsia="仿宋_GB2312"/>
                <w:color w:val="000000"/>
                <w:kern w:val="0"/>
                <w:szCs w:val="21"/>
              </w:rPr>
              <w:t>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112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w:t>
            </w:r>
            <w:r>
              <w:rPr>
                <w:rFonts w:ascii="Times New Roman" w:hAnsi="Times New Roman" w:eastAsia="仿宋_GB2312"/>
                <w:color w:val="000000"/>
                <w:kern w:val="0"/>
                <w:szCs w:val="21"/>
              </w:rPr>
              <w:t>民群众对</w:t>
            </w:r>
            <w:r>
              <w:rPr>
                <w:rFonts w:hint="eastAsia" w:ascii="Times New Roman" w:hAnsi="Times New Roman" w:eastAsia="仿宋_GB2312"/>
                <w:color w:val="000000"/>
                <w:kern w:val="0"/>
                <w:szCs w:val="21"/>
              </w:rPr>
              <w:t>空气</w:t>
            </w:r>
            <w:r>
              <w:rPr>
                <w:rFonts w:ascii="Times New Roman" w:hAnsi="Times New Roman" w:eastAsia="仿宋_GB2312"/>
                <w:color w:val="000000"/>
                <w:kern w:val="0"/>
                <w:szCs w:val="21"/>
              </w:rPr>
              <w:t>质量满意度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pPr>
        <w:rPr>
          <w:rFonts w:ascii="Times New Roman" w:hAnsi="Times New Roman" w:eastAsia="黑体"/>
          <w:szCs w:val="21"/>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-6</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六</w:t>
            </w:r>
            <w:r>
              <w:rPr>
                <w:rFonts w:ascii="Times New Roman" w:hAnsi="Times New Roman" w:eastAsia="仿宋_GB2312"/>
                <w:color w:val="000000"/>
                <w:kern w:val="0"/>
                <w:szCs w:val="21"/>
              </w:rPr>
              <w:t>五世界环境日宣传费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向全县宣传环保法律法规，提升环保形象</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宣传频次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1次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环保宣传效果</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宣传工作</w:t>
            </w:r>
            <w:r>
              <w:rPr>
                <w:rFonts w:ascii="Times New Roman" w:hAnsi="Times New Roman" w:eastAsia="仿宋_GB2312"/>
                <w:color w:val="000000"/>
                <w:kern w:val="0"/>
                <w:szCs w:val="21"/>
              </w:rPr>
              <w:t>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民众环境意识</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效提升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1952"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环境意识提升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提</w:t>
            </w:r>
            <w:r>
              <w:rPr>
                <w:rFonts w:ascii="Times New Roman" w:hAnsi="Times New Roman" w:eastAsia="仿宋_GB2312"/>
                <w:color w:val="000000"/>
                <w:kern w:val="0"/>
                <w:szCs w:val="21"/>
              </w:rPr>
              <w:t>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对环境</w:t>
            </w:r>
            <w:r>
              <w:rPr>
                <w:rFonts w:hint="eastAsia" w:ascii="Times New Roman" w:hAnsi="Times New Roman" w:eastAsia="仿宋_GB2312"/>
                <w:color w:val="000000"/>
                <w:kern w:val="0"/>
                <w:szCs w:val="21"/>
              </w:rPr>
              <w:t>宣</w:t>
            </w:r>
            <w:r>
              <w:rPr>
                <w:rFonts w:ascii="Times New Roman" w:hAnsi="Times New Roman" w:eastAsia="仿宋_GB2312"/>
                <w:color w:val="000000"/>
                <w:kern w:val="0"/>
                <w:szCs w:val="21"/>
              </w:rPr>
              <w:t>传满意度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4"/>
        </w:rPr>
      </w:pPr>
    </w:p>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pPr>
        <w:rPr>
          <w:rFonts w:ascii="Times New Roman" w:hAnsi="Times New Roman" w:eastAsia="黑体"/>
          <w:szCs w:val="21"/>
        </w:rPr>
      </w:pPr>
    </w:p>
    <w:tbl>
      <w:tblPr>
        <w:tblStyle w:val="7"/>
        <w:tblW w:w="9999" w:type="dxa"/>
        <w:jc w:val="center"/>
        <w:tblLayout w:type="fixed"/>
        <w:tblCellMar>
          <w:top w:w="0" w:type="dxa"/>
          <w:left w:w="108" w:type="dxa"/>
          <w:bottom w:w="0" w:type="dxa"/>
          <w:right w:w="108" w:type="dxa"/>
        </w:tblCellMar>
      </w:tblPr>
      <w:tblGrid>
        <w:gridCol w:w="1135"/>
        <w:gridCol w:w="992"/>
        <w:gridCol w:w="1261"/>
        <w:gridCol w:w="1384"/>
        <w:gridCol w:w="1001"/>
        <w:gridCol w:w="1107"/>
        <w:gridCol w:w="993"/>
        <w:gridCol w:w="855"/>
        <w:gridCol w:w="1271"/>
      </w:tblGrid>
      <w:tr>
        <w:tblPrEx>
          <w:tblCellMar>
            <w:top w:w="0" w:type="dxa"/>
            <w:left w:w="108" w:type="dxa"/>
            <w:bottom w:w="0" w:type="dxa"/>
            <w:right w:w="108" w:type="dxa"/>
          </w:tblCellMar>
        </w:tblPrEx>
        <w:trPr>
          <w:trHeight w:val="948"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-7</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污染物减排工作经费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61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84"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001"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3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3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3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3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pStyle w:val="16"/>
              <w:widowControl/>
              <w:numPr>
                <w:ilvl w:val="0"/>
                <w:numId w:val="1"/>
              </w:numPr>
              <w:ind w:firstLineChars="0"/>
              <w:jc w:val="left"/>
              <w:rPr>
                <w:rFonts w:hAnsi="宋体"/>
                <w:kern w:val="0"/>
                <w:sz w:val="20"/>
                <w:szCs w:val="20"/>
              </w:rPr>
            </w:pPr>
            <w:r>
              <w:rPr>
                <w:rFonts w:hint="eastAsia" w:hAnsi="宋体"/>
                <w:kern w:val="0"/>
                <w:sz w:val="20"/>
                <w:szCs w:val="20"/>
              </w:rPr>
              <w:t>减少我县污染物排放总量。</w:t>
            </w:r>
          </w:p>
          <w:p>
            <w:pPr>
              <w:widowControl/>
              <w:jc w:val="left"/>
              <w:rPr>
                <w:rFonts w:hAnsi="宋体"/>
                <w:kern w:val="0"/>
                <w:sz w:val="20"/>
                <w:szCs w:val="20"/>
              </w:rPr>
            </w:pPr>
            <w:r>
              <w:rPr>
                <w:rFonts w:hint="eastAsia" w:ascii="宋体" w:hAnsi="宋体" w:cs="宋体"/>
                <w:color w:val="313131"/>
                <w:sz w:val="20"/>
                <w:szCs w:val="20"/>
                <w:shd w:val="clear" w:color="auto" w:fill="FFFFFF"/>
              </w:rPr>
              <w:t>2、严格建设项目环保准入审批，提高项目准入门槛，严格控制新建高污染建设项目、从源头控制污染物排放量的增长</w:t>
            </w:r>
            <w:r>
              <w:rPr>
                <w:rFonts w:hint="eastAsia" w:hAnsi="宋体"/>
                <w:kern w:val="0"/>
                <w:sz w:val="20"/>
                <w:szCs w:val="20"/>
              </w:rPr>
              <w:t>。</w:t>
            </w:r>
          </w:p>
          <w:p>
            <w:pPr>
              <w:widowControl/>
              <w:jc w:val="left"/>
              <w:rPr>
                <w:rFonts w:ascii="Times New Roman" w:hAnsi="Times New Roman" w:eastAsia="仿宋_GB2312"/>
                <w:color w:val="000000"/>
                <w:kern w:val="0"/>
                <w:szCs w:val="21"/>
              </w:rPr>
            </w:pPr>
            <w:r>
              <w:rPr>
                <w:rFonts w:hint="eastAsia"/>
                <w:kern w:val="0"/>
                <w:sz w:val="20"/>
                <w:szCs w:val="20"/>
              </w:rPr>
              <w:t>3、淘汰企业落后工艺、优化产业结构。</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643"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53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减排总量完成</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有效完成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w:t>
            </w:r>
            <w:r>
              <w:rPr>
                <w:rFonts w:ascii="Times New Roman" w:hAnsi="Times New Roman" w:eastAsia="仿宋_GB2312"/>
                <w:color w:val="000000"/>
                <w:kern w:val="0"/>
                <w:szCs w:val="21"/>
              </w:rPr>
              <w:t>排总量达标</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586"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保障工作所需为前提，厉行节约</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 w:val="18"/>
                <w:szCs w:val="18"/>
              </w:rPr>
              <w:t>优化企业生产工艺，以提高企业竞争力</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加强优化</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有效完成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29"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人居环境优化</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有</w:t>
            </w:r>
            <w:r>
              <w:rPr>
                <w:rFonts w:ascii="Times New Roman" w:hAnsi="Times New Roman" w:eastAsia="仿宋_GB2312"/>
                <w:color w:val="000000"/>
                <w:kern w:val="0"/>
                <w:sz w:val="18"/>
                <w:szCs w:val="18"/>
              </w:rPr>
              <w:t>效提升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499"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生态环境质量</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74"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减排工作能力</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提</w:t>
            </w:r>
            <w:r>
              <w:rPr>
                <w:rFonts w:ascii="Times New Roman" w:hAnsi="Times New Roman" w:eastAsia="仿宋_GB2312"/>
                <w:color w:val="000000"/>
                <w:kern w:val="0"/>
                <w:szCs w:val="21"/>
              </w:rPr>
              <w:t>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781"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38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w:t>
            </w:r>
            <w:r>
              <w:rPr>
                <w:rFonts w:ascii="Times New Roman" w:hAnsi="Times New Roman" w:eastAsia="仿宋_GB2312"/>
                <w:color w:val="000000"/>
                <w:kern w:val="0"/>
                <w:szCs w:val="21"/>
              </w:rPr>
              <w:t>满意度</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FF0000"/>
                <w:kern w:val="0"/>
                <w:szCs w:val="21"/>
              </w:rPr>
            </w:pP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pPr>
        <w:rPr>
          <w:rFonts w:ascii="Times New Roman" w:hAnsi="Times New Roman" w:eastAsia="黑体"/>
          <w:szCs w:val="21"/>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rPr>
          <w:trHeight w:val="690"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-8</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县级3个饮用水源地监测</w:t>
            </w:r>
          </w:p>
        </w:tc>
      </w:tr>
      <w:tr>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确保县城饮用水安全，水质达到三类标准。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rPr>
          <w:trHeight w:val="105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监测频次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12次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保障工作所需为前提，厉行节约</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效提升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饮用水源地生态环境质量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饮用水源监测工作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开展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71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县城居民</w:t>
            </w:r>
            <w:r>
              <w:rPr>
                <w:rFonts w:ascii="Times New Roman" w:hAnsi="Times New Roman" w:eastAsia="仿宋_GB2312"/>
                <w:color w:val="000000"/>
                <w:kern w:val="0"/>
                <w:szCs w:val="21"/>
              </w:rPr>
              <w:t>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themeColor="text1"/>
                <w:kern w:val="0"/>
                <w:szCs w:val="21"/>
              </w:rPr>
            </w:pP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 w:val="32"/>
          <w:szCs w:val="32"/>
        </w:rPr>
        <w:t xml:space="preserve"> </w:t>
      </w:r>
      <w:r>
        <w:rPr>
          <w:rFonts w:hint="eastAsia" w:ascii="Times New Roman" w:hAnsi="Times New Roman" w:eastAsia="黑体"/>
          <w:szCs w:val="21"/>
        </w:rPr>
        <w:t>段红卫</w:t>
      </w:r>
    </w:p>
    <w:tbl>
      <w:tblPr>
        <w:tblStyle w:val="7"/>
        <w:tblW w:w="9999" w:type="dxa"/>
        <w:jc w:val="center"/>
        <w:tblLayout w:type="fixed"/>
        <w:tblCellMar>
          <w:top w:w="0" w:type="dxa"/>
          <w:left w:w="108" w:type="dxa"/>
          <w:bottom w:w="0" w:type="dxa"/>
          <w:right w:w="108" w:type="dxa"/>
        </w:tblCellMar>
      </w:tblPr>
      <w:tblGrid>
        <w:gridCol w:w="1135"/>
        <w:gridCol w:w="1132"/>
        <w:gridCol w:w="112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-9</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3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湘江一号工程污染治理</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rPr>
          <w:trHeight w:val="55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16</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16</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26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使湘江干流，全流域稳定在三类以上水质，饮用水断面达到二类水质</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tblPrEx>
          <w:tblCellMar>
            <w:top w:w="0" w:type="dxa"/>
            <w:left w:w="108" w:type="dxa"/>
            <w:bottom w:w="0" w:type="dxa"/>
            <w:right w:w="108" w:type="dxa"/>
          </w:tblCellMar>
        </w:tblPrEx>
        <w:trPr>
          <w:trHeight w:val="555"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3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93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12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水质点断面监测</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4个（归阳，状元桥、文明铺、管山村）</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4个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rPr>
          <w:trHeight w:val="82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2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273"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2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rPr>
          <w:trHeight w:val="721"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16万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保障工作所需为前提，厉行节约</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饮用水安全达标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保</w:t>
            </w:r>
            <w:r>
              <w:rPr>
                <w:rFonts w:ascii="Times New Roman" w:hAnsi="Times New Roman" w:eastAsia="仿宋_GB2312"/>
                <w:color w:val="000000"/>
                <w:kern w:val="0"/>
                <w:szCs w:val="21"/>
              </w:rPr>
              <w:t>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796"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13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饮用水源地生态环境质量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856"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3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全流</w:t>
            </w:r>
            <w:r>
              <w:rPr>
                <w:rFonts w:ascii="Times New Roman" w:hAnsi="Times New Roman" w:eastAsia="仿宋_GB2312"/>
                <w:color w:val="000000"/>
                <w:kern w:val="0"/>
                <w:szCs w:val="21"/>
              </w:rPr>
              <w:t>域水质</w:t>
            </w:r>
            <w:r>
              <w:rPr>
                <w:rFonts w:hint="eastAsia" w:ascii="Times New Roman" w:hAnsi="Times New Roman" w:eastAsia="仿宋_GB2312"/>
                <w:color w:val="000000"/>
                <w:kern w:val="0"/>
                <w:szCs w:val="21"/>
              </w:rPr>
              <w:t>污染</w:t>
            </w:r>
            <w:r>
              <w:rPr>
                <w:rFonts w:ascii="Times New Roman" w:hAnsi="Times New Roman" w:eastAsia="仿宋_GB2312"/>
                <w:color w:val="000000"/>
                <w:kern w:val="0"/>
                <w:szCs w:val="21"/>
              </w:rPr>
              <w:t>防治工作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rPr>
          <w:trHeight w:val="841"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3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满意度</w:t>
            </w:r>
          </w:p>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（10分）</w:t>
            </w:r>
          </w:p>
        </w:tc>
        <w:tc>
          <w:tcPr>
            <w:tcW w:w="112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全流域内居民</w:t>
            </w:r>
            <w:r>
              <w:rPr>
                <w:rFonts w:ascii="Times New Roman" w:hAnsi="Times New Roman" w:eastAsia="仿宋_GB2312"/>
                <w:color w:val="000000"/>
                <w:kern w:val="0"/>
                <w:sz w:val="18"/>
                <w:szCs w:val="18"/>
              </w:rPr>
              <w:t>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262"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themeColor="text1"/>
                <w:kern w:val="0"/>
                <w:szCs w:val="21"/>
              </w:rPr>
            </w:pPr>
            <w:r>
              <w:rPr>
                <w:rFonts w:ascii="Times New Roman" w:hAnsi="Times New Roman" w:eastAsia="仿宋_GB2312"/>
                <w:color w:val="FF0000"/>
                <w:kern w:val="0"/>
                <w:szCs w:val="21"/>
              </w:rPr>
              <w:t>　</w:t>
            </w: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pPr>
        <w:rPr>
          <w:rFonts w:ascii="Times New Roman" w:hAnsi="Times New Roman" w:eastAsia="黑体"/>
          <w:szCs w:val="21"/>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-10</w:t>
            </w: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45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实验室试剂耗材及仪器保养</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1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801"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根据工作量确认耗材数量，保障监测站全年所需试剂消耗，及时对仪器进行保养及维修，保障监测工作的及时开展。</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已基本完成年度总体目标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试剂耗材采购数量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rPr>
                <w:sz w:val="16"/>
                <w:szCs w:val="16"/>
              </w:rPr>
            </w:pPr>
            <w:r>
              <w:rPr>
                <w:rFonts w:hint="eastAsia" w:ascii="Times New Roman" w:hAnsi="Times New Roman" w:eastAsia="仿宋_GB2312"/>
                <w:color w:val="000000"/>
                <w:kern w:val="0"/>
                <w:sz w:val="16"/>
                <w:szCs w:val="16"/>
              </w:rPr>
              <w:t>已按需完成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566"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61" w:type="dxa"/>
            <w:vMerge w:val="continue"/>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仪器保养及维修数量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jc w:val="center"/>
              <w:rPr>
                <w:sz w:val="16"/>
                <w:szCs w:val="16"/>
              </w:rPr>
            </w:pPr>
            <w:r>
              <w:rPr>
                <w:rFonts w:hint="eastAsia" w:ascii="Times New Roman" w:hAnsi="Times New Roman" w:eastAsia="仿宋_GB2312"/>
                <w:color w:val="000000"/>
                <w:kern w:val="0"/>
                <w:sz w:val="16"/>
                <w:szCs w:val="16"/>
              </w:rPr>
              <w:t>已按需完成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监测数据准确度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无差错</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24"/>
                <w:szCs w:val="24"/>
              </w:rPr>
              <w:t>时</w:t>
            </w:r>
            <w:r>
              <w:rPr>
                <w:rFonts w:ascii="Times New Roman" w:hAnsi="Times New Roman" w:eastAsia="仿宋_GB2312"/>
                <w:color w:val="000000"/>
                <w:kern w:val="0"/>
                <w:szCs w:val="21"/>
              </w:rPr>
              <w:t>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Times New Roman" w:hAnsi="Times New Roman" w:eastAsia="仿宋_GB2312"/>
                <w:color w:val="000000"/>
                <w:kern w:val="0"/>
                <w:szCs w:val="21"/>
              </w:rPr>
              <w:t>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jc w:val="center"/>
            </w:pPr>
            <w:bookmarkStart w:id="0" w:name="_GoBack"/>
            <w:r>
              <w:rPr>
                <w:rFonts w:hint="eastAsia" w:ascii="Times New Roman" w:hAnsi="Times New Roman" w:eastAsia="仿宋_GB2312"/>
                <w:color w:val="000000"/>
                <w:kern w:val="0"/>
                <w:sz w:val="18"/>
                <w:szCs w:val="18"/>
              </w:rPr>
              <w:t>保障工作所需为前提，厉行节约</w:t>
            </w:r>
            <w:bookmarkEnd w:id="0"/>
            <w:r>
              <w:rPr>
                <w:rFonts w:hint="eastAsia" w:ascii="Times New Roman" w:hAnsi="Times New Roman" w:eastAsia="仿宋_GB2312"/>
                <w:color w:val="000000"/>
                <w:kern w:val="0"/>
                <w:szCs w:val="21"/>
              </w:rPr>
              <w:t>。</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保障辖区内监测</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生态环境监测保障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597"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长期监测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r>
              <w:rPr>
                <w:rFonts w:ascii="Times New Roman" w:hAnsi="Times New Roman" w:eastAsia="仿宋_GB2312"/>
                <w:color w:val="000000"/>
                <w:kern w:val="0"/>
                <w:szCs w:val="21"/>
              </w:rPr>
              <w:t>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766"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民众满意度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sectPr>
      <w:footerReference r:id="rId3" w:type="default"/>
      <w:footerReference r:id="rId4" w:type="even"/>
      <w:pgSz w:w="11906" w:h="16838"/>
      <w:pgMar w:top="816" w:right="1800" w:bottom="873" w:left="1800"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- 38 -</w:t>
    </w:r>
    <w:r>
      <w:rPr>
        <w:rStyle w:val="9"/>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F7557"/>
    <w:multiLevelType w:val="multilevel"/>
    <w:tmpl w:val="08DF75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GNiZGRlOTdhNjRjMGFkOTU4NzVkMzIwZjRjODAwODUifQ=="/>
  </w:docVars>
  <w:rsids>
    <w:rsidRoot w:val="00C553EF"/>
    <w:rsid w:val="00000D34"/>
    <w:rsid w:val="00004FCD"/>
    <w:rsid w:val="00012C93"/>
    <w:rsid w:val="00020F12"/>
    <w:rsid w:val="00024CDE"/>
    <w:rsid w:val="000261A5"/>
    <w:rsid w:val="000378B1"/>
    <w:rsid w:val="0005606B"/>
    <w:rsid w:val="000734E3"/>
    <w:rsid w:val="000773D5"/>
    <w:rsid w:val="00080625"/>
    <w:rsid w:val="000811A6"/>
    <w:rsid w:val="000904E2"/>
    <w:rsid w:val="00093B9D"/>
    <w:rsid w:val="00094646"/>
    <w:rsid w:val="000966C0"/>
    <w:rsid w:val="000A561A"/>
    <w:rsid w:val="000B5196"/>
    <w:rsid w:val="000C3479"/>
    <w:rsid w:val="000D03E1"/>
    <w:rsid w:val="000D5E7F"/>
    <w:rsid w:val="000E2B59"/>
    <w:rsid w:val="000F775C"/>
    <w:rsid w:val="001052BF"/>
    <w:rsid w:val="00132EBA"/>
    <w:rsid w:val="00135131"/>
    <w:rsid w:val="00135395"/>
    <w:rsid w:val="001474C5"/>
    <w:rsid w:val="00151C1A"/>
    <w:rsid w:val="00184AF2"/>
    <w:rsid w:val="001A5474"/>
    <w:rsid w:val="001A7CAB"/>
    <w:rsid w:val="001B2301"/>
    <w:rsid w:val="001B56F4"/>
    <w:rsid w:val="001B69B6"/>
    <w:rsid w:val="001B6D56"/>
    <w:rsid w:val="001D0731"/>
    <w:rsid w:val="001E1252"/>
    <w:rsid w:val="001F1C2E"/>
    <w:rsid w:val="002036A6"/>
    <w:rsid w:val="00220A85"/>
    <w:rsid w:val="002238BB"/>
    <w:rsid w:val="00225BED"/>
    <w:rsid w:val="002320EB"/>
    <w:rsid w:val="00232D31"/>
    <w:rsid w:val="00251CDE"/>
    <w:rsid w:val="00255372"/>
    <w:rsid w:val="00293EB0"/>
    <w:rsid w:val="002A03D6"/>
    <w:rsid w:val="002A13CF"/>
    <w:rsid w:val="002B29EF"/>
    <w:rsid w:val="002B3C3F"/>
    <w:rsid w:val="002C4C85"/>
    <w:rsid w:val="002D01D7"/>
    <w:rsid w:val="002D6650"/>
    <w:rsid w:val="002E66CA"/>
    <w:rsid w:val="002F05A3"/>
    <w:rsid w:val="002F341B"/>
    <w:rsid w:val="003056F3"/>
    <w:rsid w:val="003123F7"/>
    <w:rsid w:val="003126FC"/>
    <w:rsid w:val="00323CF3"/>
    <w:rsid w:val="0032533F"/>
    <w:rsid w:val="00327274"/>
    <w:rsid w:val="003606BB"/>
    <w:rsid w:val="003A1408"/>
    <w:rsid w:val="003A5435"/>
    <w:rsid w:val="003A78EC"/>
    <w:rsid w:val="003B7F5C"/>
    <w:rsid w:val="003C0319"/>
    <w:rsid w:val="003E1FD6"/>
    <w:rsid w:val="003E5841"/>
    <w:rsid w:val="003F1540"/>
    <w:rsid w:val="003F1D63"/>
    <w:rsid w:val="004148E0"/>
    <w:rsid w:val="004217FE"/>
    <w:rsid w:val="00424014"/>
    <w:rsid w:val="00440BFE"/>
    <w:rsid w:val="00453C12"/>
    <w:rsid w:val="00463FD5"/>
    <w:rsid w:val="00474AD0"/>
    <w:rsid w:val="00487AC5"/>
    <w:rsid w:val="00496F05"/>
    <w:rsid w:val="004E6F50"/>
    <w:rsid w:val="004F0EE6"/>
    <w:rsid w:val="0050046F"/>
    <w:rsid w:val="00504F21"/>
    <w:rsid w:val="00527AE5"/>
    <w:rsid w:val="00534C7F"/>
    <w:rsid w:val="00537950"/>
    <w:rsid w:val="005509F9"/>
    <w:rsid w:val="00551D43"/>
    <w:rsid w:val="00555E8E"/>
    <w:rsid w:val="00566BA9"/>
    <w:rsid w:val="0058010E"/>
    <w:rsid w:val="00581EEE"/>
    <w:rsid w:val="005851E9"/>
    <w:rsid w:val="00591495"/>
    <w:rsid w:val="00594AEE"/>
    <w:rsid w:val="005B2BC9"/>
    <w:rsid w:val="005B45FF"/>
    <w:rsid w:val="005E479C"/>
    <w:rsid w:val="005F258F"/>
    <w:rsid w:val="006264B7"/>
    <w:rsid w:val="006450C9"/>
    <w:rsid w:val="006453E0"/>
    <w:rsid w:val="00656FAB"/>
    <w:rsid w:val="0068534E"/>
    <w:rsid w:val="006964D9"/>
    <w:rsid w:val="006B541D"/>
    <w:rsid w:val="006B647C"/>
    <w:rsid w:val="006F37DA"/>
    <w:rsid w:val="007123D7"/>
    <w:rsid w:val="00713B58"/>
    <w:rsid w:val="00715F18"/>
    <w:rsid w:val="00723210"/>
    <w:rsid w:val="00726E74"/>
    <w:rsid w:val="00751BF0"/>
    <w:rsid w:val="00757A28"/>
    <w:rsid w:val="007600A4"/>
    <w:rsid w:val="00764972"/>
    <w:rsid w:val="00771B0E"/>
    <w:rsid w:val="00780C87"/>
    <w:rsid w:val="0078415E"/>
    <w:rsid w:val="0078602D"/>
    <w:rsid w:val="00795911"/>
    <w:rsid w:val="007A2718"/>
    <w:rsid w:val="007A6F2C"/>
    <w:rsid w:val="007B2811"/>
    <w:rsid w:val="007B3731"/>
    <w:rsid w:val="007C2F55"/>
    <w:rsid w:val="007C3C5A"/>
    <w:rsid w:val="007E2D1B"/>
    <w:rsid w:val="007E3E71"/>
    <w:rsid w:val="007E6D3A"/>
    <w:rsid w:val="007F3FCA"/>
    <w:rsid w:val="008001B5"/>
    <w:rsid w:val="00806DC8"/>
    <w:rsid w:val="00820B3D"/>
    <w:rsid w:val="008241E1"/>
    <w:rsid w:val="00827E4E"/>
    <w:rsid w:val="008328BA"/>
    <w:rsid w:val="00832B97"/>
    <w:rsid w:val="00847A3C"/>
    <w:rsid w:val="008517C6"/>
    <w:rsid w:val="00851B7B"/>
    <w:rsid w:val="0086799F"/>
    <w:rsid w:val="00885C16"/>
    <w:rsid w:val="00893AEC"/>
    <w:rsid w:val="008F1E60"/>
    <w:rsid w:val="009139FA"/>
    <w:rsid w:val="00933C98"/>
    <w:rsid w:val="00940D4A"/>
    <w:rsid w:val="00942847"/>
    <w:rsid w:val="009635D3"/>
    <w:rsid w:val="00971DB4"/>
    <w:rsid w:val="00973126"/>
    <w:rsid w:val="0097394E"/>
    <w:rsid w:val="00982D6F"/>
    <w:rsid w:val="009D0C0A"/>
    <w:rsid w:val="00A0127D"/>
    <w:rsid w:val="00A024BE"/>
    <w:rsid w:val="00A148B9"/>
    <w:rsid w:val="00A2187E"/>
    <w:rsid w:val="00A22E56"/>
    <w:rsid w:val="00A2300C"/>
    <w:rsid w:val="00A23301"/>
    <w:rsid w:val="00A33D8C"/>
    <w:rsid w:val="00A35AE5"/>
    <w:rsid w:val="00A3605E"/>
    <w:rsid w:val="00A377C0"/>
    <w:rsid w:val="00A542E0"/>
    <w:rsid w:val="00A55C61"/>
    <w:rsid w:val="00A66C84"/>
    <w:rsid w:val="00A66D42"/>
    <w:rsid w:val="00A801F4"/>
    <w:rsid w:val="00A818F6"/>
    <w:rsid w:val="00A96988"/>
    <w:rsid w:val="00AA7514"/>
    <w:rsid w:val="00AB2F18"/>
    <w:rsid w:val="00AB682F"/>
    <w:rsid w:val="00AC12C1"/>
    <w:rsid w:val="00AC5BCC"/>
    <w:rsid w:val="00AC5F31"/>
    <w:rsid w:val="00AC621E"/>
    <w:rsid w:val="00AD00EB"/>
    <w:rsid w:val="00AD3E5F"/>
    <w:rsid w:val="00AE66EB"/>
    <w:rsid w:val="00AF15ED"/>
    <w:rsid w:val="00B049DD"/>
    <w:rsid w:val="00B16D39"/>
    <w:rsid w:val="00B17D23"/>
    <w:rsid w:val="00B45AD6"/>
    <w:rsid w:val="00B568C1"/>
    <w:rsid w:val="00B57A6F"/>
    <w:rsid w:val="00B62D29"/>
    <w:rsid w:val="00B62F82"/>
    <w:rsid w:val="00B702EE"/>
    <w:rsid w:val="00B81159"/>
    <w:rsid w:val="00B86511"/>
    <w:rsid w:val="00B86BA1"/>
    <w:rsid w:val="00B9399A"/>
    <w:rsid w:val="00BD4955"/>
    <w:rsid w:val="00BD6507"/>
    <w:rsid w:val="00BE7604"/>
    <w:rsid w:val="00C23636"/>
    <w:rsid w:val="00C553EF"/>
    <w:rsid w:val="00C641BD"/>
    <w:rsid w:val="00C8080D"/>
    <w:rsid w:val="00C856E8"/>
    <w:rsid w:val="00C91F4C"/>
    <w:rsid w:val="00C9428C"/>
    <w:rsid w:val="00CC6012"/>
    <w:rsid w:val="00CD1135"/>
    <w:rsid w:val="00CD1961"/>
    <w:rsid w:val="00CD7E4E"/>
    <w:rsid w:val="00CE4DFE"/>
    <w:rsid w:val="00CF0AA7"/>
    <w:rsid w:val="00CF1AFD"/>
    <w:rsid w:val="00CF4BEF"/>
    <w:rsid w:val="00D532D4"/>
    <w:rsid w:val="00D60CC2"/>
    <w:rsid w:val="00D64926"/>
    <w:rsid w:val="00D65B6E"/>
    <w:rsid w:val="00D74987"/>
    <w:rsid w:val="00D812AD"/>
    <w:rsid w:val="00D8620A"/>
    <w:rsid w:val="00D90B2D"/>
    <w:rsid w:val="00D963F2"/>
    <w:rsid w:val="00DA6815"/>
    <w:rsid w:val="00DA6E0A"/>
    <w:rsid w:val="00DB4ABE"/>
    <w:rsid w:val="00DC7EE1"/>
    <w:rsid w:val="00DC7F00"/>
    <w:rsid w:val="00DD4AA2"/>
    <w:rsid w:val="00DD5A15"/>
    <w:rsid w:val="00DE043B"/>
    <w:rsid w:val="00DE5E42"/>
    <w:rsid w:val="00E01819"/>
    <w:rsid w:val="00E039BF"/>
    <w:rsid w:val="00E323CD"/>
    <w:rsid w:val="00E66CF1"/>
    <w:rsid w:val="00E8571A"/>
    <w:rsid w:val="00E87301"/>
    <w:rsid w:val="00E94B12"/>
    <w:rsid w:val="00EA3FED"/>
    <w:rsid w:val="00EE6637"/>
    <w:rsid w:val="00EF0339"/>
    <w:rsid w:val="00EF2427"/>
    <w:rsid w:val="00F137EB"/>
    <w:rsid w:val="00F2080B"/>
    <w:rsid w:val="00F20BB0"/>
    <w:rsid w:val="00F212BA"/>
    <w:rsid w:val="00F22A96"/>
    <w:rsid w:val="00F55DE1"/>
    <w:rsid w:val="00FA0F93"/>
    <w:rsid w:val="00FA2BB2"/>
    <w:rsid w:val="00FA637B"/>
    <w:rsid w:val="00FC450D"/>
    <w:rsid w:val="00FD081E"/>
    <w:rsid w:val="00FE04A1"/>
    <w:rsid w:val="00FE100B"/>
    <w:rsid w:val="00FE4826"/>
    <w:rsid w:val="00FF7350"/>
    <w:rsid w:val="028D58A7"/>
    <w:rsid w:val="03043E77"/>
    <w:rsid w:val="0F262ACD"/>
    <w:rsid w:val="15DA6FC6"/>
    <w:rsid w:val="18934E7A"/>
    <w:rsid w:val="217D46AD"/>
    <w:rsid w:val="2CA61530"/>
    <w:rsid w:val="2E660FDE"/>
    <w:rsid w:val="398B5761"/>
    <w:rsid w:val="3F52287D"/>
    <w:rsid w:val="416B7C26"/>
    <w:rsid w:val="41C61B6B"/>
    <w:rsid w:val="44A75419"/>
    <w:rsid w:val="5C2F64BB"/>
    <w:rsid w:val="609A4BD3"/>
    <w:rsid w:val="62F62474"/>
    <w:rsid w:val="640815D9"/>
    <w:rsid w:val="66B91727"/>
    <w:rsid w:val="6AF80B9B"/>
    <w:rsid w:val="6BAD2A66"/>
    <w:rsid w:val="6CDE3E9F"/>
    <w:rsid w:val="6FF2171D"/>
    <w:rsid w:val="71125845"/>
    <w:rsid w:val="773A3B3B"/>
    <w:rsid w:val="77A24B7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 w:type="paragraph" w:customStyle="1" w:styleId="18">
    <w:name w:val="p0"/>
    <w:basedOn w:val="1"/>
    <w:uiPriority w:val="0"/>
    <w:pPr>
      <w:widowControl/>
      <w:ind w:firstLine="42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18B2-8BD8-47D3-B48A-C13084A603C9}">
  <ds:schemaRefs/>
</ds:datastoreItem>
</file>

<file path=docProps/app.xml><?xml version="1.0" encoding="utf-8"?>
<Properties xmlns="http://schemas.openxmlformats.org/officeDocument/2006/extended-properties" xmlns:vt="http://schemas.openxmlformats.org/officeDocument/2006/docPropsVTypes">
  <Template>Normal</Template>
  <Pages>33</Pages>
  <Words>14077</Words>
  <Characters>15525</Characters>
  <Lines>133</Lines>
  <Paragraphs>37</Paragraphs>
  <TotalTime>902</TotalTime>
  <ScaleCrop>false</ScaleCrop>
  <LinksUpToDate>false</LinksUpToDate>
  <CharactersWithSpaces>16151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HUAWEI</cp:lastModifiedBy>
  <cp:lastPrinted>2022-04-18T08:48:00Z</cp:lastPrinted>
  <dcterms:modified xsi:type="dcterms:W3CDTF">2022-09-20T09:18:39Z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05A3344A75BF4096A4DCE5DEC370004C</vt:lpwstr>
  </property>
</Properties>
</file>