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tblpX="-499" w:tblpY="1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trPr>
        <w:tc>
          <w:tcPr>
            <w:tcW w:w="5000" w:type="pct"/>
            <w:noWrap w:val="0"/>
            <w:vAlign w:val="top"/>
          </w:tcPr>
          <w:p>
            <w:pPr>
              <w:pStyle w:val="6"/>
              <w:keepNext w:val="0"/>
              <w:keepLines w:val="0"/>
              <w:pageBreakBefore w:val="0"/>
              <w:widowControl w:val="0"/>
              <w:kinsoku/>
              <w:wordWrap/>
              <w:overflowPunct/>
              <w:topLinePunct w:val="0"/>
              <w:bidi w:val="0"/>
              <w:snapToGrid w:val="0"/>
              <w:spacing w:line="440" w:lineRule="exact"/>
              <w:jc w:val="both"/>
              <w:textAlignment w:val="auto"/>
              <w:rPr>
                <w:rFonts w:hint="eastAsia" w:ascii="仿宋_GB2312" w:hAnsi="仿宋" w:eastAsia="仿宋_GB2312" w:cs="Times New Roman"/>
                <w:color w:val="auto"/>
                <w:kern w:val="2"/>
                <w:sz w:val="28"/>
                <w:szCs w:val="28"/>
              </w:rPr>
            </w:pPr>
            <w:r>
              <w:rPr>
                <w:rFonts w:hint="eastAsia" w:ascii="仿宋_GB2312" w:hAnsi="仿宋" w:eastAsia="仿宋_GB2312" w:cs="Times New Roman"/>
                <w:color w:val="auto"/>
                <w:kern w:val="2"/>
                <w:sz w:val="28"/>
                <w:szCs w:val="28"/>
              </w:rPr>
              <w:t>审批意见:                              衡环</w:t>
            </w:r>
            <w:r>
              <w:rPr>
                <w:rFonts w:hint="eastAsia" w:ascii="仿宋_GB2312" w:hAnsi="仿宋" w:eastAsia="仿宋_GB2312" w:cs="Times New Roman"/>
                <w:color w:val="auto"/>
                <w:kern w:val="2"/>
                <w:sz w:val="28"/>
                <w:szCs w:val="28"/>
                <w:lang w:eastAsia="zh-CN"/>
              </w:rPr>
              <w:t>松</w:t>
            </w:r>
            <w:r>
              <w:rPr>
                <w:rFonts w:hint="eastAsia" w:ascii="仿宋_GB2312" w:hAnsi="仿宋" w:eastAsia="仿宋_GB2312" w:cs="Times New Roman"/>
                <w:color w:val="auto"/>
                <w:kern w:val="2"/>
                <w:sz w:val="28"/>
                <w:szCs w:val="28"/>
              </w:rPr>
              <w:t>评[20</w:t>
            </w:r>
            <w:r>
              <w:rPr>
                <w:rFonts w:hint="eastAsia" w:ascii="仿宋_GB2312" w:hAnsi="仿宋" w:eastAsia="仿宋_GB2312" w:cs="Times New Roman"/>
                <w:color w:val="auto"/>
                <w:kern w:val="2"/>
                <w:sz w:val="28"/>
                <w:szCs w:val="28"/>
                <w:lang w:val="en-US" w:eastAsia="zh-CN"/>
              </w:rPr>
              <w:t>22</w:t>
            </w:r>
            <w:r>
              <w:rPr>
                <w:rFonts w:hint="eastAsia" w:ascii="仿宋_GB2312" w:hAnsi="仿宋" w:eastAsia="仿宋_GB2312" w:cs="Times New Roman"/>
                <w:color w:val="auto"/>
                <w:kern w:val="2"/>
                <w:sz w:val="28"/>
                <w:szCs w:val="28"/>
              </w:rPr>
              <w:t>]0</w:t>
            </w:r>
            <w:r>
              <w:rPr>
                <w:rFonts w:hint="eastAsia" w:ascii="仿宋_GB2312" w:hAnsi="仿宋" w:eastAsia="仿宋_GB2312" w:cs="Times New Roman"/>
                <w:color w:val="auto"/>
                <w:kern w:val="2"/>
                <w:sz w:val="28"/>
                <w:szCs w:val="28"/>
                <w:lang w:val="en-US" w:eastAsia="zh-CN"/>
              </w:rPr>
              <w:t>8</w:t>
            </w:r>
            <w:r>
              <w:rPr>
                <w:rFonts w:hint="eastAsia" w:ascii="仿宋_GB2312" w:hAnsi="仿宋" w:eastAsia="仿宋_GB2312" w:cs="Times New Roman"/>
                <w:color w:val="auto"/>
                <w:kern w:val="2"/>
                <w:sz w:val="28"/>
                <w:szCs w:val="28"/>
              </w:rPr>
              <w:t>号</w:t>
            </w:r>
          </w:p>
          <w:p>
            <w:pPr>
              <w:pStyle w:val="6"/>
              <w:keepNext w:val="0"/>
              <w:keepLines w:val="0"/>
              <w:pageBreakBefore w:val="0"/>
              <w:widowControl w:val="0"/>
              <w:kinsoku/>
              <w:wordWrap/>
              <w:overflowPunct/>
              <w:topLinePunct w:val="0"/>
              <w:bidi w:val="0"/>
              <w:snapToGrid w:val="0"/>
              <w:spacing w:line="440" w:lineRule="exact"/>
              <w:ind w:firstLine="600"/>
              <w:jc w:val="both"/>
              <w:textAlignment w:val="auto"/>
              <w:rPr>
                <w:rFonts w:hint="eastAsia" w:ascii="仿宋_GB2312" w:hAnsi="仿宋" w:eastAsia="仿宋_GB2312" w:cs="Times New Roman"/>
                <w:color w:val="auto"/>
                <w:kern w:val="2"/>
                <w:sz w:val="28"/>
                <w:szCs w:val="28"/>
                <w:lang w:val="en-US" w:eastAsia="zh-CN"/>
              </w:rPr>
            </w:pPr>
            <w:r>
              <w:rPr>
                <w:rFonts w:hint="eastAsia" w:ascii="仿宋_GB2312" w:hAnsi="仿宋" w:eastAsia="仿宋_GB2312" w:cs="Times New Roman"/>
                <w:color w:val="auto"/>
                <w:kern w:val="2"/>
                <w:sz w:val="28"/>
                <w:szCs w:val="28"/>
              </w:rPr>
              <w:t>一</w:t>
            </w:r>
            <w:r>
              <w:rPr>
                <w:rFonts w:hint="eastAsia" w:ascii="仿宋_GB2312" w:hAnsi="仿宋" w:eastAsia="仿宋_GB2312" w:cs="Times New Roman"/>
                <w:color w:val="auto"/>
                <w:kern w:val="2"/>
                <w:sz w:val="28"/>
                <w:szCs w:val="28"/>
                <w:lang w:val="en-US" w:eastAsia="zh-CN"/>
              </w:rPr>
              <w:t>、湖南大康再生科技股份有限公司拟投资21500万元在衡阳松木经济开发区内建滔铜箔项目以东、热电联产以南、仁发科技以北地块建设</w:t>
            </w:r>
            <w:r>
              <w:rPr>
                <w:rFonts w:hint="default" w:ascii="仿宋_GB2312" w:hAnsi="仿宋" w:eastAsia="仿宋_GB2312" w:cs="Times New Roman"/>
                <w:color w:val="auto"/>
                <w:kern w:val="2"/>
                <w:sz w:val="28"/>
                <w:szCs w:val="28"/>
                <w:lang w:val="en-US" w:eastAsia="zh-CN"/>
              </w:rPr>
              <w:t>年产30万立方加气混凝土砌块/墙板</w:t>
            </w:r>
            <w:r>
              <w:rPr>
                <w:rFonts w:hint="eastAsia" w:ascii="仿宋_GB2312" w:hAnsi="仿宋" w:eastAsia="仿宋_GB2312" w:cs="Times New Roman"/>
                <w:color w:val="auto"/>
                <w:kern w:val="2"/>
                <w:sz w:val="28"/>
                <w:szCs w:val="28"/>
                <w:lang w:val="en-US" w:eastAsia="zh-CN"/>
              </w:rPr>
              <w:t>项目，对建滔（衡阳）实业有限公司热电联产项目产生的粉煤灰、脱硫渣等废渣进行综合利用，</w:t>
            </w:r>
            <w:r>
              <w:rPr>
                <w:rFonts w:hint="default" w:ascii="仿宋_GB2312" w:hAnsi="仿宋" w:eastAsia="仿宋_GB2312" w:cs="Times New Roman"/>
                <w:color w:val="auto"/>
                <w:kern w:val="2"/>
                <w:sz w:val="28"/>
                <w:szCs w:val="28"/>
                <w:lang w:val="en-US" w:eastAsia="zh-CN"/>
              </w:rPr>
              <w:t>项目建成投产后可年产30万立方加气混凝土砌块/墙板、3 万吨脱硫石膏粉。</w:t>
            </w:r>
            <w:r>
              <w:rPr>
                <w:rFonts w:hint="eastAsia" w:ascii="仿宋_GB2312" w:hAnsi="仿宋" w:eastAsia="仿宋_GB2312" w:cs="Times New Roman"/>
                <w:color w:val="auto"/>
                <w:kern w:val="2"/>
                <w:sz w:val="28"/>
                <w:szCs w:val="28"/>
                <w:lang w:val="en-US" w:eastAsia="zh-CN"/>
              </w:rPr>
              <w:t>项目总占地面积40825.8㎡，总建筑面积27539.2㎡。我局原则同意《湖南大康再生科技股份有限公司</w:t>
            </w:r>
            <w:r>
              <w:rPr>
                <w:rFonts w:hint="default" w:ascii="仿宋_GB2312" w:hAnsi="仿宋" w:eastAsia="仿宋_GB2312" w:cs="Times New Roman"/>
                <w:color w:val="auto"/>
                <w:kern w:val="2"/>
                <w:sz w:val="28"/>
                <w:szCs w:val="28"/>
                <w:lang w:val="en-US" w:eastAsia="zh-CN"/>
              </w:rPr>
              <w:t>年产30万立方加气混凝土砌块/墙板</w:t>
            </w:r>
            <w:r>
              <w:rPr>
                <w:rFonts w:hint="eastAsia" w:ascii="仿宋_GB2312" w:hAnsi="仿宋" w:eastAsia="仿宋_GB2312" w:cs="Times New Roman"/>
                <w:color w:val="auto"/>
                <w:kern w:val="2"/>
                <w:sz w:val="28"/>
                <w:szCs w:val="28"/>
                <w:lang w:val="en-US" w:eastAsia="zh-CN"/>
              </w:rPr>
              <w:t>项目环境影响报告表》的结论和建议，报告表可作为项目建设和环境管理的依据。</w:t>
            </w:r>
          </w:p>
          <w:p>
            <w:pPr>
              <w:pStyle w:val="6"/>
              <w:keepNext w:val="0"/>
              <w:keepLines w:val="0"/>
              <w:pageBreakBefore w:val="0"/>
              <w:widowControl w:val="0"/>
              <w:kinsoku/>
              <w:wordWrap/>
              <w:overflowPunct/>
              <w:topLinePunct w:val="0"/>
              <w:bidi w:val="0"/>
              <w:snapToGrid w:val="0"/>
              <w:spacing w:line="440" w:lineRule="exact"/>
              <w:ind w:firstLine="600"/>
              <w:jc w:val="both"/>
              <w:textAlignment w:val="auto"/>
              <w:rPr>
                <w:rFonts w:hint="eastAsia" w:ascii="仿宋_GB2312" w:hAnsi="仿宋" w:eastAsia="仿宋_GB2312" w:cs="Times New Roman"/>
                <w:color w:val="auto"/>
                <w:kern w:val="2"/>
                <w:sz w:val="28"/>
                <w:szCs w:val="28"/>
                <w:lang w:val="en-US" w:eastAsia="zh-CN"/>
              </w:rPr>
            </w:pPr>
            <w:r>
              <w:rPr>
                <w:rFonts w:hint="eastAsia" w:ascii="仿宋_GB2312" w:hAnsi="仿宋" w:eastAsia="仿宋_GB2312" w:cs="Times New Roman"/>
                <w:color w:val="auto"/>
                <w:kern w:val="2"/>
                <w:sz w:val="28"/>
                <w:szCs w:val="28"/>
                <w:lang w:val="en-US" w:eastAsia="zh-CN"/>
              </w:rPr>
              <w:t>二、项目在工程建设和环境管理中着重做好以下工作：</w:t>
            </w:r>
          </w:p>
          <w:p>
            <w:pPr>
              <w:pStyle w:val="6"/>
              <w:keepNext w:val="0"/>
              <w:keepLines w:val="0"/>
              <w:pageBreakBefore w:val="0"/>
              <w:widowControl w:val="0"/>
              <w:kinsoku/>
              <w:wordWrap/>
              <w:overflowPunct/>
              <w:topLinePunct w:val="0"/>
              <w:bidi w:val="0"/>
              <w:snapToGrid w:val="0"/>
              <w:spacing w:line="440" w:lineRule="exact"/>
              <w:ind w:left="0" w:leftChars="0" w:firstLine="560" w:firstLineChars="200"/>
              <w:jc w:val="both"/>
              <w:textAlignment w:val="auto"/>
              <w:rPr>
                <w:rFonts w:hint="eastAsia" w:ascii="仿宋_GB2312" w:hAnsi="仿宋" w:eastAsia="仿宋_GB2312" w:cs="Times New Roman"/>
                <w:color w:val="auto"/>
                <w:kern w:val="2"/>
                <w:sz w:val="28"/>
                <w:szCs w:val="28"/>
                <w:lang w:val="en-US" w:eastAsia="zh-CN"/>
              </w:rPr>
            </w:pPr>
            <w:bookmarkStart w:id="1" w:name="_GoBack"/>
            <w:bookmarkEnd w:id="1"/>
            <w:r>
              <w:rPr>
                <w:rFonts w:hint="eastAsia" w:ascii="仿宋_GB2312" w:hAnsi="仿宋" w:eastAsia="仿宋_GB2312" w:cs="Times New Roman"/>
                <w:color w:val="auto"/>
                <w:kern w:val="2"/>
                <w:sz w:val="28"/>
                <w:szCs w:val="28"/>
                <w:lang w:val="en-US" w:eastAsia="zh-CN"/>
              </w:rPr>
              <w:t>1、加强项目施工期的环境管理工作。严格按照“6个100%”要求，落实扬尘污染防治措施。文明规范施工，做好水土保持，减小施工噪声、废水、建筑固废等对周围环境的影响。</w:t>
            </w:r>
          </w:p>
          <w:p>
            <w:pPr>
              <w:pStyle w:val="6"/>
              <w:keepNext w:val="0"/>
              <w:keepLines w:val="0"/>
              <w:pageBreakBefore w:val="0"/>
              <w:widowControl w:val="0"/>
              <w:kinsoku/>
              <w:wordWrap/>
              <w:overflowPunct/>
              <w:topLinePunct w:val="0"/>
              <w:bidi w:val="0"/>
              <w:snapToGrid w:val="0"/>
              <w:spacing w:line="440" w:lineRule="exact"/>
              <w:ind w:firstLine="560" w:firstLineChars="200"/>
              <w:jc w:val="both"/>
              <w:textAlignment w:val="auto"/>
              <w:rPr>
                <w:rFonts w:hint="default" w:ascii="仿宋_GB2312" w:hAnsi="仿宋" w:eastAsia="仿宋_GB2312" w:cs="Times New Roman"/>
                <w:color w:val="FF0000"/>
                <w:kern w:val="2"/>
                <w:sz w:val="28"/>
                <w:szCs w:val="28"/>
                <w:lang w:val="en-US" w:eastAsia="zh-CN" w:bidi="ar-SA"/>
              </w:rPr>
            </w:pPr>
            <w:r>
              <w:rPr>
                <w:rFonts w:hint="eastAsia" w:ascii="仿宋_GB2312" w:hAnsi="仿宋" w:eastAsia="仿宋_GB2312" w:cs="Times New Roman"/>
                <w:color w:val="auto"/>
                <w:kern w:val="2"/>
                <w:sz w:val="28"/>
                <w:szCs w:val="28"/>
                <w:lang w:val="en-US" w:eastAsia="zh-CN"/>
              </w:rPr>
              <w:t>2</w:t>
            </w:r>
            <w:bookmarkStart w:id="0" w:name="OLE_LINK14"/>
            <w:r>
              <w:rPr>
                <w:rFonts w:hint="eastAsia" w:ascii="仿宋_GB2312" w:hAnsi="仿宋" w:eastAsia="仿宋_GB2312" w:cs="Times New Roman"/>
                <w:color w:val="auto"/>
                <w:kern w:val="2"/>
                <w:sz w:val="28"/>
                <w:szCs w:val="28"/>
                <w:lang w:val="en-US" w:eastAsia="zh-CN"/>
              </w:rPr>
              <w:t>、加强项目营运期的废气污染防治工作。项目应落实封闭式生产要求。</w:t>
            </w:r>
            <w:r>
              <w:rPr>
                <w:rFonts w:hint="default" w:ascii="仿宋_GB2312" w:hAnsi="仿宋" w:eastAsia="仿宋_GB2312" w:cs="Times New Roman"/>
                <w:color w:val="auto"/>
                <w:kern w:val="2"/>
                <w:sz w:val="28"/>
                <w:szCs w:val="28"/>
                <w:lang w:val="en-US" w:eastAsia="zh-CN"/>
              </w:rPr>
              <w:t>加气混凝土砌块/墙板</w:t>
            </w:r>
            <w:r>
              <w:rPr>
                <w:rFonts w:hint="eastAsia" w:ascii="仿宋_GB2312" w:hAnsi="仿宋" w:eastAsia="仿宋_GB2312" w:cs="Times New Roman"/>
                <w:color w:val="auto"/>
                <w:kern w:val="2"/>
                <w:sz w:val="28"/>
                <w:szCs w:val="28"/>
                <w:lang w:val="en-US" w:eastAsia="zh-CN"/>
              </w:rPr>
              <w:t>生产线产生的</w:t>
            </w:r>
            <w:r>
              <w:rPr>
                <w:rFonts w:hint="eastAsia" w:ascii="仿宋_GB2312" w:hAnsi="仿宋" w:eastAsia="仿宋_GB2312" w:cs="Times New Roman"/>
                <w:color w:val="auto"/>
                <w:kern w:val="2"/>
                <w:sz w:val="28"/>
                <w:szCs w:val="28"/>
                <w:lang w:val="zh-TW" w:eastAsia="zh-CN"/>
              </w:rPr>
              <w:t>破碎、切割、磨粉和</w:t>
            </w:r>
            <w:r>
              <w:rPr>
                <w:rFonts w:hint="default" w:ascii="仿宋_GB2312" w:hAnsi="仿宋" w:eastAsia="仿宋_GB2312" w:cs="Times New Roman"/>
                <w:color w:val="auto"/>
                <w:kern w:val="2"/>
                <w:sz w:val="28"/>
                <w:szCs w:val="28"/>
                <w:lang w:val="en-US" w:eastAsia="zh-CN"/>
              </w:rPr>
              <w:t>投料</w:t>
            </w:r>
            <w:r>
              <w:rPr>
                <w:rFonts w:hint="eastAsia" w:ascii="仿宋_GB2312" w:hAnsi="仿宋" w:eastAsia="仿宋_GB2312" w:cs="Times New Roman"/>
                <w:color w:val="auto"/>
                <w:kern w:val="2"/>
                <w:sz w:val="28"/>
                <w:szCs w:val="28"/>
                <w:lang w:val="zh-TW" w:eastAsia="zh-CN"/>
              </w:rPr>
              <w:t>粉尘经集气罩收集</w:t>
            </w:r>
            <w:r>
              <w:rPr>
                <w:rFonts w:hint="eastAsia" w:ascii="仿宋_GB2312" w:hAnsi="仿宋" w:eastAsia="仿宋_GB2312" w:cs="Times New Roman"/>
                <w:color w:val="auto"/>
                <w:kern w:val="2"/>
                <w:sz w:val="28"/>
                <w:szCs w:val="28"/>
                <w:lang w:val="en-US" w:eastAsia="zh-CN"/>
              </w:rPr>
              <w:t>+脉冲</w:t>
            </w:r>
            <w:r>
              <w:rPr>
                <w:rFonts w:hint="eastAsia" w:ascii="仿宋_GB2312" w:hAnsi="仿宋" w:eastAsia="仿宋_GB2312" w:cs="Times New Roman"/>
                <w:color w:val="auto"/>
                <w:kern w:val="2"/>
                <w:sz w:val="28"/>
                <w:szCs w:val="28"/>
                <w:lang w:val="zh-TW" w:eastAsia="zh-CN"/>
              </w:rPr>
              <w:t>布袋除尘器处理后，须达到</w:t>
            </w:r>
            <w:r>
              <w:rPr>
                <w:rFonts w:hint="eastAsia" w:ascii="仿宋_GB2312" w:hAnsi="仿宋" w:eastAsia="仿宋_GB2312" w:cs="Times New Roman"/>
                <w:color w:val="auto"/>
                <w:kern w:val="2"/>
                <w:sz w:val="28"/>
                <w:szCs w:val="28"/>
                <w:lang w:val="en-US" w:eastAsia="zh-CN"/>
              </w:rPr>
              <w:t>《水泥工业大气污染物排放标准》（GB4915-2013）表1排放限值要求后通过</w:t>
            </w:r>
            <w:r>
              <w:rPr>
                <w:rFonts w:hint="eastAsia" w:ascii="仿宋_GB2312" w:hAnsi="仿宋" w:eastAsia="仿宋_GB2312" w:cs="Times New Roman"/>
                <w:color w:val="auto"/>
                <w:kern w:val="2"/>
                <w:sz w:val="28"/>
                <w:szCs w:val="28"/>
                <w:lang w:val="zh-TW" w:eastAsia="zh-CN"/>
              </w:rPr>
              <w:t>15米高排气筒（</w:t>
            </w:r>
            <w:r>
              <w:rPr>
                <w:rFonts w:hint="eastAsia" w:ascii="仿宋_GB2312" w:hAnsi="仿宋" w:eastAsia="仿宋_GB2312" w:cs="Times New Roman"/>
                <w:color w:val="auto"/>
                <w:kern w:val="2"/>
                <w:sz w:val="28"/>
                <w:szCs w:val="28"/>
                <w:lang w:val="en-US" w:eastAsia="zh-CN"/>
              </w:rPr>
              <w:t>P1）</w:t>
            </w:r>
            <w:r>
              <w:rPr>
                <w:rFonts w:hint="eastAsia" w:ascii="仿宋_GB2312" w:hAnsi="仿宋" w:eastAsia="仿宋_GB2312" w:cs="Times New Roman"/>
                <w:color w:val="auto"/>
                <w:kern w:val="2"/>
                <w:sz w:val="28"/>
                <w:szCs w:val="28"/>
                <w:lang w:val="zh-TW" w:eastAsia="zh-CN"/>
              </w:rPr>
              <w:t>排放；</w:t>
            </w:r>
            <w:r>
              <w:rPr>
                <w:rFonts w:hint="eastAsia" w:ascii="仿宋_GB2312" w:hAnsi="仿宋" w:eastAsia="仿宋_GB2312" w:cs="Times New Roman"/>
                <w:color w:val="auto"/>
                <w:kern w:val="2"/>
                <w:sz w:val="28"/>
                <w:szCs w:val="28"/>
                <w:lang w:val="en-US" w:eastAsia="zh-CN"/>
              </w:rPr>
              <w:t>脱硫石膏生产线产生的上料、打散、煅烧、研磨和包装粉尘</w:t>
            </w:r>
            <w:r>
              <w:rPr>
                <w:rFonts w:hint="eastAsia" w:ascii="仿宋_GB2312" w:hAnsi="仿宋" w:eastAsia="仿宋_GB2312" w:cs="Times New Roman"/>
                <w:color w:val="auto"/>
                <w:kern w:val="2"/>
                <w:sz w:val="28"/>
                <w:szCs w:val="28"/>
                <w:lang w:val="zh-TW" w:eastAsia="zh-CN"/>
              </w:rPr>
              <w:t>经集气罩收集</w:t>
            </w:r>
            <w:r>
              <w:rPr>
                <w:rFonts w:hint="eastAsia" w:ascii="仿宋_GB2312" w:hAnsi="仿宋" w:eastAsia="仿宋_GB2312" w:cs="Times New Roman"/>
                <w:color w:val="auto"/>
                <w:kern w:val="2"/>
                <w:sz w:val="28"/>
                <w:szCs w:val="28"/>
                <w:lang w:val="en-US" w:eastAsia="zh-CN"/>
              </w:rPr>
              <w:t>+脉冲</w:t>
            </w:r>
            <w:r>
              <w:rPr>
                <w:rFonts w:hint="eastAsia" w:ascii="仿宋_GB2312" w:hAnsi="仿宋" w:eastAsia="仿宋_GB2312" w:cs="Times New Roman"/>
                <w:color w:val="auto"/>
                <w:kern w:val="2"/>
                <w:sz w:val="28"/>
                <w:szCs w:val="28"/>
                <w:lang w:val="zh-TW" w:eastAsia="zh-CN"/>
              </w:rPr>
              <w:t>布袋除尘器处理后达到</w:t>
            </w:r>
            <w:r>
              <w:rPr>
                <w:rFonts w:hint="default" w:ascii="仿宋_GB2312" w:hAnsi="仿宋" w:eastAsia="仿宋_GB2312" w:cs="Times New Roman"/>
                <w:color w:val="auto"/>
                <w:kern w:val="2"/>
                <w:sz w:val="28"/>
                <w:szCs w:val="28"/>
                <w:lang w:val="en-US" w:eastAsia="zh-CN"/>
              </w:rPr>
              <w:t>《大气污染物综合排放标准》（GB16297-1996）表2</w:t>
            </w:r>
            <w:r>
              <w:rPr>
                <w:rFonts w:hint="eastAsia" w:ascii="仿宋_GB2312" w:hAnsi="仿宋" w:eastAsia="仿宋_GB2312" w:cs="Times New Roman"/>
                <w:color w:val="auto"/>
                <w:kern w:val="2"/>
                <w:sz w:val="28"/>
                <w:szCs w:val="28"/>
                <w:lang w:val="en-US" w:eastAsia="zh-CN"/>
              </w:rPr>
              <w:t>排放限值要求后通过15米高排气筒（P2）排放。筒仓仓顶呼吸粉尘经筒仓顶部自带的脉冲布袋收尘器处理后达标排放。车间无组织废气通过采用雾化喷头降尘处理,严格控制粉尘排放；堆场扬尘通过封闭堆场、地面硬化、加强洒水降尘等措施处理，严格控制粉尘排放；运输扬尘、装卸扬尘通过采取厂区出口设置车轮冲洗装置、出入车辆加盖防尘布、洒水抑尘等措施处理，严格控制粉尘排放。食堂油烟经油烟净化器处理后达标排放。</w:t>
            </w:r>
          </w:p>
          <w:bookmarkEnd w:id="0"/>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cs="Times New Roman"/>
                <w:color w:val="auto"/>
                <w:kern w:val="2"/>
                <w:sz w:val="28"/>
                <w:szCs w:val="28"/>
                <w:lang w:val="en-US" w:eastAsia="zh-CN" w:bidi="ar-SA"/>
              </w:rPr>
              <w:t>加强项目营运期的废水污染防治工作。搅</w:t>
            </w:r>
            <w:r>
              <w:rPr>
                <w:rFonts w:hint="eastAsia" w:ascii="仿宋_GB2312" w:hAnsi="仿宋" w:eastAsia="仿宋_GB2312"/>
                <w:sz w:val="28"/>
                <w:szCs w:val="28"/>
                <w:lang w:eastAsia="zh-CN"/>
              </w:rPr>
              <w:t>拌机清洗</w:t>
            </w:r>
            <w:r>
              <w:rPr>
                <w:rFonts w:hint="eastAsia" w:ascii="仿宋_GB2312" w:hAnsi="仿宋" w:eastAsia="仿宋_GB2312"/>
                <w:sz w:val="28"/>
                <w:szCs w:val="28"/>
              </w:rPr>
              <w:t>废水、</w:t>
            </w:r>
            <w:r>
              <w:rPr>
                <w:rFonts w:hint="eastAsia" w:ascii="仿宋_GB2312" w:hAnsi="仿宋" w:eastAsia="仿宋_GB2312"/>
                <w:sz w:val="28"/>
                <w:szCs w:val="28"/>
                <w:lang w:eastAsia="zh-CN"/>
              </w:rPr>
              <w:t>切割机冲洗废水、</w:t>
            </w:r>
            <w:r>
              <w:rPr>
                <w:rFonts w:hint="eastAsia" w:ascii="仿宋_GB2312" w:hAnsi="仿宋" w:eastAsia="仿宋_GB2312"/>
                <w:sz w:val="28"/>
                <w:szCs w:val="28"/>
              </w:rPr>
              <w:t>蒸</w:t>
            </w:r>
            <w:r>
              <w:rPr>
                <w:rFonts w:hint="eastAsia" w:ascii="仿宋_GB2312" w:hAnsi="仿宋" w:eastAsia="仿宋_GB2312"/>
                <w:sz w:val="28"/>
                <w:szCs w:val="28"/>
                <w:lang w:eastAsia="zh-CN"/>
              </w:rPr>
              <w:t>养</w:t>
            </w:r>
            <w:r>
              <w:rPr>
                <w:rFonts w:hint="eastAsia" w:ascii="仿宋_GB2312" w:hAnsi="仿宋" w:eastAsia="仿宋_GB2312"/>
                <w:sz w:val="28"/>
                <w:szCs w:val="28"/>
              </w:rPr>
              <w:t>冷凝养护水等生产废水经沉淀处理后回用不外排；</w:t>
            </w:r>
            <w:r>
              <w:rPr>
                <w:rFonts w:hint="eastAsia" w:ascii="仿宋_GB2312" w:hAnsi="仿宋" w:eastAsia="仿宋_GB2312"/>
                <w:sz w:val="28"/>
                <w:szCs w:val="28"/>
                <w:lang w:eastAsia="zh-CN"/>
              </w:rPr>
              <w:t>洗车废水回用不外排。</w:t>
            </w:r>
            <w:r>
              <w:rPr>
                <w:rFonts w:hint="eastAsia" w:ascii="仿宋_GB2312" w:hAnsi="仿宋" w:eastAsia="仿宋_GB2312"/>
                <w:sz w:val="28"/>
                <w:szCs w:val="28"/>
              </w:rPr>
              <w:t>生活废水</w:t>
            </w:r>
            <w:r>
              <w:rPr>
                <w:rFonts w:hint="eastAsia" w:ascii="仿宋_GB2312" w:hAnsi="仿宋" w:eastAsia="仿宋_GB2312"/>
                <w:sz w:val="28"/>
                <w:szCs w:val="28"/>
                <w:lang w:eastAsia="zh-CN"/>
              </w:rPr>
              <w:t>（食堂废水先经隔油处理）</w:t>
            </w:r>
            <w:r>
              <w:rPr>
                <w:rFonts w:hint="eastAsia" w:ascii="仿宋_GB2312" w:hAnsi="仿宋" w:eastAsia="仿宋_GB2312"/>
                <w:sz w:val="28"/>
                <w:szCs w:val="28"/>
              </w:rPr>
              <w:t>经化粪池处理后达到《污水综合排放标准》（GB8978-1996）中三级标准，经园区污水管网排入松木污水处理厂进一步处理。</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lang w:val="en-US" w:eastAsia="zh-CN"/>
              </w:rPr>
              <w:t>4、</w:t>
            </w:r>
            <w:r>
              <w:rPr>
                <w:rFonts w:hint="eastAsia" w:ascii="仿宋_GB2312" w:hAnsi="仿宋" w:eastAsia="仿宋_GB2312"/>
                <w:sz w:val="28"/>
                <w:szCs w:val="28"/>
                <w:lang w:eastAsia="zh-CN"/>
              </w:rPr>
              <w:t>加强项目营运期固体废物及噪声的污染管理防治工作。布袋收尘灰和沉淀池沉渣回用于生产；切割废料和不合格边角料经破碎后回用于生产</w:t>
            </w:r>
            <w:r>
              <w:rPr>
                <w:rFonts w:hint="eastAsia" w:ascii="仿宋_GB2312" w:hAnsi="仿宋" w:eastAsia="仿宋_GB2312"/>
                <w:sz w:val="28"/>
                <w:szCs w:val="28"/>
              </w:rPr>
              <w:t>；</w:t>
            </w:r>
            <w:r>
              <w:rPr>
                <w:rFonts w:hint="eastAsia" w:ascii="仿宋_GB2312" w:hAnsi="仿宋" w:eastAsia="仿宋_GB2312"/>
                <w:sz w:val="28"/>
                <w:szCs w:val="28"/>
                <w:lang w:eastAsia="zh-CN"/>
              </w:rPr>
              <w:t>包装固废</w:t>
            </w:r>
            <w:r>
              <w:rPr>
                <w:rFonts w:hint="eastAsia" w:ascii="仿宋_GB2312" w:hAnsi="仿宋" w:eastAsia="仿宋_GB2312"/>
                <w:sz w:val="28"/>
                <w:szCs w:val="28"/>
              </w:rPr>
              <w:t>外售</w:t>
            </w:r>
            <w:r>
              <w:rPr>
                <w:rFonts w:hint="eastAsia" w:ascii="仿宋_GB2312" w:hAnsi="仿宋" w:eastAsia="仿宋_GB2312"/>
                <w:sz w:val="28"/>
                <w:szCs w:val="28"/>
                <w:lang w:eastAsia="zh-CN"/>
              </w:rPr>
              <w:t>处理。废润滑油、废润滑油桶、废脱模剂桶为危险废物，在厂区暂存后定期送至有资质单位妥善处置；生活垃圾交由环卫部门定期清运。选用低噪声设备并合</w:t>
            </w:r>
            <w:r>
              <w:rPr>
                <w:rFonts w:hint="eastAsia" w:ascii="仿宋_GB2312" w:hAnsi="仿宋" w:eastAsia="仿宋_GB2312"/>
                <w:sz w:val="28"/>
                <w:szCs w:val="28"/>
              </w:rPr>
              <w:t>理布局，采用减振、消声、隔声等降噪措施确保厂界噪声达到《工业企业厂界环境噪声排放标准》（GB12348-2008）中的相应标准。</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三、项目建设必须执行配套建设的环境保护设施与主体工程同时设计、同时施工、同时投入使用的环境保护“三同时”制度，并按照相关规定做好竣工验收工作。</w:t>
            </w:r>
            <w:r>
              <w:rPr>
                <w:rFonts w:hint="eastAsia" w:ascii="仿宋_GB2312" w:hAnsi="仿宋" w:eastAsia="仿宋_GB2312"/>
                <w:sz w:val="28"/>
                <w:szCs w:val="28"/>
                <w:lang w:val="en-US" w:eastAsia="zh-CN"/>
              </w:rPr>
              <w:t>项目竣工并具备生产 （运行）条件后，你单位须按《排污许可管理条例》及相关技术规范的要求，办理排污许可手续后，方可投入运行。</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ascii="仿宋_GB2312" w:hAnsi="仿宋" w:eastAsia="仿宋_GB2312"/>
                <w:sz w:val="28"/>
                <w:szCs w:val="28"/>
              </w:rPr>
            </w:pPr>
          </w:p>
          <w:p>
            <w:pPr>
              <w:keepNext w:val="0"/>
              <w:keepLines w:val="0"/>
              <w:pageBreakBefore w:val="0"/>
              <w:widowControl w:val="0"/>
              <w:kinsoku/>
              <w:wordWrap/>
              <w:overflowPunct/>
              <w:topLinePunct w:val="0"/>
              <w:bidi w:val="0"/>
              <w:adjustRightInd w:val="0"/>
              <w:snapToGrid w:val="0"/>
              <w:spacing w:line="440" w:lineRule="exact"/>
              <w:textAlignment w:val="auto"/>
              <w:rPr>
                <w:rFonts w:ascii="仿宋_GB2312" w:hAnsi="仿宋" w:eastAsia="仿宋_GB2312"/>
                <w:sz w:val="28"/>
                <w:szCs w:val="28"/>
              </w:rPr>
            </w:pPr>
          </w:p>
          <w:p>
            <w:pPr>
              <w:keepNext w:val="0"/>
              <w:keepLines w:val="0"/>
              <w:pageBreakBefore w:val="0"/>
              <w:widowControl w:val="0"/>
              <w:kinsoku/>
              <w:wordWrap/>
              <w:overflowPunct/>
              <w:topLinePunct w:val="0"/>
              <w:bidi w:val="0"/>
              <w:adjustRightInd w:val="0"/>
              <w:snapToGrid w:val="0"/>
              <w:spacing w:line="440" w:lineRule="exact"/>
              <w:ind w:firstLine="4200" w:firstLineChars="1500"/>
              <w:textAlignment w:val="auto"/>
              <w:rPr>
                <w:rFonts w:ascii="仿宋_GB2312" w:hAnsi="仿宋" w:eastAsia="仿宋_GB2312"/>
                <w:sz w:val="28"/>
                <w:szCs w:val="28"/>
              </w:rPr>
            </w:pPr>
            <w:r>
              <w:rPr>
                <w:rFonts w:hint="eastAsia" w:ascii="仿宋_GB2312" w:hAnsi="仿宋" w:eastAsia="仿宋_GB2312"/>
                <w:sz w:val="28"/>
                <w:szCs w:val="28"/>
              </w:rPr>
              <w:t>衡阳市</w:t>
            </w:r>
            <w:r>
              <w:rPr>
                <w:rFonts w:hint="eastAsia" w:ascii="仿宋_GB2312" w:hAnsi="仿宋" w:eastAsia="仿宋_GB2312"/>
                <w:sz w:val="28"/>
                <w:szCs w:val="28"/>
                <w:lang w:eastAsia="zh-CN"/>
              </w:rPr>
              <w:t>生态环境</w:t>
            </w:r>
            <w:r>
              <w:rPr>
                <w:rFonts w:hint="eastAsia" w:ascii="仿宋_GB2312" w:hAnsi="仿宋" w:eastAsia="仿宋_GB2312"/>
                <w:sz w:val="28"/>
                <w:szCs w:val="28"/>
              </w:rPr>
              <w:t>局</w:t>
            </w:r>
          </w:p>
          <w:p>
            <w:pPr>
              <w:keepNext w:val="0"/>
              <w:keepLines w:val="0"/>
              <w:pageBreakBefore w:val="0"/>
              <w:widowControl w:val="0"/>
              <w:kinsoku/>
              <w:wordWrap/>
              <w:overflowPunct/>
              <w:topLinePunct w:val="0"/>
              <w:bidi w:val="0"/>
              <w:adjustRightInd w:val="0"/>
              <w:snapToGrid w:val="0"/>
              <w:spacing w:line="440" w:lineRule="exact"/>
              <w:ind w:firstLine="2520" w:firstLineChars="900"/>
              <w:textAlignment w:val="auto"/>
              <w:rPr>
                <w:rFonts w:ascii="仿宋_GB2312" w:hAnsi="仿宋" w:eastAsia="仿宋_GB2312"/>
                <w:sz w:val="28"/>
                <w:szCs w:val="28"/>
              </w:rPr>
            </w:pPr>
            <w:r>
              <w:rPr>
                <w:rFonts w:hint="eastAsia" w:ascii="仿宋_GB2312" w:hAnsi="仿宋" w:eastAsia="仿宋_GB2312"/>
                <w:sz w:val="28"/>
                <w:szCs w:val="28"/>
              </w:rPr>
              <w:t xml:space="preserve">            20</w:t>
            </w:r>
            <w:r>
              <w:rPr>
                <w:rFonts w:hint="eastAsia" w:ascii="仿宋_GB2312" w:hAnsi="仿宋" w:eastAsia="仿宋_GB2312"/>
                <w:sz w:val="28"/>
                <w:szCs w:val="28"/>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10</w:t>
            </w:r>
            <w:r>
              <w:rPr>
                <w:rFonts w:hint="eastAsia" w:ascii="仿宋_GB2312" w:hAnsi="仿宋" w:eastAsia="仿宋_GB2312"/>
                <w:sz w:val="28"/>
                <w:szCs w:val="28"/>
              </w:rPr>
              <w:t>月</w:t>
            </w:r>
            <w:r>
              <w:rPr>
                <w:rFonts w:hint="eastAsia" w:ascii="仿宋_GB2312" w:hAnsi="仿宋" w:eastAsia="仿宋_GB2312"/>
                <w:sz w:val="28"/>
                <w:szCs w:val="28"/>
                <w:lang w:val="en-US" w:eastAsia="zh-CN"/>
              </w:rPr>
              <w:t>27</w:t>
            </w:r>
            <w:r>
              <w:rPr>
                <w:rFonts w:hint="eastAsia" w:ascii="仿宋_GB2312" w:hAnsi="仿宋" w:eastAsia="仿宋_GB2312"/>
                <w:sz w:val="28"/>
                <w:szCs w:val="28"/>
              </w:rPr>
              <w:t>日</w:t>
            </w:r>
          </w:p>
        </w:tc>
      </w:tr>
    </w:tbl>
    <w:p>
      <w:pPr>
        <w:keepNext w:val="0"/>
        <w:keepLines w:val="0"/>
        <w:pageBreakBefore w:val="0"/>
        <w:widowControl w:val="0"/>
        <w:kinsoku/>
        <w:wordWrap/>
        <w:overflowPunct/>
        <w:topLinePunct w:val="0"/>
        <w:bidi w:val="0"/>
        <w:spacing w:line="44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F6D562"/>
    <w:rsid w:val="37FFF762"/>
    <w:rsid w:val="3FCC4BB7"/>
    <w:rsid w:val="759D1111"/>
    <w:rsid w:val="7FBF8DCC"/>
    <w:rsid w:val="7FDEAA8D"/>
    <w:rsid w:val="9B2F0236"/>
    <w:rsid w:val="EE7BADA0"/>
    <w:rsid w:val="F75F2140"/>
    <w:rsid w:val="F8F6D5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next w:val="1"/>
    <w:qFormat/>
    <w:uiPriority w:val="0"/>
    <w:pPr>
      <w:spacing w:afterLines="0" w:line="360" w:lineRule="auto"/>
      <w:ind w:firstLine="1284" w:firstLineChars="200"/>
    </w:pPr>
    <w:rPr>
      <w:rFonts w:ascii="Times New Roman" w:hAnsi="Times New Roman" w:eastAsia="宋体"/>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2022-10-11T01:20:00Z</dcterms:created>
  <dc:creator>kylin</dc:creator>
  <cp:lastModifiedBy>故事尽了再无酒</cp:lastModifiedBy>
  <cp:lastPrinted>2022-11-02T07:52:00Z</cp:lastPrinted>
  <dcterms:modified xsi:type="dcterms:W3CDTF">2022-11-01T16:16:34Z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