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tblpX="-499" w:tblpY="151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9" w:hRule="atLeast"/>
        </w:trPr>
        <w:tc>
          <w:tcPr>
            <w:tcW w:w="9640" w:type="dxa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审批意见:                                      衡环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松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评[20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]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04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号</w:t>
            </w:r>
          </w:p>
          <w:p>
            <w:pPr>
              <w:pStyle w:val="10"/>
              <w:snapToGrid w:val="0"/>
              <w:spacing w:line="380" w:lineRule="exact"/>
              <w:ind w:firstLine="600"/>
              <w:jc w:val="left"/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一、湖南利美防爆装备制造股份</w:t>
            </w:r>
            <w:r>
              <w:rPr>
                <w:rFonts w:hint="default" w:ascii="仿宋_GB2312" w:hAnsi="仿宋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有限公司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拟投资1800万元在衡阳松木经济开发区上倪路现有厂区建设</w:t>
            </w:r>
            <w:r>
              <w:rPr>
                <w:rFonts w:hint="default" w:ascii="仿宋_GB2312" w:hAnsi="仿宋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年组装1000辆电瓶车生产线技术改造项目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，通过新购自动化机加设备对现有生产线进行技术改造，改造后可达到年组装电瓶车1200辆。项目同时对废气处理措施进行优化改进，进一步减少污染物的排放量。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项目禁止使用高挥发分涂料。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</w:rPr>
              <w:t>我局原则同意《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湖南利美防爆装备制造股份</w:t>
            </w:r>
            <w:r>
              <w:rPr>
                <w:rFonts w:hint="default" w:ascii="仿宋_GB2312" w:hAnsi="仿宋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有限公司年组装1000辆电瓶车生产线技术改造项目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</w:rPr>
              <w:t>环境影响报告表》的结论和建议，报告表可作为项目建设和环境管理的依据。</w:t>
            </w:r>
          </w:p>
          <w:p>
            <w:pPr>
              <w:pStyle w:val="10"/>
              <w:snapToGrid w:val="0"/>
              <w:spacing w:line="380" w:lineRule="exact"/>
              <w:ind w:firstLine="600"/>
              <w:jc w:val="both"/>
              <w:rPr>
                <w:rFonts w:ascii="仿宋_GB2312" w:hAnsi="仿宋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</w:rPr>
              <w:t>二、项目在工程建设和环境管理中着重做好以下工作：</w:t>
            </w:r>
          </w:p>
          <w:p>
            <w:pPr>
              <w:adjustRightInd w:val="0"/>
              <w:snapToGrid w:val="0"/>
              <w:spacing w:line="340" w:lineRule="exact"/>
              <w:ind w:firstLine="560" w:firstLineChars="200"/>
              <w:jc w:val="left"/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1.加强车间通风，焊接烟尘采用移动式收尘器收集处理；喷漆废气经干式过滤+</w:t>
            </w:r>
            <w:r>
              <w:rPr>
                <w:rFonts w:hint="default" w:ascii="仿宋_GB2312" w:hAnsi="仿宋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UV光解+活性炭吸附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处理后通过15米高排气筒达标排放。生活废水经化粪池处理后达到《污水综合排放标准》（GB8978-1996）中三级标准排入松木污水处理厂进一步处理。</w:t>
            </w:r>
            <w:bookmarkStart w:id="0" w:name="_GoBack"/>
            <w:bookmarkEnd w:id="0"/>
          </w:p>
          <w:p>
            <w:pPr>
              <w:pStyle w:val="10"/>
              <w:snapToGrid w:val="0"/>
              <w:spacing w:line="380" w:lineRule="exact"/>
              <w:ind w:firstLine="600"/>
              <w:jc w:val="left"/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2.废活性炭、废过滤棉、废UV灯管，废油漆桶，废液压油等为危险废物，收集后在厂区暂存后定期送至有资质单位妥善处置；碎铁屑和下脚料外售处理；生活垃圾交由环卫部门定期清运。选用低噪声设备并合理布局，采用减振、消声、隔声等降噪措施确保厂界噪声达到《工业企业厂界环境噪声排放标准》（GB12348-2008）中的相应标准。</w:t>
            </w:r>
          </w:p>
          <w:p>
            <w:pPr>
              <w:pStyle w:val="10"/>
              <w:snapToGrid w:val="0"/>
              <w:spacing w:line="380" w:lineRule="exact"/>
              <w:ind w:firstLine="600"/>
              <w:jc w:val="left"/>
              <w:rPr>
                <w:rFonts w:hint="default" w:ascii="仿宋_GB2312" w:hAnsi="仿宋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3.加强管理，严格落实好报告中提到的“以新带老”措施。</w:t>
            </w:r>
          </w:p>
          <w:p>
            <w:pPr>
              <w:pStyle w:val="10"/>
              <w:snapToGrid w:val="0"/>
              <w:spacing w:line="380" w:lineRule="exact"/>
              <w:ind w:firstLine="600"/>
              <w:jc w:val="left"/>
              <w:rPr>
                <w:rFonts w:hint="default" w:ascii="仿宋_GB2312" w:hAnsi="仿宋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三、项目建设必须执行配套建设的环境保护设施与主体工程同时设计、同时施工、同时投入使用的环境保护“三同时”制度，并按照相关规定做好竣工验收工作。</w:t>
            </w:r>
          </w:p>
          <w:p>
            <w:pPr>
              <w:adjustRightInd w:val="0"/>
              <w:snapToGrid w:val="0"/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firstLine="6020" w:firstLineChars="21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衡阳市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生态环境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局</w:t>
            </w:r>
          </w:p>
          <w:p>
            <w:pPr>
              <w:adjustRightInd w:val="0"/>
              <w:snapToGrid w:val="0"/>
              <w:spacing w:line="380" w:lineRule="exact"/>
              <w:ind w:firstLine="6160" w:firstLineChars="2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57E66"/>
    <w:rsid w:val="00987D6A"/>
    <w:rsid w:val="00B64F01"/>
    <w:rsid w:val="00BC2961"/>
    <w:rsid w:val="00C276AB"/>
    <w:rsid w:val="00CB185F"/>
    <w:rsid w:val="00E8759E"/>
    <w:rsid w:val="00FF58BB"/>
    <w:rsid w:val="27774702"/>
    <w:rsid w:val="31257E66"/>
    <w:rsid w:val="36DE0129"/>
    <w:rsid w:val="46912650"/>
    <w:rsid w:val="4E6904AA"/>
    <w:rsid w:val="5BFF6289"/>
    <w:rsid w:val="6CCF6CC3"/>
    <w:rsid w:val="6FFF6FB3"/>
    <w:rsid w:val="7EA35BB9"/>
    <w:rsid w:val="7EB67883"/>
    <w:rsid w:val="A4CCB3F8"/>
    <w:rsid w:val="BF5F7462"/>
    <w:rsid w:val="EFE617DB"/>
    <w:rsid w:val="EFFEB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Lines="50" w:afterLines="50"/>
      <w:outlineLvl w:val="1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480" w:lineRule="exact"/>
      <w:ind w:left="0" w:right="0" w:firstLine="600" w:firstLineChars="200"/>
      <w:jc w:val="left"/>
    </w:pPr>
    <w:rPr>
      <w:rFonts w:hint="default" w:ascii="Times New Roman" w:hAnsi="Times New Roman" w:eastAsia="宋体" w:cs="Times New Roman"/>
      <w:kern w:val="0"/>
      <w:sz w:val="24"/>
      <w:szCs w:val="22"/>
      <w:lang w:val="en-US" w:eastAsia="zh-CN" w:bidi="ar"/>
    </w:rPr>
  </w:style>
  <w:style w:type="paragraph" w:customStyle="1" w:styleId="4">
    <w:name w:val="xl27"/>
    <w:basedOn w:val="1"/>
    <w:next w:val="5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kern w:val="0"/>
      <w:szCs w:val="21"/>
    </w:rPr>
  </w:style>
  <w:style w:type="paragraph" w:styleId="5">
    <w:name w:val="Body Text Indent 2"/>
    <w:basedOn w:val="1"/>
    <w:next w:val="1"/>
    <w:qFormat/>
    <w:uiPriority w:val="0"/>
    <w:pPr>
      <w:spacing w:line="480" w:lineRule="auto"/>
      <w:ind w:left="420" w:leftChars="200"/>
    </w:pPr>
  </w:style>
  <w:style w:type="paragraph" w:styleId="6">
    <w:name w:val="Body Text Indent"/>
    <w:basedOn w:val="1"/>
    <w:qFormat/>
    <w:uiPriority w:val="0"/>
    <w:pPr>
      <w:spacing w:line="360" w:lineRule="auto"/>
      <w:ind w:firstLine="200" w:firstLineChars="200"/>
    </w:pPr>
    <w:rPr>
      <w:spacing w:val="16"/>
      <w:kern w:val="0"/>
      <w:sz w:val="28"/>
    </w:rPr>
  </w:style>
  <w:style w:type="paragraph" w:styleId="7">
    <w:name w:val="Body Text First Indent 2"/>
    <w:basedOn w:val="6"/>
    <w:next w:val="1"/>
    <w:qFormat/>
    <w:uiPriority w:val="0"/>
    <w:pPr>
      <w:tabs>
        <w:tab w:val="left" w:pos="540"/>
      </w:tabs>
      <w:spacing w:after="120"/>
      <w:ind w:firstLine="200" w:firstLineChars="200"/>
    </w:p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正文01"/>
    <w:basedOn w:val="1"/>
    <w:qFormat/>
    <w:uiPriority w:val="0"/>
    <w:pPr>
      <w:spacing w:before="60" w:line="460" w:lineRule="exact"/>
      <w:ind w:firstLine="200" w:firstLineChars="200"/>
    </w:pPr>
    <w:rPr>
      <w:rFonts w:ascii="Calibri" w:hAnsi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848</Characters>
  <Lines>7</Lines>
  <Paragraphs>1</Paragraphs>
  <TotalTime>8</TotalTime>
  <ScaleCrop>false</ScaleCrop>
  <LinksUpToDate>false</LinksUpToDate>
  <CharactersWithSpaces>995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2017-11-03T15:47:00Z</dcterms:created>
  <dc:creator>Administrator</dc:creator>
  <cp:lastModifiedBy>kylin</cp:lastModifiedBy>
  <cp:lastPrinted>2022-03-18T16:10:46Z</cp:lastPrinted>
  <dcterms:modified xsi:type="dcterms:W3CDTF">2022-03-18T16:11:56Z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