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-499" w:tblpY="151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9640" w:type="dxa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审批意见:                                      衡环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松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评[20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]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05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号</w:t>
            </w:r>
          </w:p>
          <w:p>
            <w:pPr>
              <w:pStyle w:val="9"/>
              <w:snapToGrid w:val="0"/>
              <w:spacing w:line="380" w:lineRule="exact"/>
              <w:ind w:firstLine="600"/>
              <w:jc w:val="both"/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一、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衡阳湘环环保科技有限公司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拟投资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万元在衡阳松木经济开发区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租赁位于金源路的衡阳市鑫鸿新材料有限公司闲置厂房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建设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年收集贮存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9800吨危险废物项目，项目年收集废矿物油4000吨、其它危险废物5800吨。项目总占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地面积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2100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㎡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项目仅对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危险废物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进行收集贮存，不进行处置等加工环节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。项目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收集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范围为衡阳市小微企业和社会源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，收集转入应办理危险废物经营许可证，严格按照危险废物管理要求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进行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贮存，依法依规办理有关转移手续。我局原则同意《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衡阳湘环环保科技有限公司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eastAsia="zh-CN"/>
              </w:rPr>
              <w:t>年收集贮存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/>
              </w:rPr>
              <w:t>9800吨危险废物项目</w:t>
            </w: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环境影响报告表》的结论和建议，报告表可作为项目建设和环境管理的依据。</w:t>
            </w:r>
          </w:p>
          <w:p>
            <w:pPr>
              <w:pStyle w:val="9"/>
              <w:snapToGrid w:val="0"/>
              <w:spacing w:line="380" w:lineRule="exact"/>
              <w:ind w:firstLine="600"/>
              <w:jc w:val="both"/>
              <w:rPr>
                <w:rFonts w:ascii="仿宋_GB2312" w:hAnsi="仿宋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</w:rPr>
              <w:t>二、项目在工程建设和环境管理中着重做好以下工作：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加强车间通风。各危险废物分区贮存，除废矿物油以外的危险废物贮存区产生的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无组织废气经集气罩收集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二级活性炭吸附处理后通过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15米高排气筒达标排放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。生活污水经化粪池预处理后排入松木污水处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理厂进一步处理。项目雨、污管网未接通前不得投入运营。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废弃包装物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、废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活性炭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、废抹布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、废劳保用品、废油桶等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为危险废物，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在厂区暂存后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定期送至有资质单位妥善处置；生活垃圾交由环卫部门定期清运。选用低噪声设备并合理布局，采用减振、消声、隔声等降噪措施确保厂界噪声达到《工业企业厂界环境噪声排放标准》（GB12348-2008）中的相应标准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3.严格按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《废矿物油回收利用污染控制技术规范》（HJ607-2011）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、《危险废物收集、贮存、运输技术规范》（HJ2025-2012）、《危险废物贮存污染控制标准》（GB18597-2001）及2013年修改单中相关要求，做好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各类危险废物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在贮存过程中的安全管理，厂区各分区做好防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腐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、防渗、防风、防雨、防流失等相应措施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制定环境风险事故应急预案，落实事故应急防范措施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；规范设置足够容积的事故应急池，避免事故排放对环境的不利影响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三、项目应执行湖南省危废管理相关政策，收集的危险废物其代码类别、具体各种类危废的量及其对危废来源的管控要求，以危废经营许可核准的信息为准。</w:t>
            </w:r>
          </w:p>
          <w:p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四、项目建设必须执行配套建设的环境保护设施与主体工程同时设计、同时施工、同时投入使用的环境保护“三同时”制度，并按照相关规定做好竣工验收工作，并按照相关要求做好监测和信息公开。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6020" w:firstLineChars="2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衡阳市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生态环境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局</w:t>
            </w:r>
          </w:p>
          <w:p>
            <w:pPr>
              <w:adjustRightInd w:val="0"/>
              <w:snapToGrid w:val="0"/>
              <w:spacing w:line="380" w:lineRule="exact"/>
              <w:ind w:firstLine="6160" w:firstLineChars="2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7E66"/>
    <w:rsid w:val="00987D6A"/>
    <w:rsid w:val="00B64F01"/>
    <w:rsid w:val="00BC2961"/>
    <w:rsid w:val="00C276AB"/>
    <w:rsid w:val="00CB185F"/>
    <w:rsid w:val="00E8759E"/>
    <w:rsid w:val="00FF58BB"/>
    <w:rsid w:val="27774702"/>
    <w:rsid w:val="28F074ED"/>
    <w:rsid w:val="31257E66"/>
    <w:rsid w:val="36DE0129"/>
    <w:rsid w:val="46912650"/>
    <w:rsid w:val="47F35F5F"/>
    <w:rsid w:val="4E6904AA"/>
    <w:rsid w:val="5BFF6289"/>
    <w:rsid w:val="7BBFE74C"/>
    <w:rsid w:val="7E4B74AC"/>
    <w:rsid w:val="7EA35BB9"/>
    <w:rsid w:val="A4CCB3F8"/>
    <w:rsid w:val="BB7F0BCB"/>
    <w:rsid w:val="BD7FEB5A"/>
    <w:rsid w:val="E7FF6973"/>
    <w:rsid w:val="EFFEB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480" w:lineRule="exact"/>
      <w:ind w:left="0" w:right="0" w:firstLine="60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2"/>
      <w:lang w:val="en-US" w:eastAsia="zh-CN" w:bidi="ar"/>
    </w:rPr>
  </w:style>
  <w:style w:type="paragraph" w:customStyle="1" w:styleId="3">
    <w:name w:val="xl27"/>
    <w:basedOn w:val="1"/>
    <w:next w:val="4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styleId="4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5">
    <w:name w:val="Body Text Indent"/>
    <w:basedOn w:val="1"/>
    <w:qFormat/>
    <w:uiPriority w:val="0"/>
    <w:pPr>
      <w:spacing w:line="360" w:lineRule="auto"/>
      <w:ind w:firstLine="200" w:firstLineChars="200"/>
    </w:pPr>
    <w:rPr>
      <w:spacing w:val="16"/>
      <w:kern w:val="0"/>
      <w:sz w:val="28"/>
    </w:rPr>
  </w:style>
  <w:style w:type="paragraph" w:styleId="6">
    <w:name w:val="Body Text First Indent 2"/>
    <w:basedOn w:val="5"/>
    <w:qFormat/>
    <w:uiPriority w:val="0"/>
    <w:pPr>
      <w:tabs>
        <w:tab w:val="left" w:pos="540"/>
      </w:tabs>
      <w:spacing w:after="120"/>
      <w:ind w:firstLine="200" w:firstLineChars="200"/>
    </w:p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正文01"/>
    <w:basedOn w:val="1"/>
    <w:qFormat/>
    <w:uiPriority w:val="0"/>
    <w:pPr>
      <w:spacing w:before="60" w:line="460" w:lineRule="exact"/>
      <w:ind w:firstLine="200" w:firstLineChars="200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TotalTime>101</TotalTime>
  <ScaleCrop>false</ScaleCrop>
  <LinksUpToDate>false</LinksUpToDate>
  <CharactersWithSpaces>995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2017-11-04T07:47:00Z</dcterms:created>
  <dc:creator>Administrator</dc:creator>
  <cp:lastModifiedBy>kylin</cp:lastModifiedBy>
  <cp:lastPrinted>2022-04-12T15:22:30Z</cp:lastPrinted>
  <dcterms:modified xsi:type="dcterms:W3CDTF">2022-04-12T15:26:55Z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