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仿宋_GB2312"/>
          <w:kern w:val="0"/>
          <w:sz w:val="32"/>
          <w:szCs w:val="32"/>
        </w:rPr>
      </w:pPr>
    </w:p>
    <w:p>
      <w:pPr>
        <w:pStyle w:val="2"/>
        <w:rPr>
          <w:rFonts w:ascii="Times New Roman" w:hAnsi="Times New Roman" w:eastAsia="仿宋_GB2312"/>
          <w:kern w:val="0"/>
          <w:sz w:val="32"/>
          <w:szCs w:val="32"/>
        </w:rPr>
      </w:pPr>
    </w:p>
    <w:p>
      <w:pPr>
        <w:pStyle w:val="2"/>
        <w:rPr>
          <w:rFonts w:ascii="Times New Roman" w:hAnsi="Times New Roman" w:eastAsia="仿宋_GB2312"/>
          <w:kern w:val="0"/>
          <w:sz w:val="32"/>
          <w:szCs w:val="32"/>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pStyle w:val="2"/>
        <w:rPr>
          <w:rFonts w:ascii="Times New Roman" w:hAnsi="Times New Roman"/>
          <w:sz w:val="36"/>
          <w:szCs w:val="36"/>
        </w:rPr>
      </w:pPr>
    </w:p>
    <w:p>
      <w:pPr>
        <w:pStyle w:val="2"/>
        <w:rPr>
          <w:rFonts w:ascii="Times New Roman" w:hAnsi="Times New Roman"/>
          <w:sz w:val="36"/>
          <w:szCs w:val="36"/>
        </w:rPr>
      </w:pPr>
    </w:p>
    <w:p>
      <w:pPr>
        <w:jc w:val="center"/>
        <w:rPr>
          <w:rFonts w:ascii="Times New Roman" w:hAnsi="Times New Roman"/>
          <w:sz w:val="36"/>
          <w:szCs w:val="36"/>
        </w:rPr>
      </w:pPr>
    </w:p>
    <w:p>
      <w:pPr>
        <w:ind w:leftChars="800"/>
        <w:jc w:val="both"/>
        <w:rPr>
          <w:rFonts w:ascii="Times New Roman" w:hAnsi="Times New Roman"/>
          <w:sz w:val="36"/>
          <w:szCs w:val="36"/>
        </w:rPr>
      </w:pPr>
      <w:r>
        <w:rPr>
          <w:rFonts w:hint="eastAsia" w:ascii="Times New Roman" w:hAnsi="Times New Roman"/>
          <w:sz w:val="36"/>
          <w:szCs w:val="36"/>
          <w:lang w:val="en-US" w:eastAsia="zh-CN"/>
        </w:rPr>
        <w:t>衡阳市水运事务中心</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pPr>
        <w:ind w:leftChars="800"/>
        <w:jc w:val="both"/>
        <w:rPr>
          <w:rFonts w:hint="default" w:ascii="Times New Roman" w:hAnsi="Times New Roman" w:eastAsia="宋体"/>
          <w:sz w:val="36"/>
          <w:szCs w:val="36"/>
          <w:lang w:val="en-US"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p>
    <w:p>
      <w:pPr>
        <w:jc w:val="center"/>
        <w:rPr>
          <w:rFonts w:ascii="Times New Roman" w:hAnsi="Times New Roman" w:eastAsia="黑体"/>
          <w:sz w:val="36"/>
          <w:szCs w:val="36"/>
        </w:rPr>
      </w:pPr>
    </w:p>
    <w:p>
      <w:pPr>
        <w:pStyle w:val="2"/>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ascii="Times New Roman" w:hAnsi="Times New Roman" w:eastAsia="黑体"/>
          <w:sz w:val="32"/>
          <w:szCs w:val="32"/>
        </w:rPr>
        <w:t>年</w:t>
      </w:r>
      <w:r>
        <w:rPr>
          <w:rFonts w:hint="eastAsia" w:ascii="Times New Roman" w:hAnsi="Times New Roman" w:eastAsia="黑体"/>
          <w:sz w:val="32"/>
          <w:szCs w:val="32"/>
          <w:lang w:val="en-US" w:eastAsia="zh-CN"/>
        </w:rPr>
        <w:t>3</w:t>
      </w:r>
      <w:r>
        <w:rPr>
          <w:rFonts w:ascii="Times New Roman" w:hAnsi="Times New Roman" w:eastAsia="黑体"/>
          <w:sz w:val="32"/>
          <w:szCs w:val="32"/>
        </w:rPr>
        <w:t>月</w:t>
      </w:r>
      <w:r>
        <w:rPr>
          <w:rFonts w:hint="eastAsia" w:ascii="Times New Roman" w:hAnsi="Times New Roman" w:eastAsia="黑体"/>
          <w:sz w:val="32"/>
          <w:szCs w:val="32"/>
          <w:lang w:val="en-US" w:eastAsia="zh-CN"/>
        </w:rPr>
        <w:t>31</w:t>
      </w:r>
      <w:r>
        <w:rPr>
          <w:rFonts w:ascii="Times New Roman" w:hAnsi="Times New Roman" w:eastAsia="黑体"/>
          <w:sz w:val="32"/>
          <w:szCs w:val="32"/>
        </w:rPr>
        <w:t>日</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一、单位基本情况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市水运事务中心为市交通运输局所属的副处级公益一类事业单位，主要负责全市水路运输、船舶检验和港航管理相关事务性工作。</w:t>
      </w:r>
      <w:r>
        <w:rPr>
          <w:rFonts w:hint="eastAsia" w:ascii="仿宋" w:hAnsi="仿宋" w:eastAsia="仿宋" w:cs="仿宋"/>
          <w:sz w:val="32"/>
          <w:szCs w:val="32"/>
        </w:rPr>
        <w:t>主要职责是：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（一）贯彻</w:t>
      </w:r>
      <w:r>
        <w:rPr>
          <w:rFonts w:hint="eastAsia" w:ascii="仿宋" w:hAnsi="仿宋" w:eastAsia="仿宋" w:cs="仿宋"/>
          <w:sz w:val="32"/>
          <w:szCs w:val="32"/>
          <w:lang w:val="en-US" w:eastAsia="zh-CN"/>
        </w:rPr>
        <w:t>落实国家、省、市关于水路交通的方针政策和法律法规，参与拟订全市水路交通事务中长期发展规划和年度计划，并组织实施。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负责全市船舶（含渔船）、水上设施和船运集装箱的监督检验工作。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负责水运行业科技工作，组织水路交通新技术、新工艺、新材料的推广应用。负责水路交通行业信息统计工作。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协助船舶登记、船员管理和船员考试发证相关事务性工作。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负责全市水路运输和港口搬运装卸市场监管相关事务性工作。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水运事务中心设有综合科、财务计划科、组织人事科、安全法规科、船舶检验科、船舶船员科、水上运输科、港政科、航务科9个内设机构。现有在职人员38人，退休人员48人。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一般公共预算支出</w:t>
      </w:r>
      <w:r>
        <w:rPr>
          <w:rFonts w:hint="eastAsia" w:ascii="黑体" w:hAnsi="黑体" w:eastAsia="黑体" w:cs="黑体"/>
          <w:sz w:val="32"/>
          <w:szCs w:val="32"/>
        </w:rPr>
        <w:t>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基本支出情况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2021年度一般公共预算基本支出1126.23万元，其中人员经费支出886.27万元，公用经费支出239.96万元。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2020年度一般公共预算基本支出1126.23万元，其中社会保障和就业支出51.74万元，卫生健康支出67.16万元，交通运输支出975.46万元，住房保障支出31.87万元。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财政预算安排专项资金320万元，后压减预算17.2万元，实际拨付专项资金302.8万元，其中海巡艇维护费及水上突发事件应急处置工作经费73.8万元，船检费和货港费工作经费45万元，水上应急救援专项工作经费36万元，水上船舶垃圾接收、转运处置专项经费148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海巡艇维护费及水上突发事件应急处置工作经费73.8万元用于保养和维护海巡艇及弥补工作经费不足。</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船检费和货港费工作经费45万元充分保障了船检业务工作需要，</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共完成船舶建造（改建）检验4艘，559总吨；完成船舶营运检验377艘次</w:t>
      </w:r>
      <w:bookmarkStart w:id="0" w:name="_GoBack"/>
      <w:bookmarkEnd w:id="0"/>
      <w:r>
        <w:rPr>
          <w:rFonts w:hint="eastAsia" w:ascii="仿宋_GB2312" w:hAnsi="仿宋_GB2312" w:eastAsia="仿宋_GB2312" w:cs="仿宋_GB2312"/>
          <w:sz w:val="32"/>
          <w:szCs w:val="32"/>
        </w:rPr>
        <w:t>，239537总吨；船舶转出20艘，32555总吨；船舶转入23艘，43819总吨；完成船舶设计图纸审查3套。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应急救援专项工作经费36万元作为专项资金拨付给市水上应急救援队，在一定程度上弥补了该民间组织在经费上的短缺，救援积极性也得到提升。2021年市水上应急救援共出动队伍22次，搜救事故失踪、落水人员7人，打捞游泳失踪人员26人，打捞沉船3艘，控制漏油事件6次，水库堵漏1次，电站抢修3次，挽回经济损失近1000万元，将人民生命及财产损失降到最低，维护了社会和谐和稳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水上船舶垃圾接收、转运处置专项经费全年支出118.96万元，</w:t>
      </w:r>
      <w:r>
        <w:rPr>
          <w:rFonts w:hint="eastAsia" w:ascii="仿宋_GB2312" w:hAnsi="仿宋_GB2312" w:eastAsia="仿宋_GB2312" w:cs="仿宋_GB2312"/>
          <w:sz w:val="32"/>
          <w:szCs w:val="40"/>
        </w:rPr>
        <w:t>建立完善了船舶污染物联单监管机制。</w:t>
      </w:r>
      <w:r>
        <w:rPr>
          <w:rFonts w:hint="eastAsia" w:ascii="仿宋_GB2312" w:hAnsi="仿宋_GB2312" w:eastAsia="仿宋_GB2312" w:cs="仿宋_GB2312"/>
          <w:sz w:val="32"/>
          <w:szCs w:val="40"/>
          <w:lang w:val="en-US" w:eastAsia="zh-CN"/>
        </w:rPr>
        <w:t>2021年</w:t>
      </w:r>
      <w:r>
        <w:rPr>
          <w:rFonts w:hint="eastAsia" w:ascii="仿宋_GB2312" w:hAnsi="仿宋_GB2312" w:eastAsia="仿宋_GB2312" w:cs="仿宋_GB2312"/>
          <w:sz w:val="32"/>
          <w:szCs w:val="32"/>
        </w:rPr>
        <w:t>共接收</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转运</w:t>
      </w:r>
      <w:r>
        <w:rPr>
          <w:rFonts w:hint="eastAsia" w:ascii="仿宋_GB2312" w:hAnsi="仿宋_GB2312" w:eastAsia="仿宋_GB2312" w:cs="仿宋_GB2312"/>
          <w:sz w:val="32"/>
          <w:szCs w:val="32"/>
        </w:rPr>
        <w:t>处置船舶生活垃圾</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吨。</w:t>
      </w:r>
      <w:r>
        <w:rPr>
          <w:rFonts w:hint="eastAsia" w:ascii="仿宋" w:hAnsi="仿宋" w:eastAsia="仿宋" w:cs="仿宋"/>
          <w:sz w:val="32"/>
          <w:szCs w:val="32"/>
          <w:lang w:val="en-US" w:eastAsia="zh-CN"/>
        </w:rPr>
        <w:t>实现船舶污染物接收处置全覆盖，湘江流域水污染基本得到防治，打造了良好的水运生态环境。</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政府性基金预算支出情况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2021年无</w:t>
      </w:r>
      <w:r>
        <w:rPr>
          <w:rFonts w:hint="eastAsia" w:ascii="仿宋" w:hAnsi="仿宋" w:eastAsia="仿宋" w:cs="仿宋"/>
          <w:sz w:val="32"/>
          <w:szCs w:val="32"/>
        </w:rPr>
        <w:t>政府性基金预算支出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国有资本经营预算支出情况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2021年无</w:t>
      </w:r>
      <w:r>
        <w:rPr>
          <w:rFonts w:hint="eastAsia" w:ascii="仿宋" w:hAnsi="仿宋" w:eastAsia="仿宋" w:cs="仿宋"/>
          <w:sz w:val="32"/>
          <w:szCs w:val="32"/>
        </w:rPr>
        <w:t>国有资本经营预算支出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社会保险基金预算支出情况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2021年无</w:t>
      </w:r>
      <w:r>
        <w:rPr>
          <w:rFonts w:hint="eastAsia" w:ascii="仿宋" w:hAnsi="仿宋" w:eastAsia="仿宋" w:cs="仿宋"/>
          <w:sz w:val="32"/>
          <w:szCs w:val="32"/>
        </w:rPr>
        <w:t>社会保险基金预算支出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pPr>
        <w:pStyle w:val="21"/>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2021年，在省中心和市交通运输局的倾心指导</w:t>
      </w:r>
      <w:r>
        <w:rPr>
          <w:rFonts w:hint="eastAsia" w:ascii="仿宋_GB2312" w:hAnsi="仿宋_GB2312" w:eastAsia="仿宋_GB2312" w:cs="仿宋_GB2312"/>
          <w:sz w:val="32"/>
          <w:szCs w:val="32"/>
          <w:lang w:eastAsia="zh-CN"/>
        </w:rPr>
        <w:t>下，在中心党委的</w:t>
      </w:r>
      <w:r>
        <w:rPr>
          <w:rFonts w:hint="eastAsia" w:ascii="仿宋_GB2312" w:hAnsi="仿宋_GB2312" w:eastAsia="仿宋_GB2312" w:cs="仿宋_GB2312"/>
          <w:sz w:val="32"/>
          <w:szCs w:val="32"/>
        </w:rPr>
        <w:t>坚强领导下，</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sz w:val="32"/>
          <w:szCs w:val="32"/>
        </w:rPr>
        <w:t>以“安全绿色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为主线，以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群众在心中，服务当标兵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为具体要求，较好地完成了各项工作任务。</w:t>
      </w:r>
    </w:p>
    <w:p>
      <w:pPr>
        <w:pStyle w:val="21"/>
        <w:spacing w:line="560" w:lineRule="exact"/>
        <w:ind w:firstLine="640" w:firstLineChars="200"/>
        <w:jc w:val="both"/>
        <w:rPr>
          <w:rFonts w:hint="eastAsia" w:ascii="楷体_GB2312" w:hAnsi="楷体_GB2312" w:eastAsia="楷体_GB2312" w:cs="楷体_GB2312"/>
          <w:b w:val="0"/>
          <w:bCs w:val="0"/>
          <w:sz w:val="32"/>
          <w:szCs w:val="22"/>
          <w:lang w:eastAsia="zh-CN"/>
        </w:rPr>
      </w:pPr>
      <w:r>
        <w:rPr>
          <w:rFonts w:hint="eastAsia" w:ascii="楷体_GB2312" w:hAnsi="楷体_GB2312" w:eastAsia="楷体_GB2312" w:cs="楷体_GB2312"/>
          <w:b w:val="0"/>
          <w:bCs w:val="0"/>
          <w:sz w:val="32"/>
          <w:szCs w:val="22"/>
          <w:lang w:eastAsia="zh-CN"/>
        </w:rPr>
        <w:t>（一）抓出了绿色港口发展的新做法</w:t>
      </w:r>
    </w:p>
    <w:p>
      <w:pPr>
        <w:pStyle w:val="21"/>
        <w:spacing w:line="560" w:lineRule="exact"/>
        <w:ind w:firstLine="640" w:firstLineChars="200"/>
        <w:jc w:val="both"/>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一年来，我们攻坚克难，聚力非法码头整治专项行动，复还“一江四水”绿色岸线。坚持多措并举，组织力量对湘江衡阳段码头、渡口进行航拍摸底，认真对照港口总体规划、环保、防洪和设计审批要求，明确了取缔类码头、渡口和规范提升类码头、渡口的目标任务，按照环保、防洪和设计要求，全力推进非法码头渡口专项整治工作，取得了明显成效，截至去年底，共整治湘江段非法码头渡口154处，其中取缔非法码头30处、规范提升码头25处；撤销合并渡口43处，规范提升渡口55处，清退岸线4290米，全市15家规范提升类生产经营性码头合法手续已全部完善到位。目前，已按照设计要求完成码头作业区平整、防撒漏挡板安装、新型环保集料斗制作安装以及环保设备设施配备等工作；进一步提高了码头污染防治处理能力，规范了排水沟、沉淀池布局，增加污水处理设施设备，码头提质改造施工建设整体已完成约80%，确保今年6月全面完成提质改造建设任务。今年将定期对已取缔的码头以及撤销渡口开展常态化检查，坚决杜绝反弹回潮现象，为切实加强湘江水域岸线保护，打造河清岸绿优美环境，助力生态文明建设，守护好一江碧水，还“一江四水”绿色岸线。</w:t>
      </w:r>
    </w:p>
    <w:p>
      <w:pPr>
        <w:pStyle w:val="21"/>
        <w:spacing w:line="560" w:lineRule="exact"/>
        <w:ind w:firstLine="640" w:firstLineChars="200"/>
        <w:jc w:val="both"/>
        <w:rPr>
          <w:rFonts w:hint="eastAsia" w:ascii="楷体_GB2312" w:hAnsi="楷体_GB2312" w:eastAsia="楷体_GB2312" w:cs="楷体_GB2312"/>
          <w:b w:val="0"/>
          <w:bCs w:val="0"/>
          <w:sz w:val="32"/>
          <w:szCs w:val="22"/>
          <w:lang w:eastAsia="zh-CN"/>
        </w:rPr>
      </w:pPr>
      <w:r>
        <w:rPr>
          <w:rFonts w:hint="eastAsia" w:ascii="楷体_GB2312" w:hAnsi="楷体_GB2312" w:eastAsia="楷体_GB2312" w:cs="楷体_GB2312"/>
          <w:b w:val="0"/>
          <w:bCs w:val="0"/>
          <w:sz w:val="32"/>
          <w:szCs w:val="22"/>
          <w:lang w:eastAsia="zh-CN"/>
        </w:rPr>
        <w:t>（二）抓出了绿色水运发展的新成绩</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b w:val="0"/>
          <w:bCs w:val="0"/>
          <w:sz w:val="32"/>
          <w:szCs w:val="40"/>
        </w:rPr>
        <w:t>1.</w:t>
      </w:r>
      <w:r>
        <w:rPr>
          <w:rFonts w:hint="eastAsia" w:ascii="仿宋_GB2312" w:hAnsi="仿宋_GB2312" w:eastAsia="仿宋_GB2312" w:cs="仿宋_GB2312"/>
          <w:b w:val="0"/>
          <w:bCs w:val="0"/>
          <w:sz w:val="32"/>
          <w:szCs w:val="40"/>
        </w:rPr>
        <w:t>大力推进船舶污染物接收、转运、处置工作。</w:t>
      </w:r>
      <w:r>
        <w:rPr>
          <w:rFonts w:hint="eastAsia" w:ascii="仿宋_GB2312" w:hAnsi="仿宋_GB2312" w:eastAsia="仿宋_GB2312" w:cs="仿宋_GB2312"/>
          <w:sz w:val="32"/>
          <w:szCs w:val="40"/>
        </w:rPr>
        <w:t>全市建设了10处船舶污染物接收站点；组建了6家船舶水污染物接收、转运、处置企业；建立完善了船舶污染物联单监管机制。交通、环保、城管以及港口码头企业、接收企业、转运企业、污水处理厂及船舶都注册了长江经济带船e行APP。</w:t>
      </w:r>
      <w:r>
        <w:rPr>
          <w:rFonts w:hint="eastAsia" w:ascii="仿宋_GB2312" w:hAnsi="仿宋_GB2312" w:eastAsia="仿宋_GB2312" w:cs="仿宋_GB2312"/>
          <w:sz w:val="32"/>
          <w:szCs w:val="32"/>
          <w:lang w:eastAsia="zh-CN"/>
        </w:rPr>
        <w:t>去年</w:t>
      </w:r>
      <w:r>
        <w:rPr>
          <w:rFonts w:hint="eastAsia" w:ascii="仿宋_GB2312" w:hAnsi="仿宋_GB2312" w:eastAsia="仿宋_GB2312" w:cs="仿宋_GB2312"/>
          <w:sz w:val="32"/>
          <w:szCs w:val="32"/>
        </w:rPr>
        <w:t>，全市共接收处置船舶生活垃圾71.09吨、生活污水134.82吨、油污水28.29吨。</w:t>
      </w:r>
    </w:p>
    <w:p>
      <w:pPr>
        <w:ind w:firstLine="640" w:firstLineChars="200"/>
        <w:rPr>
          <w:rFonts w:hint="eastAsia" w:ascii="仿宋_GB2312" w:hAnsi="仿宋_GB2312" w:eastAsia="仿宋_GB2312" w:cs="仿宋_GB2312"/>
          <w:sz w:val="32"/>
          <w:szCs w:val="40"/>
        </w:rPr>
      </w:pPr>
      <w:r>
        <w:rPr>
          <w:rFonts w:ascii="仿宋_GB2312" w:hAnsi="仿宋_GB2312" w:eastAsia="仿宋_GB2312" w:cs="仿宋_GB2312"/>
          <w:b w:val="0"/>
          <w:bCs/>
          <w:sz w:val="32"/>
          <w:szCs w:val="40"/>
        </w:rPr>
        <w:t>2.</w:t>
      </w:r>
      <w:r>
        <w:rPr>
          <w:rFonts w:hint="eastAsia" w:ascii="仿宋_GB2312" w:hAnsi="仿宋_GB2312" w:eastAsia="仿宋_GB2312" w:cs="仿宋_GB2312"/>
          <w:b w:val="0"/>
          <w:bCs/>
          <w:sz w:val="32"/>
          <w:szCs w:val="40"/>
        </w:rPr>
        <w:t>大力推进港口码头环保改造。</w:t>
      </w:r>
      <w:r>
        <w:rPr>
          <w:rFonts w:hint="eastAsia" w:ascii="仿宋_GB2312" w:hAnsi="仿宋_GB2312" w:eastAsia="仿宋_GB2312" w:cs="仿宋_GB2312"/>
          <w:b w:val="0"/>
          <w:bCs/>
          <w:sz w:val="32"/>
          <w:szCs w:val="40"/>
          <w:lang w:eastAsia="zh-CN"/>
        </w:rPr>
        <w:t>（</w:t>
      </w:r>
      <w:r>
        <w:rPr>
          <w:rFonts w:hint="eastAsia" w:ascii="仿宋_GB2312" w:hAnsi="仿宋_GB2312" w:eastAsia="仿宋_GB2312" w:cs="仿宋_GB2312"/>
          <w:b w:val="0"/>
          <w:bCs/>
          <w:sz w:val="32"/>
          <w:szCs w:val="40"/>
          <w:lang w:val="en-US" w:eastAsia="zh-CN"/>
        </w:rPr>
        <w:t>1</w:t>
      </w:r>
      <w:r>
        <w:rPr>
          <w:rFonts w:hint="eastAsia" w:ascii="仿宋_GB2312" w:hAnsi="仿宋_GB2312" w:eastAsia="仿宋_GB2312" w:cs="仿宋_GB2312"/>
          <w:b w:val="0"/>
          <w:bCs/>
          <w:sz w:val="32"/>
          <w:szCs w:val="40"/>
          <w:lang w:eastAsia="zh-CN"/>
        </w:rPr>
        <w:t>）</w:t>
      </w:r>
      <w:r>
        <w:rPr>
          <w:rFonts w:hint="eastAsia" w:ascii="仿宋_GB2312" w:hAnsi="仿宋_GB2312" w:eastAsia="仿宋_GB2312" w:cs="仿宋_GB2312"/>
          <w:b w:val="0"/>
          <w:bCs/>
          <w:sz w:val="32"/>
          <w:szCs w:val="40"/>
        </w:rPr>
        <w:t>是完成码头接收船舶污染物设施配置。</w:t>
      </w:r>
      <w:r>
        <w:rPr>
          <w:rFonts w:hint="eastAsia" w:ascii="仿宋_GB2312" w:hAnsi="仿宋_GB2312" w:eastAsia="仿宋_GB2312" w:cs="仿宋_GB2312"/>
          <w:sz w:val="32"/>
          <w:szCs w:val="40"/>
        </w:rPr>
        <w:t>10家码头全部建设了危险废物储存场所。明确了11家码头建设接收船舶生活垃圾、生活污水、油污水设施。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val="0"/>
          <w:bCs/>
          <w:sz w:val="32"/>
          <w:szCs w:val="40"/>
        </w:rPr>
        <w:t>加大码头环保设施设备的建设</w:t>
      </w:r>
      <w:r>
        <w:rPr>
          <w:rFonts w:hint="eastAsia" w:ascii="仿宋_GB2312" w:hAnsi="仿宋_GB2312" w:eastAsia="仿宋_GB2312" w:cs="仿宋_GB2312"/>
          <w:b/>
          <w:sz w:val="32"/>
          <w:szCs w:val="40"/>
        </w:rPr>
        <w:t>。</w:t>
      </w:r>
      <w:r>
        <w:rPr>
          <w:rFonts w:hint="eastAsia" w:ascii="仿宋_GB2312" w:hAnsi="仿宋_GB2312" w:eastAsia="仿宋_GB2312" w:cs="仿宋_GB2312"/>
          <w:sz w:val="32"/>
          <w:szCs w:val="40"/>
        </w:rPr>
        <w:t>禁止港口码头污水直排，完善雨污分流，建设管网连通工程。全市4个千吨级码头与城市污水管网连接，其余8个生产经营性码头环保设施进一步完善，加大防尘喷淋设施、防尘雾炮机、沉淀池、垃圾箱、船舶生活污水、油污水收集罐设施设备的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楷体_GB2312" w:hAnsi="楷体_GB2312" w:eastAsia="楷体_GB2312" w:cs="楷体_GB2312"/>
          <w:b w:val="0"/>
          <w:bCs w:val="0"/>
          <w:sz w:val="32"/>
          <w:szCs w:val="40"/>
        </w:rPr>
        <w:t>大力推进码头环保隐患整治工作</w:t>
      </w:r>
      <w:r>
        <w:rPr>
          <w:rFonts w:hint="eastAsia" w:ascii="楷体_GB2312" w:hAnsi="楷体_GB2312" w:eastAsia="楷体_GB2312" w:cs="楷体_GB2312"/>
          <w:b/>
          <w:bCs/>
          <w:sz w:val="32"/>
          <w:szCs w:val="40"/>
        </w:rPr>
        <w:t>。</w:t>
      </w:r>
      <w:r>
        <w:rPr>
          <w:rFonts w:hint="eastAsia" w:ascii="仿宋_GB2312" w:hAnsi="仿宋_GB2312" w:eastAsia="仿宋_GB2312" w:cs="仿宋_GB2312"/>
          <w:sz w:val="32"/>
          <w:szCs w:val="40"/>
        </w:rPr>
        <w:t>按照</w:t>
      </w:r>
      <w:r>
        <w:rPr>
          <w:rFonts w:hint="eastAsia" w:ascii="仿宋_GB2312" w:eastAsia="仿宋_GB2312"/>
          <w:sz w:val="32"/>
          <w:szCs w:val="32"/>
        </w:rPr>
        <w:t>“十个统一”的要求，</w:t>
      </w:r>
      <w:r>
        <w:rPr>
          <w:rFonts w:hint="eastAsia" w:ascii="仿宋_GB2312" w:hAnsi="仿宋_GB2312" w:eastAsia="仿宋_GB2312" w:cs="仿宋_GB2312"/>
          <w:sz w:val="32"/>
          <w:szCs w:val="40"/>
        </w:rPr>
        <w:t>邀请第三方设计公司设计了</w:t>
      </w:r>
      <w:r>
        <w:rPr>
          <w:rFonts w:hint="eastAsia" w:ascii="仿宋_GB2312" w:hAnsi="仿宋_GB2312" w:eastAsia="仿宋_GB2312" w:cs="仿宋_GB2312"/>
          <w:sz w:val="32"/>
          <w:szCs w:val="32"/>
        </w:rPr>
        <w:t>“一码一策”环保隐患整治</w:t>
      </w:r>
      <w:r>
        <w:rPr>
          <w:rFonts w:hint="eastAsia" w:ascii="仿宋_GB2312" w:hAnsi="仿宋_GB2312" w:eastAsia="仿宋_GB2312" w:cs="仿宋_GB2312"/>
          <w:sz w:val="32"/>
          <w:szCs w:val="32"/>
          <w:lang w:val="en"/>
        </w:rPr>
        <w:t>方案，全面启动环保隐患整治改造，进一步完善码头装卸工艺的环保设置，提升码头防撒漏、防扬尘能力，杜绝污水横流现象，全面提升全市港口码头企业污染防治能力和生态环境质量。</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w:t>
      </w:r>
      <w:r>
        <w:rPr>
          <w:rFonts w:hint="eastAsia" w:ascii="楷体_GB2312" w:hAnsi="楷体_GB2312" w:eastAsia="楷体_GB2312" w:cs="楷体_GB2312"/>
          <w:b w:val="0"/>
          <w:bCs w:val="0"/>
          <w:sz w:val="32"/>
          <w:szCs w:val="40"/>
        </w:rPr>
        <w:t>是加大绿色港口建设。</w:t>
      </w:r>
      <w:r>
        <w:rPr>
          <w:rFonts w:hint="eastAsia" w:ascii="仿宋_GB2312" w:hAnsi="仿宋_GB2312" w:eastAsia="仿宋_GB2312" w:cs="仿宋_GB2312"/>
          <w:sz w:val="32"/>
          <w:szCs w:val="40"/>
        </w:rPr>
        <w:t>加大码头岸电设施建设，完成了69艘1200总吨以上船舶安装岸电受电设施改造工作和2022年度的22艘运输船舶的申报工作。</w:t>
      </w:r>
    </w:p>
    <w:p>
      <w:pPr>
        <w:pStyle w:val="21"/>
        <w:spacing w:line="560" w:lineRule="exact"/>
        <w:ind w:firstLine="640" w:firstLineChars="200"/>
        <w:jc w:val="both"/>
        <w:rPr>
          <w:rFonts w:hint="eastAsia" w:ascii="楷体_GB2312" w:hAnsi="楷体_GB2312" w:eastAsia="楷体_GB2312" w:cs="楷体_GB2312"/>
          <w:b w:val="0"/>
          <w:bCs w:val="0"/>
          <w:sz w:val="32"/>
          <w:szCs w:val="22"/>
          <w:lang w:val="en-US" w:eastAsia="zh-CN"/>
        </w:rPr>
      </w:pPr>
      <w:r>
        <w:rPr>
          <w:rFonts w:hint="eastAsia" w:ascii="楷体_GB2312" w:hAnsi="楷体_GB2312" w:eastAsia="楷体_GB2312" w:cs="楷体_GB2312"/>
          <w:b w:val="0"/>
          <w:bCs w:val="0"/>
          <w:sz w:val="32"/>
          <w:szCs w:val="22"/>
          <w:lang w:eastAsia="zh-CN"/>
        </w:rPr>
        <w:t>（三）抓出了</w:t>
      </w:r>
      <w:r>
        <w:rPr>
          <w:rFonts w:hint="eastAsia" w:ascii="楷体_GB2312" w:hAnsi="楷体_GB2312" w:eastAsia="楷体_GB2312" w:cs="楷体_GB2312"/>
          <w:b w:val="0"/>
          <w:bCs w:val="0"/>
          <w:sz w:val="32"/>
          <w:szCs w:val="22"/>
          <w:lang w:val="en-US" w:eastAsia="zh-CN"/>
        </w:rPr>
        <w:t>本质安全发展的新方法</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b w:val="0"/>
          <w:bCs w:val="0"/>
          <w:sz w:val="32"/>
          <w:szCs w:val="32"/>
          <w:lang w:val="en-US" w:eastAsia="zh-CN"/>
        </w:rPr>
        <w:t>全面推动企业安全标准化建设。</w:t>
      </w:r>
      <w:r>
        <w:rPr>
          <w:rFonts w:hint="eastAsia" w:ascii="仿宋_GB2312" w:hAnsi="仿宋_GB2312" w:eastAsia="仿宋_GB2312" w:cs="仿宋_GB2312"/>
          <w:sz w:val="32"/>
          <w:szCs w:val="32"/>
          <w:lang w:val="en-US" w:eastAsia="zh-CN"/>
        </w:rPr>
        <w:t>2021年，我们乘势而上强力推进全市水运企业创建安全生产标准化工作，完成了12家企业取得安全生产标准化企业资格证书，今年将全面完成20家水运企业标准化创建工作，推动企业安全生产主体责任真正落实，全面</w:t>
      </w:r>
      <w:r>
        <w:rPr>
          <w:rFonts w:hint="eastAsia" w:ascii="仿宋_GB2312" w:hAnsi="仿宋_GB2312" w:eastAsia="仿宋_GB2312" w:cs="仿宋_GB2312"/>
          <w:color w:val="373737"/>
          <w:sz w:val="32"/>
          <w:szCs w:val="32"/>
          <w:shd w:val="clear" w:color="auto" w:fill="FFFFFF"/>
          <w:lang w:val="en-US" w:eastAsia="zh-CN"/>
        </w:rPr>
        <w:t>夯实衡阳水运绿色发展基础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40"/>
        </w:rPr>
        <w:t>持续开展水上无线电秩序管理专项整治和脱检船舶清理工作。</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年，通过船舶营运检验，更换船用甚高频</w:t>
      </w:r>
      <w:r>
        <w:rPr>
          <w:rFonts w:ascii="仿宋_GB2312" w:hAnsi="仿宋_GB2312" w:eastAsia="仿宋_GB2312" w:cs="仿宋_GB2312"/>
          <w:sz w:val="32"/>
          <w:szCs w:val="40"/>
        </w:rPr>
        <w:t>30</w:t>
      </w:r>
      <w:r>
        <w:rPr>
          <w:rFonts w:hint="eastAsia" w:ascii="仿宋_GB2312" w:hAnsi="仿宋_GB2312" w:eastAsia="仿宋_GB2312" w:cs="仿宋_GB2312"/>
          <w:sz w:val="32"/>
          <w:szCs w:val="40"/>
        </w:rPr>
        <w:t>台次。完成了船舶检验台帐、脱检船舶台帐的建立；全市船检登记船舶2451艘；其中报废船舶820艘，休眠船舶834艘，报停船舶2艘，正常状态船舶795艘，注销报废船舶125艘。</w:t>
      </w:r>
      <w:r>
        <w:rPr>
          <w:rFonts w:hint="eastAsia" w:ascii="仿宋_GB2312" w:hAnsi="仿宋_GB2312" w:eastAsia="仿宋_GB2312" w:cs="仿宋_GB2312"/>
          <w:b w:val="0"/>
          <w:bCs/>
          <w:sz w:val="32"/>
          <w:szCs w:val="40"/>
        </w:rPr>
        <w:t>开展灭失船舶集中注销国籍登记专项行动。</w:t>
      </w:r>
      <w:r>
        <w:rPr>
          <w:rFonts w:hint="eastAsia" w:ascii="仿宋_GB2312" w:hAnsi="仿宋_GB2312" w:eastAsia="仿宋_GB2312" w:cs="仿宋_GB2312"/>
          <w:b w:val="0"/>
          <w:bCs w:val="0"/>
          <w:color w:val="auto"/>
          <w:sz w:val="32"/>
          <w:szCs w:val="32"/>
          <w:lang w:val="en-US" w:eastAsia="zh-CN"/>
        </w:rPr>
        <w:t>对全市1114艘在册灭失船舶的船舶所有人、经营人进行了梳理、宣传和劝告，达到了预期工作效果。目前，已有610艘船舶与登记机关取得联系，其中，主动申请船舶所有权和国籍注销登记的415艘，符合船舶所有权和国籍注销登记条件的52艘已办结，无法联系的船舶504艘，</w:t>
      </w:r>
      <w:r>
        <w:rPr>
          <w:rFonts w:hint="eastAsia" w:ascii="仿宋_GB2312" w:hAnsi="仿宋_GB2312" w:eastAsia="仿宋_GB2312" w:cs="仿宋_GB2312"/>
          <w:b w:val="0"/>
          <w:bCs w:val="0"/>
          <w:color w:val="auto"/>
          <w:sz w:val="32"/>
          <w:szCs w:val="32"/>
          <w:shd w:val="clear" w:color="auto" w:fill="auto"/>
          <w:lang w:val="en-US" w:eastAsia="zh-CN"/>
        </w:rPr>
        <w:t>余下1062艘船舶已在市交通运输局门户网站对外公示，已申请部局集中注销船舶国籍证书。</w:t>
      </w:r>
      <w:r>
        <w:rPr>
          <w:rFonts w:hint="eastAsia" w:ascii="仿宋_GB2312" w:hAnsi="仿宋_GB2312" w:eastAsia="仿宋_GB2312" w:cs="仿宋_GB2312"/>
          <w:b w:val="0"/>
          <w:bCs/>
          <w:sz w:val="32"/>
          <w:szCs w:val="32"/>
        </w:rPr>
        <w:t>扎实做好船舶法定检验</w:t>
      </w:r>
      <w:r>
        <w:rPr>
          <w:rFonts w:hint="eastAsia" w:ascii="仿宋_GB2312" w:hAnsi="仿宋_GB2312" w:eastAsia="仿宋_GB2312" w:cs="仿宋_GB2312"/>
          <w:b w:val="0"/>
          <w:bCs/>
          <w:sz w:val="32"/>
          <w:szCs w:val="32"/>
          <w:lang w:eastAsia="zh-CN"/>
        </w:rPr>
        <w:t>和船舶船员登记</w:t>
      </w:r>
      <w:r>
        <w:rPr>
          <w:rFonts w:hint="eastAsia" w:ascii="仿宋_GB2312" w:hAnsi="仿宋_GB2312" w:eastAsia="仿宋_GB2312" w:cs="仿宋_GB2312"/>
          <w:b w:val="0"/>
          <w:bCs/>
          <w:sz w:val="32"/>
          <w:szCs w:val="32"/>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共完成船舶建造（改建）检验4艘，559总吨；完成船舶营运检验377艘次，239537总吨；船舶转出20艘，32555总吨；船舶转入23艘，43819总吨；完成船舶设计图纸审查3套。</w:t>
      </w:r>
      <w:r>
        <w:rPr>
          <w:rFonts w:hint="eastAsia" w:ascii="仿宋_GB2312" w:hAnsi="仿宋_GB2312" w:eastAsia="仿宋_GB2312" w:cs="仿宋_GB2312"/>
          <w:i w:val="0"/>
          <w:iCs w:val="0"/>
          <w:caps w:val="0"/>
          <w:color w:val="auto"/>
          <w:spacing w:val="8"/>
          <w:sz w:val="32"/>
          <w:szCs w:val="32"/>
          <w:shd w:val="clear" w:color="auto" w:fill="FFFFFF"/>
          <w:lang w:val="en-US" w:eastAsia="zh-CN"/>
        </w:rPr>
        <w:t>全年举行各类船员考试14期、报名考试人员202名，签发各类船员证书397本；办理船舶登记业务1156项，其中，船舶抵押登记60项债权金额1.61亿元。</w:t>
      </w:r>
      <w:r>
        <w:rPr>
          <w:rFonts w:hint="eastAsia" w:ascii="仿宋_GB2312" w:hAnsi="仿宋_GB2312" w:eastAsia="仿宋_GB2312" w:cs="仿宋_GB2312"/>
          <w:b w:val="0"/>
          <w:bCs/>
          <w:sz w:val="32"/>
          <w:szCs w:val="32"/>
        </w:rPr>
        <w:t>加强水上水下施工受理督导</w:t>
      </w:r>
      <w:r>
        <w:rPr>
          <w:rFonts w:hint="eastAsia" w:ascii="仿宋_GB2312" w:hAnsi="仿宋_GB2312" w:eastAsia="仿宋_GB2312" w:cs="仿宋_GB2312"/>
          <w:sz w:val="32"/>
          <w:szCs w:val="32"/>
        </w:rPr>
        <w:t>。对受理在建的涉水工程认真梳理档案资料，加强事中事后指导督导，落实企业风险防范能力，确保施工安全。</w:t>
      </w:r>
      <w:r>
        <w:rPr>
          <w:rFonts w:hint="eastAsia" w:ascii="仿宋_GB2312" w:hAnsi="仿宋_GB2312" w:eastAsia="仿宋_GB2312" w:cs="仿宋_GB2312"/>
          <w:b w:val="0"/>
          <w:bCs/>
          <w:sz w:val="32"/>
          <w:szCs w:val="32"/>
        </w:rPr>
        <w:t>强化安全教育培训</w:t>
      </w:r>
      <w:r>
        <w:rPr>
          <w:rFonts w:hint="eastAsia" w:ascii="仿宋_GB2312" w:hAnsi="仿宋_GB2312" w:eastAsia="仿宋_GB2312" w:cs="仿宋_GB2312"/>
          <w:sz w:val="32"/>
          <w:szCs w:val="32"/>
        </w:rPr>
        <w:t>。按照三年行动集中攻坚方案，举办两期水运、港埠企业负责人和安全主管培训班，进一步强化企业负责人抓安全管安全的能力。</w:t>
      </w:r>
      <w:r>
        <w:rPr>
          <w:rFonts w:hint="eastAsia" w:ascii="仿宋_GB2312" w:hAnsi="仿宋_GB2312" w:eastAsia="仿宋_GB2312" w:cs="仿宋_GB2312"/>
          <w:b w:val="0"/>
          <w:bCs/>
          <w:sz w:val="32"/>
          <w:szCs w:val="40"/>
          <w:u w:val="none"/>
        </w:rPr>
        <w:t>抓实</w:t>
      </w:r>
      <w:r>
        <w:rPr>
          <w:rFonts w:hint="eastAsia" w:ascii="仿宋_GB2312" w:hAnsi="仿宋_GB2312" w:eastAsia="仿宋_GB2312" w:cs="仿宋_GB2312"/>
          <w:b w:val="0"/>
          <w:bCs/>
          <w:sz w:val="32"/>
          <w:szCs w:val="40"/>
          <w:u w:val="none"/>
          <w:lang w:eastAsia="zh-CN"/>
        </w:rPr>
        <w:t>防汛及</w:t>
      </w:r>
      <w:r>
        <w:rPr>
          <w:rFonts w:hint="eastAsia" w:ascii="仿宋_GB2312" w:hAnsi="仿宋_GB2312" w:eastAsia="仿宋_GB2312" w:cs="仿宋_GB2312"/>
          <w:b w:val="0"/>
          <w:bCs/>
          <w:sz w:val="32"/>
          <w:szCs w:val="40"/>
          <w:u w:val="none"/>
        </w:rPr>
        <w:t>应急救援，兜住安全底线。</w:t>
      </w:r>
      <w:r>
        <w:rPr>
          <w:rFonts w:hint="eastAsia" w:ascii="仿宋_GB2312" w:hAnsi="仿宋_GB2312" w:eastAsia="仿宋_GB2312" w:cs="仿宋_GB2312"/>
          <w:sz w:val="32"/>
          <w:szCs w:val="32"/>
        </w:rPr>
        <w:t>及时制定防汛工作方案、汛期水上应急救援方案，搞好防汛工作统筹。成立了35人的防汛应急救援小组，准备5艘100吨船舶作为防汛应急救援船舶，切实提升防汛备汛安全。及时发布恶劣天气预警信息，转发预警信息150余条。督促市本级及各县（市）应急救援队，各港埠、水运企业做好防汛物资准备，做好防汛备汛的各项准备工作。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县（市）水运事务中心开展水上应急救援演练训练，有效提升了应急救援实战水平。</w:t>
      </w:r>
    </w:p>
    <w:p>
      <w:pPr>
        <w:pStyle w:val="21"/>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楷体_GB2312" w:hAnsi="楷体_GB2312" w:eastAsia="楷体_GB2312" w:cs="楷体_GB2312"/>
          <w:b w:val="0"/>
          <w:bCs w:val="0"/>
          <w:sz w:val="32"/>
        </w:rPr>
        <w:t>坚持为民情怀</w:t>
      </w:r>
      <w:r>
        <w:rPr>
          <w:rFonts w:ascii="楷体_GB2312" w:hAnsi="楷体_GB2312" w:eastAsia="楷体_GB2312" w:cs="楷体_GB2312"/>
          <w:b w:val="0"/>
          <w:bCs w:val="0"/>
          <w:sz w:val="32"/>
        </w:rPr>
        <w:t>，真诚办好民生实事</w:t>
      </w:r>
      <w:r>
        <w:rPr>
          <w:rFonts w:hint="eastAsia" w:ascii="楷体_GB2312" w:hAnsi="楷体_GB2312" w:eastAsia="楷体_GB2312" w:cs="楷体_GB2312"/>
          <w:b w:val="0"/>
          <w:bCs w:val="0"/>
          <w:sz w:val="32"/>
          <w:lang w:eastAsia="zh-CN"/>
        </w:rPr>
        <w:t>。</w:t>
      </w:r>
      <w:r>
        <w:rPr>
          <w:rFonts w:hint="eastAsia" w:ascii="仿宋_GB2312" w:hAnsi="仿宋_GB2312" w:eastAsia="仿宋_GB2312" w:cs="仿宋_GB2312"/>
          <w:sz w:val="32"/>
          <w:szCs w:val="32"/>
          <w:lang w:val="en-US" w:eastAsia="zh-CN"/>
        </w:rPr>
        <w:t>2021年先后投入11万余元深入推进基地办公楼党支部“五化”设施建设；</w:t>
      </w:r>
      <w:r>
        <w:rPr>
          <w:rFonts w:hint="eastAsia" w:ascii="仿宋_GB2312" w:hAnsi="仿宋_GB2312" w:eastAsia="仿宋_GB2312" w:cs="仿宋_GB2312"/>
          <w:sz w:val="32"/>
          <w:szCs w:val="32"/>
        </w:rPr>
        <w:t>组织全体在职党员和离退休老党员，赴常宁市萧石月故居开展“党旗在基层一线高高飘扬”主题党日活动；</w:t>
      </w:r>
      <w:r>
        <w:rPr>
          <w:rFonts w:hint="eastAsia" w:ascii="仿宋_GB2312" w:hAnsi="仿宋_GB2312" w:eastAsia="仿宋_GB2312" w:cs="仿宋_GB2312"/>
          <w:sz w:val="32"/>
          <w:szCs w:val="32"/>
          <w:lang w:eastAsia="zh-CN"/>
        </w:rPr>
        <w:t>付明雄等</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lang w:eastAsia="zh-CN"/>
        </w:rPr>
        <w:t>同志参加</w:t>
      </w:r>
      <w:r>
        <w:rPr>
          <w:rFonts w:hint="eastAsia" w:ascii="仿宋_GB2312" w:hAnsi="仿宋_GB2312" w:eastAsia="仿宋_GB2312" w:cs="仿宋_GB2312"/>
          <w:sz w:val="32"/>
          <w:szCs w:val="32"/>
        </w:rPr>
        <w:t>全省公务船船员技能竞赛</w:t>
      </w:r>
      <w:r>
        <w:rPr>
          <w:rFonts w:hint="eastAsia" w:ascii="仿宋_GB2312" w:hAnsi="仿宋_GB2312" w:eastAsia="仿宋_GB2312" w:cs="仿宋_GB2312"/>
          <w:sz w:val="32"/>
          <w:szCs w:val="32"/>
          <w:lang w:eastAsia="zh-CN"/>
        </w:rPr>
        <w:t>获</w:t>
      </w:r>
      <w:r>
        <w:rPr>
          <w:rFonts w:hint="eastAsia" w:ascii="仿宋_GB2312" w:hAnsi="仿宋_GB2312" w:eastAsia="仿宋_GB2312" w:cs="仿宋_GB2312"/>
          <w:sz w:val="32"/>
          <w:szCs w:val="32"/>
        </w:rPr>
        <w:t>二等奖，蒋晓云同志被评为衡阳市优秀党员，</w:t>
      </w:r>
      <w:r>
        <w:rPr>
          <w:rFonts w:hint="eastAsia" w:ascii="仿宋_GB2312" w:hAnsi="仿宋_GB2312" w:eastAsia="仿宋_GB2312" w:cs="仿宋_GB2312"/>
          <w:sz w:val="32"/>
          <w:szCs w:val="32"/>
          <w:lang w:eastAsia="zh-CN"/>
        </w:rPr>
        <w:t>罗平、付明雄、刘智渊代表中心</w:t>
      </w:r>
      <w:r>
        <w:rPr>
          <w:rFonts w:hint="eastAsia" w:ascii="仿宋_GB2312" w:hAnsi="仿宋_GB2312" w:eastAsia="仿宋_GB2312" w:cs="仿宋_GB2312"/>
          <w:sz w:val="32"/>
          <w:szCs w:val="32"/>
        </w:rPr>
        <w:t>参加市交通运输局建党100周年知识竞</w:t>
      </w:r>
      <w:r>
        <w:rPr>
          <w:rFonts w:hint="eastAsia" w:ascii="仿宋_GB2312" w:hAnsi="仿宋_GB2312" w:eastAsia="仿宋_GB2312" w:cs="仿宋_GB2312"/>
          <w:sz w:val="32"/>
          <w:szCs w:val="32"/>
          <w:lang w:eastAsia="zh-CN"/>
        </w:rPr>
        <w:t>获</w:t>
      </w:r>
      <w:r>
        <w:rPr>
          <w:rFonts w:hint="eastAsia" w:ascii="仿宋_GB2312" w:hAnsi="仿宋_GB2312" w:eastAsia="仿宋_GB2312" w:cs="仿宋_GB2312"/>
          <w:sz w:val="32"/>
          <w:szCs w:val="32"/>
        </w:rPr>
        <w:t>赛二等奖，娄琪</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被市交通运输局评为优秀党务工作者，成建平、陈选波</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被市交通运输局评为优秀共产党员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rPr>
        <w:t>大力</w:t>
      </w:r>
      <w:r>
        <w:rPr>
          <w:rFonts w:hint="eastAsia" w:ascii="仿宋_GB2312" w:hAnsi="仿宋_GB2312" w:eastAsia="仿宋_GB2312" w:cs="仿宋_GB2312"/>
          <w:sz w:val="32"/>
          <w:szCs w:val="32"/>
        </w:rPr>
        <w:t>开展“群众在心中、服务当标兵”活动</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32</w:t>
      </w:r>
      <w:r>
        <w:rPr>
          <w:rFonts w:hint="eastAsia" w:ascii="仿宋_GB2312" w:hAnsi="仿宋_GB2312" w:eastAsia="仿宋_GB2312" w:cs="仿宋_GB2312"/>
          <w:sz w:val="32"/>
        </w:rPr>
        <w:t>项为民办实事事项</w:t>
      </w:r>
      <w:r>
        <w:rPr>
          <w:rFonts w:hint="eastAsia" w:ascii="仿宋_GB2312" w:hAnsi="仿宋_GB2312" w:eastAsia="仿宋_GB2312" w:cs="仿宋_GB2312"/>
          <w:sz w:val="32"/>
          <w:lang w:eastAsia="zh-CN"/>
        </w:rPr>
        <w:t>全面完成</w:t>
      </w:r>
      <w:r>
        <w:rPr>
          <w:rFonts w:hint="eastAsia" w:ascii="仿宋_GB2312" w:hAnsi="仿宋_GB2312" w:eastAsia="仿宋_GB2312" w:cs="仿宋_GB2312"/>
          <w:sz w:val="32"/>
        </w:rPr>
        <w:t>。如</w:t>
      </w:r>
      <w:r>
        <w:rPr>
          <w:rFonts w:hint="eastAsia" w:ascii="仿宋_GB2312" w:hAnsi="仿宋_GB2312" w:eastAsia="仿宋_GB2312" w:cs="仿宋_GB2312"/>
          <w:sz w:val="32"/>
          <w:szCs w:val="32"/>
        </w:rPr>
        <w:t>中心深入水运、港埠企业，在松木经济开发区衡阳市港口投资有限公司开展“屋场恳谈会”，就如何促进港口发展、优化营商环境、落实环保工作等要求进行交流讨论。中心组织有资质的专业船舶公司设立临时维修点，对船舶提供“家门口”维修检测服务，降低了船舶维修检测成本，确保如期发证，解决了船员烦心事。开展邮寄船员适任证书服务，为在外地不方便办理业务的船员提供了极大的便利，同时，组织政务中心工作人员认真梳理业务流程，制定并印发了业务所需格式文书，极大地简便了船主在办理业务时手写的相应文本，真正做到“服务前移”，打通服务群众的“最后一公里。”</w:t>
      </w:r>
    </w:p>
    <w:p>
      <w:pPr>
        <w:numPr>
          <w:ilvl w:val="0"/>
          <w:numId w:val="0"/>
        </w:numPr>
        <w:ind w:leftChars="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（五）是</w:t>
      </w:r>
      <w:r>
        <w:rPr>
          <w:rFonts w:hint="eastAsia" w:ascii="仿宋_GB2312" w:hAnsi="仿宋_GB2312" w:eastAsia="仿宋_GB2312" w:cs="仿宋_GB2312"/>
          <w:color w:val="auto"/>
          <w:kern w:val="2"/>
          <w:sz w:val="32"/>
          <w:szCs w:val="32"/>
          <w:lang w:val="en-US" w:eastAsia="zh-CN" w:bidi="ar-SA"/>
        </w:rPr>
        <w:t>加强了对船舶水污染物接收、转运、处置监督管理，对</w:t>
      </w:r>
      <w:r>
        <w:rPr>
          <w:rFonts w:hint="default" w:ascii="仿宋_GB2312" w:hAnsi="仿宋_GB2312" w:eastAsia="仿宋_GB2312" w:cs="仿宋_GB2312"/>
          <w:color w:val="auto"/>
          <w:kern w:val="2"/>
          <w:sz w:val="32"/>
          <w:szCs w:val="32"/>
          <w:lang w:val="en-US" w:eastAsia="zh-CN" w:bidi="ar-SA"/>
        </w:rPr>
        <w:t>企业指导</w:t>
      </w:r>
      <w:r>
        <w:rPr>
          <w:rFonts w:hint="eastAsia" w:ascii="仿宋_GB2312" w:hAnsi="仿宋_GB2312" w:eastAsia="仿宋_GB2312" w:cs="仿宋_GB2312"/>
          <w:color w:val="auto"/>
          <w:kern w:val="2"/>
          <w:sz w:val="32"/>
          <w:szCs w:val="32"/>
          <w:lang w:val="en-US" w:eastAsia="zh-CN" w:bidi="ar-SA"/>
        </w:rPr>
        <w:t>检查</w:t>
      </w:r>
      <w:r>
        <w:rPr>
          <w:rFonts w:hint="default" w:ascii="仿宋_GB2312" w:hAnsi="仿宋_GB2312" w:eastAsia="仿宋_GB2312" w:cs="仿宋_GB2312"/>
          <w:color w:val="auto"/>
          <w:kern w:val="2"/>
          <w:sz w:val="32"/>
          <w:szCs w:val="32"/>
          <w:lang w:val="en-US" w:eastAsia="zh-CN" w:bidi="ar-SA"/>
        </w:rPr>
        <w:t>，制定工作台账，完善工作机制，</w:t>
      </w:r>
      <w:r>
        <w:rPr>
          <w:rFonts w:hint="eastAsia" w:ascii="仿宋_GB2312" w:hAnsi="仿宋_GB2312" w:eastAsia="仿宋_GB2312" w:cs="仿宋_GB2312"/>
          <w:color w:val="auto"/>
          <w:kern w:val="2"/>
          <w:sz w:val="32"/>
          <w:szCs w:val="32"/>
          <w:lang w:val="en-US" w:eastAsia="zh-CN" w:bidi="ar-SA"/>
        </w:rPr>
        <w:t>加强系统运行监管，</w:t>
      </w:r>
      <w:r>
        <w:rPr>
          <w:rFonts w:hint="default" w:ascii="仿宋_GB2312" w:hAnsi="仿宋_GB2312" w:eastAsia="仿宋_GB2312" w:cs="仿宋_GB2312"/>
          <w:color w:val="auto"/>
          <w:kern w:val="2"/>
          <w:sz w:val="32"/>
          <w:szCs w:val="32"/>
          <w:lang w:val="en-US" w:eastAsia="zh-CN" w:bidi="ar-SA"/>
        </w:rPr>
        <w:t>及时</w:t>
      </w:r>
      <w:r>
        <w:rPr>
          <w:rFonts w:hint="eastAsia" w:ascii="仿宋_GB2312" w:hAnsi="仿宋_GB2312" w:eastAsia="仿宋_GB2312" w:cs="仿宋_GB2312"/>
          <w:color w:val="auto"/>
          <w:kern w:val="2"/>
          <w:sz w:val="32"/>
          <w:szCs w:val="32"/>
          <w:lang w:val="en-US" w:eastAsia="zh-CN" w:bidi="ar-SA"/>
        </w:rPr>
        <w:t>通报</w:t>
      </w:r>
      <w:r>
        <w:rPr>
          <w:rFonts w:hint="default" w:ascii="仿宋_GB2312" w:hAnsi="仿宋_GB2312" w:eastAsia="仿宋_GB2312" w:cs="仿宋_GB2312"/>
          <w:color w:val="auto"/>
          <w:kern w:val="2"/>
          <w:sz w:val="32"/>
          <w:szCs w:val="32"/>
          <w:lang w:val="en-US" w:eastAsia="zh-CN" w:bidi="ar-SA"/>
        </w:rPr>
        <w:t>信息</w:t>
      </w:r>
      <w:r>
        <w:rPr>
          <w:rFonts w:hint="eastAsia" w:ascii="仿宋_GB2312" w:hAnsi="仿宋_GB2312" w:eastAsia="仿宋_GB2312" w:cs="仿宋_GB2312"/>
          <w:color w:val="auto"/>
          <w:kern w:val="2"/>
          <w:sz w:val="32"/>
          <w:szCs w:val="32"/>
          <w:lang w:val="en-US" w:eastAsia="zh-CN" w:bidi="ar-SA"/>
        </w:rPr>
        <w:t>，掌握工作运行底数。</w:t>
      </w:r>
    </w:p>
    <w:p>
      <w:pPr>
        <w:numPr>
          <w:ilvl w:val="0"/>
          <w:numId w:val="0"/>
        </w:numPr>
        <w:ind w:leftChars="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w:t>
      </w:r>
      <w:r>
        <w:rPr>
          <w:rFonts w:hint="eastAsia" w:ascii="仿宋_GB2312" w:hAnsi="仿宋_GB2312" w:eastAsia="仿宋_GB2312" w:cs="仿宋_GB2312"/>
          <w:b w:val="0"/>
          <w:bCs w:val="0"/>
          <w:kern w:val="2"/>
          <w:sz w:val="32"/>
          <w:szCs w:val="32"/>
          <w:lang w:val="en-US" w:eastAsia="zh-CN" w:bidi="ar-SA"/>
        </w:rPr>
        <w:t>积极</w:t>
      </w:r>
      <w:r>
        <w:rPr>
          <w:rFonts w:hint="eastAsia" w:ascii="仿宋_GB2312" w:hAnsi="仿宋_GB2312" w:eastAsia="仿宋_GB2312" w:cs="仿宋_GB2312"/>
          <w:color w:val="auto"/>
          <w:kern w:val="2"/>
          <w:sz w:val="32"/>
          <w:szCs w:val="32"/>
          <w:lang w:val="en-US" w:eastAsia="zh-CN" w:bidi="ar-SA"/>
        </w:rPr>
        <w:t>推进船舶检验检查工作，做好客船、客渡船的预警和通报，防止脱检，及时清理脱检船舶，及时处置反馈的船舶检验问题。</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中心</w:t>
      </w:r>
      <w:r>
        <w:rPr>
          <w:rFonts w:hint="eastAsia" w:ascii="仿宋" w:hAnsi="仿宋" w:eastAsia="仿宋" w:cs="仿宋"/>
          <w:sz w:val="32"/>
          <w:szCs w:val="32"/>
        </w:rPr>
        <w:t xml:space="preserve">严格贯彻执行中央八项规定、省委九项规定，持之以恒纠“四风”，厉行节约、反对铺张浪费，努力建立健全了立体式、全方位的制度体系，以刚性的制度约束、严格的制度执行、强有力的监督检查、严厉的惩戒机制，严禁公车私用，严禁公款吃喝，严格执行公务接待管理规定和会议活动管理规定，基本消除了公款消费中的各种违规违纪违法现象，对“三公经费”的控制不仅实现了零增长的目标，而且比上年大幅下降。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年市财政批复“三公”经费年初预算数</w:t>
      </w:r>
      <w:r>
        <w:rPr>
          <w:rFonts w:hint="eastAsia" w:ascii="仿宋" w:hAnsi="仿宋" w:eastAsia="仿宋" w:cs="仿宋"/>
          <w:sz w:val="32"/>
          <w:szCs w:val="32"/>
          <w:lang w:val="en-US" w:eastAsia="zh-CN"/>
        </w:rPr>
        <w:t>22</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4</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18</w:t>
      </w:r>
      <w:r>
        <w:rPr>
          <w:rFonts w:hint="eastAsia" w:ascii="仿宋" w:hAnsi="仿宋" w:eastAsia="仿宋" w:cs="仿宋"/>
          <w:sz w:val="32"/>
          <w:szCs w:val="32"/>
        </w:rPr>
        <w:t>万元，无公务用车购置费。“三公”经费全年支出</w:t>
      </w:r>
      <w:r>
        <w:rPr>
          <w:rFonts w:hint="eastAsia" w:ascii="仿宋" w:hAnsi="仿宋" w:eastAsia="仿宋" w:cs="仿宋"/>
          <w:sz w:val="32"/>
          <w:szCs w:val="32"/>
          <w:lang w:val="en-US" w:eastAsia="zh-CN"/>
        </w:rPr>
        <w:t>16.9</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2.95</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13.95</w:t>
      </w:r>
      <w:r>
        <w:rPr>
          <w:rFonts w:hint="eastAsia" w:ascii="仿宋" w:hAnsi="仿宋" w:eastAsia="仿宋" w:cs="仿宋"/>
          <w:sz w:val="32"/>
          <w:szCs w:val="32"/>
        </w:rPr>
        <w:t>万元，无公务用车购置费。“三公经费”未超标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w:t>
      </w:r>
      <w:r>
        <w:rPr>
          <w:rFonts w:hint="eastAsia" w:ascii="仿宋" w:hAnsi="仿宋" w:eastAsia="仿宋" w:cs="仿宋"/>
          <w:sz w:val="32"/>
          <w:szCs w:val="32"/>
        </w:rPr>
        <w:t>年初预算</w:t>
      </w:r>
      <w:r>
        <w:rPr>
          <w:rFonts w:hint="eastAsia" w:ascii="仿宋" w:hAnsi="仿宋" w:eastAsia="仿宋" w:cs="仿宋"/>
          <w:sz w:val="32"/>
          <w:szCs w:val="32"/>
          <w:lang w:val="en-US" w:eastAsia="zh-CN"/>
        </w:rPr>
        <w:t>减少5.1</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减少23</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减少1.05</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减少26</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减少4.05</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减少22.5</w:t>
      </w:r>
      <w:r>
        <w:rPr>
          <w:rFonts w:hint="eastAsia" w:ascii="仿宋" w:hAnsi="仿宋" w:eastAsia="仿宋" w:cs="仿宋"/>
          <w:sz w:val="32"/>
          <w:szCs w:val="32"/>
        </w:rPr>
        <w:t>%。</w:t>
      </w:r>
      <w:r>
        <w:rPr>
          <w:rFonts w:hint="eastAsia" w:ascii="仿宋" w:hAnsi="仿宋" w:eastAsia="仿宋" w:cs="仿宋"/>
          <w:sz w:val="32"/>
          <w:szCs w:val="32"/>
          <w:lang w:val="en-US" w:eastAsia="zh-CN"/>
        </w:rPr>
        <w:t>2021年</w:t>
      </w:r>
      <w:r>
        <w:rPr>
          <w:rFonts w:hint="eastAsia" w:ascii="仿宋" w:hAnsi="仿宋" w:eastAsia="仿宋" w:cs="仿宋"/>
          <w:sz w:val="32"/>
          <w:szCs w:val="32"/>
        </w:rPr>
        <w:t>无公务用车购置费，无因公出国（境）费用。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在资金的使用上，我中心严格</w:t>
      </w:r>
      <w:r>
        <w:rPr>
          <w:rFonts w:hint="eastAsia" w:ascii="仿宋" w:hAnsi="仿宋" w:eastAsia="仿宋" w:cs="仿宋"/>
          <w:sz w:val="32"/>
          <w:szCs w:val="32"/>
        </w:rPr>
        <w:t>严格执行各项有关法律法规、财经纪律、财务规章制度</w:t>
      </w:r>
      <w:r>
        <w:rPr>
          <w:rFonts w:hint="eastAsia" w:ascii="仿宋" w:hAnsi="仿宋" w:eastAsia="仿宋" w:cs="仿宋"/>
          <w:sz w:val="32"/>
          <w:szCs w:val="32"/>
          <w:lang w:eastAsia="zh-CN"/>
        </w:rPr>
        <w:t>，并制定了《海巡艇日常管理和维修制度》、《执法执勤车辆管理制度》，《财务管理若干规定》等财务制度，</w:t>
      </w:r>
      <w:r>
        <w:rPr>
          <w:rFonts w:hint="eastAsia" w:ascii="仿宋" w:hAnsi="仿宋" w:eastAsia="仿宋" w:cs="仿宋"/>
          <w:sz w:val="32"/>
          <w:szCs w:val="32"/>
          <w:lang w:val="en-US" w:eastAsia="zh-CN"/>
        </w:rPr>
        <w:t>重新修订了《内控制度》，</w:t>
      </w:r>
      <w:r>
        <w:rPr>
          <w:rFonts w:hint="eastAsia" w:ascii="仿宋" w:hAnsi="仿宋" w:eastAsia="仿宋" w:cs="仿宋"/>
          <w:sz w:val="32"/>
          <w:szCs w:val="32"/>
          <w:lang w:eastAsia="zh-CN"/>
        </w:rPr>
        <w:t>有效地监控、规范、有计划地使用资金，从而确保了资金效益的充分发挥，确保全市辖区水域的一方平安，</w:t>
      </w:r>
      <w:r>
        <w:rPr>
          <w:rFonts w:hint="eastAsia" w:ascii="仿宋" w:hAnsi="仿宋" w:eastAsia="仿宋" w:cs="仿宋"/>
          <w:sz w:val="32"/>
          <w:szCs w:val="32"/>
          <w:lang w:val="en-US" w:eastAsia="zh-CN"/>
        </w:rPr>
        <w:t>水运事业持续健康有序发展，群众满意度不断提高</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绩效管理的目的是</w:t>
      </w:r>
      <w:r>
        <w:rPr>
          <w:rFonts w:hint="eastAsia" w:ascii="仿宋" w:hAnsi="仿宋" w:eastAsia="仿宋" w:cs="仿宋"/>
          <w:sz w:val="32"/>
          <w:szCs w:val="32"/>
          <w:lang w:val="en-US" w:eastAsia="zh-CN"/>
        </w:rPr>
        <w:t>为了</w:t>
      </w:r>
      <w:r>
        <w:rPr>
          <w:rFonts w:ascii="Times New Roman" w:hAnsi="Times New Roman" w:eastAsia="仿宋_GB2312"/>
          <w:sz w:val="32"/>
          <w:szCs w:val="32"/>
        </w:rPr>
        <w:t>促进单位从整体上提升预算绩效管理工作水平，强化支出责任，规范资金管理行为，</w:t>
      </w:r>
      <w:r>
        <w:rPr>
          <w:rFonts w:ascii="Times New Roman" w:hAnsi="Times New Roman" w:eastAsia="仿宋_GB2312"/>
          <w:kern w:val="0"/>
          <w:sz w:val="32"/>
          <w:szCs w:val="32"/>
        </w:rPr>
        <w:t>提高财政资金使用效益，保障单位更好地履行职责</w:t>
      </w:r>
      <w:r>
        <w:rPr>
          <w:rFonts w:hint="eastAsia" w:ascii="Times New Roman" w:hAnsi="Times New Roman" w:eastAsia="仿宋_GB2312"/>
          <w:kern w:val="0"/>
          <w:sz w:val="32"/>
          <w:szCs w:val="32"/>
          <w:lang w:eastAsia="zh-CN"/>
        </w:rPr>
        <w:t>。</w:t>
      </w:r>
      <w:r>
        <w:rPr>
          <w:rFonts w:hint="eastAsia" w:ascii="仿宋" w:hAnsi="仿宋" w:eastAsia="仿宋" w:cs="仿宋"/>
          <w:sz w:val="32"/>
          <w:szCs w:val="32"/>
        </w:rPr>
        <w:t>但由于各因素的限制，</w:t>
      </w:r>
      <w:r>
        <w:rPr>
          <w:rFonts w:hint="eastAsia" w:ascii="仿宋" w:hAnsi="仿宋" w:eastAsia="仿宋" w:cs="仿宋"/>
          <w:sz w:val="32"/>
          <w:szCs w:val="32"/>
          <w:lang w:val="en-US" w:eastAsia="zh-CN"/>
        </w:rPr>
        <w:t>目前</w:t>
      </w:r>
      <w:r>
        <w:rPr>
          <w:rFonts w:hint="eastAsia" w:ascii="仿宋" w:hAnsi="仿宋" w:eastAsia="仿宋" w:cs="仿宋"/>
          <w:sz w:val="32"/>
          <w:szCs w:val="32"/>
        </w:rPr>
        <w:t>单位的绩效管理中存在着一些问题，绩效管理需要进一步改进。绩效管理中存在的问题</w:t>
      </w:r>
      <w:r>
        <w:rPr>
          <w:rFonts w:hint="eastAsia" w:ascii="仿宋" w:hAnsi="仿宋" w:eastAsia="仿宋" w:cs="仿宋"/>
          <w:sz w:val="32"/>
          <w:szCs w:val="32"/>
          <w:lang w:val="en-US" w:eastAsia="zh-CN"/>
        </w:rPr>
        <w:t>及原因分析：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思想认识不到位，观念陈旧落后。绩效考核在单位管理工作中起着非常重要的作用，但是由于种种原因，绩效管理在事业单位中并没有引起相关人士的重视。在实际工作中，由于相关人员对绩效管理缺乏正确的理解和认识，对其认识不清，未能正确意识到绩效管理的作用和目的，将其当作日常事务处理，将绩效管理短期化，这些都使绩效管理难以发挥真正的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监督监管机制不健全，流于形式化。没有建立科学完善的考核体系，考核标准不规范。推行绩效考核管理制度不仅工作量大，而且由于岗位部门众多，很容易由于在推行的过程中由于沟通不顺畅或者各个岗位部门间平衡难度大而无法顺利开展。使得绩效管理流于形式化，并没有在单位中落到实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单位中缺乏对相关员工的绩效管理的培训和专业指导。由于绩效管理评价体系不仅依赖于系统评价本身的科学公正，也与系统评价者本身的能力有着密切的联系。因为评价者的任何主观失误或者或对评价指标和评价标准的认识误差都会在很大程度上影响评价的准确性，进而影响其他环节的准确性和有效性。</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必须看到</w:t>
      </w:r>
      <w:r>
        <w:rPr>
          <w:rFonts w:hint="eastAsia" w:ascii="仿宋" w:hAnsi="仿宋" w:eastAsia="仿宋" w:cs="仿宋"/>
          <w:sz w:val="32"/>
          <w:szCs w:val="32"/>
          <w:lang w:val="en-US" w:eastAsia="zh-CN"/>
        </w:rPr>
        <w:t>在</w:t>
      </w:r>
      <w:r>
        <w:rPr>
          <w:rFonts w:hint="eastAsia" w:ascii="仿宋" w:hAnsi="仿宋" w:eastAsia="仿宋" w:cs="仿宋"/>
          <w:sz w:val="32"/>
          <w:szCs w:val="32"/>
        </w:rPr>
        <w:t>单位绩效管理中存在的问题，如果得不到解决将会影响事业单位的健康发展。因此，要采取有效的措施确保这些问题得以解决。</w:t>
      </w:r>
      <w:r>
        <w:rPr>
          <w:rFonts w:hint="eastAsia" w:ascii="仿宋" w:hAnsi="仿宋" w:eastAsia="仿宋" w:cs="仿宋"/>
          <w:sz w:val="32"/>
          <w:szCs w:val="32"/>
          <w:lang w:val="en-US" w:eastAsia="zh-CN"/>
        </w:rPr>
        <w:t>改进和完善</w:t>
      </w:r>
      <w:r>
        <w:rPr>
          <w:rFonts w:hint="eastAsia" w:ascii="仿宋" w:hAnsi="仿宋" w:eastAsia="仿宋" w:cs="仿宋"/>
          <w:sz w:val="32"/>
          <w:szCs w:val="32"/>
        </w:rPr>
        <w:t>绩效管理</w:t>
      </w:r>
      <w:r>
        <w:rPr>
          <w:rFonts w:hint="eastAsia" w:ascii="仿宋" w:hAnsi="仿宋" w:eastAsia="仿宋" w:cs="仿宋"/>
          <w:sz w:val="32"/>
          <w:szCs w:val="32"/>
          <w:lang w:val="en-US" w:eastAsia="zh-CN"/>
        </w:rPr>
        <w:t>的</w:t>
      </w:r>
      <w:r>
        <w:rPr>
          <w:rFonts w:hint="eastAsia" w:ascii="仿宋" w:hAnsi="仿宋" w:eastAsia="仿宋" w:cs="仿宋"/>
          <w:sz w:val="32"/>
          <w:szCs w:val="32"/>
        </w:rPr>
        <w:t>措施和办法</w:t>
      </w:r>
      <w:r>
        <w:rPr>
          <w:rFonts w:hint="eastAsia" w:ascii="仿宋" w:hAnsi="仿宋" w:eastAsia="仿宋" w:cs="仿宋"/>
          <w:sz w:val="32"/>
          <w:szCs w:val="32"/>
          <w:lang w:val="en-US" w:eastAsia="zh-CN"/>
        </w:rPr>
        <w:t>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1.加强认识，转变观念。要加大宣传力度</w:t>
      </w:r>
      <w:r>
        <w:rPr>
          <w:rFonts w:hint="eastAsia" w:ascii="仿宋" w:hAnsi="仿宋" w:eastAsia="仿宋" w:cs="仿宋"/>
          <w:sz w:val="32"/>
          <w:szCs w:val="32"/>
          <w:lang w:eastAsia="zh-CN"/>
        </w:rPr>
        <w:t>，</w:t>
      </w:r>
      <w:r>
        <w:rPr>
          <w:rFonts w:hint="eastAsia" w:ascii="仿宋" w:hAnsi="仿宋" w:eastAsia="仿宋" w:cs="仿宋"/>
          <w:sz w:val="32"/>
          <w:szCs w:val="32"/>
        </w:rPr>
        <w:t>提高单位领导和职工对绩效管理重要性的认识，应该充分意识到绩效考核对工作的促进作用和对单位发展的有利作用</w:t>
      </w:r>
      <w:r>
        <w:rPr>
          <w:rFonts w:hint="eastAsia" w:ascii="仿宋" w:hAnsi="仿宋" w:eastAsia="仿宋" w:cs="仿宋"/>
          <w:sz w:val="32"/>
          <w:szCs w:val="32"/>
          <w:lang w:eastAsia="zh-CN"/>
        </w:rPr>
        <w:t>，</w:t>
      </w:r>
      <w:r>
        <w:rPr>
          <w:rFonts w:hint="eastAsia" w:ascii="仿宋" w:hAnsi="仿宋" w:eastAsia="仿宋" w:cs="仿宋"/>
          <w:sz w:val="32"/>
          <w:szCs w:val="32"/>
        </w:rPr>
        <w:t>认识到在单位实施绩效管理的必要性和迫切性，提高管理水平和能力，将绩效管理工作提到日常事务中，并经常检查和监督，保障绩效管理工作的正常顺利开展。只有在单位树立良好的绩效管理的意识和营造良好的参与环境，绩效管理才有可能实施开来，才能真正发挥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2.建立健全考核标准和体系。严格考评，抓好落实。要把绩效管理与</w:t>
      </w:r>
      <w:r>
        <w:rPr>
          <w:rFonts w:hint="eastAsia" w:ascii="仿宋" w:hAnsi="仿宋" w:eastAsia="仿宋" w:cs="仿宋"/>
          <w:sz w:val="32"/>
          <w:szCs w:val="32"/>
          <w:lang w:val="en-US" w:eastAsia="zh-CN"/>
        </w:rPr>
        <w:t>实际</w:t>
      </w:r>
      <w:r>
        <w:rPr>
          <w:rFonts w:hint="eastAsia" w:ascii="仿宋" w:hAnsi="仿宋" w:eastAsia="仿宋" w:cs="仿宋"/>
          <w:sz w:val="32"/>
          <w:szCs w:val="32"/>
        </w:rPr>
        <w:t>工作紧密结合起来，试行一体化运行，切实防止“两张皮”现象。担负考评职责的部门要认真履行考评职责，跟踪对照各自负责考评的指标，制定的指标就要按标准考评，考评不了的就不要制定，做到“严格”、“严肃”;被考评单位要围绕指标，细化安排，制定措施，强化自我管理意识。发挥考评指标的引导功能，对做什么、怎么做、做到什么程度都要心中有数，既立足当前落实任务，又着眼长远建章立制，抓重点，抓关键，以点带面，整体推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建立健全监督监管机制，确保绩效管理的公平公正。明确责任，提质增效。指标定责要按照“横向到边、纵向到底”的原则，明确每一项指标的责任领导、责任部门和责任人，以指标明责任，以考评问责任，以改进强责任，推动绩效管理“指挥棒”作用有效发挥，促进工作提质增效。5.加强培训，推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培训。强化绩效考评管理人员的培训，树立“走出去、请进来”的理念，提升绩效考评人员的业务素质能力，协调管理能力，在单位用人计划中，增设绩效管理岗位，并使人员相对稳定，确保绩效管理工作的连贯性。同时，注重领导干部及部门负责人的绩效业务知识培训，全面普及绩效管理知识，</w:t>
      </w:r>
      <w:r>
        <w:rPr>
          <w:rFonts w:hint="eastAsia" w:ascii="仿宋" w:hAnsi="仿宋" w:eastAsia="仿宋" w:cs="仿宋"/>
          <w:sz w:val="32"/>
          <w:szCs w:val="32"/>
          <w:lang w:eastAsia="zh-CN"/>
        </w:rPr>
        <w:t>，</w:t>
      </w:r>
      <w:r>
        <w:rPr>
          <w:rFonts w:hint="eastAsia" w:ascii="仿宋" w:hAnsi="仿宋" w:eastAsia="仿宋" w:cs="仿宋"/>
          <w:sz w:val="32"/>
          <w:szCs w:val="32"/>
        </w:rPr>
        <w:t>深入理解绩效考核的实质与具体内容以及实行绩效管理的必要性和迫切性，提</w:t>
      </w:r>
      <w:r>
        <w:rPr>
          <w:rFonts w:hint="eastAsia" w:ascii="仿宋" w:hAnsi="仿宋" w:eastAsia="仿宋" w:cs="仿宋"/>
          <w:sz w:val="32"/>
          <w:szCs w:val="32"/>
          <w:lang w:val="en-US" w:eastAsia="zh-CN"/>
        </w:rPr>
        <w:t>高</w:t>
      </w:r>
      <w:r>
        <w:rPr>
          <w:rFonts w:hint="eastAsia" w:ascii="仿宋" w:hAnsi="仿宋" w:eastAsia="仿宋" w:cs="仿宋"/>
          <w:sz w:val="32"/>
          <w:szCs w:val="32"/>
        </w:rPr>
        <w:t>参与度，便于绩效管理工作的常态化开展</w:t>
      </w:r>
      <w:r>
        <w:rPr>
          <w:rFonts w:hint="eastAsia" w:ascii="仿宋" w:hAnsi="仿宋" w:eastAsia="仿宋" w:cs="仿宋"/>
          <w:sz w:val="32"/>
          <w:szCs w:val="32"/>
          <w:lang w:eastAsia="zh-CN"/>
        </w:rPr>
        <w:t>，</w:t>
      </w:r>
      <w:r>
        <w:rPr>
          <w:rFonts w:hint="eastAsia" w:ascii="仿宋" w:hAnsi="仿宋" w:eastAsia="仿宋" w:cs="仿宋"/>
          <w:sz w:val="32"/>
          <w:szCs w:val="32"/>
        </w:rPr>
        <w:t>保证绩效管理的顺利开展。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0"/>
        <w:tblW w:w="9459" w:type="dxa"/>
        <w:jc w:val="center"/>
        <w:tblLayout w:type="fixed"/>
        <w:tblCellMar>
          <w:top w:w="0" w:type="dxa"/>
          <w:left w:w="108" w:type="dxa"/>
          <w:bottom w:w="0" w:type="dxa"/>
          <w:right w:w="108" w:type="dxa"/>
        </w:tblCellMar>
      </w:tblPr>
      <w:tblGrid>
        <w:gridCol w:w="3352"/>
        <w:gridCol w:w="2037"/>
        <w:gridCol w:w="2239"/>
        <w:gridCol w:w="1831"/>
      </w:tblGrid>
      <w:tr>
        <w:tblPrEx>
          <w:tblCellMar>
            <w:top w:w="0" w:type="dxa"/>
            <w:left w:w="108" w:type="dxa"/>
            <w:bottom w:w="0" w:type="dxa"/>
            <w:right w:w="108" w:type="dxa"/>
          </w:tblCellMar>
        </w:tblPrEx>
        <w:trPr>
          <w:trHeight w:val="357" w:hRule="atLeast"/>
          <w:jc w:val="center"/>
        </w:trPr>
        <w:tc>
          <w:tcPr>
            <w:tcW w:w="33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p>
        </w:tc>
      </w:tr>
      <w:tr>
        <w:tblPrEx>
          <w:tblCellMar>
            <w:top w:w="0" w:type="dxa"/>
            <w:left w:w="108" w:type="dxa"/>
            <w:bottom w:w="0" w:type="dxa"/>
            <w:right w:w="108" w:type="dxa"/>
          </w:tblCellMar>
        </w:tblPrEx>
        <w:trPr>
          <w:trHeight w:val="357" w:hRule="atLeast"/>
          <w:jc w:val="center"/>
        </w:trPr>
        <w:tc>
          <w:tcPr>
            <w:tcW w:w="3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46</w:t>
            </w:r>
          </w:p>
        </w:tc>
        <w:tc>
          <w:tcPr>
            <w:tcW w:w="223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38</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p>
        </w:tc>
      </w:tr>
      <w:tr>
        <w:tblPrEx>
          <w:tblCellMar>
            <w:top w:w="0" w:type="dxa"/>
            <w:left w:w="108" w:type="dxa"/>
            <w:bottom w:w="0" w:type="dxa"/>
            <w:right w:w="108" w:type="dxa"/>
          </w:tblCellMar>
        </w:tblPrEx>
        <w:trPr>
          <w:trHeight w:val="527" w:hRule="atLeast"/>
          <w:jc w:val="center"/>
        </w:trPr>
        <w:tc>
          <w:tcPr>
            <w:tcW w:w="3352" w:type="dxa"/>
            <w:tcBorders>
              <w:top w:val="nil"/>
              <w:left w:val="single" w:color="auto" w:sz="4" w:space="0"/>
              <w:bottom w:val="single" w:color="auto" w:sz="4" w:space="0"/>
              <w:right w:val="single" w:color="auto" w:sz="4" w:space="0"/>
            </w:tcBorders>
            <w:vAlign w:val="center"/>
          </w:tcPr>
          <w:p>
            <w:pPr>
              <w:widowControl/>
              <w:ind w:firstLine="210" w:firstLineChars="100"/>
              <w:jc w:val="both"/>
              <w:rPr>
                <w:rFonts w:ascii="Times New Roman" w:hAnsi="Times New Roman" w:eastAsia="Times New Roman"/>
                <w:kern w:val="0"/>
                <w:szCs w:val="21"/>
              </w:rPr>
            </w:pPr>
            <w:r>
              <w:rPr>
                <w:rFonts w:ascii="Times New Roman" w:hAnsi="Times New Roman"/>
                <w:kern w:val="0"/>
                <w:szCs w:val="21"/>
              </w:rPr>
              <w:t>经费控制情况</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16724205.05</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6666400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11262331.29</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1860107.46</w:t>
            </w:r>
          </w:p>
        </w:tc>
        <w:tc>
          <w:tcPr>
            <w:tcW w:w="2239"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877500</w:t>
            </w:r>
          </w:p>
        </w:tc>
        <w:tc>
          <w:tcPr>
            <w:tcW w:w="1831" w:type="dxa"/>
            <w:tcBorders>
              <w:top w:val="single" w:color="auto" w:sz="4" w:space="0"/>
              <w:left w:val="nil"/>
              <w:bottom w:val="single" w:color="auto" w:sz="4" w:space="0"/>
              <w:right w:val="single" w:color="000000" w:sz="4" w:space="0"/>
            </w:tcBorders>
            <w:vAlign w:val="center"/>
          </w:tcPr>
          <w:p>
            <w:pPr>
              <w:widowControl/>
              <w:ind w:firstLine="210" w:firstLineChars="100"/>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2399612.17</w:t>
            </w:r>
          </w:p>
        </w:tc>
      </w:tr>
      <w:tr>
        <w:tblPrEx>
          <w:tblCellMar>
            <w:top w:w="0" w:type="dxa"/>
            <w:left w:w="108" w:type="dxa"/>
            <w:bottom w:w="0" w:type="dxa"/>
            <w:right w:w="108" w:type="dxa"/>
          </w:tblCellMar>
        </w:tblPrEx>
        <w:trPr>
          <w:trHeight w:val="53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80641.41</w:t>
            </w:r>
          </w:p>
        </w:tc>
        <w:tc>
          <w:tcPr>
            <w:tcW w:w="2239"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40000   </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157606</w:t>
            </w:r>
          </w:p>
        </w:tc>
      </w:tr>
      <w:tr>
        <w:tblPrEx>
          <w:tblCellMar>
            <w:top w:w="0" w:type="dxa"/>
            <w:left w:w="108" w:type="dxa"/>
            <w:bottom w:w="0" w:type="dxa"/>
            <w:right w:w="108" w:type="dxa"/>
          </w:tblCellMar>
        </w:tblPrEx>
        <w:trPr>
          <w:trHeight w:val="53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水费、电费、差旅费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298199.77</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760000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301261.76</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印刷费、邮电费、维修费</w:t>
            </w:r>
          </w:p>
        </w:tc>
        <w:tc>
          <w:tcPr>
            <w:tcW w:w="2037" w:type="dxa"/>
            <w:tcBorders>
              <w:top w:val="single" w:color="auto" w:sz="4" w:space="0"/>
              <w:left w:val="nil"/>
              <w:bottom w:val="single" w:color="auto" w:sz="4" w:space="0"/>
              <w:right w:val="single" w:color="000000" w:sz="4" w:space="0"/>
            </w:tcBorders>
            <w:vAlign w:val="center"/>
          </w:tcPr>
          <w:p>
            <w:pPr>
              <w:widowControl/>
              <w:ind w:firstLine="630" w:firstLineChars="300"/>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100170.28</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120038.91</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会议费、培训费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36491</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44624.9</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咨询费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15000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146965</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办公设备购置费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12140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389108.6</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党建经费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50000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105700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111700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工会经费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.391800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244400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244400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其他交通费用</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425350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304100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300030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专用燃料费、专用材料费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167273</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250939</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其他商品服务支出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94000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163848</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7" w:type="dxa"/>
            <w:tcBorders>
              <w:top w:val="single" w:color="auto" w:sz="4" w:space="0"/>
              <w:left w:val="nil"/>
              <w:bottom w:val="single" w:color="auto" w:sz="4" w:space="0"/>
              <w:right w:val="single" w:color="000000" w:sz="4" w:space="0"/>
            </w:tcBorders>
            <w:vAlign w:val="center"/>
          </w:tcPr>
          <w:p>
            <w:pPr>
              <w:widowControl/>
              <w:ind w:firstLine="840" w:firstLineChars="400"/>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189042</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220000</w:t>
            </w:r>
            <w:r>
              <w:rPr>
                <w:rFonts w:ascii="Times New Roman" w:hAnsi="Times New Roman"/>
                <w:kern w:val="0"/>
                <w:szCs w:val="21"/>
              </w:rPr>
              <w:t>　</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169090</w:t>
            </w:r>
            <w:r>
              <w:rPr>
                <w:rFonts w:ascii="Times New Roman" w:hAnsi="Times New Roman"/>
                <w:kern w:val="0"/>
                <w:szCs w:val="21"/>
              </w:rPr>
              <w:t>　</w:t>
            </w:r>
          </w:p>
        </w:tc>
      </w:tr>
      <w:tr>
        <w:tblPrEx>
          <w:tblCellMar>
            <w:top w:w="0" w:type="dxa"/>
            <w:left w:w="108" w:type="dxa"/>
            <w:bottom w:w="0" w:type="dxa"/>
            <w:right w:w="108" w:type="dxa"/>
          </w:tblCellMar>
        </w:tblPrEx>
        <w:trPr>
          <w:trHeight w:val="58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156005</w:t>
            </w:r>
            <w:r>
              <w:rPr>
                <w:rFonts w:ascii="Times New Roman" w:hAnsi="Times New Roman"/>
                <w:kern w:val="0"/>
                <w:szCs w:val="21"/>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180000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139552</w:t>
            </w:r>
            <w:r>
              <w:rPr>
                <w:rFonts w:ascii="Times New Roman" w:hAnsi="Times New Roman"/>
                <w:kern w:val="0"/>
                <w:szCs w:val="21"/>
              </w:rPr>
              <w:t>　</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564"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156005</w:t>
            </w:r>
            <w:r>
              <w:rPr>
                <w:rFonts w:ascii="Times New Roman" w:hAnsi="Times New Roman"/>
                <w:kern w:val="0"/>
                <w:szCs w:val="21"/>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139552</w:t>
            </w:r>
            <w:r>
              <w:rPr>
                <w:rFonts w:ascii="Times New Roman" w:hAnsi="Times New Roman"/>
                <w:kern w:val="0"/>
                <w:szCs w:val="21"/>
              </w:rPr>
              <w:t>　</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33019</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29538</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10247603.54</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1840000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2205191</w:t>
            </w:r>
          </w:p>
        </w:tc>
      </w:tr>
      <w:tr>
        <w:tblPrEx>
          <w:tblCellMar>
            <w:top w:w="0" w:type="dxa"/>
            <w:left w:w="108" w:type="dxa"/>
            <w:bottom w:w="0" w:type="dxa"/>
            <w:right w:w="108" w:type="dxa"/>
          </w:tblCellMar>
        </w:tblPrEx>
        <w:trPr>
          <w:trHeight w:val="764"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ascii="Times New Roman" w:hAnsi="Times New Roman"/>
                <w:kern w:val="0"/>
                <w:szCs w:val="21"/>
              </w:rPr>
              <w:t>1、</w:t>
            </w:r>
            <w:r>
              <w:rPr>
                <w:rFonts w:hint="eastAsia" w:ascii="Times New Roman" w:hAnsi="Times New Roman"/>
                <w:kern w:val="0"/>
                <w:szCs w:val="21"/>
                <w:lang w:val="en-US" w:eastAsia="zh-CN"/>
              </w:rPr>
              <w:t>水上船舶垃圾接收、转运处置专项经费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1480000</w:t>
            </w:r>
            <w:r>
              <w:rPr>
                <w:rFonts w:ascii="Times New Roman" w:hAnsi="Times New Roman"/>
                <w:kern w:val="0"/>
                <w:szCs w:val="21"/>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1480000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1189586</w:t>
            </w:r>
          </w:p>
        </w:tc>
      </w:tr>
      <w:tr>
        <w:tblPrEx>
          <w:tblCellMar>
            <w:top w:w="0" w:type="dxa"/>
            <w:left w:w="108" w:type="dxa"/>
            <w:bottom w:w="0" w:type="dxa"/>
            <w:right w:w="108" w:type="dxa"/>
          </w:tblCellMar>
        </w:tblPrEx>
        <w:trPr>
          <w:trHeight w:val="465"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w:t>
            </w:r>
            <w:r>
              <w:rPr>
                <w:rFonts w:ascii="Times New Roman" w:hAnsi="Times New Roman"/>
                <w:kern w:val="0"/>
                <w:szCs w:val="21"/>
              </w:rPr>
              <w:t>、</w:t>
            </w:r>
            <w:r>
              <w:rPr>
                <w:rFonts w:hint="eastAsia" w:ascii="Times New Roman" w:hAnsi="Times New Roman"/>
                <w:kern w:val="0"/>
                <w:szCs w:val="21"/>
                <w:lang w:val="en-US" w:eastAsia="zh-CN"/>
              </w:rPr>
              <w:t>水上应急救援专项工作经费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360000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3、省统筹燃油补助资金</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7807814</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both"/>
              <w:rPr>
                <w:rFonts w:ascii="Times New Roman" w:hAnsi="Times New Roman" w:eastAsia="Times New Roman"/>
                <w:kern w:val="0"/>
                <w:szCs w:val="21"/>
              </w:rPr>
            </w:pP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4、基地建设费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145089.54</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ind w:firstLine="420" w:firstLineChars="200"/>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655605</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5、客船拆解费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164700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ind w:firstLine="420" w:firstLineChars="200"/>
              <w:jc w:val="both"/>
              <w:rPr>
                <w:rFonts w:hint="eastAsia" w:ascii="Times New Roman" w:hAnsi="Times New Roman"/>
                <w:kern w:val="0"/>
                <w:szCs w:val="21"/>
                <w:lang w:val="en-US" w:eastAsia="zh-CN"/>
              </w:rPr>
            </w:pP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6、应急抢通资金</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250000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ind w:firstLine="420" w:firstLineChars="200"/>
              <w:jc w:val="both"/>
              <w:rPr>
                <w:rFonts w:hint="eastAsia" w:ascii="Times New Roman" w:hAnsi="Times New Roman"/>
                <w:kern w:val="0"/>
                <w:szCs w:val="21"/>
                <w:lang w:val="en-US" w:eastAsia="zh-CN"/>
              </w:rPr>
            </w:pPr>
          </w:p>
        </w:tc>
      </w:tr>
      <w:tr>
        <w:tblPrEx>
          <w:tblCellMar>
            <w:top w:w="0" w:type="dxa"/>
            <w:left w:w="108" w:type="dxa"/>
            <w:bottom w:w="0" w:type="dxa"/>
            <w:right w:w="108" w:type="dxa"/>
          </w:tblCellMar>
        </w:tblPrEx>
        <w:trPr>
          <w:trHeight w:val="3485"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07" w:type="dxa"/>
            <w:gridSpan w:val="3"/>
            <w:tcBorders>
              <w:top w:val="single" w:color="auto" w:sz="4" w:space="0"/>
              <w:left w:val="nil"/>
              <w:bottom w:val="single" w:color="auto" w:sz="4" w:space="0"/>
              <w:right w:val="single" w:color="000000" w:sz="4" w:space="0"/>
            </w:tcBorders>
            <w:vAlign w:val="center"/>
          </w:tcPr>
          <w:p>
            <w:pPr>
              <w:widowControl/>
              <w:numPr>
                <w:ilvl w:val="0"/>
                <w:numId w:val="1"/>
              </w:numPr>
              <w:jc w:val="both"/>
              <w:rPr>
                <w:rFonts w:hint="eastAsia" w:ascii="Times New Roman" w:hAnsi="Times New Roman"/>
                <w:kern w:val="0"/>
                <w:szCs w:val="21"/>
                <w:lang w:val="en-US" w:eastAsia="zh-CN"/>
              </w:rPr>
            </w:pPr>
            <w:r>
              <w:rPr>
                <w:rFonts w:hint="eastAsia" w:ascii="Times New Roman" w:hAnsi="Times New Roman"/>
                <w:kern w:val="0"/>
                <w:szCs w:val="21"/>
                <w:lang w:val="en-US" w:eastAsia="zh-CN"/>
              </w:rPr>
              <w:t>严格控制公务接待和差旅费用支出，制定公务接待标准，严禁超标准接待。严控公务人员出差规模和数量、天数。</w:t>
            </w:r>
          </w:p>
          <w:p>
            <w:pPr>
              <w:widowControl/>
              <w:numPr>
                <w:ilvl w:val="0"/>
                <w:numId w:val="1"/>
              </w:numPr>
              <w:jc w:val="both"/>
              <w:rPr>
                <w:rFonts w:hint="default" w:ascii="Times New Roman" w:hAnsi="Times New Roman"/>
                <w:kern w:val="0"/>
                <w:szCs w:val="21"/>
                <w:lang w:val="en-US" w:eastAsia="zh-CN"/>
              </w:rPr>
            </w:pPr>
            <w:r>
              <w:rPr>
                <w:rFonts w:hint="eastAsia" w:ascii="Times New Roman" w:hAnsi="Times New Roman"/>
                <w:kern w:val="0"/>
                <w:szCs w:val="21"/>
                <w:lang w:val="en-US" w:eastAsia="zh-CN"/>
              </w:rPr>
              <w:t>严格控制办公设施设备的建设和购置，购置必须本着节约的原则，对急需、必须的设备严格审批，采购办公设备必须在政府电子卖场比价精准采购。</w:t>
            </w:r>
          </w:p>
          <w:p>
            <w:pPr>
              <w:widowControl/>
              <w:numPr>
                <w:ilvl w:val="0"/>
                <w:numId w:val="1"/>
              </w:numPr>
              <w:jc w:val="both"/>
              <w:rPr>
                <w:rFonts w:hint="default" w:ascii="Times New Roman" w:hAnsi="Times New Roman"/>
                <w:kern w:val="0"/>
                <w:szCs w:val="21"/>
                <w:lang w:val="en-US" w:eastAsia="zh-CN"/>
              </w:rPr>
            </w:pPr>
            <w:r>
              <w:rPr>
                <w:rFonts w:hint="eastAsia" w:ascii="Times New Roman" w:hAnsi="Times New Roman"/>
                <w:kern w:val="0"/>
                <w:szCs w:val="21"/>
                <w:lang w:val="en-US" w:eastAsia="zh-CN"/>
              </w:rPr>
              <w:t>控制会议、文件等一般性支出，强化日常节约管理，强化无纸化办公，控制会议规模，能不开的会坚决不开，精简会议内容，提倡开短会、讲短话，提高开会效率。</w:t>
            </w:r>
          </w:p>
          <w:p>
            <w:pPr>
              <w:widowControl/>
              <w:jc w:val="both"/>
              <w:rPr>
                <w:rFonts w:ascii="Times New Roman" w:hAnsi="Times New Roman" w:eastAsia="Times New Roman"/>
                <w:kern w:val="0"/>
                <w:szCs w:val="21"/>
              </w:rPr>
            </w:pPr>
            <w:r>
              <w:rPr>
                <w:rFonts w:hint="eastAsia" w:ascii="Times New Roman" w:hAnsi="Times New Roman"/>
                <w:kern w:val="0"/>
                <w:szCs w:val="21"/>
                <w:lang w:val="en-US" w:eastAsia="zh-CN"/>
              </w:rPr>
              <w:t>制定切实可行的用水、用电、用油和通信费措施，办公电话不开通长途，车辆出行一律派派车单。办公用品使用领取实行登记</w:t>
            </w:r>
          </w:p>
        </w:tc>
      </w:tr>
    </w:tbl>
    <w:p>
      <w:pPr>
        <w:rPr>
          <w:rFonts w:ascii="Times New Roman" w:hAnsi="Times New Roman"/>
          <w:kern w:val="0"/>
          <w:sz w:val="22"/>
        </w:rPr>
      </w:pPr>
    </w:p>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rPr>
      </w:pPr>
      <w:r>
        <w:rPr>
          <w:rFonts w:ascii="Times New Roman" w:hAnsi="Times New Roman" w:eastAsia="黑体"/>
          <w:sz w:val="32"/>
          <w:szCs w:val="32"/>
        </w:rPr>
        <w:t>附件3</w:t>
      </w:r>
    </w:p>
    <w:tbl>
      <w:tblPr>
        <w:tblStyle w:val="10"/>
        <w:tblW w:w="9980" w:type="dxa"/>
        <w:jc w:val="center"/>
        <w:tblLayout w:type="fixed"/>
        <w:tblCellMar>
          <w:top w:w="0" w:type="dxa"/>
          <w:left w:w="108" w:type="dxa"/>
          <w:bottom w:w="0" w:type="dxa"/>
          <w:right w:w="108" w:type="dxa"/>
        </w:tblCellMar>
      </w:tblPr>
      <w:tblGrid>
        <w:gridCol w:w="1360"/>
        <w:gridCol w:w="1018"/>
        <w:gridCol w:w="1107"/>
        <w:gridCol w:w="1122"/>
        <w:gridCol w:w="1107"/>
        <w:gridCol w:w="257"/>
        <w:gridCol w:w="805"/>
        <w:gridCol w:w="684"/>
        <w:gridCol w:w="741"/>
        <w:gridCol w:w="509"/>
        <w:gridCol w:w="299"/>
        <w:gridCol w:w="971"/>
      </w:tblGrid>
      <w:tr>
        <w:tblPrEx>
          <w:tblCellMar>
            <w:top w:w="0" w:type="dxa"/>
            <w:left w:w="108" w:type="dxa"/>
            <w:bottom w:w="0" w:type="dxa"/>
            <w:right w:w="108" w:type="dxa"/>
          </w:tblCellMar>
        </w:tblPrEx>
        <w:trPr>
          <w:trHeight w:val="657" w:hRule="atLeast"/>
          <w:jc w:val="center"/>
        </w:trPr>
        <w:tc>
          <w:tcPr>
            <w:tcW w:w="9980"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328" w:hRule="atLeast"/>
          <w:jc w:val="center"/>
        </w:trPr>
        <w:tc>
          <w:tcPr>
            <w:tcW w:w="9980" w:type="dxa"/>
            <w:gridSpan w:val="12"/>
            <w:tcBorders>
              <w:top w:val="nil"/>
              <w:left w:val="nil"/>
              <w:bottom w:val="single" w:color="auto" w:sz="4" w:space="0"/>
              <w:right w:val="nil"/>
            </w:tcBorders>
            <w:shd w:val="clear" w:color="auto" w:fill="auto"/>
            <w:noWrap/>
            <w:vAlign w:val="center"/>
          </w:tcPr>
          <w:p>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（2021年度）</w:t>
            </w:r>
          </w:p>
        </w:tc>
      </w:tr>
      <w:tr>
        <w:tblPrEx>
          <w:tblCellMar>
            <w:top w:w="0" w:type="dxa"/>
            <w:left w:w="108" w:type="dxa"/>
            <w:bottom w:w="0" w:type="dxa"/>
            <w:right w:w="108" w:type="dxa"/>
          </w:tblCellMar>
        </w:tblPrEx>
        <w:trPr>
          <w:trHeight w:val="78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部门名称</w:t>
            </w: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衡阳市水运事务中心　</w:t>
            </w:r>
          </w:p>
        </w:tc>
        <w:tc>
          <w:tcPr>
            <w:tcW w:w="148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执行数</w:t>
            </w:r>
          </w:p>
        </w:tc>
        <w:tc>
          <w:tcPr>
            <w:tcW w:w="741" w:type="dxa"/>
            <w:tcBorders>
              <w:top w:val="single" w:color="auto" w:sz="4" w:space="0"/>
              <w:left w:val="nil"/>
              <w:bottom w:val="single" w:color="auto" w:sz="4" w:space="0"/>
              <w:right w:val="single" w:color="000000" w:sz="4" w:space="0"/>
            </w:tcBorders>
            <w:shd w:val="clear" w:color="auto" w:fill="auto"/>
            <w:noWrap/>
            <w:vAlign w:val="top"/>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资金执行率</w:t>
            </w:r>
          </w:p>
        </w:tc>
        <w:tc>
          <w:tcPr>
            <w:tcW w:w="8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得分</w:t>
            </w:r>
          </w:p>
        </w:tc>
      </w:tr>
      <w:tr>
        <w:tblPrEx>
          <w:tblCellMar>
            <w:top w:w="0" w:type="dxa"/>
            <w:left w:w="108" w:type="dxa"/>
            <w:bottom w:w="0" w:type="dxa"/>
            <w:right w:w="108" w:type="dxa"/>
          </w:tblCellMar>
        </w:tblPrEx>
        <w:trPr>
          <w:trHeight w:val="527" w:hRule="atLeast"/>
          <w:jc w:val="center"/>
        </w:trPr>
        <w:tc>
          <w:tcPr>
            <w:tcW w:w="1360" w:type="dxa"/>
            <w:vMerge w:val="restart"/>
            <w:tcBorders>
              <w:top w:val="nil"/>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年度预算</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申请（万元）</w:t>
            </w: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资金总额：9694400元</w:t>
            </w:r>
          </w:p>
        </w:tc>
        <w:tc>
          <w:tcPr>
            <w:tcW w:w="148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13467522.29元</w:t>
            </w:r>
          </w:p>
        </w:tc>
        <w:tc>
          <w:tcPr>
            <w:tcW w:w="741"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138%</w:t>
            </w:r>
          </w:p>
        </w:tc>
        <w:tc>
          <w:tcPr>
            <w:tcW w:w="8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r>
      <w:tr>
        <w:tblPrEx>
          <w:tblCellMar>
            <w:top w:w="0" w:type="dxa"/>
            <w:left w:w="108" w:type="dxa"/>
            <w:bottom w:w="0" w:type="dxa"/>
            <w:right w:w="108" w:type="dxa"/>
          </w:tblCellMar>
        </w:tblPrEx>
        <w:trPr>
          <w:trHeight w:val="41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按收入性质分：                         </w:t>
            </w:r>
          </w:p>
        </w:tc>
        <w:tc>
          <w:tcPr>
            <w:tcW w:w="400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按指出性质分：</w:t>
            </w:r>
          </w:p>
        </w:tc>
      </w:tr>
      <w:tr>
        <w:tblPrEx>
          <w:tblCellMar>
            <w:top w:w="0" w:type="dxa"/>
            <w:left w:w="108" w:type="dxa"/>
            <w:bottom w:w="0" w:type="dxa"/>
            <w:right w:w="108" w:type="dxa"/>
          </w:tblCellMar>
        </w:tblPrEx>
        <w:trPr>
          <w:trHeight w:val="395"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其中： 一般公共预算收入：9694400元</w:t>
            </w:r>
          </w:p>
        </w:tc>
        <w:tc>
          <w:tcPr>
            <w:tcW w:w="400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其中：基本支出：6666400元</w:t>
            </w:r>
          </w:p>
        </w:tc>
      </w:tr>
      <w:tr>
        <w:tblPrEx>
          <w:tblCellMar>
            <w:top w:w="0" w:type="dxa"/>
            <w:left w:w="108" w:type="dxa"/>
            <w:bottom w:w="0" w:type="dxa"/>
            <w:right w:w="108" w:type="dxa"/>
          </w:tblCellMar>
        </w:tblPrEx>
        <w:trPr>
          <w:trHeight w:val="426"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政府性基金拨款：</w:t>
            </w:r>
          </w:p>
        </w:tc>
        <w:tc>
          <w:tcPr>
            <w:tcW w:w="400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项目支出：3028000元</w:t>
            </w:r>
          </w:p>
        </w:tc>
      </w:tr>
      <w:tr>
        <w:tblPrEx>
          <w:tblCellMar>
            <w:top w:w="0" w:type="dxa"/>
            <w:left w:w="108" w:type="dxa"/>
            <w:bottom w:w="0" w:type="dxa"/>
            <w:right w:w="108" w:type="dxa"/>
          </w:tblCellMar>
        </w:tblPrEx>
        <w:trPr>
          <w:trHeight w:val="426"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纳入专户管理的非税收入拨款：</w:t>
            </w:r>
          </w:p>
        </w:tc>
        <w:tc>
          <w:tcPr>
            <w:tcW w:w="400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16" w:hRule="atLeast"/>
          <w:jc w:val="center"/>
        </w:trPr>
        <w:tc>
          <w:tcPr>
            <w:tcW w:w="136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461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其他资金：</w:t>
            </w:r>
          </w:p>
        </w:tc>
        <w:tc>
          <w:tcPr>
            <w:tcW w:w="400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780"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部门职能职责概述</w:t>
            </w:r>
          </w:p>
        </w:tc>
        <w:tc>
          <w:tcPr>
            <w:tcW w:w="8620"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负责全市船舶、水上设施和船运集装箱的监督检验工作，负责指导全市水上交通运输行业安全生产和应急处置工作。负责水路交通行业信息统计工作。负责全市水路运输和港口搬运装卸市场监管相关事务性工作</w:t>
            </w:r>
          </w:p>
        </w:tc>
      </w:tr>
      <w:tr>
        <w:tblPrEx>
          <w:tblCellMar>
            <w:top w:w="0" w:type="dxa"/>
            <w:left w:w="108" w:type="dxa"/>
            <w:bottom w:w="0" w:type="dxa"/>
            <w:right w:w="108" w:type="dxa"/>
          </w:tblCellMar>
        </w:tblPrEx>
        <w:trPr>
          <w:trHeight w:val="662" w:hRule="atLeast"/>
          <w:jc w:val="center"/>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整体绩效</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目标</w:t>
            </w:r>
          </w:p>
        </w:tc>
        <w:tc>
          <w:tcPr>
            <w:tcW w:w="8620"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推动水上交通运输事业又快又好发展，严把船舶法定检验质量关，提高船舶航行安全率，消除水上重大安全隐患，确保全市水上交通救援安全，推进水污染防治，确保水上生态环境良好。</w:t>
            </w:r>
          </w:p>
        </w:tc>
      </w:tr>
      <w:tr>
        <w:tblPrEx>
          <w:tblCellMar>
            <w:top w:w="0" w:type="dxa"/>
            <w:left w:w="108" w:type="dxa"/>
            <w:bottom w:w="0" w:type="dxa"/>
            <w:right w:w="108" w:type="dxa"/>
          </w:tblCellMar>
        </w:tblPrEx>
        <w:trPr>
          <w:trHeight w:val="825" w:hRule="atLeast"/>
          <w:jc w:val="center"/>
        </w:trPr>
        <w:tc>
          <w:tcPr>
            <w:tcW w:w="136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部门整体支出年度绩效指标</w:t>
            </w:r>
          </w:p>
        </w:tc>
        <w:tc>
          <w:tcPr>
            <w:tcW w:w="10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一级指标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二级指标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三级指标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年度</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指标值</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实际</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完成值</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分值</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得分</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偏差原因</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分析及</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改进措施</w:t>
            </w:r>
          </w:p>
        </w:tc>
      </w:tr>
      <w:tr>
        <w:tblPrEx>
          <w:tblCellMar>
            <w:top w:w="0" w:type="dxa"/>
            <w:left w:w="108" w:type="dxa"/>
            <w:bottom w:w="0" w:type="dxa"/>
            <w:right w:w="108" w:type="dxa"/>
          </w:tblCellMar>
        </w:tblPrEx>
        <w:trPr>
          <w:trHeight w:val="527"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产出</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(50分)</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数量指标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海巡艇维护</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日常保养12次</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日常保养12次</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527"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法定检验760艘</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法定检验1085艘</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78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应急救援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水上应急救援到位率95%</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水上应急救援到位率95%</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1032"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接收、转运船舶垃圾污染物</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水上船舶垃圾转运、处置20吨</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水上船舶垃圾转运、处置24.3吨</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527"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质量指标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船舶适航率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船舶适航率100％</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船舶适航率100％</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78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船舶合格率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船舶检验合格率95%</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船舶检验合格率100%</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78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水上应急救援处置</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水上应急救援效率80%</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水上应急救援效率95%</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1032" w:hRule="atLeast"/>
          <w:jc w:val="center"/>
        </w:trPr>
        <w:tc>
          <w:tcPr>
            <w:tcW w:w="136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水上船舶垃圾转运、处置率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r>
              <w:rPr>
                <w:rFonts w:hint="default" w:ascii="宋体" w:hAnsi="宋体" w:eastAsia="宋体" w:cs="宋体"/>
                <w:color w:val="000000"/>
                <w:kern w:val="0"/>
                <w:sz w:val="20"/>
                <w:szCs w:val="20"/>
                <w:lang w:val="en-US" w:eastAsia="zh-CN"/>
              </w:rPr>
              <w:t>水上船舶垃圾转运、处置率</w:t>
            </w:r>
            <w:r>
              <w:rPr>
                <w:rFonts w:hint="eastAsia" w:ascii="宋体" w:hAnsi="宋体" w:eastAsia="宋体" w:cs="宋体"/>
                <w:color w:val="000000"/>
                <w:kern w:val="0"/>
                <w:sz w:val="20"/>
                <w:szCs w:val="20"/>
                <w:lang w:val="en-US" w:eastAsia="zh-CN"/>
              </w:rPr>
              <w:t>90％</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r>
              <w:rPr>
                <w:rFonts w:hint="default" w:ascii="宋体" w:hAnsi="宋体" w:eastAsia="宋体" w:cs="宋体"/>
                <w:color w:val="000000"/>
                <w:kern w:val="0"/>
                <w:sz w:val="20"/>
                <w:szCs w:val="20"/>
                <w:lang w:val="en-US" w:eastAsia="zh-CN"/>
              </w:rPr>
              <w:t>水上船舶垃圾转运、处置率</w:t>
            </w:r>
            <w:r>
              <w:rPr>
                <w:rFonts w:hint="eastAsia" w:ascii="宋体" w:hAnsi="宋体" w:eastAsia="宋体" w:cs="宋体"/>
                <w:color w:val="000000"/>
                <w:kern w:val="0"/>
                <w:sz w:val="20"/>
                <w:szCs w:val="20"/>
                <w:lang w:val="en-US" w:eastAsia="zh-CN"/>
              </w:rPr>
              <w:t>100%</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527" w:hRule="atLeast"/>
          <w:jc w:val="center"/>
        </w:trPr>
        <w:tc>
          <w:tcPr>
            <w:tcW w:w="1360" w:type="dxa"/>
            <w:vMerge w:val="continue"/>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时效指标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按计划进行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2021年</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2021年</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527"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成本指标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成本控制在预算内</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1793"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restart"/>
            <w:tcBorders>
              <w:top w:val="single" w:color="auto" w:sz="4" w:space="0"/>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效益</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（40分）</w:t>
            </w:r>
          </w:p>
          <w:p>
            <w:pPr>
              <w:widowControl/>
              <w:spacing w:line="240" w:lineRule="exact"/>
              <w:jc w:val="center"/>
              <w:rPr>
                <w:rFonts w:hint="eastAsia" w:ascii="宋体" w:hAnsi="宋体" w:eastAsia="宋体" w:cs="宋体"/>
                <w:color w:val="000000"/>
                <w:kern w:val="0"/>
                <w:sz w:val="20"/>
                <w:szCs w:val="20"/>
                <w:lang w:val="en-US" w:eastAsia="zh-CN"/>
              </w:rPr>
            </w:pPr>
          </w:p>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经济效</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益指标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促进水运运输业发展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船舶质量合格，保障水运运输业迅速发展</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船舶大型化提高，质量良好，促进了水运运输也发展</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565"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社会效</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益指标</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保障辖区水域一方平安</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将水运安全绿色发展贯穿水运安全、管理、服务全过程，着力建设资源节约、生态环保、节能高效、服务提升的绿色水运。</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及时、有效处置水上应急突发事件，挽救了群众生命安全，保障社会安定和谐。</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10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84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生态效</w:t>
            </w:r>
          </w:p>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益指标</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绿色水运</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让湘江水更清天更蓝</w:t>
            </w: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船舶污染物的转运、处置优化了湘江生态环境，</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10</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2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78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可持续影响指标</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持续影响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持续水运发展安全</w:t>
            </w: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水运运输业持续安全发展</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5</w:t>
            </w:r>
          </w:p>
        </w:tc>
        <w:tc>
          <w:tcPr>
            <w:tcW w:w="5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780" w:hRule="atLeast"/>
          <w:jc w:val="center"/>
        </w:trPr>
        <w:tc>
          <w:tcPr>
            <w:tcW w:w="1360"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restart"/>
            <w:tcBorders>
              <w:top w:val="nil"/>
              <w:left w:val="nil"/>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社会公众或服务对象满意度</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满意度指标</w:t>
            </w:r>
          </w:p>
        </w:tc>
        <w:tc>
          <w:tcPr>
            <w:tcW w:w="1107"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社会公众满意度95%</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社会公众满意度95%</w:t>
            </w:r>
          </w:p>
        </w:tc>
        <w:tc>
          <w:tcPr>
            <w:tcW w:w="14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5</w:t>
            </w:r>
          </w:p>
        </w:tc>
        <w:tc>
          <w:tcPr>
            <w:tcW w:w="5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7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379" w:hRule="atLeast"/>
          <w:jc w:val="center"/>
        </w:trPr>
        <w:tc>
          <w:tcPr>
            <w:tcW w:w="136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018" w:type="dxa"/>
            <w:vMerge w:val="continue"/>
            <w:tcBorders>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07" w:type="dxa"/>
            <w:vMerge w:val="continue"/>
            <w:tcBorders>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4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50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c>
          <w:tcPr>
            <w:tcW w:w="127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w:t>
            </w:r>
          </w:p>
        </w:tc>
      </w:tr>
      <w:tr>
        <w:tblPrEx>
          <w:tblCellMar>
            <w:top w:w="0" w:type="dxa"/>
            <w:left w:w="108" w:type="dxa"/>
            <w:bottom w:w="0" w:type="dxa"/>
            <w:right w:w="108" w:type="dxa"/>
          </w:tblCellMar>
        </w:tblPrEx>
        <w:trPr>
          <w:trHeight w:val="400" w:hRule="atLeast"/>
          <w:jc w:val="center"/>
        </w:trPr>
        <w:tc>
          <w:tcPr>
            <w:tcW w:w="677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总分</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5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w:t>
            </w:r>
          </w:p>
        </w:tc>
        <w:tc>
          <w:tcPr>
            <w:tcW w:w="12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lang w:val="en-US" w:eastAsia="zh-CN"/>
              </w:rPr>
            </w:pPr>
          </w:p>
        </w:tc>
      </w:tr>
    </w:tbl>
    <w:p>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10"/>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项目支</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水上应急救援专项工作经费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衡阳市交通运输局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项目资金</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年初</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全年</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预算数</w:t>
            </w:r>
          </w:p>
        </w:tc>
        <w:tc>
          <w:tcPr>
            <w:tcW w:w="110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全年</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执行数</w:t>
            </w:r>
          </w:p>
        </w:tc>
        <w:tc>
          <w:tcPr>
            <w:tcW w:w="993"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lang w:val="en-US"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分值</w:t>
            </w:r>
          </w:p>
        </w:tc>
        <w:tc>
          <w:tcPr>
            <w:tcW w:w="855"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lang w:val="en-US"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执行率</w:t>
            </w:r>
          </w:p>
        </w:tc>
        <w:tc>
          <w:tcPr>
            <w:tcW w:w="1271"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lang w:val="en-US"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40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40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年度总</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降低事故损失，及时处置水污染确保湘江生态环境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搜救事故失踪、落水人员7人，控制漏油事件6次，水库堵漏1次，电站抢险3次，有效地降低事故损失，保护了湘江生态环境</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绩</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效</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年度</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实际</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偏差原因</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分析及</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产出</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w:t>
            </w:r>
          </w:p>
          <w:p>
            <w:pPr>
              <w:widowControl/>
              <w:jc w:val="left"/>
              <w:rPr>
                <w:rFonts w:hint="eastAsia" w:ascii="宋体" w:hAnsi="宋体" w:eastAsia="宋体" w:cs="宋体"/>
                <w:kern w:val="0"/>
                <w:sz w:val="18"/>
                <w:szCs w:val="18"/>
                <w:lang w:val="en-US"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水上应急救援到位率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水上应急救援到位率95%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水上应急救援到位率95%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水上应急救援效率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水上应急救援效率80%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水上应急救援效率95%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全年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全年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36万元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效益</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w:t>
            </w:r>
          </w:p>
          <w:p>
            <w:pPr>
              <w:widowControl/>
              <w:jc w:val="left"/>
              <w:rPr>
                <w:rFonts w:hint="eastAsia" w:ascii="宋体" w:hAnsi="宋体" w:eastAsia="宋体" w:cs="宋体"/>
                <w:kern w:val="0"/>
                <w:sz w:val="18"/>
                <w:szCs w:val="18"/>
                <w:lang w:val="en-US"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（30分）</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经济效</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预防和应对水上突发事件，挽回经济损失数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将人民生命及财产损失降至最低</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挽回经济损失1000万元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社会效</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挽救群众生命人数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挽救群众生命30人</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挽救群众生命33人</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生态效</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水污染突发事件处</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及时处置水污染确保湘江生态环境良好</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及时处置10次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确保水运安全、绿色发展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确保湘江生态环境绿色发展</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满意度</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（10分）</w:t>
            </w:r>
          </w:p>
        </w:tc>
        <w:tc>
          <w:tcPr>
            <w:tcW w:w="1261" w:type="dxa"/>
            <w:vMerge w:val="restart"/>
            <w:tcBorders>
              <w:top w:val="nil"/>
              <w:left w:val="nil"/>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社会公众满意度95%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社会公众满意度95%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bl>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spacing w:beforeLines="50"/>
        <w:rPr>
          <w:rFonts w:ascii="Times New Roman" w:hAnsi="Times New Roman"/>
        </w:rPr>
      </w:pPr>
    </w:p>
    <w:p>
      <w:pPr>
        <w:rPr>
          <w:rFonts w:ascii="Times New Roman" w:hAnsi="Times New Roman" w:eastAsia="黑体"/>
        </w:rPr>
      </w:pPr>
      <w:r>
        <w:rPr>
          <w:rFonts w:ascii="Times New Roman" w:hAnsi="Times New Roman" w:eastAsia="黑体"/>
          <w:sz w:val="32"/>
          <w:szCs w:val="32"/>
        </w:rPr>
        <w:t>附件4</w:t>
      </w:r>
    </w:p>
    <w:tbl>
      <w:tblPr>
        <w:tblStyle w:val="10"/>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w:t>
            </w:r>
          </w:p>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海巡艇维护费及水上突发事件应急处置工作经费</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衡阳市交通运输局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年初</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全年</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全年</w:t>
            </w: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82</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73.8</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73.8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82</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73.8</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73.8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船</w:t>
            </w:r>
            <w:r>
              <w:rPr>
                <w:rFonts w:hint="eastAsia" w:ascii="宋体" w:hAnsi="宋体" w:eastAsia="宋体" w:cs="宋体"/>
                <w:color w:val="000000"/>
                <w:kern w:val="0"/>
                <w:sz w:val="20"/>
                <w:szCs w:val="20"/>
                <w:lang w:eastAsia="zh-CN"/>
              </w:rPr>
              <w:t>艇保养运行正常，适航。</w:t>
            </w:r>
            <w:r>
              <w:rPr>
                <w:rFonts w:hint="eastAsia" w:ascii="宋体" w:hAnsi="宋体" w:eastAsia="宋体" w:cs="宋体"/>
                <w:color w:val="000000"/>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船艇技术状态良好，能确保及时有效应对水上交通突发事件</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偏差原因</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分析及</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海巡艇日常维护保养次数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海巡艇日常保养维护次数</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日常保养维护</w:t>
            </w:r>
            <w:r>
              <w:rPr>
                <w:rFonts w:hint="eastAsia" w:ascii="宋体" w:hAnsi="宋体" w:eastAsia="宋体" w:cs="宋体"/>
                <w:color w:val="000000"/>
                <w:kern w:val="0"/>
                <w:sz w:val="20"/>
                <w:szCs w:val="20"/>
                <w:lang w:val="en-US" w:eastAsia="zh-CN"/>
              </w:rPr>
              <w:t>12次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船舶适航率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船舶适航率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适航率</w:t>
            </w:r>
            <w:r>
              <w:rPr>
                <w:rFonts w:hint="eastAsia" w:ascii="宋体" w:hAnsi="宋体" w:eastAsia="宋体" w:cs="宋体"/>
                <w:color w:val="000000"/>
                <w:kern w:val="0"/>
                <w:sz w:val="20"/>
                <w:szCs w:val="20"/>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完成时间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2021年底</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总成本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总成本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82万元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left"/>
              <w:rPr>
                <w:rFonts w:hint="eastAsia" w:ascii="宋体" w:hAnsi="宋体" w:eastAsia="宋体" w:cs="宋体"/>
                <w:color w:val="000000"/>
                <w:kern w:val="0"/>
                <w:sz w:val="20"/>
                <w:szCs w:val="20"/>
              </w:rPr>
            </w:pP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（30分）</w:t>
            </w:r>
          </w:p>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及时预防和应对水上突发事件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及时预防和应对水上突发事件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将水上突发事件对人民生命和财产损失降至最低</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有效防止和应对水上交通突发事件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有效防止和应对水上交通突发事件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确保水上交通突发事件及时处置</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确保湘江水污染防治安全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确保湘江水污染防治安全</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让湘江水更清更蓝</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持续影响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及时处置水上交通突发事件目标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社会公众满意度</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社会公众满意度</w:t>
            </w:r>
            <w:r>
              <w:rPr>
                <w:rFonts w:hint="eastAsia" w:ascii="宋体" w:hAnsi="宋体" w:eastAsia="宋体" w:cs="宋体"/>
                <w:color w:val="000000"/>
                <w:kern w:val="0"/>
                <w:sz w:val="20"/>
                <w:szCs w:val="20"/>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rPr>
          <w:rFonts w:ascii="Times New Roman" w:hAnsi="Times New Roman" w:eastAsia="黑体"/>
          <w:sz w:val="32"/>
          <w:szCs w:val="32"/>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pStyle w:val="2"/>
        <w:rPr>
          <w:rFonts w:hint="eastAsia"/>
          <w:lang w:val="en-US" w:eastAsia="zh-CN"/>
        </w:rPr>
      </w:pPr>
    </w:p>
    <w:p>
      <w:pPr>
        <w:rPr>
          <w:rFonts w:ascii="Times New Roman" w:hAnsi="Times New Roman" w:eastAsia="黑体"/>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附件4</w:t>
      </w:r>
    </w:p>
    <w:tbl>
      <w:tblPr>
        <w:tblStyle w:val="10"/>
        <w:tblW w:w="9999" w:type="dxa"/>
        <w:jc w:val="center"/>
        <w:tblLayout w:type="autofit"/>
        <w:tblCellMar>
          <w:top w:w="0" w:type="dxa"/>
          <w:left w:w="108" w:type="dxa"/>
          <w:bottom w:w="0" w:type="dxa"/>
          <w:right w:w="108" w:type="dxa"/>
        </w:tblCellMar>
      </w:tblPr>
      <w:tblGrid>
        <w:gridCol w:w="1135"/>
        <w:gridCol w:w="992"/>
        <w:gridCol w:w="1261"/>
        <w:gridCol w:w="1155"/>
        <w:gridCol w:w="1316"/>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w:t>
            </w:r>
          </w:p>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水上船舶垃圾、转运处置专项经费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衡阳市交通运输局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衡阳市水运事务中心</w:t>
            </w:r>
          </w:p>
        </w:tc>
      </w:tr>
      <w:tr>
        <w:tblPrEx>
          <w:tblCellMar>
            <w:top w:w="0" w:type="dxa"/>
            <w:left w:w="108" w:type="dxa"/>
            <w:bottom w:w="0" w:type="dxa"/>
            <w:right w:w="108" w:type="dxa"/>
          </w:tblCellMar>
        </w:tblPrEx>
        <w:trPr>
          <w:trHeight w:val="507"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年初</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全年</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全年</w:t>
            </w: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148万</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148万</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r>
              <w:rPr>
                <w:rFonts w:hint="eastAsia" w:ascii="宋体" w:hAnsi="宋体" w:cs="宋体"/>
                <w:color w:val="000000"/>
                <w:kern w:val="0"/>
                <w:sz w:val="20"/>
                <w:szCs w:val="20"/>
                <w:lang w:val="en-US" w:eastAsia="zh-CN"/>
              </w:rPr>
              <w:t>18.96</w:t>
            </w:r>
            <w:r>
              <w:rPr>
                <w:rFonts w:hint="eastAsia" w:ascii="宋体" w:hAnsi="宋体" w:eastAsia="宋体" w:cs="宋体"/>
                <w:color w:val="000000"/>
                <w:kern w:val="0"/>
                <w:sz w:val="20"/>
                <w:szCs w:val="20"/>
                <w:lang w:val="en-US" w:eastAsia="zh-CN"/>
              </w:rPr>
              <w:t>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148万</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148万</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r>
              <w:rPr>
                <w:rFonts w:hint="eastAsia" w:ascii="宋体" w:hAnsi="宋体" w:cs="宋体"/>
                <w:color w:val="000000"/>
                <w:kern w:val="0"/>
                <w:sz w:val="20"/>
                <w:szCs w:val="20"/>
                <w:lang w:val="en-US" w:eastAsia="zh-CN"/>
              </w:rPr>
              <w:t>18.96</w:t>
            </w:r>
            <w:r>
              <w:rPr>
                <w:rFonts w:hint="eastAsia" w:ascii="宋体" w:hAnsi="宋体" w:eastAsia="宋体" w:cs="宋体"/>
                <w:color w:val="000000"/>
                <w:kern w:val="0"/>
                <w:sz w:val="20"/>
                <w:szCs w:val="20"/>
                <w:lang w:val="en-US" w:eastAsia="zh-CN"/>
              </w:rPr>
              <w:t>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0</w:t>
            </w:r>
          </w:p>
        </w:tc>
        <w:tc>
          <w:tcPr>
            <w:tcW w:w="1230" w:type="dxa"/>
            <w:tcBorders>
              <w:top w:val="nil"/>
              <w:left w:val="nil"/>
              <w:bottom w:val="single" w:color="auto" w:sz="4" w:space="0"/>
              <w:right w:val="single" w:color="auto" w:sz="4" w:space="0"/>
            </w:tcBorders>
            <w:shd w:val="clear" w:color="auto" w:fill="auto"/>
            <w:noWrap/>
            <w:vAlign w:val="center"/>
          </w:tcPr>
          <w:p>
            <w:pPr>
              <w:widowControl/>
              <w:ind w:firstLine="400" w:firstLineChars="20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船舶垃圾转运、处置数达到20吨</w:t>
            </w:r>
            <w:r>
              <w:rPr>
                <w:rFonts w:hint="eastAsia" w:ascii="宋体" w:hAnsi="宋体" w:eastAsia="宋体" w:cs="宋体"/>
                <w:color w:val="000000"/>
                <w:kern w:val="0"/>
                <w:sz w:val="20"/>
                <w:szCs w:val="20"/>
                <w:lang w:eastAsia="zh-CN"/>
              </w:rPr>
              <w:t>，船舶垃圾转运、处置率达到90％</w:t>
            </w:r>
            <w:r>
              <w:rPr>
                <w:rFonts w:hint="eastAsia" w:ascii="宋体" w:hAnsi="宋体" w:eastAsia="宋体" w:cs="宋体"/>
                <w:kern w:val="0"/>
                <w:sz w:val="20"/>
                <w:szCs w:val="20"/>
              </w:rPr>
              <w:t>　</w:t>
            </w:r>
            <w:r>
              <w:rPr>
                <w:rFonts w:hint="eastAsia" w:ascii="宋体" w:hAnsi="宋体" w:eastAsia="宋体" w:cs="宋体"/>
                <w:color w:val="000000"/>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船舶垃圾转运、处置数达到</w:t>
            </w:r>
            <w:r>
              <w:rPr>
                <w:rFonts w:hint="eastAsia" w:ascii="宋体" w:hAnsi="宋体" w:eastAsia="宋体" w:cs="宋体"/>
                <w:color w:val="000000"/>
                <w:kern w:val="0"/>
                <w:sz w:val="20"/>
                <w:szCs w:val="20"/>
                <w:lang w:val="en-US" w:eastAsia="zh-CN"/>
              </w:rPr>
              <w:t>24.3</w:t>
            </w:r>
            <w:r>
              <w:rPr>
                <w:rFonts w:hint="eastAsia" w:ascii="宋体" w:hAnsi="宋体" w:eastAsia="宋体" w:cs="宋体"/>
                <w:color w:val="000000"/>
                <w:kern w:val="0"/>
                <w:sz w:val="20"/>
                <w:szCs w:val="20"/>
              </w:rPr>
              <w:t>吨</w:t>
            </w:r>
            <w:r>
              <w:rPr>
                <w:rFonts w:hint="eastAsia" w:ascii="宋体" w:hAnsi="宋体" w:eastAsia="宋体" w:cs="宋体"/>
                <w:color w:val="000000"/>
                <w:kern w:val="0"/>
                <w:sz w:val="20"/>
                <w:szCs w:val="20"/>
                <w:lang w:eastAsia="zh-CN"/>
              </w:rPr>
              <w:t>，船舶垃圾转运、处置率达到90％</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偏差原因</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分析及</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水上船舶垃圾转运、处置数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20吨</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24.3吨</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水上船舶垃圾转运、处置率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90％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1-2022、3</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2021年已完成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10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水上船舶垃圾转运、处置资金</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1</w:t>
            </w:r>
            <w:r>
              <w:rPr>
                <w:rFonts w:hint="eastAsia" w:ascii="宋体" w:hAnsi="宋体" w:eastAsia="宋体" w:cs="宋体"/>
                <w:color w:val="000000"/>
                <w:kern w:val="0"/>
                <w:sz w:val="20"/>
                <w:szCs w:val="20"/>
                <w:lang w:val="en-US" w:eastAsia="zh-CN"/>
              </w:rPr>
              <w:t>48</w:t>
            </w:r>
            <w:r>
              <w:rPr>
                <w:rFonts w:hint="eastAsia" w:ascii="宋体" w:hAnsi="宋体" w:eastAsia="宋体" w:cs="宋体"/>
                <w:color w:val="000000"/>
                <w:kern w:val="0"/>
                <w:sz w:val="20"/>
                <w:szCs w:val="20"/>
                <w:lang w:eastAsia="zh-CN"/>
              </w:rPr>
              <w:t>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148万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r>
              <w:rPr>
                <w:rFonts w:hint="eastAsia" w:ascii="宋体" w:hAnsi="宋体" w:cs="宋体"/>
                <w:color w:val="000000"/>
                <w:kern w:val="0"/>
                <w:sz w:val="20"/>
                <w:szCs w:val="20"/>
                <w:lang w:val="en-US" w:eastAsia="zh-CN"/>
              </w:rPr>
              <w:t>18.96</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left"/>
              <w:rPr>
                <w:rFonts w:hint="eastAsia" w:ascii="宋体" w:hAnsi="宋体" w:eastAsia="宋体" w:cs="宋体"/>
                <w:color w:val="000000"/>
                <w:kern w:val="0"/>
                <w:sz w:val="20"/>
                <w:szCs w:val="20"/>
              </w:rPr>
            </w:pP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（30分）</w:t>
            </w:r>
          </w:p>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创造再利用价值</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水上船舶垃圾创造再利用价值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水上船舶垃圾创造再利用价值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绿色水运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减少湘江流域上船舶垃圾排放维持水上环保清洁率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减少湘江流域上船舶垃圾排放维持水上环保清洁率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水污染防治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防治湘江流域水污染提高生态环境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防治湘江流域水污染提高生态环境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群众对水上船舶垃圾接收、转运处置运转</w:t>
            </w:r>
            <w:r>
              <w:rPr>
                <w:rFonts w:hint="eastAsia" w:ascii="宋体" w:hAnsi="宋体" w:eastAsia="宋体" w:cs="宋体"/>
                <w:color w:val="000000"/>
                <w:kern w:val="0"/>
                <w:sz w:val="20"/>
                <w:szCs w:val="20"/>
                <w:lang w:eastAsia="zh-CN"/>
              </w:rPr>
              <w:t>满意度</w:t>
            </w:r>
            <w:r>
              <w:rPr>
                <w:rFonts w:hint="eastAsia" w:ascii="宋体" w:hAnsi="宋体" w:eastAsia="宋体" w:cs="宋体"/>
                <w:color w:val="000000"/>
                <w:kern w:val="0"/>
                <w:sz w:val="20"/>
                <w:szCs w:val="20"/>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群众对水上船舶垃圾接收、转运处置运转</w:t>
            </w:r>
            <w:r>
              <w:rPr>
                <w:rFonts w:hint="eastAsia" w:ascii="宋体" w:hAnsi="宋体" w:eastAsia="宋体" w:cs="宋体"/>
                <w:color w:val="000000"/>
                <w:kern w:val="0"/>
                <w:sz w:val="20"/>
                <w:szCs w:val="20"/>
                <w:lang w:eastAsia="zh-CN"/>
              </w:rPr>
              <w:t>满意度</w:t>
            </w:r>
            <w:r>
              <w:rPr>
                <w:rFonts w:hint="eastAsia" w:ascii="宋体" w:hAnsi="宋体" w:eastAsia="宋体" w:cs="宋体"/>
                <w:color w:val="000000"/>
                <w:kern w:val="0"/>
                <w:sz w:val="20"/>
                <w:szCs w:val="20"/>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pStyle w:val="2"/>
        <w:rPr>
          <w:rFonts w:hint="eastAsia"/>
          <w:lang w:eastAsia="zh-CN"/>
        </w:rPr>
      </w:pPr>
    </w:p>
    <w:p>
      <w:pPr>
        <w:rPr>
          <w:rFonts w:hint="eastAsia" w:ascii="Times New Roman" w:hAnsi="Times New Roman" w:eastAsia="黑体"/>
          <w:sz w:val="32"/>
          <w:szCs w:val="32"/>
          <w:lang w:eastAsia="zh-CN"/>
        </w:rPr>
      </w:pPr>
    </w:p>
    <w:p>
      <w:pPr>
        <w:rPr>
          <w:rFonts w:hint="eastAsia" w:ascii="Times New Roman" w:hAnsi="Times New Roman" w:eastAsia="黑体"/>
          <w:sz w:val="32"/>
          <w:szCs w:val="32"/>
          <w:lang w:eastAsia="zh-CN"/>
        </w:rPr>
      </w:pPr>
    </w:p>
    <w:p>
      <w:pPr>
        <w:rPr>
          <w:rFonts w:ascii="Times New Roman" w:hAnsi="Times New Roman" w:eastAsia="黑体"/>
        </w:rPr>
      </w:pPr>
      <w:r>
        <w:rPr>
          <w:rFonts w:ascii="Times New Roman" w:hAnsi="Times New Roman" w:eastAsia="黑体"/>
          <w:sz w:val="32"/>
          <w:szCs w:val="32"/>
        </w:rPr>
        <w:t>附件4</w:t>
      </w:r>
    </w:p>
    <w:tbl>
      <w:tblPr>
        <w:tblStyle w:val="10"/>
        <w:tblW w:w="10053" w:type="dxa"/>
        <w:jc w:val="center"/>
        <w:tblLayout w:type="fixed"/>
        <w:tblCellMar>
          <w:top w:w="0" w:type="dxa"/>
          <w:left w:w="108" w:type="dxa"/>
          <w:bottom w:w="0" w:type="dxa"/>
          <w:right w:w="108" w:type="dxa"/>
        </w:tblCellMar>
      </w:tblPr>
      <w:tblGrid>
        <w:gridCol w:w="840"/>
        <w:gridCol w:w="855"/>
        <w:gridCol w:w="1095"/>
        <w:gridCol w:w="1845"/>
        <w:gridCol w:w="1785"/>
        <w:gridCol w:w="1245"/>
        <w:gridCol w:w="690"/>
        <w:gridCol w:w="570"/>
        <w:gridCol w:w="1128"/>
      </w:tblGrid>
      <w:tr>
        <w:tblPrEx>
          <w:tblCellMar>
            <w:top w:w="0" w:type="dxa"/>
            <w:left w:w="108" w:type="dxa"/>
            <w:bottom w:w="0" w:type="dxa"/>
            <w:right w:w="108" w:type="dxa"/>
          </w:tblCellMar>
        </w:tblPrEx>
        <w:trPr>
          <w:trHeight w:val="570" w:hRule="atLeast"/>
          <w:jc w:val="center"/>
        </w:trPr>
        <w:tc>
          <w:tcPr>
            <w:tcW w:w="10053"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10053"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w:t>
            </w:r>
          </w:p>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出名称</w:t>
            </w:r>
          </w:p>
        </w:tc>
        <w:tc>
          <w:tcPr>
            <w:tcW w:w="921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船检费和货港费工作经费</w:t>
            </w:r>
          </w:p>
        </w:tc>
      </w:tr>
      <w:tr>
        <w:tblPrEx>
          <w:tblCellMar>
            <w:top w:w="0" w:type="dxa"/>
            <w:left w:w="108" w:type="dxa"/>
            <w:bottom w:w="0" w:type="dxa"/>
            <w:right w:w="108" w:type="dxa"/>
          </w:tblCellMar>
        </w:tblPrEx>
        <w:trPr>
          <w:trHeight w:val="400" w:hRule="atLeast"/>
          <w:jc w:val="center"/>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55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衡阳市水运事务中心</w:t>
            </w:r>
          </w:p>
        </w:tc>
        <w:tc>
          <w:tcPr>
            <w:tcW w:w="124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衡阳市水运事务中心</w:t>
            </w:r>
          </w:p>
        </w:tc>
      </w:tr>
      <w:tr>
        <w:tblPrEx>
          <w:tblCellMar>
            <w:top w:w="0" w:type="dxa"/>
            <w:left w:w="108" w:type="dxa"/>
            <w:bottom w:w="0" w:type="dxa"/>
            <w:right w:w="108" w:type="dxa"/>
          </w:tblCellMar>
        </w:tblPrEx>
        <w:trPr>
          <w:trHeight w:val="340" w:hRule="atLeast"/>
          <w:jc w:val="center"/>
        </w:trPr>
        <w:tc>
          <w:tcPr>
            <w:tcW w:w="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7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1245"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全年执行数</w:t>
            </w:r>
          </w:p>
        </w:tc>
        <w:tc>
          <w:tcPr>
            <w:tcW w:w="69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分值</w:t>
            </w:r>
          </w:p>
        </w:tc>
        <w:tc>
          <w:tcPr>
            <w:tcW w:w="57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20"/>
                <w:szCs w:val="20"/>
                <w:lang w:eastAsia="zh-CN"/>
              </w:rPr>
            </w:pPr>
            <w:r>
              <w:rPr>
                <w:rFonts w:hint="eastAsia" w:ascii="宋体" w:hAnsi="宋体" w:eastAsia="宋体" w:cs="宋体"/>
                <w:sz w:val="20"/>
                <w:szCs w:val="20"/>
              </w:rPr>
              <w:t>执行</w:t>
            </w:r>
            <w:r>
              <w:rPr>
                <w:rFonts w:hint="eastAsia" w:ascii="宋体" w:hAnsi="宋体" w:eastAsia="宋体" w:cs="宋体"/>
                <w:sz w:val="20"/>
                <w:szCs w:val="20"/>
                <w:lang w:eastAsia="zh-CN"/>
              </w:rPr>
              <w:t>率</w:t>
            </w:r>
          </w:p>
        </w:tc>
        <w:tc>
          <w:tcPr>
            <w:tcW w:w="112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得分</w:t>
            </w:r>
          </w:p>
        </w:tc>
      </w:tr>
      <w:tr>
        <w:tblPrEx>
          <w:tblCellMar>
            <w:top w:w="0" w:type="dxa"/>
            <w:left w:w="108" w:type="dxa"/>
            <w:bottom w:w="0" w:type="dxa"/>
            <w:right w:w="108" w:type="dxa"/>
          </w:tblCellMar>
        </w:tblPrEx>
        <w:trPr>
          <w:trHeight w:val="340" w:hRule="atLeast"/>
          <w:jc w:val="center"/>
        </w:trPr>
        <w:tc>
          <w:tcPr>
            <w:tcW w:w="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年度资金总额　</w:t>
            </w:r>
          </w:p>
        </w:tc>
        <w:tc>
          <w:tcPr>
            <w:tcW w:w="18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CellMar>
            <w:top w:w="0" w:type="dxa"/>
            <w:left w:w="108" w:type="dxa"/>
            <w:bottom w:w="0" w:type="dxa"/>
            <w:right w:w="108" w:type="dxa"/>
          </w:tblCellMar>
        </w:tblPrEx>
        <w:trPr>
          <w:trHeight w:val="340" w:hRule="atLeast"/>
          <w:jc w:val="center"/>
        </w:trPr>
        <w:tc>
          <w:tcPr>
            <w:tcW w:w="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其中：当年财政拨款　</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50</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45</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45</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100%</w:t>
            </w:r>
          </w:p>
        </w:tc>
        <w:tc>
          <w:tcPr>
            <w:tcW w:w="11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r>
      <w:tr>
        <w:tblPrEx>
          <w:tblCellMar>
            <w:top w:w="0" w:type="dxa"/>
            <w:left w:w="108" w:type="dxa"/>
            <w:bottom w:w="0" w:type="dxa"/>
            <w:right w:w="108" w:type="dxa"/>
          </w:tblCellMar>
        </w:tblPrEx>
        <w:trPr>
          <w:trHeight w:val="340" w:hRule="atLeast"/>
          <w:jc w:val="center"/>
        </w:trPr>
        <w:tc>
          <w:tcPr>
            <w:tcW w:w="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上年结转资金　</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体目标</w:t>
            </w:r>
          </w:p>
        </w:tc>
        <w:tc>
          <w:tcPr>
            <w:tcW w:w="558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363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实际完成情况　</w:t>
            </w:r>
          </w:p>
        </w:tc>
      </w:tr>
      <w:tr>
        <w:tblPrEx>
          <w:tblCellMar>
            <w:top w:w="0" w:type="dxa"/>
            <w:left w:w="108" w:type="dxa"/>
            <w:bottom w:w="0" w:type="dxa"/>
            <w:right w:w="108" w:type="dxa"/>
          </w:tblCellMar>
        </w:tblPrEx>
        <w:trPr>
          <w:trHeight w:val="355" w:hRule="atLeast"/>
          <w:jc w:val="center"/>
        </w:trPr>
        <w:tc>
          <w:tcPr>
            <w:tcW w:w="84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558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完成营运船舶检验</w:t>
            </w:r>
            <w:r>
              <w:rPr>
                <w:rFonts w:hint="eastAsia" w:ascii="宋体" w:hAnsi="宋体" w:eastAsia="宋体" w:cs="宋体"/>
                <w:color w:val="000000"/>
                <w:kern w:val="0"/>
                <w:sz w:val="20"/>
                <w:szCs w:val="20"/>
                <w:lang w:val="en-US" w:eastAsia="zh-CN"/>
              </w:rPr>
              <w:t>760艘，船舶运行合格率95%</w:t>
            </w:r>
            <w:r>
              <w:rPr>
                <w:rFonts w:hint="eastAsia" w:ascii="宋体" w:hAnsi="宋体" w:eastAsia="宋体" w:cs="宋体"/>
                <w:color w:val="000000"/>
                <w:kern w:val="0"/>
                <w:sz w:val="20"/>
                <w:szCs w:val="20"/>
              </w:rPr>
              <w:t>　　</w:t>
            </w:r>
          </w:p>
        </w:tc>
        <w:tc>
          <w:tcPr>
            <w:tcW w:w="363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实际完成营运船舶检验</w:t>
            </w:r>
            <w:r>
              <w:rPr>
                <w:rFonts w:hint="eastAsia" w:ascii="宋体" w:hAnsi="宋体" w:eastAsia="宋体" w:cs="宋体"/>
                <w:color w:val="000000"/>
                <w:kern w:val="0"/>
                <w:sz w:val="20"/>
                <w:szCs w:val="20"/>
                <w:lang w:val="en-US" w:eastAsia="zh-CN"/>
              </w:rPr>
              <w:t>1085艘次，检验合格率100%</w:t>
            </w:r>
          </w:p>
        </w:tc>
      </w:tr>
      <w:tr>
        <w:tblPrEx>
          <w:tblCellMar>
            <w:top w:w="0" w:type="dxa"/>
            <w:left w:w="108" w:type="dxa"/>
            <w:bottom w:w="0" w:type="dxa"/>
            <w:right w:w="108" w:type="dxa"/>
          </w:tblCellMar>
        </w:tblPrEx>
        <w:trPr>
          <w:trHeight w:val="508" w:hRule="atLeast"/>
          <w:jc w:val="center"/>
        </w:trPr>
        <w:tc>
          <w:tcPr>
            <w:tcW w:w="84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改进措施</w:t>
            </w:r>
          </w:p>
        </w:tc>
      </w:tr>
      <w:tr>
        <w:tblPrEx>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(50分)</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船舶法定检验艘次</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检验船舶</w:t>
            </w:r>
            <w:r>
              <w:rPr>
                <w:rFonts w:hint="eastAsia" w:ascii="宋体" w:hAnsi="宋体" w:eastAsia="宋体" w:cs="宋体"/>
                <w:color w:val="000000"/>
                <w:kern w:val="0"/>
                <w:sz w:val="20"/>
                <w:szCs w:val="20"/>
                <w:lang w:val="en-US" w:eastAsia="zh-CN"/>
              </w:rPr>
              <w:t>760艘次</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全年完成</w:t>
            </w:r>
            <w:r>
              <w:rPr>
                <w:rFonts w:hint="eastAsia" w:ascii="宋体" w:hAnsi="宋体" w:eastAsia="宋体" w:cs="宋体"/>
                <w:color w:val="000000"/>
                <w:kern w:val="0"/>
                <w:sz w:val="20"/>
                <w:szCs w:val="20"/>
                <w:lang w:val="en-US" w:eastAsia="zh-CN"/>
              </w:rPr>
              <w:t>1085艘次</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船舶合格率</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船舶检验合格率</w:t>
            </w:r>
            <w:r>
              <w:rPr>
                <w:rFonts w:hint="eastAsia" w:ascii="宋体" w:hAnsi="宋体" w:eastAsia="宋体" w:cs="宋体"/>
                <w:color w:val="000000"/>
                <w:kern w:val="0"/>
                <w:sz w:val="20"/>
                <w:szCs w:val="20"/>
                <w:lang w:val="en-US" w:eastAsia="zh-CN"/>
              </w:rPr>
              <w:t>95%</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船舶检验合格率</w:t>
            </w:r>
            <w:r>
              <w:rPr>
                <w:rFonts w:hint="eastAsia" w:ascii="宋体" w:hAnsi="宋体" w:eastAsia="宋体" w:cs="宋体"/>
                <w:color w:val="000000"/>
                <w:kern w:val="0"/>
                <w:sz w:val="20"/>
                <w:szCs w:val="20"/>
                <w:lang w:val="en-US" w:eastAsia="zh-CN"/>
              </w:rPr>
              <w:t>100%</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完成时间</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2021年底前完成</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2021年已完成</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总成本</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45万元</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45万元</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（30分）</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促进船型优化，向大吨位、标准化发展，降低水路运输成本。</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提高水运效益，降低水运运输成本</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船舶大型化提高</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提升船舶质量技术状况</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船舶航行更安全</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船舶更安全</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7</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7</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船舶防污染结构与设备检验</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水域更清洁</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防污染得到加强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5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p>
        </w:tc>
        <w:tc>
          <w:tcPr>
            <w:tcW w:w="85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促进水运绿色健康发展</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发挥水运运量大、成本低、污染少优势为经济发展助力</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水运优势发挥</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7</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840"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p>
        </w:tc>
        <w:tc>
          <w:tcPr>
            <w:tcW w:w="855" w:type="dxa"/>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095" w:type="dxa"/>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8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服务对象</w:t>
            </w:r>
            <w:r>
              <w:rPr>
                <w:rFonts w:hint="eastAsia" w:ascii="宋体" w:hAnsi="宋体" w:eastAsia="宋体" w:cs="宋体"/>
                <w:color w:val="000000"/>
                <w:kern w:val="0"/>
                <w:sz w:val="20"/>
                <w:szCs w:val="20"/>
              </w:rPr>
              <w:t>满意度</w:t>
            </w:r>
          </w:p>
        </w:tc>
        <w:tc>
          <w:tcPr>
            <w:tcW w:w="17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服务对象</w:t>
            </w:r>
            <w:r>
              <w:rPr>
                <w:rFonts w:hint="eastAsia" w:ascii="宋体" w:hAnsi="宋体" w:eastAsia="宋体" w:cs="宋体"/>
                <w:color w:val="000000"/>
                <w:kern w:val="0"/>
                <w:sz w:val="20"/>
                <w:szCs w:val="20"/>
              </w:rPr>
              <w:t>满意度9</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服务对象</w:t>
            </w:r>
            <w:r>
              <w:rPr>
                <w:rFonts w:hint="eastAsia" w:ascii="宋体" w:hAnsi="宋体" w:eastAsia="宋体" w:cs="宋体"/>
                <w:color w:val="000000"/>
                <w:kern w:val="0"/>
                <w:sz w:val="20"/>
                <w:szCs w:val="20"/>
              </w:rPr>
              <w:t>满意度9</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0" w:hRule="atLeast"/>
          <w:jc w:val="center"/>
        </w:trPr>
        <w:tc>
          <w:tcPr>
            <w:tcW w:w="766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总分</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w:t>
            </w:r>
          </w:p>
        </w:tc>
        <w:tc>
          <w:tcPr>
            <w:tcW w:w="11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2022.3.18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- 10 -</w:t>
    </w:r>
    <w:r>
      <w:rPr>
        <w:rStyle w:val="12"/>
        <w:rFonts w:ascii="Times New Roman" w:hAnsi="Times New Roman"/>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1AB3E"/>
    <w:multiLevelType w:val="singleLevel"/>
    <w:tmpl w:val="51A1AB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mYxM2RiMjcxNTliZDBiOTVjZGUyZmFiNGFmZjA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4D5652"/>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A7EEA"/>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247546"/>
    <w:rsid w:val="016D6E1B"/>
    <w:rsid w:val="017165B7"/>
    <w:rsid w:val="024B4A51"/>
    <w:rsid w:val="026522DA"/>
    <w:rsid w:val="028D58A7"/>
    <w:rsid w:val="02964702"/>
    <w:rsid w:val="03043E77"/>
    <w:rsid w:val="034D6BA5"/>
    <w:rsid w:val="03C230FA"/>
    <w:rsid w:val="04714B20"/>
    <w:rsid w:val="051017B6"/>
    <w:rsid w:val="05AA653C"/>
    <w:rsid w:val="073A744C"/>
    <w:rsid w:val="08362309"/>
    <w:rsid w:val="08514A4D"/>
    <w:rsid w:val="089E711B"/>
    <w:rsid w:val="08A76D63"/>
    <w:rsid w:val="09A4247A"/>
    <w:rsid w:val="0AF6620D"/>
    <w:rsid w:val="0B1D50BA"/>
    <w:rsid w:val="0B266665"/>
    <w:rsid w:val="0B353990"/>
    <w:rsid w:val="0B3A5C6C"/>
    <w:rsid w:val="0C3B6140"/>
    <w:rsid w:val="0CE045F1"/>
    <w:rsid w:val="0D470B14"/>
    <w:rsid w:val="0D4C414A"/>
    <w:rsid w:val="0D6C5618"/>
    <w:rsid w:val="0E5F2D7D"/>
    <w:rsid w:val="0EEE7499"/>
    <w:rsid w:val="0F262ACD"/>
    <w:rsid w:val="0FA20284"/>
    <w:rsid w:val="0FF3288D"/>
    <w:rsid w:val="10282537"/>
    <w:rsid w:val="10727C56"/>
    <w:rsid w:val="116220E5"/>
    <w:rsid w:val="12241424"/>
    <w:rsid w:val="1235718D"/>
    <w:rsid w:val="12952699"/>
    <w:rsid w:val="138E17D4"/>
    <w:rsid w:val="13C54541"/>
    <w:rsid w:val="14123E7B"/>
    <w:rsid w:val="142F3A6E"/>
    <w:rsid w:val="14F4517E"/>
    <w:rsid w:val="1577373D"/>
    <w:rsid w:val="159348F7"/>
    <w:rsid w:val="15DA6FC6"/>
    <w:rsid w:val="15DF5D8E"/>
    <w:rsid w:val="16EB42BE"/>
    <w:rsid w:val="18891FE1"/>
    <w:rsid w:val="18934E7A"/>
    <w:rsid w:val="197C60F6"/>
    <w:rsid w:val="1B570174"/>
    <w:rsid w:val="1C78607A"/>
    <w:rsid w:val="1CF814E3"/>
    <w:rsid w:val="1D554B87"/>
    <w:rsid w:val="1DCA10D2"/>
    <w:rsid w:val="1DDB14AF"/>
    <w:rsid w:val="1E2C7696"/>
    <w:rsid w:val="1E6E4153"/>
    <w:rsid w:val="1E951267"/>
    <w:rsid w:val="1EFC2612"/>
    <w:rsid w:val="1F225B30"/>
    <w:rsid w:val="1FD219CC"/>
    <w:rsid w:val="20F961D8"/>
    <w:rsid w:val="214E3DC8"/>
    <w:rsid w:val="217D46AD"/>
    <w:rsid w:val="22BF31CF"/>
    <w:rsid w:val="22EA70C8"/>
    <w:rsid w:val="246A53BC"/>
    <w:rsid w:val="25233496"/>
    <w:rsid w:val="26475264"/>
    <w:rsid w:val="27B318D8"/>
    <w:rsid w:val="282A5954"/>
    <w:rsid w:val="286B1703"/>
    <w:rsid w:val="28C1428B"/>
    <w:rsid w:val="298A6517"/>
    <w:rsid w:val="29F6324E"/>
    <w:rsid w:val="2A0D0FEB"/>
    <w:rsid w:val="2A3224D8"/>
    <w:rsid w:val="2AFB3BAB"/>
    <w:rsid w:val="2B3C2EE3"/>
    <w:rsid w:val="2BA70961"/>
    <w:rsid w:val="2BD01692"/>
    <w:rsid w:val="2C2C2F57"/>
    <w:rsid w:val="2C97099F"/>
    <w:rsid w:val="2CA61530"/>
    <w:rsid w:val="2CB01DDA"/>
    <w:rsid w:val="2D7158B8"/>
    <w:rsid w:val="2D91641F"/>
    <w:rsid w:val="2E4F7ADF"/>
    <w:rsid w:val="2E5F13C2"/>
    <w:rsid w:val="2E660FDE"/>
    <w:rsid w:val="2E807B15"/>
    <w:rsid w:val="2F48454C"/>
    <w:rsid w:val="2F667B17"/>
    <w:rsid w:val="2F976672"/>
    <w:rsid w:val="2FEF0095"/>
    <w:rsid w:val="301E7ABA"/>
    <w:rsid w:val="30450A8C"/>
    <w:rsid w:val="30886ABC"/>
    <w:rsid w:val="311F12DD"/>
    <w:rsid w:val="31D85825"/>
    <w:rsid w:val="32022CFB"/>
    <w:rsid w:val="33811DDB"/>
    <w:rsid w:val="34A75F0C"/>
    <w:rsid w:val="34BC6025"/>
    <w:rsid w:val="35CF5088"/>
    <w:rsid w:val="3619279E"/>
    <w:rsid w:val="36383696"/>
    <w:rsid w:val="36444B80"/>
    <w:rsid w:val="368F0CB2"/>
    <w:rsid w:val="38156F95"/>
    <w:rsid w:val="38557F52"/>
    <w:rsid w:val="385D4C77"/>
    <w:rsid w:val="38967754"/>
    <w:rsid w:val="39237555"/>
    <w:rsid w:val="398B5761"/>
    <w:rsid w:val="39E71901"/>
    <w:rsid w:val="3A9149EF"/>
    <w:rsid w:val="3AAF36D1"/>
    <w:rsid w:val="3AB26D1E"/>
    <w:rsid w:val="3B732951"/>
    <w:rsid w:val="3B910815"/>
    <w:rsid w:val="3C1A101E"/>
    <w:rsid w:val="3DC37683"/>
    <w:rsid w:val="3DC916C1"/>
    <w:rsid w:val="3E111FAD"/>
    <w:rsid w:val="3F0E6460"/>
    <w:rsid w:val="3F52287D"/>
    <w:rsid w:val="3F7942AE"/>
    <w:rsid w:val="3FE07E89"/>
    <w:rsid w:val="3FEE25A6"/>
    <w:rsid w:val="402E6E46"/>
    <w:rsid w:val="40EB7C06"/>
    <w:rsid w:val="416B7C26"/>
    <w:rsid w:val="417F6B65"/>
    <w:rsid w:val="41C61B6B"/>
    <w:rsid w:val="427F607F"/>
    <w:rsid w:val="42935ABC"/>
    <w:rsid w:val="429377FA"/>
    <w:rsid w:val="43467657"/>
    <w:rsid w:val="43525BF8"/>
    <w:rsid w:val="43E066A9"/>
    <w:rsid w:val="44A75419"/>
    <w:rsid w:val="454E66D8"/>
    <w:rsid w:val="4644624C"/>
    <w:rsid w:val="46532948"/>
    <w:rsid w:val="46F34AE9"/>
    <w:rsid w:val="47D32ABC"/>
    <w:rsid w:val="488C5052"/>
    <w:rsid w:val="48EB39D6"/>
    <w:rsid w:val="49CB3958"/>
    <w:rsid w:val="4A070E34"/>
    <w:rsid w:val="4A143551"/>
    <w:rsid w:val="4A914BA1"/>
    <w:rsid w:val="4B9A2442"/>
    <w:rsid w:val="4CB15087"/>
    <w:rsid w:val="4E47299C"/>
    <w:rsid w:val="4EBB21ED"/>
    <w:rsid w:val="4F0A4F22"/>
    <w:rsid w:val="4FEC5123"/>
    <w:rsid w:val="5017696A"/>
    <w:rsid w:val="50615016"/>
    <w:rsid w:val="50EB325B"/>
    <w:rsid w:val="515B3458"/>
    <w:rsid w:val="51780EAC"/>
    <w:rsid w:val="518C5952"/>
    <w:rsid w:val="519B6306"/>
    <w:rsid w:val="521C7446"/>
    <w:rsid w:val="52F83D36"/>
    <w:rsid w:val="53092038"/>
    <w:rsid w:val="533D58C6"/>
    <w:rsid w:val="534A7FE3"/>
    <w:rsid w:val="53A06203"/>
    <w:rsid w:val="53DF57C7"/>
    <w:rsid w:val="543640C4"/>
    <w:rsid w:val="551C775D"/>
    <w:rsid w:val="552F123F"/>
    <w:rsid w:val="56496330"/>
    <w:rsid w:val="565C6063"/>
    <w:rsid w:val="56835CE6"/>
    <w:rsid w:val="568E38AB"/>
    <w:rsid w:val="569F41A2"/>
    <w:rsid w:val="56A45C5C"/>
    <w:rsid w:val="56C149B2"/>
    <w:rsid w:val="56C360E3"/>
    <w:rsid w:val="56E46059"/>
    <w:rsid w:val="571C6718"/>
    <w:rsid w:val="57325016"/>
    <w:rsid w:val="590C005A"/>
    <w:rsid w:val="5A8262B5"/>
    <w:rsid w:val="5B411CCC"/>
    <w:rsid w:val="5B68572F"/>
    <w:rsid w:val="5C2F64BB"/>
    <w:rsid w:val="5C734262"/>
    <w:rsid w:val="5CCD54FA"/>
    <w:rsid w:val="5DFF104D"/>
    <w:rsid w:val="5EE34D7F"/>
    <w:rsid w:val="5EFE1BD4"/>
    <w:rsid w:val="5FE3096D"/>
    <w:rsid w:val="5FF92B75"/>
    <w:rsid w:val="603D5158"/>
    <w:rsid w:val="609A4BD3"/>
    <w:rsid w:val="62683FE2"/>
    <w:rsid w:val="62E15151"/>
    <w:rsid w:val="62F62474"/>
    <w:rsid w:val="637F424B"/>
    <w:rsid w:val="63836F3A"/>
    <w:rsid w:val="63E94CAF"/>
    <w:rsid w:val="640815D9"/>
    <w:rsid w:val="64443B78"/>
    <w:rsid w:val="65222B6E"/>
    <w:rsid w:val="65257F68"/>
    <w:rsid w:val="65D50ABD"/>
    <w:rsid w:val="65F07DFC"/>
    <w:rsid w:val="6615622F"/>
    <w:rsid w:val="66576BB8"/>
    <w:rsid w:val="666351EC"/>
    <w:rsid w:val="668533B4"/>
    <w:rsid w:val="66B91727"/>
    <w:rsid w:val="674B1DDA"/>
    <w:rsid w:val="68427403"/>
    <w:rsid w:val="684D7F02"/>
    <w:rsid w:val="68B17E37"/>
    <w:rsid w:val="69766485"/>
    <w:rsid w:val="697D0A59"/>
    <w:rsid w:val="69F148BD"/>
    <w:rsid w:val="6A7925F7"/>
    <w:rsid w:val="6ABC7C94"/>
    <w:rsid w:val="6ACB7804"/>
    <w:rsid w:val="6AF26B3F"/>
    <w:rsid w:val="6AF80B9B"/>
    <w:rsid w:val="6B120F8F"/>
    <w:rsid w:val="6B403B44"/>
    <w:rsid w:val="6B421874"/>
    <w:rsid w:val="6BAD2A66"/>
    <w:rsid w:val="6BEA2454"/>
    <w:rsid w:val="6C470E1E"/>
    <w:rsid w:val="6C501D6F"/>
    <w:rsid w:val="6CA05869"/>
    <w:rsid w:val="6CDE3E9F"/>
    <w:rsid w:val="6D2A2B88"/>
    <w:rsid w:val="6DC30759"/>
    <w:rsid w:val="6E4F6481"/>
    <w:rsid w:val="6F1A57AF"/>
    <w:rsid w:val="6FC84312"/>
    <w:rsid w:val="7040034C"/>
    <w:rsid w:val="71125845"/>
    <w:rsid w:val="71A21035"/>
    <w:rsid w:val="71B20DD6"/>
    <w:rsid w:val="71FB6BAE"/>
    <w:rsid w:val="725708D2"/>
    <w:rsid w:val="72710C91"/>
    <w:rsid w:val="72A03324"/>
    <w:rsid w:val="72BB015E"/>
    <w:rsid w:val="72BF19FC"/>
    <w:rsid w:val="735A7977"/>
    <w:rsid w:val="739C2685"/>
    <w:rsid w:val="73A66718"/>
    <w:rsid w:val="74177616"/>
    <w:rsid w:val="74212B0D"/>
    <w:rsid w:val="756F711B"/>
    <w:rsid w:val="7589009F"/>
    <w:rsid w:val="76647254"/>
    <w:rsid w:val="76D417E3"/>
    <w:rsid w:val="76D57A40"/>
    <w:rsid w:val="772938E8"/>
    <w:rsid w:val="773A3B3B"/>
    <w:rsid w:val="77A24B7F"/>
    <w:rsid w:val="78EE303B"/>
    <w:rsid w:val="79D94236"/>
    <w:rsid w:val="79FF6D5B"/>
    <w:rsid w:val="7A9D67A7"/>
    <w:rsid w:val="7AA240DD"/>
    <w:rsid w:val="7B3B3EC4"/>
    <w:rsid w:val="7C79442F"/>
    <w:rsid w:val="7CA345C3"/>
    <w:rsid w:val="7CE0713F"/>
    <w:rsid w:val="7DE65EF4"/>
    <w:rsid w:val="7DEC38C1"/>
    <w:rsid w:val="7F4A2182"/>
    <w:rsid w:val="7F531EB8"/>
    <w:rsid w:val="7F8A3392"/>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afterLines="0" w:line="240" w:lineRule="atLeast"/>
      <w:ind w:firstLine="420" w:firstLineChars="100"/>
    </w:pPr>
    <w:rPr>
      <w:rFonts w:ascii="宋体" w:hAnsi="宋体" w:eastAsia="小标宋" w:cs="Times New Roman"/>
      <w:sz w:val="44"/>
      <w:szCs w:val="32"/>
    </w:rPr>
  </w:style>
  <w:style w:type="paragraph" w:styleId="3">
    <w:name w:val="Body Text"/>
    <w:basedOn w:val="1"/>
    <w:next w:val="4"/>
    <w:qFormat/>
    <w:uiPriority w:val="0"/>
    <w:pPr>
      <w:spacing w:after="120" w:afterLines="0"/>
    </w:pPr>
  </w:style>
  <w:style w:type="paragraph" w:customStyle="1" w:styleId="4">
    <w:name w:val="Body Text First Indent1"/>
    <w:basedOn w:val="3"/>
    <w:qFormat/>
    <w:uiPriority w:val="0"/>
    <w:pPr>
      <w:spacing w:line="360" w:lineRule="auto"/>
      <w:ind w:firstLine="420" w:firstLineChars="100"/>
    </w:pPr>
    <w:rPr>
      <w:szCs w:val="24"/>
    </w:rPr>
  </w:style>
  <w:style w:type="paragraph" w:styleId="5">
    <w:name w:val="annotation text"/>
    <w:basedOn w:val="1"/>
    <w:link w:val="14"/>
    <w:qFormat/>
    <w:uiPriority w:val="99"/>
    <w:pPr>
      <w:jc w:val="left"/>
    </w:pPr>
    <w:rPr>
      <w:rFonts w:ascii="Times New Roman" w:hAnsi="Times New Roman"/>
      <w:szCs w:val="24"/>
    </w:rPr>
  </w:style>
  <w:style w:type="paragraph" w:styleId="6">
    <w:name w:val="Balloon Text"/>
    <w:basedOn w:val="1"/>
    <w:link w:val="15"/>
    <w:qFormat/>
    <w:uiPriority w:val="99"/>
    <w:rPr>
      <w:rFonts w:ascii="Times New Roman" w:hAnsi="Times New Roman"/>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character" w:customStyle="1" w:styleId="14">
    <w:name w:val="批注文字 Char"/>
    <w:basedOn w:val="11"/>
    <w:link w:val="5"/>
    <w:qFormat/>
    <w:locked/>
    <w:uiPriority w:val="99"/>
    <w:rPr>
      <w:rFonts w:ascii="Times New Roman" w:hAnsi="Times New Roman" w:eastAsia="宋体" w:cs="Times New Roman"/>
      <w:sz w:val="24"/>
      <w:szCs w:val="24"/>
    </w:rPr>
  </w:style>
  <w:style w:type="character" w:customStyle="1" w:styleId="15">
    <w:name w:val="批注框文本 Char"/>
    <w:basedOn w:val="11"/>
    <w:link w:val="6"/>
    <w:qFormat/>
    <w:locked/>
    <w:uiPriority w:val="99"/>
    <w:rPr>
      <w:rFonts w:ascii="Times New Roman" w:hAnsi="Times New Roman" w:eastAsia="宋体" w:cs="Times New Roman"/>
      <w:sz w:val="18"/>
      <w:szCs w:val="18"/>
    </w:rPr>
  </w:style>
  <w:style w:type="character" w:customStyle="1" w:styleId="16">
    <w:name w:val="页脚 Char"/>
    <w:basedOn w:val="11"/>
    <w:link w:val="7"/>
    <w:qFormat/>
    <w:locked/>
    <w:uiPriority w:val="99"/>
    <w:rPr>
      <w:rFonts w:cs="Times New Roman"/>
      <w:sz w:val="18"/>
      <w:szCs w:val="18"/>
    </w:rPr>
  </w:style>
  <w:style w:type="character" w:customStyle="1" w:styleId="17">
    <w:name w:val="页眉 Char"/>
    <w:basedOn w:val="11"/>
    <w:link w:val="8"/>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paragraph" w:customStyle="1" w:styleId="21">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9911</Words>
  <Characters>11014</Characters>
  <Lines>35</Lines>
  <Paragraphs>9</Paragraphs>
  <TotalTime>212</TotalTime>
  <ScaleCrop>false</ScaleCrop>
  <LinksUpToDate>false</LinksUpToDate>
  <CharactersWithSpaces>14324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Administrator</cp:lastModifiedBy>
  <cp:lastPrinted>2022-10-27T03:14:00Z</cp:lastPrinted>
  <dcterms:modified xsi:type="dcterms:W3CDTF">2022-11-01T02:18:13Z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05A3344A75BF4096A4DCE5DEC370004C</vt:lpwstr>
  </property>
</Properties>
</file>