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rPr>
          <w:rFonts w:ascii="Times New Roman" w:hAnsi="Times New Roman" w:eastAsia="仿宋_GB2312"/>
          <w:kern w:val="0"/>
          <w:sz w:val="32"/>
          <w:szCs w:val="32"/>
        </w:rPr>
      </w:pPr>
      <w:r>
        <w:rPr>
          <w:rFonts w:hint="eastAsia" w:ascii="黑体" w:hAnsi="黑体" w:eastAsia="黑体" w:cs="黑体"/>
          <w:kern w:val="0"/>
          <w:sz w:val="32"/>
          <w:szCs w:val="32"/>
        </w:rPr>
        <w:t>附件</w:t>
      </w:r>
      <w:r>
        <w:rPr>
          <w:rFonts w:ascii="Times New Roman" w:hAnsi="Times New Roman" w:eastAsia="仿宋_GB2312"/>
          <w:kern w:val="0"/>
          <w:sz w:val="32"/>
          <w:szCs w:val="32"/>
        </w:rPr>
        <w:t>1</w:t>
      </w: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lang w:eastAsia="zh-CN"/>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lang w:eastAsia="zh-CN"/>
        </w:rPr>
        <w:t>：衡阳市交通运输局（</w:t>
      </w:r>
      <w:r>
        <w:rPr>
          <w:rFonts w:hint="eastAsia" w:ascii="Times New Roman" w:hAnsi="Times New Roman"/>
          <w:sz w:val="36"/>
          <w:szCs w:val="36"/>
          <w:lang w:val="en-US" w:eastAsia="zh-CN"/>
        </w:rPr>
        <w:t>盖章</w:t>
      </w:r>
      <w:r>
        <w:rPr>
          <w:rFonts w:hint="eastAsia" w:ascii="Times New Roman" w:hAnsi="Times New Roman"/>
          <w:sz w:val="36"/>
          <w:szCs w:val="36"/>
          <w:lang w:eastAsia="zh-CN"/>
        </w:rPr>
        <w:t>）</w:t>
      </w:r>
    </w:p>
    <w:p>
      <w:pPr>
        <w:ind w:firstLine="1800" w:firstLineChars="500"/>
        <w:jc w:val="both"/>
        <w:rPr>
          <w:rFonts w:ascii="Times New Roman" w:hAnsi="Times New Roman" w:eastAsia="黑体"/>
          <w:sz w:val="36"/>
          <w:szCs w:val="36"/>
        </w:rPr>
      </w:pPr>
      <w:r>
        <w:rPr>
          <w:rFonts w:hint="eastAsia" w:ascii="Times New Roman" w:hAnsi="Times New Roman"/>
          <w:sz w:val="36"/>
          <w:szCs w:val="36"/>
          <w:lang w:val="en-US" w:eastAsia="zh-CN"/>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6"/>
          <w:szCs w:val="36"/>
          <w:lang w:val="en-US" w:eastAsia="zh-CN"/>
        </w:rPr>
        <w:t>2022</w:t>
      </w:r>
      <w:r>
        <w:rPr>
          <w:rFonts w:ascii="Times New Roman" w:hAnsi="Times New Roman" w:eastAsia="黑体"/>
          <w:sz w:val="36"/>
          <w:szCs w:val="36"/>
        </w:rPr>
        <w:t>年</w:t>
      </w:r>
      <w:r>
        <w:rPr>
          <w:rFonts w:hint="eastAsia" w:ascii="Times New Roman" w:hAnsi="Times New Roman" w:eastAsia="黑体"/>
          <w:sz w:val="36"/>
          <w:szCs w:val="36"/>
          <w:lang w:val="en-US" w:eastAsia="zh-CN"/>
        </w:rPr>
        <w:t>8</w:t>
      </w:r>
      <w:r>
        <w:rPr>
          <w:rFonts w:ascii="Times New Roman" w:hAnsi="Times New Roman" w:eastAsia="黑体"/>
          <w:sz w:val="36"/>
          <w:szCs w:val="36"/>
        </w:rPr>
        <w:t>月</w:t>
      </w:r>
      <w:r>
        <w:rPr>
          <w:rFonts w:hint="eastAsia" w:ascii="Times New Roman" w:hAnsi="Times New Roman" w:eastAsia="黑体"/>
          <w:sz w:val="36"/>
          <w:szCs w:val="36"/>
          <w:lang w:val="en-US" w:eastAsia="zh-CN"/>
        </w:rPr>
        <w:t>20</w:t>
      </w:r>
      <w:r>
        <w:rPr>
          <w:rFonts w:ascii="Times New Roman" w:hAnsi="Times New Roman" w:eastAsia="黑体"/>
          <w:sz w:val="36"/>
          <w:szCs w:val="36"/>
        </w:rPr>
        <w:t>日</w:t>
      </w:r>
    </w:p>
    <w:p>
      <w:pPr>
        <w:jc w:val="center"/>
        <w:rPr>
          <w:rFonts w:ascii="Times New Roman" w:hAnsi="Times New Roman" w:eastAsia="黑体"/>
          <w:sz w:val="32"/>
          <w:szCs w:val="32"/>
        </w:rPr>
      </w:pPr>
    </w:p>
    <w:p>
      <w:pPr>
        <w:spacing w:line="600" w:lineRule="exact"/>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部门整体支出绩效自评报告</w:t>
      </w:r>
    </w:p>
    <w:p>
      <w:pPr>
        <w:rPr>
          <w:rFonts w:ascii="Times New Roman" w:hAnsi="Times New Roman" w:eastAsia="方正小标宋_GBK"/>
          <w:sz w:val="32"/>
          <w:szCs w:val="32"/>
        </w:rPr>
      </w:pP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40" w:firstLineChars="200"/>
        <w:jc w:val="both"/>
        <w:textAlignment w:val="auto"/>
        <w:rPr>
          <w:rFonts w:hint="eastAsia" w:ascii="仿宋" w:hAnsi="仿宋" w:eastAsia="仿宋" w:cs="仿宋"/>
          <w:b/>
          <w:bCs/>
          <w:color w:val="auto"/>
          <w:kern w:val="0"/>
          <w:lang w:val="en-US" w:eastAsia="zh-CN" w:bidi="zh-CN"/>
        </w:rPr>
      </w:pPr>
      <w:r>
        <w:rPr>
          <w:rFonts w:hint="eastAsia" w:ascii="仿宋" w:hAnsi="仿宋" w:eastAsia="仿宋" w:cs="仿宋"/>
          <w:b/>
          <w:bCs/>
          <w:color w:val="auto"/>
          <w:kern w:val="0"/>
          <w:lang w:val="en-US" w:eastAsia="zh-CN" w:bidi="zh-CN"/>
        </w:rPr>
        <w:t>一</w:t>
      </w:r>
      <w:r>
        <w:rPr>
          <w:rFonts w:hint="eastAsia" w:ascii="仿宋" w:hAnsi="仿宋" w:eastAsia="仿宋" w:cs="仿宋"/>
          <w:b/>
          <w:bCs/>
          <w:color w:val="auto"/>
          <w:kern w:val="0"/>
          <w:lang w:val="zh-CN" w:bidi="zh-CN"/>
        </w:rPr>
        <w:t>、</w:t>
      </w:r>
      <w:r>
        <w:rPr>
          <w:rFonts w:hint="eastAsia" w:ascii="仿宋" w:hAnsi="仿宋" w:eastAsia="仿宋" w:cs="仿宋"/>
          <w:b/>
          <w:bCs/>
          <w:color w:val="auto"/>
          <w:kern w:val="0"/>
          <w:lang w:val="en-US" w:eastAsia="zh-CN" w:bidi="zh-CN"/>
        </w:rPr>
        <w:t>部门、单位</w:t>
      </w:r>
      <w:r>
        <w:rPr>
          <w:rFonts w:ascii="仿宋" w:hAnsi="仿宋" w:eastAsia="仿宋" w:cs="仿宋"/>
          <w:b/>
          <w:color w:val="auto"/>
        </w:rPr>
        <w:t>基本</w:t>
      </w:r>
      <w:r>
        <w:rPr>
          <w:rFonts w:hint="eastAsia" w:ascii="仿宋" w:hAnsi="仿宋" w:eastAsia="仿宋" w:cs="仿宋"/>
          <w:b/>
          <w:color w:val="auto"/>
          <w:lang w:eastAsia="zh-CN"/>
        </w:rPr>
        <w:t>情况</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b/>
          <w:bCs/>
          <w:color w:val="auto"/>
          <w:kern w:val="0"/>
          <w:lang w:val="en-US" w:bidi="zh-CN"/>
        </w:rPr>
      </w:pPr>
      <w:r>
        <w:rPr>
          <w:rFonts w:hint="eastAsia" w:ascii="仿宋" w:hAnsi="仿宋" w:eastAsia="仿宋" w:cs="仿宋"/>
          <w:b/>
          <w:bCs/>
          <w:color w:val="auto"/>
          <w:kern w:val="0"/>
          <w:lang w:val="en-US" w:bidi="zh-CN"/>
        </w:rPr>
        <w:t>（一）职能职责。</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(1)承担涉及综合运输体系的规划协调工作，会同有关部门组织编制全市综合运输体系规划，指导县市区和承担市本级的交通运输枢纽规划和管理工作。</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(2)拟订全市交通运输业发展政策、行业管理规范性文件。组织拟订全市公路、水路等行业规划和实施细则并监督实施。负责交通运输行政许可、执法检查和监督。参与拟订物流业发展战略和规划并监督实施。指导全市交通运输行业有关体制改革。</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(3)承担原市公路管理局、市地方海事局、市城市公共交通管理处、市道路运输管理处、市交通建设质量安全监督管理处的行政职能。</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(4)承担全市公路、水路建设市场监管责任。负责全市公路水路工程建设相关政策、制度和技术标准的监督实施。组织实施或协调国家、省重点和市级公路、水路交通工程建设。负责公路、水路交通建设工程造价控制和工程质量、安全生产的监督管理。协助铁路部门做好铁路道口安全管理。承担全市公路、水路基本建设项目的绩效监督和管理工作。负责市本级和指导县市区交通运输基础设施管理和维护。</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(5)承担全市道路运输、水路运输市场监管责任。组织宣传贯彻道路运输、水路运输、地方铁路专用线监管有关政策、技术标准和运营规范并监督实施。指导县市区和负责市本级城乡客运及有关设施规划和管理工作，指导县市区和负责市本级出租车行业管理工作。负责市管道运输有关管理工作。负责市民航机场有关管理工作。</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(6)承担水上交通安全监管责任。负责水上交通管制、船舶及相关水上设施检验、登记和防止污染、水上消防、救助打捞、通信导航、船舶与港口设施保安及危险品运输监督管理工作。负责船员管理有关工作。负责市级管理水域水上交通安全事故、船舶及相关水上设施污染事故的应急处置，依法组织或参与事故调查处理工作。负责和指导全市水上交通安全监管工作。</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(7)负责提出全市公路、水路固定资产投资规模和方向、市级财政性资金安排建议。负责公路、桥梁、渡口、隧道的行业管理，提出有关财政、土地、价格政策建议。</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(8)指导县市区和负责市本级公路、水路、地方铁路专用线行业安全生产和应急管理工作。按规定组织协调全市重点物资和紧急客货运输，负责全市重点干线路网运行监测和协调。组织协调全市地方交通战备工作，承担市国防动员有关工作。</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(9)监督实施地方性交通运输行业科技政策、规划和规范。负责全市交通运输信息化建设，监测分析运行情况，开展相关统计工作，发布有关信息。指导县市区和负责市本级公路、水路行业环境保护和节能减排工作。</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(10)指导县市区和负责市本级交通运输行业开展对外交流合作和交通外经外贸工作。协调高速公路、铁路、民航、邮政管理涉及地方的相关工作。</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（11）负责本行业、领域的应急管理工作，对本行业、领域的安全生产工作实施监督管理。</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（12）完成市委、市政府交办的其他任务。</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（13）有关职责分工。</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①与市发展和改革委员会、市工业和信息化局、市商务和粮食局的职责分工。市发展和改革委员会负责综合交通运输体系规划与国民经济和社会发展规划的衔接平衡，负责全市铁路、民航建设项目的衔接申报工作。市交通运输局负责研究拟订全市公路、水路等规划，提出公路、水路固定资产投资财政性资金安排意见，按市政府规定权限审批、核准规划内和计划规模内公路、水路固定资产投资项目，市发展和改革委员会审批、审核的交通运输基础设施固定资产投资项目，需征求市交通运输局意见。市发展和改革委员会牵头负责全市物流发展工作，拟订现代物流业发展战略、规划和政策，协调物流业发展重大布局。市工业和信息化局负责指导生产企业的物流外包工作，促进企业内部物流社会化。市商务和粮食局负责推动流通标准化和连锁经营商业特许经营、物流配送、电子商务等现代流通方式的发展，拟订运用电子商务开拓国内市场的相关政策措施，拟订商务领域电子商务相关标准和规划。市交通运输局参与拟订全市物流业发展战略和规划，拟订有关物流发展的政策和标准并监督实施。  </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②与市水利局、市公安局、市自然资源和规划局、市生态环境局、市农业农村局、市林业局的职责分工。市水利局具体负责河道采砂的管理和监督工作，编制河道采砂规划和年度河道采砂计划，实施采砂许可，负责建立砂石开采监控平台、安装监控设备，负责采砂业主定点、定时、定量、定船数开采等现场监督及落实生态环保措施，负责组织开展河道采砂常态化监督巡查工作，依法查处无证采砂、夜间采挖、可采区超量、超时限、超范围等违法采砂行为。市交通运输局负责采(运)砂船舶、规划内集中停靠点及砂石码头的管理，依据职责权限对通航水域内采(运)砂船舶实施监管，依法查处采(运)砂船舶相关违法违规行为，结合辖区实际情况，划定停泊水域，强化对停航船舶的监管。市公安局负责打击涉砂刑事犯罪，开展河道采砂联合执法行动。市自然资源和规划局、市生态环境局、市农业农村局、市林业局按照各自职责，协助做好河道采砂监督管理的相关工作。</w:t>
      </w:r>
    </w:p>
    <w:p>
      <w:pPr>
        <w:pStyle w:val="2"/>
        <w:keepNext w:val="0"/>
        <w:keepLines w:val="0"/>
        <w:pageBreakBefore w:val="0"/>
        <w:widowControl w:val="0"/>
        <w:numPr>
          <w:ilvl w:val="0"/>
          <w:numId w:val="1"/>
        </w:numPr>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b/>
          <w:bCs/>
          <w:color w:val="auto"/>
          <w:kern w:val="0"/>
          <w:lang w:val="en-US" w:bidi="zh-CN"/>
        </w:rPr>
      </w:pPr>
      <w:r>
        <w:rPr>
          <w:rFonts w:hint="eastAsia" w:ascii="仿宋" w:hAnsi="仿宋" w:eastAsia="仿宋" w:cs="仿宋"/>
          <w:b/>
          <w:bCs/>
          <w:color w:val="auto"/>
          <w:kern w:val="0"/>
          <w:lang w:val="en-US" w:bidi="zh-CN"/>
        </w:rPr>
        <w:t>机构设置。</w:t>
      </w:r>
    </w:p>
    <w:p>
      <w:pPr>
        <w:pStyle w:val="2"/>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办公室、组织人事科、法规科、规划统计科、基本建设科、道路运输科、公路管理科、港航管理科、安全监督科（应急办公室）、财务审计科、行政审批服务科、交通战备办（市国防动员委员会交通战备办公室）、机关党委、离退休人员管理服务科等14个科处室，属市一级财政预算单位。下设1个正处级、4个副处级、2个正科级等7个全额拨款事业单位。</w:t>
      </w:r>
    </w:p>
    <w:p>
      <w:pPr>
        <w:pStyle w:val="18"/>
        <w:widowControl/>
        <w:ind w:left="0" w:leftChars="0" w:firstLine="640" w:firstLineChars="200"/>
        <w:rPr>
          <w:rFonts w:hint="eastAsia" w:ascii="仿宋" w:hAnsi="仿宋" w:eastAsia="仿宋" w:cs="仿宋"/>
          <w:color w:val="auto"/>
          <w:kern w:val="2"/>
          <w:sz w:val="32"/>
          <w:szCs w:val="32"/>
          <w:lang w:val="en-US" w:eastAsia="zh-CN" w:bidi="ar-SA"/>
        </w:rPr>
      </w:pPr>
      <w:r>
        <w:rPr>
          <w:rFonts w:hint="eastAsia" w:ascii="黑体" w:hAnsi="黑体" w:eastAsia="黑体" w:cs="黑体"/>
          <w:sz w:val="32"/>
          <w:szCs w:val="32"/>
        </w:rPr>
        <w:t>二、一般公共预算支出情况</w:t>
      </w:r>
    </w:p>
    <w:p>
      <w:pPr>
        <w:pStyle w:val="18"/>
        <w:widowControl/>
        <w:ind w:left="0" w:leftChars="0" w:firstLine="320" w:firstLineChars="1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（一）基本支出情况</w:t>
      </w:r>
    </w:p>
    <w:p>
      <w:pPr>
        <w:pStyle w:val="8"/>
        <w:keepNext w:val="0"/>
        <w:keepLines w:val="0"/>
        <w:widowControl/>
        <w:suppressLineNumbers w:val="0"/>
        <w:shd w:val="clear" w:fill="FFFFFF"/>
        <w:spacing w:before="0" w:beforeAutospacing="0" w:after="0" w:afterAutospacing="0" w:line="352" w:lineRule="atLeast"/>
        <w:ind w:left="0" w:right="0" w:firstLine="56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1、预算完成情况</w:t>
      </w:r>
    </w:p>
    <w:p>
      <w:pPr>
        <w:pStyle w:val="8"/>
        <w:keepNext w:val="0"/>
        <w:keepLines w:val="0"/>
        <w:widowControl/>
        <w:suppressLineNumbers w:val="0"/>
        <w:shd w:val="clear" w:fill="FFFFFF"/>
        <w:spacing w:before="0" w:beforeAutospacing="0" w:after="0" w:afterAutospacing="0" w:line="352" w:lineRule="atLeast"/>
        <w:ind w:left="0" w:right="0" w:firstLine="560"/>
        <w:jc w:val="both"/>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2021年度基本支出年初预算1455.27万元，决算数1562.1万元。差异的主要原因是行政单位增人增资、丧葬抚恤金等追加财政拨款。</w:t>
      </w:r>
    </w:p>
    <w:p>
      <w:pPr>
        <w:pStyle w:val="8"/>
        <w:keepNext w:val="0"/>
        <w:keepLines w:val="0"/>
        <w:widowControl/>
        <w:numPr>
          <w:ilvl w:val="0"/>
          <w:numId w:val="2"/>
        </w:numPr>
        <w:suppressLineNumbers w:val="0"/>
        <w:shd w:val="clear" w:fill="FFFFFF"/>
        <w:spacing w:before="0" w:beforeAutospacing="0" w:after="0" w:afterAutospacing="0" w:line="352" w:lineRule="atLeast"/>
        <w:ind w:left="0" w:right="0" w:firstLine="56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基本支出构成</w:t>
      </w:r>
    </w:p>
    <w:p>
      <w:pPr>
        <w:pStyle w:val="8"/>
        <w:keepNext w:val="0"/>
        <w:keepLines w:val="0"/>
        <w:widowControl/>
        <w:numPr>
          <w:ilvl w:val="0"/>
          <w:numId w:val="0"/>
        </w:numPr>
        <w:suppressLineNumbers w:val="0"/>
        <w:shd w:val="clear" w:fill="FFFFFF"/>
        <w:spacing w:before="0" w:beforeAutospacing="0" w:after="0" w:afterAutospacing="0" w:line="352" w:lineRule="atLeast"/>
        <w:ind w:right="0" w:rightChars="0" w:firstLine="640" w:firstLineChars="200"/>
        <w:jc w:val="both"/>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2021年基本支出决算数1562.1万元。</w:t>
      </w:r>
    </w:p>
    <w:p>
      <w:pPr>
        <w:spacing w:line="360" w:lineRule="auto"/>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基本支出主要是为保障单位机构正常运转、完成日常工作任务而发生的各项支出。包括用于基本工资、津贴补贴、养老保险、职工基本医保、住房公积金等人员经费以及办公费、印刷费、水电费、维修费、差旅费、公务接待、公务用车、会议费、培训费等日常公用经费。其中：</w:t>
      </w:r>
    </w:p>
    <w:p>
      <w:pPr>
        <w:numPr>
          <w:ilvl w:val="0"/>
          <w:numId w:val="3"/>
        </w:numPr>
        <w:spacing w:line="360" w:lineRule="auto"/>
        <w:ind w:firstLine="640" w:firstLineChars="200"/>
        <w:rPr>
          <w:rFonts w:hint="eastAsia" w:ascii="仿宋" w:hAnsi="仿宋" w:eastAsia="仿宋" w:cs="仿宋_GB2312"/>
          <w:sz w:val="32"/>
          <w:szCs w:val="32"/>
          <w:lang w:bidi="ar"/>
        </w:rPr>
      </w:pPr>
      <w:r>
        <w:rPr>
          <w:rFonts w:hint="eastAsia" w:ascii="仿宋" w:hAnsi="仿宋" w:eastAsia="仿宋" w:cs="仿宋"/>
          <w:color w:val="auto"/>
          <w:kern w:val="2"/>
          <w:sz w:val="32"/>
          <w:szCs w:val="32"/>
          <w:lang w:val="en-US" w:eastAsia="zh-CN" w:bidi="ar-SA"/>
        </w:rPr>
        <w:t>工资福利支出989万元，</w:t>
      </w:r>
      <w:r>
        <w:rPr>
          <w:rFonts w:hint="eastAsia" w:ascii="仿宋" w:hAnsi="仿宋" w:eastAsia="仿宋" w:cs="仿宋_GB2312"/>
          <w:sz w:val="32"/>
          <w:szCs w:val="32"/>
          <w:lang w:bidi="ar"/>
        </w:rPr>
        <w:t>占比6</w:t>
      </w:r>
      <w:r>
        <w:rPr>
          <w:rFonts w:hint="eastAsia" w:ascii="仿宋" w:hAnsi="仿宋" w:eastAsia="仿宋" w:cs="仿宋_GB2312"/>
          <w:sz w:val="32"/>
          <w:szCs w:val="32"/>
          <w:lang w:val="en-US" w:eastAsia="zh-CN" w:bidi="ar"/>
        </w:rPr>
        <w:t>3.3</w:t>
      </w:r>
      <w:r>
        <w:rPr>
          <w:rFonts w:hint="eastAsia" w:ascii="仿宋" w:hAnsi="仿宋" w:eastAsia="仿宋" w:cs="仿宋_GB2312"/>
          <w:sz w:val="32"/>
          <w:szCs w:val="32"/>
          <w:lang w:bidi="ar"/>
        </w:rPr>
        <w:t>%，主要反映在职人员的工资福利和缴纳的五险一金；</w:t>
      </w:r>
    </w:p>
    <w:p>
      <w:pPr>
        <w:numPr>
          <w:ilvl w:val="0"/>
          <w:numId w:val="3"/>
        </w:numPr>
        <w:spacing w:line="360" w:lineRule="auto"/>
        <w:ind w:left="0" w:leftChars="0" w:firstLine="640" w:firstLineChars="200"/>
        <w:rPr>
          <w:rFonts w:hint="eastAsia" w:ascii="仿宋" w:hAnsi="仿宋" w:eastAsia="仿宋" w:cs="仿宋_GB2312"/>
          <w:sz w:val="32"/>
          <w:szCs w:val="32"/>
          <w:lang w:bidi="ar"/>
        </w:rPr>
      </w:pPr>
      <w:r>
        <w:rPr>
          <w:rFonts w:hint="eastAsia" w:ascii="仿宋" w:hAnsi="仿宋" w:eastAsia="仿宋" w:cs="仿宋_GB2312"/>
          <w:sz w:val="32"/>
          <w:szCs w:val="32"/>
          <w:lang w:bidi="ar"/>
        </w:rPr>
        <w:t>商品和服务及资本性支出4</w:t>
      </w:r>
      <w:r>
        <w:rPr>
          <w:rFonts w:hint="eastAsia" w:ascii="仿宋" w:hAnsi="仿宋" w:eastAsia="仿宋" w:cs="仿宋_GB2312"/>
          <w:sz w:val="32"/>
          <w:szCs w:val="32"/>
          <w:lang w:val="en-US" w:eastAsia="zh-CN" w:bidi="ar"/>
        </w:rPr>
        <w:t>40.3</w:t>
      </w:r>
      <w:r>
        <w:rPr>
          <w:rFonts w:hint="eastAsia" w:ascii="仿宋" w:hAnsi="仿宋" w:eastAsia="仿宋" w:cs="仿宋_GB2312"/>
          <w:sz w:val="32"/>
          <w:szCs w:val="32"/>
          <w:lang w:bidi="ar"/>
        </w:rPr>
        <w:t>万元，占比</w:t>
      </w:r>
      <w:r>
        <w:rPr>
          <w:rFonts w:hint="eastAsia" w:ascii="仿宋" w:hAnsi="仿宋" w:eastAsia="仿宋" w:cs="仿宋_GB2312"/>
          <w:sz w:val="32"/>
          <w:szCs w:val="32"/>
          <w:lang w:val="en-US" w:eastAsia="zh-CN" w:bidi="ar"/>
        </w:rPr>
        <w:t>28.2</w:t>
      </w:r>
      <w:r>
        <w:rPr>
          <w:rFonts w:hint="eastAsia" w:ascii="仿宋" w:hAnsi="仿宋" w:eastAsia="仿宋" w:cs="仿宋_GB2312"/>
          <w:sz w:val="32"/>
          <w:szCs w:val="32"/>
          <w:lang w:bidi="ar"/>
        </w:rPr>
        <w:t>%，主要反映单位的机关运转及</w:t>
      </w:r>
      <w:r>
        <w:rPr>
          <w:rFonts w:hint="eastAsia" w:ascii="仿宋" w:hAnsi="仿宋" w:eastAsia="仿宋" w:cs="仿宋"/>
          <w:sz w:val="32"/>
          <w:szCs w:val="32"/>
        </w:rPr>
        <w:t>完成日常工作任务而发生的</w:t>
      </w:r>
      <w:r>
        <w:rPr>
          <w:rFonts w:hint="eastAsia" w:ascii="仿宋" w:hAnsi="仿宋" w:eastAsia="仿宋" w:cs="仿宋_GB2312"/>
          <w:sz w:val="32"/>
          <w:szCs w:val="32"/>
          <w:lang w:bidi="ar"/>
        </w:rPr>
        <w:t>经费及资本性支出；</w:t>
      </w:r>
    </w:p>
    <w:p>
      <w:pPr>
        <w:numPr>
          <w:ilvl w:val="0"/>
          <w:numId w:val="3"/>
        </w:numPr>
        <w:spacing w:line="360" w:lineRule="auto"/>
        <w:ind w:left="0" w:leftChars="0" w:firstLine="640" w:firstLineChars="200"/>
        <w:rPr>
          <w:rFonts w:hint="eastAsia" w:ascii="仿宋" w:hAnsi="仿宋" w:eastAsia="仿宋"/>
          <w:sz w:val="32"/>
          <w:szCs w:val="32"/>
          <w:lang w:eastAsia="zh-CN"/>
        </w:rPr>
      </w:pPr>
      <w:r>
        <w:rPr>
          <w:rFonts w:hint="eastAsia" w:ascii="仿宋" w:hAnsi="仿宋" w:eastAsia="仿宋" w:cs="仿宋_GB2312"/>
          <w:sz w:val="32"/>
          <w:szCs w:val="32"/>
          <w:lang w:bidi="ar"/>
        </w:rPr>
        <w:t>对个人和家庭的补助支出1</w:t>
      </w:r>
      <w:r>
        <w:rPr>
          <w:rFonts w:hint="eastAsia" w:ascii="仿宋" w:hAnsi="仿宋" w:eastAsia="仿宋" w:cs="仿宋_GB2312"/>
          <w:sz w:val="32"/>
          <w:szCs w:val="32"/>
          <w:lang w:val="en-US" w:eastAsia="zh-CN" w:bidi="ar"/>
        </w:rPr>
        <w:t>23.5</w:t>
      </w:r>
      <w:r>
        <w:rPr>
          <w:rFonts w:hint="eastAsia" w:ascii="仿宋" w:hAnsi="仿宋" w:eastAsia="仿宋" w:cs="仿宋_GB2312"/>
          <w:sz w:val="32"/>
          <w:szCs w:val="32"/>
          <w:lang w:bidi="ar"/>
        </w:rPr>
        <w:t>万元，占比8%，主要反映单位离退休人员的相关经费。</w:t>
      </w:r>
      <w:r>
        <w:rPr>
          <w:rFonts w:hint="eastAsia" w:ascii="仿宋" w:hAnsi="仿宋" w:eastAsia="仿宋"/>
          <w:sz w:val="32"/>
          <w:szCs w:val="32"/>
        </w:rPr>
        <w:t xml:space="preserve"> </w:t>
      </w:r>
    </w:p>
    <w:p>
      <w:pPr>
        <w:numPr>
          <w:ilvl w:val="0"/>
          <w:numId w:val="3"/>
        </w:numPr>
        <w:spacing w:line="360" w:lineRule="auto"/>
        <w:ind w:left="0" w:leftChars="0" w:firstLine="640" w:firstLineChars="200"/>
        <w:rPr>
          <w:rFonts w:hint="eastAsia" w:ascii="仿宋" w:hAnsi="仿宋" w:eastAsia="仿宋"/>
          <w:sz w:val="32"/>
          <w:szCs w:val="32"/>
          <w:lang w:eastAsia="zh-CN"/>
        </w:rPr>
      </w:pPr>
      <w:r>
        <w:rPr>
          <w:rFonts w:hint="eastAsia" w:ascii="仿宋" w:hAnsi="仿宋" w:eastAsia="仿宋" w:cs="仿宋"/>
          <w:color w:val="auto"/>
          <w:kern w:val="2"/>
          <w:sz w:val="32"/>
          <w:szCs w:val="32"/>
          <w:lang w:val="en-US" w:eastAsia="zh-CN" w:bidi="ar-SA"/>
        </w:rPr>
        <w:t>资本性支出9.3万元，</w:t>
      </w:r>
      <w:r>
        <w:rPr>
          <w:rFonts w:hint="eastAsia" w:ascii="仿宋" w:hAnsi="仿宋" w:eastAsia="仿宋" w:cs="仿宋_GB2312"/>
          <w:sz w:val="32"/>
          <w:szCs w:val="32"/>
          <w:lang w:bidi="ar"/>
        </w:rPr>
        <w:t>占比</w:t>
      </w:r>
      <w:r>
        <w:rPr>
          <w:rFonts w:hint="eastAsia" w:ascii="仿宋" w:hAnsi="仿宋" w:eastAsia="仿宋" w:cs="仿宋_GB2312"/>
          <w:sz w:val="32"/>
          <w:szCs w:val="32"/>
          <w:lang w:val="en-US" w:eastAsia="zh-CN" w:bidi="ar"/>
        </w:rPr>
        <w:t>0.5</w:t>
      </w:r>
      <w:r>
        <w:rPr>
          <w:rFonts w:hint="eastAsia" w:ascii="仿宋" w:hAnsi="仿宋" w:eastAsia="仿宋" w:cs="仿宋_GB2312"/>
          <w:sz w:val="32"/>
          <w:szCs w:val="32"/>
          <w:lang w:bidi="ar"/>
        </w:rPr>
        <w:t>%，主要反映单位</w:t>
      </w:r>
      <w:r>
        <w:rPr>
          <w:rFonts w:hint="eastAsia" w:ascii="仿宋" w:hAnsi="仿宋" w:eastAsia="仿宋" w:cs="仿宋_GB2312"/>
          <w:sz w:val="32"/>
          <w:szCs w:val="32"/>
          <w:lang w:eastAsia="zh-CN" w:bidi="ar"/>
        </w:rPr>
        <w:t>购买的办公电脑等办公设备。</w:t>
      </w:r>
    </w:p>
    <w:p>
      <w:pPr>
        <w:pStyle w:val="18"/>
        <w:widowControl/>
        <w:numPr>
          <w:ilvl w:val="0"/>
          <w:numId w:val="2"/>
        </w:numPr>
        <w:ind w:left="0" w:leftChars="0" w:firstLine="560" w:firstLineChars="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三公经费情况</w:t>
      </w:r>
    </w:p>
    <w:p>
      <w:pPr>
        <w:pStyle w:val="18"/>
        <w:widowControl/>
        <w:numPr>
          <w:ilvl w:val="0"/>
          <w:numId w:val="0"/>
        </w:numPr>
        <w:ind w:left="0" w:leftChars="0" w:firstLine="560" w:firstLineChars="175"/>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2021年三公经费预算数为27万元，其中：因公出国（境）费0万元，公务用车购置及运行费8万元（其中：购置费0.00万元、运行费8万元），公务接待费19万元。2021年“三公”经费实际支出10.86万元,公务接待费3.35万元,公务用车购置及运行费7.51万元,因公出国(境)费0万元。实际支出比预算数大大降低，主要是我局认真贯彻执行中央“八项规定”，倡导厉行节约，反对铺张浪费。</w:t>
      </w:r>
    </w:p>
    <w:p>
      <w:pPr>
        <w:pStyle w:val="18"/>
        <w:widowControl/>
        <w:ind w:firstLine="643"/>
        <w:rPr>
          <w:rFonts w:ascii="仿宋" w:hAnsi="仿宋" w:eastAsia="仿宋"/>
          <w:b/>
          <w:sz w:val="32"/>
          <w:szCs w:val="32"/>
        </w:rPr>
      </w:pPr>
      <w:r>
        <w:rPr>
          <w:rFonts w:hint="eastAsia" w:ascii="仿宋" w:hAnsi="仿宋" w:eastAsia="仿宋"/>
          <w:b/>
          <w:sz w:val="32"/>
          <w:szCs w:val="32"/>
        </w:rPr>
        <w:t>（二）项目支出情况</w:t>
      </w:r>
    </w:p>
    <w:p>
      <w:pPr>
        <w:widowControl/>
        <w:spacing w:line="600" w:lineRule="exact"/>
        <w:ind w:firstLine="640" w:firstLineChars="200"/>
        <w:jc w:val="left"/>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项目支出是在基本支出之外为完成其特定的行政工作任务而发生的支出及专项资金。</w:t>
      </w:r>
    </w:p>
    <w:p>
      <w:pPr>
        <w:widowControl/>
        <w:ind w:firstLine="640" w:firstLineChars="200"/>
        <w:rPr>
          <w:rFonts w:hint="eastAsia"/>
          <w:highlight w:val="green"/>
        </w:rPr>
      </w:pPr>
      <w:r>
        <w:rPr>
          <w:rFonts w:hint="eastAsia" w:ascii="仿宋" w:hAnsi="仿宋" w:eastAsia="仿宋" w:cs="仿宋"/>
          <w:color w:val="000000"/>
          <w:sz w:val="32"/>
          <w:szCs w:val="32"/>
          <w:highlight w:val="none"/>
          <w:lang w:eastAsia="zh-CN"/>
        </w:rPr>
        <w:t>2021</w:t>
      </w:r>
      <w:r>
        <w:rPr>
          <w:rFonts w:hint="eastAsia" w:ascii="仿宋" w:hAnsi="仿宋" w:eastAsia="仿宋" w:cs="仿宋"/>
          <w:color w:val="000000"/>
          <w:sz w:val="32"/>
          <w:szCs w:val="32"/>
          <w:highlight w:val="none"/>
        </w:rPr>
        <w:t>年度局机关项目支出</w:t>
      </w:r>
      <w:r>
        <w:rPr>
          <w:rFonts w:hint="eastAsia" w:ascii="仿宋" w:hAnsi="仿宋" w:eastAsia="仿宋" w:cs="仿宋"/>
          <w:color w:val="000000"/>
          <w:sz w:val="32"/>
          <w:szCs w:val="32"/>
          <w:highlight w:val="none"/>
          <w:lang w:val="en-US" w:eastAsia="zh-CN"/>
        </w:rPr>
        <w:t>2033.58</w:t>
      </w:r>
      <w:r>
        <w:rPr>
          <w:rFonts w:hint="eastAsia" w:ascii="仿宋" w:hAnsi="仿宋" w:eastAsia="仿宋" w:cs="仿宋"/>
          <w:color w:val="000000"/>
          <w:sz w:val="32"/>
          <w:szCs w:val="32"/>
          <w:highlight w:val="none"/>
        </w:rPr>
        <w:t>万元，其中：第三方安全检查服务费</w:t>
      </w:r>
      <w:r>
        <w:rPr>
          <w:rFonts w:hint="eastAsia" w:ascii="仿宋" w:hAnsi="仿宋" w:eastAsia="仿宋" w:cs="仿宋"/>
          <w:color w:val="000000"/>
          <w:sz w:val="32"/>
          <w:szCs w:val="32"/>
          <w:highlight w:val="none"/>
          <w:lang w:val="en-US" w:eastAsia="zh-CN"/>
        </w:rPr>
        <w:t>75</w:t>
      </w:r>
      <w:r>
        <w:rPr>
          <w:rFonts w:hint="eastAsia" w:ascii="仿宋" w:hAnsi="仿宋" w:eastAsia="仿宋" w:cs="仿宋"/>
          <w:color w:val="000000"/>
          <w:sz w:val="32"/>
          <w:szCs w:val="32"/>
          <w:highlight w:val="none"/>
        </w:rPr>
        <w:t>万元，农村客运站奖补资金</w:t>
      </w:r>
      <w:r>
        <w:rPr>
          <w:rFonts w:hint="eastAsia" w:ascii="仿宋" w:hAnsi="仿宋" w:eastAsia="仿宋" w:cs="仿宋"/>
          <w:color w:val="000000"/>
          <w:sz w:val="32"/>
          <w:szCs w:val="32"/>
          <w:highlight w:val="none"/>
          <w:lang w:val="en-US" w:eastAsia="zh-CN"/>
        </w:rPr>
        <w:t>25.8</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目标管理考核专项</w:t>
      </w:r>
      <w:r>
        <w:rPr>
          <w:rFonts w:hint="eastAsia" w:ascii="仿宋" w:hAnsi="仿宋" w:eastAsia="仿宋" w:cs="仿宋"/>
          <w:color w:val="000000"/>
          <w:sz w:val="32"/>
          <w:szCs w:val="32"/>
          <w:highlight w:val="none"/>
          <w:lang w:val="en-US" w:eastAsia="zh-CN"/>
        </w:rPr>
        <w:t>94.45万元，</w:t>
      </w:r>
      <w:r>
        <w:rPr>
          <w:rFonts w:hint="eastAsia" w:ascii="仿宋" w:hAnsi="仿宋" w:eastAsia="仿宋" w:cs="仿宋"/>
          <w:color w:val="000000"/>
          <w:sz w:val="32"/>
          <w:szCs w:val="32"/>
          <w:highlight w:val="none"/>
        </w:rPr>
        <w:t>交通运输</w:t>
      </w:r>
      <w:r>
        <w:rPr>
          <w:rFonts w:hint="eastAsia" w:ascii="仿宋" w:hAnsi="仿宋" w:eastAsia="仿宋" w:cs="仿宋"/>
          <w:color w:val="000000"/>
          <w:sz w:val="32"/>
          <w:szCs w:val="32"/>
          <w:highlight w:val="none"/>
          <w:lang w:eastAsia="zh-CN"/>
        </w:rPr>
        <w:t>事业</w:t>
      </w:r>
      <w:r>
        <w:rPr>
          <w:rFonts w:hint="eastAsia" w:ascii="仿宋" w:hAnsi="仿宋" w:eastAsia="仿宋" w:cs="仿宋"/>
          <w:color w:val="000000"/>
          <w:sz w:val="32"/>
          <w:szCs w:val="32"/>
          <w:highlight w:val="none"/>
        </w:rPr>
        <w:t>发展专项</w:t>
      </w:r>
      <w:r>
        <w:rPr>
          <w:rFonts w:hint="eastAsia" w:ascii="仿宋" w:hAnsi="仿宋" w:eastAsia="仿宋" w:cs="仿宋"/>
          <w:color w:val="000000"/>
          <w:sz w:val="32"/>
          <w:szCs w:val="32"/>
          <w:highlight w:val="none"/>
          <w:lang w:val="en-US" w:eastAsia="zh-CN"/>
        </w:rPr>
        <w:t>158.39</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客货运站场建设补助资金</w:t>
      </w:r>
      <w:r>
        <w:rPr>
          <w:rFonts w:hint="eastAsia" w:ascii="仿宋" w:hAnsi="仿宋" w:eastAsia="仿宋" w:cs="仿宋"/>
          <w:color w:val="000000"/>
          <w:sz w:val="32"/>
          <w:szCs w:val="32"/>
          <w:highlight w:val="none"/>
          <w:lang w:val="en-US" w:eastAsia="zh-CN"/>
        </w:rPr>
        <w:t>250万元，</w:t>
      </w:r>
      <w:r>
        <w:rPr>
          <w:rFonts w:hint="eastAsia" w:ascii="仿宋" w:hAnsi="仿宋" w:eastAsia="仿宋" w:cs="仿宋"/>
          <w:color w:val="000000"/>
          <w:sz w:val="32"/>
          <w:szCs w:val="32"/>
          <w:highlight w:val="none"/>
        </w:rPr>
        <w:t>铁路安全环境治理整治经费10万元</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企业军退人员解困慰问资金1</w:t>
      </w:r>
      <w:r>
        <w:rPr>
          <w:rFonts w:hint="eastAsia" w:ascii="仿宋" w:hAnsi="仿宋" w:eastAsia="仿宋" w:cs="仿宋"/>
          <w:color w:val="000000"/>
          <w:sz w:val="32"/>
          <w:szCs w:val="32"/>
          <w:highlight w:val="none"/>
          <w:lang w:val="en-US" w:eastAsia="zh-CN"/>
        </w:rPr>
        <w:t>56.71</w:t>
      </w:r>
      <w:r>
        <w:rPr>
          <w:rFonts w:hint="eastAsia" w:ascii="仿宋" w:hAnsi="仿宋" w:eastAsia="仿宋" w:cs="仿宋"/>
          <w:color w:val="000000"/>
          <w:sz w:val="32"/>
          <w:szCs w:val="32"/>
          <w:highlight w:val="none"/>
        </w:rPr>
        <w:t>万元，春运工作经费</w:t>
      </w:r>
      <w:r>
        <w:rPr>
          <w:rFonts w:hint="eastAsia" w:ascii="仿宋" w:hAnsi="仿宋" w:eastAsia="仿宋" w:cs="仿宋"/>
          <w:color w:val="000000"/>
          <w:sz w:val="32"/>
          <w:szCs w:val="32"/>
          <w:highlight w:val="none"/>
          <w:lang w:val="en-US" w:eastAsia="zh-CN"/>
        </w:rPr>
        <w:t>8.16</w:t>
      </w:r>
      <w:r>
        <w:rPr>
          <w:rFonts w:hint="eastAsia" w:ascii="仿宋" w:hAnsi="仿宋" w:eastAsia="仿宋" w:cs="仿宋"/>
          <w:color w:val="000000"/>
          <w:sz w:val="32"/>
          <w:szCs w:val="32"/>
          <w:highlight w:val="none"/>
        </w:rPr>
        <w:t>万元，码头整治专项</w:t>
      </w:r>
      <w:r>
        <w:rPr>
          <w:rFonts w:hint="eastAsia" w:ascii="仿宋" w:hAnsi="仿宋" w:eastAsia="仿宋" w:cs="仿宋"/>
          <w:color w:val="000000"/>
          <w:sz w:val="32"/>
          <w:szCs w:val="32"/>
          <w:highlight w:val="none"/>
          <w:lang w:val="en-US" w:eastAsia="zh-CN"/>
        </w:rPr>
        <w:t>4.83</w:t>
      </w:r>
      <w:r>
        <w:rPr>
          <w:rFonts w:hint="eastAsia" w:ascii="仿宋" w:hAnsi="仿宋" w:eastAsia="仿宋" w:cs="仿宋"/>
          <w:color w:val="000000"/>
          <w:sz w:val="32"/>
          <w:szCs w:val="32"/>
          <w:highlight w:val="none"/>
        </w:rPr>
        <w:t>万元，治超专项</w:t>
      </w:r>
      <w:r>
        <w:rPr>
          <w:rFonts w:hint="eastAsia" w:ascii="仿宋" w:hAnsi="仿宋" w:eastAsia="仿宋" w:cs="仿宋"/>
          <w:color w:val="000000"/>
          <w:sz w:val="32"/>
          <w:szCs w:val="32"/>
          <w:highlight w:val="none"/>
          <w:lang w:val="en-US" w:eastAsia="zh-CN"/>
        </w:rPr>
        <w:t>83.13</w:t>
      </w:r>
      <w:r>
        <w:rPr>
          <w:rFonts w:hint="eastAsia" w:ascii="仿宋" w:hAnsi="仿宋" w:eastAsia="仿宋" w:cs="仿宋"/>
          <w:color w:val="000000"/>
          <w:sz w:val="32"/>
          <w:szCs w:val="32"/>
          <w:highlight w:val="none"/>
        </w:rPr>
        <w:t>万元，专题报告编制经费</w:t>
      </w:r>
      <w:r>
        <w:rPr>
          <w:rFonts w:hint="eastAsia" w:ascii="仿宋" w:hAnsi="仿宋" w:eastAsia="仿宋" w:cs="仿宋"/>
          <w:color w:val="000000"/>
          <w:sz w:val="32"/>
          <w:szCs w:val="32"/>
          <w:highlight w:val="none"/>
          <w:lang w:val="en-US" w:eastAsia="zh-CN"/>
        </w:rPr>
        <w:t>17.8</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普铁奖补资金</w:t>
      </w:r>
      <w:r>
        <w:rPr>
          <w:rFonts w:hint="eastAsia" w:ascii="仿宋" w:hAnsi="仿宋" w:eastAsia="仿宋" w:cs="仿宋"/>
          <w:color w:val="000000"/>
          <w:sz w:val="32"/>
          <w:szCs w:val="32"/>
          <w:highlight w:val="none"/>
          <w:lang w:val="en-US" w:eastAsia="zh-CN"/>
        </w:rPr>
        <w:t>50万元，船舶污染物收集点建设资金25万元，食堂改造专项等17.38万元，</w:t>
      </w:r>
      <w:r>
        <w:rPr>
          <w:rFonts w:hint="eastAsia" w:ascii="仿宋" w:hAnsi="仿宋" w:eastAsia="仿宋" w:cs="仿宋"/>
          <w:color w:val="000000"/>
          <w:sz w:val="32"/>
          <w:szCs w:val="32"/>
          <w:highlight w:val="none"/>
        </w:rPr>
        <w:t>国土空间控制规划编制费</w:t>
      </w:r>
      <w:r>
        <w:rPr>
          <w:rFonts w:hint="eastAsia" w:ascii="仿宋" w:hAnsi="仿宋" w:eastAsia="仿宋" w:cs="仿宋"/>
          <w:color w:val="000000"/>
          <w:sz w:val="32"/>
          <w:szCs w:val="32"/>
          <w:highlight w:val="none"/>
          <w:lang w:val="en-US" w:eastAsia="zh-CN"/>
        </w:rPr>
        <w:t>346.78</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单开门车淘汰奖补资金</w:t>
      </w:r>
      <w:r>
        <w:rPr>
          <w:rFonts w:hint="eastAsia" w:ascii="仿宋" w:hAnsi="仿宋" w:eastAsia="仿宋" w:cs="仿宋"/>
          <w:color w:val="000000"/>
          <w:sz w:val="32"/>
          <w:szCs w:val="32"/>
          <w:highlight w:val="none"/>
          <w:lang w:val="en-US" w:eastAsia="zh-CN"/>
        </w:rPr>
        <w:t>138.68万元，军转干部工资等9.26万元，国防战备专项4.17万元，耒水公司向国资委借款400万元，创文创卫专项12.93万元，农村公路专项资金145.38万元。</w:t>
      </w:r>
    </w:p>
    <w:p>
      <w:pPr>
        <w:pStyle w:val="18"/>
        <w:widowControl/>
        <w:ind w:left="420" w:leftChars="200" w:firstLine="320" w:firstLineChars="100"/>
        <w:rPr>
          <w:rFonts w:hint="eastAsia" w:ascii="仿宋" w:hAnsi="仿宋" w:eastAsia="仿宋" w:cs="仿宋"/>
          <w:color w:val="auto"/>
          <w:kern w:val="2"/>
          <w:sz w:val="32"/>
          <w:szCs w:val="32"/>
          <w:lang w:val="en-US" w:eastAsia="zh-CN" w:bidi="ar-SA"/>
        </w:rPr>
      </w:pPr>
      <w:r>
        <w:rPr>
          <w:rFonts w:hint="eastAsia" w:ascii="仿宋" w:hAnsi="仿宋" w:eastAsia="仿宋"/>
          <w:b/>
          <w:sz w:val="32"/>
          <w:szCs w:val="32"/>
        </w:rPr>
        <w:t>三、</w:t>
      </w:r>
      <w:r>
        <w:rPr>
          <w:rFonts w:hint="eastAsia" w:ascii="黑体" w:hAnsi="黑体" w:eastAsia="黑体"/>
          <w:sz w:val="32"/>
          <w:szCs w:val="32"/>
        </w:rPr>
        <w:t>政府性基金预算支出情况</w:t>
      </w:r>
    </w:p>
    <w:p>
      <w:pPr>
        <w:pStyle w:val="18"/>
        <w:widowControl/>
        <w:numPr>
          <w:ilvl w:val="0"/>
          <w:numId w:val="0"/>
        </w:numPr>
        <w:ind w:leftChars="200" w:firstLine="320" w:firstLineChars="1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我单位没有政府性基金预算支出。</w:t>
      </w:r>
    </w:p>
    <w:p>
      <w:pPr>
        <w:pStyle w:val="18"/>
        <w:widowControl/>
        <w:numPr>
          <w:ilvl w:val="0"/>
          <w:numId w:val="0"/>
        </w:numPr>
        <w:ind w:left="630" w:leftChars="0"/>
        <w:rPr>
          <w:rFonts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四、</w:t>
      </w:r>
      <w:r>
        <w:rPr>
          <w:rFonts w:ascii="仿宋" w:hAnsi="仿宋" w:eastAsia="仿宋" w:cs="仿宋"/>
          <w:b/>
          <w:bCs/>
          <w:color w:val="auto"/>
          <w:kern w:val="2"/>
          <w:sz w:val="32"/>
          <w:szCs w:val="32"/>
          <w:lang w:val="en-US" w:eastAsia="zh-CN" w:bidi="ar-SA"/>
        </w:rPr>
        <w:t>国有资本经营预算支出情况</w:t>
      </w:r>
    </w:p>
    <w:p>
      <w:pPr>
        <w:pStyle w:val="18"/>
        <w:widowControl/>
        <w:numPr>
          <w:ilvl w:val="0"/>
          <w:numId w:val="0"/>
        </w:numPr>
        <w:ind w:leftChars="200" w:firstLine="320" w:firstLineChars="1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我单位没有国有资本经营预算支出。</w:t>
      </w:r>
    </w:p>
    <w:p>
      <w:pPr>
        <w:pStyle w:val="18"/>
        <w:widowControl/>
        <w:numPr>
          <w:ilvl w:val="0"/>
          <w:numId w:val="0"/>
        </w:numPr>
        <w:ind w:left="630" w:leftChars="0"/>
        <w:rPr>
          <w:rFonts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五、</w:t>
      </w:r>
      <w:r>
        <w:rPr>
          <w:rFonts w:ascii="仿宋" w:hAnsi="仿宋" w:eastAsia="仿宋" w:cs="仿宋"/>
          <w:b/>
          <w:bCs/>
          <w:color w:val="auto"/>
          <w:kern w:val="2"/>
          <w:sz w:val="32"/>
          <w:szCs w:val="32"/>
          <w:lang w:val="en-US" w:eastAsia="zh-CN" w:bidi="ar-SA"/>
        </w:rPr>
        <w:t>社会保险基金预算支出情况</w:t>
      </w:r>
    </w:p>
    <w:p>
      <w:pPr>
        <w:pStyle w:val="18"/>
        <w:widowControl/>
        <w:numPr>
          <w:ilvl w:val="0"/>
          <w:numId w:val="0"/>
        </w:numPr>
        <w:ind w:leftChars="200" w:firstLine="320" w:firstLineChars="1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我单位没有社会保险基金预算支出。</w:t>
      </w:r>
    </w:p>
    <w:p>
      <w:pPr>
        <w:widowControl/>
        <w:numPr>
          <w:ilvl w:val="0"/>
          <w:numId w:val="0"/>
        </w:numPr>
        <w:ind w:left="630" w:leftChars="0"/>
        <w:rPr>
          <w:rFonts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六、</w:t>
      </w:r>
      <w:r>
        <w:rPr>
          <w:rFonts w:ascii="仿宋" w:hAnsi="仿宋" w:eastAsia="仿宋" w:cs="仿宋"/>
          <w:b/>
          <w:bCs/>
          <w:color w:val="auto"/>
          <w:kern w:val="2"/>
          <w:sz w:val="32"/>
          <w:szCs w:val="32"/>
          <w:lang w:val="en-US" w:eastAsia="zh-CN" w:bidi="ar-SA"/>
        </w:rPr>
        <w:t>部门整体支出绩效情况</w:t>
      </w:r>
    </w:p>
    <w:p>
      <w:pPr>
        <w:ind w:firstLine="320" w:firstLineChars="100"/>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（一）部门整体目标完成情况</w:t>
      </w:r>
    </w:p>
    <w:p>
      <w:pPr>
        <w:keepNext w:val="0"/>
        <w:keepLines w:val="0"/>
        <w:pageBreakBefore w:val="0"/>
        <w:kinsoku/>
        <w:wordWrap/>
        <w:overflowPunct/>
        <w:topLinePunct w:val="0"/>
        <w:autoSpaceDE/>
        <w:autoSpaceDN/>
        <w:bidi w:val="0"/>
        <w:adjustRightInd w:val="0"/>
        <w:snapToGrid w:val="0"/>
        <w:spacing w:line="580" w:lineRule="exact"/>
        <w:ind w:firstLine="616" w:firstLineChars="200"/>
        <w:textAlignment w:val="auto"/>
        <w:rPr>
          <w:rFonts w:hint="eastAsia" w:ascii="仿宋" w:hAnsi="仿宋" w:eastAsia="仿宋" w:cs="仿宋"/>
          <w:color w:val="000000"/>
          <w:sz w:val="32"/>
          <w:szCs w:val="32"/>
        </w:rPr>
      </w:pPr>
      <w:r>
        <w:rPr>
          <w:rFonts w:hint="eastAsia" w:ascii="仿宋" w:hAnsi="仿宋" w:eastAsia="仿宋" w:cs="仿宋"/>
          <w:color w:val="000000"/>
          <w:spacing w:val="-6"/>
          <w:sz w:val="32"/>
          <w:szCs w:val="32"/>
        </w:rPr>
        <w:t>2021年，在市委、市政府的坚强领导下，在市人大、市政协的关心支持下，面对经济下行压力、新冠疫情影响、资金筹集困难等多种不利因素，</w:t>
      </w:r>
      <w:r>
        <w:rPr>
          <w:rFonts w:hint="eastAsia" w:ascii="仿宋" w:hAnsi="仿宋" w:eastAsia="仿宋" w:cs="仿宋"/>
          <w:color w:val="000000"/>
          <w:sz w:val="32"/>
          <w:szCs w:val="32"/>
        </w:rPr>
        <w:t>全系统广大干部职工迎难而上，</w:t>
      </w:r>
      <w:r>
        <w:rPr>
          <w:rFonts w:hint="eastAsia" w:ascii="仿宋" w:hAnsi="仿宋" w:eastAsia="仿宋" w:cs="仿宋"/>
          <w:color w:val="000000"/>
          <w:spacing w:val="-6"/>
          <w:sz w:val="32"/>
          <w:szCs w:val="32"/>
        </w:rPr>
        <w:t>主动作为，勇于担当，</w:t>
      </w:r>
      <w:r>
        <w:rPr>
          <w:rFonts w:hint="eastAsia" w:ascii="仿宋" w:hAnsi="仿宋" w:eastAsia="仿宋" w:cs="仿宋"/>
          <w:color w:val="000000"/>
          <w:sz w:val="32"/>
          <w:szCs w:val="32"/>
        </w:rPr>
        <w:t>奋力</w:t>
      </w:r>
      <w:r>
        <w:rPr>
          <w:rFonts w:hint="eastAsia" w:ascii="仿宋" w:hAnsi="仿宋" w:eastAsia="仿宋" w:cs="仿宋"/>
          <w:color w:val="000000"/>
          <w:spacing w:val="-6"/>
          <w:sz w:val="32"/>
          <w:szCs w:val="32"/>
        </w:rPr>
        <w:t>攻坚，</w:t>
      </w:r>
      <w:r>
        <w:rPr>
          <w:rFonts w:hint="eastAsia" w:ascii="仿宋" w:hAnsi="仿宋" w:eastAsia="仿宋" w:cs="仿宋"/>
          <w:color w:val="000000"/>
          <w:sz w:val="32"/>
          <w:szCs w:val="32"/>
        </w:rPr>
        <w:t>全市交通运输工作抓出了成效。</w:t>
      </w: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color w:val="000000"/>
          <w:sz w:val="32"/>
          <w:szCs w:val="32"/>
        </w:rPr>
      </w:pPr>
      <w:r>
        <w:rPr>
          <w:rFonts w:hint="eastAsia" w:eastAsia="楷体_GB2312"/>
          <w:b/>
          <w:bCs/>
          <w:color w:val="000000"/>
          <w:sz w:val="32"/>
          <w:szCs w:val="32"/>
          <w:lang w:val="en-US" w:eastAsia="zh-CN"/>
        </w:rPr>
        <w:t>1、</w:t>
      </w:r>
      <w:r>
        <w:rPr>
          <w:rFonts w:eastAsia="楷体_GB2312"/>
          <w:b/>
          <w:bCs/>
          <w:color w:val="000000"/>
          <w:sz w:val="32"/>
          <w:szCs w:val="32"/>
        </w:rPr>
        <w:t>创先争优成果丰硕。</w:t>
      </w:r>
      <w:r>
        <w:rPr>
          <w:rFonts w:hint="eastAsia" w:ascii="仿宋" w:hAnsi="仿宋" w:eastAsia="仿宋" w:cs="仿宋"/>
          <w:color w:val="000000"/>
          <w:kern w:val="2"/>
          <w:sz w:val="32"/>
          <w:szCs w:val="32"/>
          <w:highlight w:val="none"/>
          <w:lang w:val="en-US" w:eastAsia="zh-CN" w:bidi="ar-SA"/>
        </w:rPr>
        <w:t>我市被交通运输部明确为“全国性综合交通枢纽城市”；我局被交通运输部海事局评为“2021年水上无线电秩序管理专项整治工作先进集体”。重点民生实事农村公路建设工作被评为2021年度全省“优胜单位”，实现“六连胜”；省高质量发展综合绩效评价指标公路“好路率”以满分成绩获评优秀市州；农村公路养护荣获“十三五”湖南省先进单位；春运工作被省春运办评为先进单位；水上交通隐患清零工作排名全省第二；衡阳县成功创建省级“四好农村路”示范县，石鼓区杨灵公路当选年度全省“十大最美农村路”第一名；衡阳县、衡山县列入全省第三批城乡客运一体化创建示范县，耒阳市被确定为全省农村客货邮融合发展示范培育县。市局绩效考核被市委市政府评为先进单位，平安建设、常态化扫黑除恶、信访工作、创卫工作、河长制、重点民生实事等工作获评全市先进，创建全国文明城市工作获评红旗单位，局机关二星级文明单位通过验收,党建工作和乡村振兴得到市委组织部高度评价；</w:t>
      </w:r>
      <w:r>
        <w:rPr>
          <w:rFonts w:hint="eastAsia" w:ascii="仿宋" w:hAnsi="仿宋" w:eastAsia="仿宋" w:cs="仿宋"/>
          <w:color w:val="000000"/>
          <w:sz w:val="32"/>
          <w:szCs w:val="32"/>
        </w:rPr>
        <w:t>市公路建设养护中心、市执法支队被市创卫办评为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创建国家卫生城市先进单位</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市道路运输服务中心被评为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全市禁毒工作先进集体</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；衡阳路桥中标合同金额13.5亿元，完成施工产值8.1亿元，创历史新高。</w:t>
      </w: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Cs/>
          <w:color w:val="000000"/>
          <w:sz w:val="32"/>
          <w:szCs w:val="32"/>
        </w:rPr>
      </w:pPr>
      <w:r>
        <w:rPr>
          <w:rFonts w:hint="eastAsia" w:eastAsia="楷体_GB2312"/>
          <w:b/>
          <w:bCs/>
          <w:color w:val="000000"/>
          <w:sz w:val="32"/>
          <w:szCs w:val="32"/>
          <w:lang w:val="en-US" w:eastAsia="zh-CN"/>
        </w:rPr>
        <w:t>2、</w:t>
      </w:r>
      <w:r>
        <w:rPr>
          <w:rFonts w:eastAsia="楷体_GB2312"/>
          <w:b/>
          <w:bCs/>
          <w:color w:val="000000"/>
          <w:sz w:val="32"/>
          <w:szCs w:val="32"/>
        </w:rPr>
        <w:t>项目建设持续向好。</w:t>
      </w:r>
      <w:r>
        <w:rPr>
          <w:rFonts w:hint="eastAsia" w:ascii="仿宋" w:hAnsi="仿宋" w:eastAsia="仿宋" w:cs="仿宋"/>
          <w:color w:val="000000"/>
          <w:sz w:val="32"/>
          <w:szCs w:val="32"/>
        </w:rPr>
        <w:t>全</w:t>
      </w:r>
      <w:r>
        <w:rPr>
          <w:rFonts w:hint="eastAsia" w:ascii="仿宋" w:hAnsi="仿宋" w:eastAsia="仿宋" w:cs="仿宋"/>
          <w:bCs/>
          <w:color w:val="000000"/>
          <w:sz w:val="32"/>
          <w:szCs w:val="32"/>
        </w:rPr>
        <w:t>市累计</w:t>
      </w:r>
      <w:r>
        <w:rPr>
          <w:rFonts w:hint="eastAsia" w:ascii="仿宋" w:hAnsi="仿宋" w:eastAsia="仿宋" w:cs="仿宋"/>
          <w:color w:val="000000"/>
          <w:sz w:val="32"/>
          <w:szCs w:val="32"/>
        </w:rPr>
        <w:t>完成交通固定资产投资30.8亿元，为省定年度目标任务的209.3%。</w:t>
      </w:r>
      <w:r>
        <w:rPr>
          <w:rFonts w:hint="eastAsia" w:ascii="仿宋" w:hAnsi="仿宋" w:eastAsia="仿宋" w:cs="仿宋"/>
          <w:b/>
          <w:color w:val="000000"/>
          <w:sz w:val="32"/>
          <w:szCs w:val="32"/>
        </w:rPr>
        <w:t>一是前期工作顺利推进。</w:t>
      </w:r>
      <w:r>
        <w:rPr>
          <w:rFonts w:hint="eastAsia" w:ascii="仿宋" w:hAnsi="仿宋" w:eastAsia="仿宋" w:cs="仿宋"/>
          <w:bCs/>
          <w:color w:val="000000"/>
          <w:sz w:val="32"/>
          <w:szCs w:val="32"/>
        </w:rPr>
        <w:t>《衡阳市“十四五”交通运输发展规划》完成编制印发，《全市国省道国土空间控制规划》通过省厅审查；G322衡南河市至宝盖、南岳高速萱州互通连接线、衡南县泉南高速硫市收费站至S339公路等3个项目完成工可审查或批复；G356常宁宜阳至荫田、耒阳竹市至联平，G240衡东县城改线公路等6个项目完成工</w:t>
      </w:r>
      <w:r>
        <w:rPr>
          <w:rFonts w:hint="eastAsia" w:ascii="仿宋" w:hAnsi="仿宋" w:eastAsia="仿宋" w:cs="仿宋"/>
          <w:color w:val="000000"/>
          <w:spacing w:val="-6"/>
          <w:sz w:val="32"/>
          <w:szCs w:val="32"/>
        </w:rPr>
        <w:t>可编制及评审</w:t>
      </w:r>
      <w:r>
        <w:rPr>
          <w:rFonts w:hint="eastAsia" w:ascii="仿宋" w:hAnsi="仿宋" w:eastAsia="仿宋" w:cs="仿宋"/>
          <w:bCs/>
          <w:color w:val="000000"/>
          <w:sz w:val="32"/>
          <w:szCs w:val="32"/>
        </w:rPr>
        <w:t>。</w:t>
      </w:r>
      <w:r>
        <w:rPr>
          <w:rFonts w:hint="eastAsia" w:ascii="仿宋" w:hAnsi="仿宋" w:eastAsia="仿宋" w:cs="仿宋"/>
          <w:b/>
          <w:color w:val="000000"/>
          <w:sz w:val="32"/>
          <w:szCs w:val="32"/>
        </w:rPr>
        <w:t>二是省管项目建设快速推进。</w:t>
      </w:r>
      <w:r>
        <w:rPr>
          <w:rFonts w:hint="eastAsia" w:ascii="仿宋" w:hAnsi="仿宋" w:eastAsia="仿宋" w:cs="仿宋"/>
          <w:bCs/>
          <w:color w:val="000000"/>
          <w:sz w:val="32"/>
          <w:szCs w:val="32"/>
        </w:rPr>
        <w:t>衡枣高速大修工程提前完工通车，常祁高速通车试运行，高速公路里程达697公里，位居全省第三。衡永、白南、茶常三条高速公路建设进展顺利；湘江衡阳至永州三级航道改扩建工程湘祁二线船闸建成通航</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三是干线公路建设扎实推进。</w:t>
      </w:r>
      <w:r>
        <w:rPr>
          <w:rFonts w:hint="eastAsia" w:ascii="仿宋" w:hAnsi="仿宋" w:eastAsia="仿宋" w:cs="仿宋"/>
          <w:bCs/>
          <w:color w:val="000000"/>
          <w:sz w:val="32"/>
          <w:szCs w:val="32"/>
        </w:rPr>
        <w:t>续建的娄衡高速祁东连接线、耒阳余庆至长坪公路、衡山日华至岭坡卫生院公路、武广衡山西站至黄花坪等4个项目49公里主体工程顺利完成；新开工的G240衡山长青至白果开工建设、G234常宁新河至蒲竹公路完成项目招投标。衡南土谷塘湘江特大桥和祁东归阳港千吨级码头一期工程主体工程完工。</w:t>
      </w:r>
      <w:r>
        <w:rPr>
          <w:rFonts w:hint="eastAsia" w:ascii="仿宋" w:hAnsi="仿宋" w:eastAsia="仿宋" w:cs="仿宋"/>
          <w:b/>
          <w:color w:val="000000"/>
          <w:sz w:val="32"/>
          <w:szCs w:val="32"/>
        </w:rPr>
        <w:t>四是民生实事、站场建设强力推进。</w:t>
      </w:r>
      <w:r>
        <w:rPr>
          <w:rFonts w:hint="eastAsia" w:ascii="仿宋" w:hAnsi="仿宋" w:eastAsia="仿宋" w:cs="仿宋"/>
          <w:bCs/>
          <w:color w:val="000000"/>
          <w:sz w:val="32"/>
          <w:szCs w:val="32"/>
        </w:rPr>
        <w:t>完成乡镇通三级和旅游资源产业路380公里、农村公路安防工程905公里、危旧桥改造9座（含普通国省道5座）。衡缘物流园、红光物流园、祁洲新能源公交枢纽站、衡阳县新能源公交停保场正式投入使用。</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Cs/>
          <w:color w:val="000000"/>
          <w:sz w:val="32"/>
          <w:szCs w:val="32"/>
        </w:rPr>
      </w:pPr>
      <w:r>
        <w:rPr>
          <w:rFonts w:hint="eastAsia" w:eastAsia="楷体"/>
          <w:b/>
          <w:color w:val="000000"/>
          <w:sz w:val="32"/>
          <w:szCs w:val="32"/>
          <w:lang w:val="en-US" w:eastAsia="zh-CN"/>
        </w:rPr>
        <w:t>3、</w:t>
      </w:r>
      <w:r>
        <w:rPr>
          <w:rFonts w:eastAsia="楷体"/>
          <w:b/>
          <w:color w:val="000000"/>
          <w:sz w:val="32"/>
          <w:szCs w:val="32"/>
        </w:rPr>
        <w:t>服务水平稳步提高。</w:t>
      </w:r>
      <w:r>
        <w:rPr>
          <w:rFonts w:hint="eastAsia" w:ascii="仿宋" w:hAnsi="仿宋" w:eastAsia="仿宋" w:cs="仿宋"/>
          <w:b/>
          <w:color w:val="000000"/>
          <w:sz w:val="32"/>
          <w:szCs w:val="32"/>
        </w:rPr>
        <w:t>一是标准化治理成效明显。</w:t>
      </w:r>
      <w:r>
        <w:rPr>
          <w:rFonts w:hint="eastAsia" w:ascii="仿宋" w:hAnsi="仿宋" w:eastAsia="仿宋" w:cs="仿宋"/>
          <w:bCs/>
          <w:color w:val="000000"/>
          <w:sz w:val="32"/>
          <w:szCs w:val="32"/>
        </w:rPr>
        <w:t>以路域环境整治和公交设施改造为切入点，市城区共拆除非公路标志标牌55块，清除非法占道经营6处；改造公交站亭31座、站牌13个；增设减速标线、边线29300米，安装各类标志标牌336块。</w:t>
      </w:r>
      <w:r>
        <w:rPr>
          <w:rFonts w:hint="eastAsia" w:ascii="仿宋" w:hAnsi="仿宋" w:eastAsia="仿宋" w:cs="仿宋"/>
          <w:b/>
          <w:color w:val="000000"/>
          <w:sz w:val="32"/>
          <w:szCs w:val="32"/>
        </w:rPr>
        <w:t>二是运输服务保障得到加强。</w:t>
      </w:r>
      <w:r>
        <w:rPr>
          <w:rFonts w:hint="eastAsia" w:ascii="仿宋" w:hAnsi="仿宋" w:eastAsia="仿宋" w:cs="仿宋"/>
          <w:bCs/>
          <w:color w:val="000000"/>
          <w:sz w:val="32"/>
          <w:szCs w:val="32"/>
        </w:rPr>
        <w:t>圆满完成春节、黄金周等重要时间节点应急运输和防疫、救灾等重点物资运输服务保障任务；顺利完成市城区1400台巡游出租车特许经营权重新授予工作；建成“司机之家”3处。红光物流园被省厅推荐申报第四批国家多式联运示范工程项目。</w:t>
      </w:r>
      <w:r>
        <w:rPr>
          <w:rFonts w:hint="eastAsia" w:ascii="仿宋" w:hAnsi="仿宋" w:eastAsia="仿宋" w:cs="仿宋"/>
          <w:b/>
          <w:color w:val="000000"/>
          <w:sz w:val="32"/>
          <w:szCs w:val="32"/>
        </w:rPr>
        <w:t>三是公路养管水平明显提升。</w:t>
      </w:r>
      <w:r>
        <w:rPr>
          <w:rFonts w:hint="eastAsia" w:ascii="仿宋" w:hAnsi="仿宋" w:eastAsia="仿宋" w:cs="仿宋"/>
          <w:color w:val="000000"/>
          <w:sz w:val="32"/>
          <w:szCs w:val="32"/>
        </w:rPr>
        <w:t>全面承接高速公路路政执法职责，高速路政执法大队按期组建。全年</w:t>
      </w:r>
      <w:r>
        <w:rPr>
          <w:rFonts w:hint="eastAsia" w:ascii="仿宋" w:hAnsi="仿宋" w:eastAsia="仿宋" w:cs="仿宋"/>
          <w:bCs/>
          <w:color w:val="000000"/>
          <w:sz w:val="32"/>
          <w:szCs w:val="32"/>
        </w:rPr>
        <w:t>高速公路车辆救援服务实现“零”投诉；高效完成许广高速潭衡西段呆鹰岭桥下10万㎡空间整治任务，消除了近十年来的行业积弊，荣获省厅通报表彰。普通国省道路况水平显著提升。完成大中修里程48.498公里，优良率由2020年底82%提升到90%</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highlight w:val="none"/>
          <w:lang w:val="en-US" w:eastAsia="zh-CN"/>
        </w:rPr>
        <w:t>超出省定目标5</w:t>
      </w:r>
      <w:r>
        <w:rPr>
          <w:rFonts w:hint="eastAsia" w:ascii="仿宋" w:hAnsi="仿宋" w:eastAsia="仿宋" w:cs="仿宋"/>
          <w:bCs/>
          <w:color w:val="000000"/>
          <w:sz w:val="32"/>
          <w:szCs w:val="32"/>
        </w:rPr>
        <w:t>%。农村公路管理养护体制改革全面推进，管理能力和养护水平稳步提升，在省年末路况抽检中，PQI为中等及以上的里程占比达85%以上，优良里程达69.27%，优良路增长率全省第一。公路限高限宽设施和检查卡点整治任务圆满完成。珠晖区国道107线东阳渡服务区建成全省普通公路第一个电动汽车快速充电站，实现普通公路服务区快充站“零”的突破。</w:t>
      </w:r>
      <w:r>
        <w:rPr>
          <w:rFonts w:hint="eastAsia" w:ascii="仿宋" w:hAnsi="仿宋" w:eastAsia="仿宋" w:cs="仿宋"/>
          <w:b/>
          <w:color w:val="000000"/>
          <w:sz w:val="32"/>
          <w:szCs w:val="32"/>
        </w:rPr>
        <w:t>四是重点整治工作取得实效。</w:t>
      </w:r>
      <w:r>
        <w:rPr>
          <w:rFonts w:hint="eastAsia" w:ascii="仿宋" w:hAnsi="仿宋" w:eastAsia="仿宋" w:cs="仿宋"/>
          <w:bCs/>
          <w:color w:val="000000"/>
          <w:sz w:val="32"/>
          <w:szCs w:val="32"/>
        </w:rPr>
        <w:t>涉铁隐患整治全面完成。封闭栅栏开口147处，建设地方连接便道70处，新建公铁并行防护栏38处、移交165处，整治病害渡槽17座，移交公铁桥梁15座，建设平改立1处</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祁东县拆除湘桂线辖区违章建筑131户</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整治成效显著，在全省交通运输工作会上作典型发言。公路治超力度全面加强，共查处超限超载车辆7725台次、源头企业80家次，查处量同比分别增长15.7%、51%，</w:t>
      </w:r>
      <w:r>
        <w:rPr>
          <w:rFonts w:hint="eastAsia" w:ascii="仿宋" w:hAnsi="仿宋" w:eastAsia="仿宋" w:cs="仿宋"/>
          <w:bCs/>
          <w:color w:val="000000"/>
          <w:sz w:val="32"/>
          <w:szCs w:val="32"/>
          <w:lang w:eastAsia="zh-CN"/>
        </w:rPr>
        <w:t>在全省考核评价中排名大幅提升</w:t>
      </w:r>
      <w:r>
        <w:rPr>
          <w:rFonts w:hint="eastAsia" w:ascii="仿宋" w:hAnsi="仿宋" w:eastAsia="仿宋" w:cs="仿宋"/>
          <w:bCs/>
          <w:color w:val="000000"/>
          <w:sz w:val="32"/>
          <w:szCs w:val="32"/>
        </w:rPr>
        <w:t>。码头环保整治全面铺开，取缔</w:t>
      </w:r>
      <w:r>
        <w:rPr>
          <w:rFonts w:hint="eastAsia" w:ascii="仿宋" w:hAnsi="仿宋" w:eastAsia="仿宋" w:cs="仿宋"/>
          <w:bCs/>
          <w:color w:val="000000"/>
          <w:sz w:val="32"/>
          <w:szCs w:val="32"/>
          <w:lang w:eastAsia="zh-CN"/>
        </w:rPr>
        <w:t>并</w:t>
      </w:r>
      <w:r>
        <w:rPr>
          <w:rFonts w:hint="eastAsia" w:ascii="仿宋" w:hAnsi="仿宋" w:eastAsia="仿宋" w:cs="仿宋"/>
          <w:bCs/>
          <w:color w:val="000000"/>
          <w:sz w:val="32"/>
          <w:szCs w:val="32"/>
        </w:rPr>
        <w:t>复绿非法码头30处，销号港口码头环保隐患11处；</w:t>
      </w:r>
      <w:r>
        <w:rPr>
          <w:rFonts w:hint="eastAsia" w:ascii="仿宋" w:hAnsi="仿宋" w:eastAsia="仿宋" w:cs="仿宋"/>
          <w:bCs/>
          <w:color w:val="000000"/>
          <w:sz w:val="32"/>
          <w:szCs w:val="32"/>
          <w:lang w:eastAsia="zh-CN"/>
        </w:rPr>
        <w:t>完成</w:t>
      </w:r>
      <w:r>
        <w:rPr>
          <w:rFonts w:hint="eastAsia" w:ascii="仿宋" w:hAnsi="仿宋" w:eastAsia="仿宋" w:cs="仿宋"/>
          <w:bCs/>
          <w:color w:val="000000"/>
          <w:sz w:val="32"/>
          <w:szCs w:val="32"/>
          <w:lang w:val="en-US" w:eastAsia="zh-CN"/>
        </w:rPr>
        <w:t>69艘船舶受电设施改造工作，</w:t>
      </w:r>
      <w:r>
        <w:rPr>
          <w:rFonts w:hint="eastAsia" w:ascii="仿宋" w:hAnsi="仿宋" w:eastAsia="仿宋" w:cs="仿宋"/>
          <w:bCs/>
          <w:color w:val="000000"/>
          <w:sz w:val="32"/>
          <w:szCs w:val="32"/>
        </w:rPr>
        <w:t>防治管控船舶措施有力。</w:t>
      </w:r>
    </w:p>
    <w:p>
      <w:pPr>
        <w:pStyle w:val="7"/>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Cs/>
          <w:color w:val="000000"/>
          <w:sz w:val="32"/>
          <w:szCs w:val="32"/>
        </w:rPr>
      </w:pPr>
      <w:r>
        <w:rPr>
          <w:rFonts w:hint="eastAsia" w:eastAsia="楷体"/>
          <w:b/>
          <w:color w:val="000000"/>
          <w:sz w:val="32"/>
          <w:szCs w:val="32"/>
          <w:lang w:val="en-US" w:eastAsia="zh-CN"/>
        </w:rPr>
        <w:t>4、</w:t>
      </w:r>
      <w:r>
        <w:rPr>
          <w:rFonts w:eastAsia="楷体"/>
          <w:b/>
          <w:color w:val="000000"/>
          <w:sz w:val="32"/>
          <w:szCs w:val="32"/>
        </w:rPr>
        <w:t>安全管理不断强化。</w:t>
      </w:r>
      <w:r>
        <w:rPr>
          <w:rFonts w:hint="eastAsia" w:ascii="仿宋" w:hAnsi="仿宋" w:eastAsia="仿宋" w:cs="仿宋"/>
          <w:b/>
          <w:color w:val="000000"/>
          <w:sz w:val="32"/>
          <w:szCs w:val="32"/>
        </w:rPr>
        <w:t>一是交通安全持续平稳。</w:t>
      </w:r>
      <w:r>
        <w:rPr>
          <w:rFonts w:hint="eastAsia" w:ascii="仿宋" w:hAnsi="仿宋" w:eastAsia="仿宋" w:cs="仿宋"/>
          <w:bCs/>
          <w:color w:val="000000"/>
          <w:sz w:val="32"/>
          <w:szCs w:val="32"/>
        </w:rPr>
        <w:t>全力推进安全生产专项整治三年行动、交通问题“顽瘴痼疾”和“隐患清零”集中整治行动，出台《重点监管企业管理规定》，共检查企业218家，排查治理安全隐患1064项，纳入“重点监管企业”名单5家，企业安全生产主体责任得到压实。继续聘请“第三方”开展安全生产检查服务工作，扎实开展安全教育培训、企业安全</w:t>
      </w:r>
      <w:r>
        <w:rPr>
          <w:rFonts w:hint="eastAsia" w:ascii="仿宋" w:hAnsi="仿宋" w:eastAsia="仿宋" w:cs="仿宋"/>
          <w:bCs/>
          <w:color w:val="000000"/>
          <w:sz w:val="32"/>
          <w:szCs w:val="32"/>
          <w:lang w:val="en"/>
        </w:rPr>
        <w:t>标准化建设，</w:t>
      </w:r>
      <w:r>
        <w:rPr>
          <w:rFonts w:hint="eastAsia" w:ascii="仿宋" w:hAnsi="仿宋" w:eastAsia="仿宋" w:cs="仿宋"/>
          <w:bCs/>
          <w:color w:val="000000"/>
          <w:sz w:val="32"/>
          <w:szCs w:val="32"/>
        </w:rPr>
        <w:t>全力推广安全生产责任险；</w:t>
      </w:r>
      <w:r>
        <w:rPr>
          <w:rFonts w:hint="eastAsia" w:ascii="仿宋" w:hAnsi="仿宋" w:eastAsia="仿宋" w:cs="仿宋"/>
          <w:color w:val="000000"/>
          <w:sz w:val="32"/>
          <w:szCs w:val="32"/>
        </w:rPr>
        <w:t>出台全市“两客一危”车辆联网联控考核办法，“两客一危”车辆联网联控年度考核成绩进步明显。</w:t>
      </w:r>
      <w:r>
        <w:rPr>
          <w:rFonts w:hint="eastAsia" w:ascii="仿宋" w:hAnsi="仿宋" w:eastAsia="仿宋" w:cs="仿宋"/>
          <w:color w:val="000000"/>
          <w:sz w:val="32"/>
          <w:szCs w:val="32"/>
          <w:lang w:val="en-US" w:eastAsia="zh-CN"/>
        </w:rPr>
        <w:t>交通工程建设质量、安全、造价控制全面加强。</w:t>
      </w:r>
      <w:r>
        <w:rPr>
          <w:rFonts w:hint="eastAsia" w:ascii="仿宋" w:hAnsi="仿宋" w:eastAsia="仿宋" w:cs="仿宋"/>
          <w:b/>
          <w:color w:val="000000"/>
          <w:sz w:val="32"/>
          <w:szCs w:val="32"/>
        </w:rPr>
        <w:t>二是疫情防线持续筑牢。</w:t>
      </w:r>
      <w:r>
        <w:rPr>
          <w:rFonts w:hint="eastAsia" w:ascii="仿宋" w:hAnsi="仿宋" w:eastAsia="仿宋" w:cs="仿宋"/>
          <w:bCs/>
          <w:color w:val="000000"/>
          <w:sz w:val="32"/>
          <w:szCs w:val="32"/>
        </w:rPr>
        <w:t>从严从细落实“外防输入、内防反弹”要求，严格压实“四方”责任，全面落实常态化防控措施，强力推进疫苗接种。</w:t>
      </w:r>
      <w:r>
        <w:rPr>
          <w:rFonts w:hint="eastAsia" w:ascii="仿宋" w:hAnsi="仿宋" w:eastAsia="仿宋" w:cs="仿宋"/>
          <w:b/>
          <w:color w:val="000000"/>
          <w:sz w:val="32"/>
          <w:szCs w:val="32"/>
        </w:rPr>
        <w:t>三是平安建设持续稳定。</w:t>
      </w:r>
      <w:r>
        <w:rPr>
          <w:rFonts w:hint="eastAsia" w:ascii="仿宋" w:hAnsi="仿宋" w:eastAsia="仿宋" w:cs="仿宋"/>
          <w:bCs/>
          <w:color w:val="000000"/>
          <w:sz w:val="32"/>
          <w:szCs w:val="32"/>
        </w:rPr>
        <w:t>持续开展“行业清源”，推动常态化扫黑除恶工作。落实领导干部接待群众来访制度，积极防范化解客货运、出租车、涉改人员等重大涉稳风险。耒水公司经营性资产剥离圆满完成，确保了一方平安。</w:t>
      </w:r>
    </w:p>
    <w:p>
      <w:pPr>
        <w:pStyle w:val="7"/>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000000"/>
          <w:sz w:val="32"/>
          <w:szCs w:val="32"/>
        </w:rPr>
      </w:pPr>
      <w:r>
        <w:rPr>
          <w:rFonts w:hint="eastAsia" w:eastAsia="楷体_GB2312"/>
          <w:b/>
          <w:bCs/>
          <w:color w:val="000000"/>
          <w:sz w:val="32"/>
          <w:szCs w:val="32"/>
          <w:lang w:val="en-US" w:eastAsia="zh-CN"/>
        </w:rPr>
        <w:t>5、</w:t>
      </w:r>
      <w:r>
        <w:rPr>
          <w:rFonts w:eastAsia="楷体_GB2312"/>
          <w:b/>
          <w:bCs/>
          <w:color w:val="000000"/>
          <w:sz w:val="32"/>
          <w:szCs w:val="32"/>
        </w:rPr>
        <w:t>党建工作</w:t>
      </w:r>
      <w:r>
        <w:rPr>
          <w:rFonts w:hint="eastAsia" w:eastAsia="楷体_GB2312"/>
          <w:b/>
          <w:bCs/>
          <w:color w:val="000000"/>
          <w:sz w:val="32"/>
          <w:szCs w:val="32"/>
        </w:rPr>
        <w:t>卓有成效</w:t>
      </w:r>
      <w:r>
        <w:rPr>
          <w:rFonts w:eastAsia="楷体_GB2312"/>
          <w:b/>
          <w:bCs/>
          <w:color w:val="000000"/>
          <w:sz w:val="32"/>
          <w:szCs w:val="32"/>
        </w:rPr>
        <w:t>。</w:t>
      </w:r>
      <w:r>
        <w:rPr>
          <w:rFonts w:hint="eastAsia" w:ascii="仿宋" w:hAnsi="仿宋" w:eastAsia="仿宋" w:cs="仿宋"/>
          <w:b/>
          <w:color w:val="000000"/>
          <w:sz w:val="32"/>
          <w:szCs w:val="32"/>
        </w:rPr>
        <w:t>一是学习教育有声有色。</w:t>
      </w:r>
      <w:r>
        <w:rPr>
          <w:rFonts w:hint="eastAsia" w:ascii="仿宋" w:hAnsi="仿宋" w:eastAsia="仿宋" w:cs="仿宋"/>
          <w:bCs/>
          <w:color w:val="000000"/>
          <w:sz w:val="32"/>
          <w:szCs w:val="32"/>
        </w:rPr>
        <w:t>对标市委要求，高质量完成学史明理、增信、崇德、力行等四个专题学习，举办</w:t>
      </w:r>
      <w:r>
        <w:rPr>
          <w:rFonts w:hint="eastAsia" w:ascii="仿宋" w:hAnsi="仿宋" w:eastAsia="仿宋" w:cs="仿宋"/>
          <w:bCs/>
          <w:color w:val="000000"/>
          <w:kern w:val="0"/>
          <w:sz w:val="32"/>
          <w:szCs w:val="32"/>
        </w:rPr>
        <w:t>局直系统表彰大会、</w:t>
      </w:r>
      <w:r>
        <w:rPr>
          <w:rFonts w:hint="eastAsia" w:ascii="仿宋" w:hAnsi="仿宋" w:eastAsia="仿宋" w:cs="仿宋"/>
          <w:bCs/>
          <w:color w:val="000000"/>
          <w:sz w:val="32"/>
          <w:szCs w:val="32"/>
        </w:rPr>
        <w:t>文艺汇演、党史知识竞赛等系列建党百年庆祝活动。受市委委托，</w:t>
      </w:r>
      <w:r>
        <w:rPr>
          <w:rFonts w:hint="eastAsia" w:ascii="仿宋" w:hAnsi="仿宋" w:eastAsia="仿宋" w:cs="仿宋"/>
          <w:color w:val="000000"/>
          <w:sz w:val="32"/>
          <w:szCs w:val="32"/>
        </w:rPr>
        <w:t>对局系统“光荣在党50年”的106名老党员发放了纪念章，并进行走访慰问。</w:t>
      </w:r>
      <w:r>
        <w:rPr>
          <w:rFonts w:hint="eastAsia" w:ascii="仿宋" w:hAnsi="仿宋" w:eastAsia="仿宋" w:cs="仿宋"/>
          <w:bCs/>
          <w:color w:val="000000"/>
          <w:kern w:val="0"/>
          <w:sz w:val="32"/>
          <w:szCs w:val="32"/>
        </w:rPr>
        <w:t>公开承诺的</w:t>
      </w:r>
      <w:r>
        <w:rPr>
          <w:rFonts w:hint="eastAsia" w:ascii="仿宋" w:hAnsi="仿宋" w:eastAsia="仿宋" w:cs="仿宋"/>
          <w:color w:val="000000"/>
          <w:sz w:val="32"/>
          <w:szCs w:val="32"/>
        </w:rPr>
        <w:t>推进城乡道路客运公交化改造、农村公路提质改造等10件民生实事全部兑现。局直系统</w:t>
      </w:r>
      <w:r>
        <w:rPr>
          <w:rFonts w:hint="eastAsia" w:ascii="仿宋" w:hAnsi="仿宋" w:eastAsia="仿宋" w:cs="仿宋"/>
          <w:bCs/>
          <w:color w:val="000000"/>
          <w:kern w:val="0"/>
          <w:sz w:val="32"/>
          <w:szCs w:val="32"/>
        </w:rPr>
        <w:t>派出7名党员干部参与乡村振兴驻村一线奉献交通力量。</w:t>
      </w:r>
      <w:r>
        <w:rPr>
          <w:rFonts w:hint="eastAsia" w:ascii="仿宋" w:hAnsi="仿宋" w:eastAsia="仿宋" w:cs="仿宋"/>
          <w:b/>
          <w:color w:val="000000"/>
          <w:kern w:val="0"/>
          <w:sz w:val="32"/>
          <w:szCs w:val="32"/>
        </w:rPr>
        <w:t>二是</w:t>
      </w:r>
      <w:r>
        <w:rPr>
          <w:rFonts w:hint="eastAsia" w:ascii="仿宋" w:hAnsi="仿宋" w:eastAsia="仿宋" w:cs="仿宋"/>
          <w:b/>
          <w:color w:val="000000"/>
          <w:sz w:val="32"/>
          <w:szCs w:val="32"/>
        </w:rPr>
        <w:t>党的建设纵深推进。</w:t>
      </w:r>
      <w:r>
        <w:rPr>
          <w:rFonts w:hint="eastAsia" w:ascii="仿宋" w:hAnsi="仿宋" w:eastAsia="仿宋" w:cs="仿宋"/>
          <w:bCs/>
          <w:color w:val="000000"/>
          <w:kern w:val="0"/>
          <w:sz w:val="32"/>
          <w:szCs w:val="32"/>
        </w:rPr>
        <w:t>局党组严格执行民主集中制和“三重一大”决策制度，持续推进党支</w:t>
      </w:r>
      <w:r>
        <w:rPr>
          <w:rFonts w:hint="eastAsia" w:ascii="仿宋" w:hAnsi="仿宋" w:eastAsia="仿宋" w:cs="仿宋"/>
          <w:color w:val="000000"/>
          <w:sz w:val="32"/>
          <w:szCs w:val="32"/>
        </w:rPr>
        <w:t>部“五化”建设，严格落实“三会一课”制度，有效夯实全面从严治党基础</w:t>
      </w:r>
      <w:r>
        <w:rPr>
          <w:rFonts w:hint="eastAsia" w:ascii="仿宋" w:hAnsi="仿宋" w:eastAsia="仿宋" w:cs="仿宋"/>
          <w:bCs/>
          <w:color w:val="000000"/>
          <w:kern w:val="0"/>
          <w:sz w:val="32"/>
          <w:szCs w:val="32"/>
        </w:rPr>
        <w:t>。市纪委监委驻局纪检监察组充分发挥派驻监督职能，突出干部选拔任用、交通项目建设、行业监管执法、财政资金等重点领域监督，为清廉交通提供了坚强有力的纪律保障。局</w:t>
      </w:r>
      <w:r>
        <w:rPr>
          <w:rFonts w:hint="eastAsia" w:ascii="仿宋" w:hAnsi="仿宋" w:eastAsia="仿宋" w:cs="仿宋"/>
          <w:color w:val="000000"/>
          <w:sz w:val="32"/>
          <w:szCs w:val="32"/>
        </w:rPr>
        <w:t>直</w:t>
      </w:r>
      <w:r>
        <w:rPr>
          <w:rFonts w:hint="eastAsia" w:ascii="仿宋" w:hAnsi="仿宋" w:eastAsia="仿宋" w:cs="仿宋"/>
          <w:bCs/>
          <w:color w:val="000000"/>
          <w:kern w:val="0"/>
          <w:sz w:val="32"/>
          <w:szCs w:val="32"/>
        </w:rPr>
        <w:t>系统持续深入贯彻落实中央“八项规定”，持续优化营商环境</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规范事前事中事后监管，全面推进“双随机一公开”</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修订</w:t>
      </w:r>
      <w:r>
        <w:rPr>
          <w:rFonts w:hint="eastAsia" w:ascii="仿宋" w:hAnsi="仿宋" w:eastAsia="仿宋" w:cs="仿宋"/>
          <w:color w:val="000000"/>
          <w:sz w:val="32"/>
          <w:szCs w:val="32"/>
        </w:rPr>
        <w:t>完善</w:t>
      </w:r>
      <w:r>
        <w:rPr>
          <w:rFonts w:hint="eastAsia" w:ascii="仿宋" w:hAnsi="仿宋" w:eastAsia="仿宋" w:cs="仿宋"/>
          <w:color w:val="000000"/>
          <w:sz w:val="32"/>
          <w:szCs w:val="32"/>
          <w:lang w:eastAsia="zh-CN"/>
        </w:rPr>
        <w:t>内控管理</w:t>
      </w:r>
      <w:r>
        <w:rPr>
          <w:rFonts w:hint="eastAsia" w:ascii="仿宋" w:hAnsi="仿宋" w:eastAsia="仿宋" w:cs="仿宋"/>
          <w:color w:val="000000"/>
          <w:sz w:val="32"/>
          <w:szCs w:val="32"/>
        </w:rPr>
        <w:t>制度，扎牢了制度的笼子。</w:t>
      </w:r>
      <w:r>
        <w:rPr>
          <w:rFonts w:hint="eastAsia" w:ascii="仿宋" w:hAnsi="仿宋" w:eastAsia="仿宋" w:cs="仿宋"/>
          <w:b/>
          <w:color w:val="000000"/>
          <w:sz w:val="32"/>
          <w:szCs w:val="32"/>
        </w:rPr>
        <w:t>三是干部队伍活力迸发。</w:t>
      </w:r>
      <w:r>
        <w:rPr>
          <w:rFonts w:hint="eastAsia" w:ascii="仿宋" w:hAnsi="仿宋" w:eastAsia="仿宋" w:cs="仿宋"/>
          <w:color w:val="000000"/>
          <w:sz w:val="32"/>
          <w:szCs w:val="32"/>
        </w:rPr>
        <w:t>坚持“二十字”好干部标准，实现干部任免常态化，树立干事创业导向，平稳有序做好局直系统干部调配和职务职级并行工作，局直系统选拔使用科级干部10人，晋升职级46人，按时完成31人试用期转正考察等工作，干部干事创业激情持续加强。</w:t>
      </w:r>
    </w:p>
    <w:p>
      <w:pPr>
        <w:pStyle w:val="8"/>
        <w:keepNext w:val="0"/>
        <w:keepLines w:val="0"/>
        <w:widowControl/>
        <w:suppressLineNumbers w:val="0"/>
        <w:spacing w:before="0" w:beforeAutospacing="0" w:after="0" w:afterAutospacing="0" w:line="340" w:lineRule="atLeast"/>
        <w:ind w:right="160" w:firstLine="640"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预算投入、过程、产出及效率方面</w:t>
      </w:r>
    </w:p>
    <w:p>
      <w:pPr>
        <w:pStyle w:val="8"/>
        <w:keepNext w:val="0"/>
        <w:keepLines w:val="0"/>
        <w:widowControl/>
        <w:suppressLineNumbers w:val="0"/>
        <w:shd w:val="clear" w:fill="FFFFFF"/>
        <w:spacing w:before="0" w:beforeAutospacing="0" w:after="0" w:afterAutospacing="0" w:line="340" w:lineRule="atLeast"/>
        <w:ind w:left="0" w:right="0" w:firstLine="560"/>
        <w:jc w:val="both"/>
        <w:rPr>
          <w:rFonts w:hint="eastAsia" w:ascii="仿宋" w:hAnsi="仿宋" w:eastAsia="仿宋" w:cs="仿宋"/>
          <w:sz w:val="32"/>
          <w:szCs w:val="32"/>
        </w:rPr>
      </w:pPr>
      <w:r>
        <w:rPr>
          <w:rFonts w:hint="eastAsia" w:ascii="仿宋" w:hAnsi="仿宋" w:eastAsia="仿宋" w:cs="仿宋"/>
          <w:sz w:val="32"/>
          <w:szCs w:val="32"/>
          <w:shd w:val="clear" w:fill="FFFFFF"/>
          <w:lang w:val="en-US" w:eastAsia="zh-CN"/>
        </w:rPr>
        <w:t>1</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val="en-US" w:eastAsia="zh-CN"/>
        </w:rPr>
        <w:t>2021</w:t>
      </w:r>
      <w:r>
        <w:rPr>
          <w:rFonts w:hint="eastAsia" w:ascii="仿宋" w:hAnsi="仿宋" w:eastAsia="仿宋" w:cs="仿宋"/>
          <w:sz w:val="32"/>
          <w:szCs w:val="32"/>
          <w:shd w:val="clear" w:fill="FFFFFF"/>
        </w:rPr>
        <w:t>年</w:t>
      </w:r>
      <w:r>
        <w:rPr>
          <w:rFonts w:hint="eastAsia" w:ascii="仿宋" w:hAnsi="仿宋" w:eastAsia="仿宋" w:cs="仿宋"/>
          <w:sz w:val="32"/>
          <w:szCs w:val="32"/>
          <w:shd w:val="clear" w:fill="FFFFFF"/>
          <w:lang w:eastAsia="zh-CN"/>
        </w:rPr>
        <w:t>人员</w:t>
      </w:r>
      <w:r>
        <w:rPr>
          <w:rFonts w:hint="eastAsia" w:ascii="仿宋" w:hAnsi="仿宋" w:eastAsia="仿宋" w:cs="仿宋"/>
          <w:sz w:val="32"/>
          <w:szCs w:val="32"/>
          <w:shd w:val="clear" w:fill="FFFFFF"/>
        </w:rPr>
        <w:t>配置方面，财政供养人员控制在预算编制以内，编制内在职人员控制率100%，“三公经费”控制较好。</w:t>
      </w:r>
    </w:p>
    <w:p>
      <w:pPr>
        <w:widowControl/>
        <w:wordWrap w:val="0"/>
        <w:spacing w:before="100" w:beforeAutospacing="1" w:after="100" w:afterAutospacing="1" w:line="615" w:lineRule="atLeast"/>
        <w:ind w:firstLine="645"/>
        <w:rPr>
          <w:rFonts w:hint="eastAsia" w:ascii="仿宋" w:hAnsi="仿宋" w:eastAsia="仿宋" w:cs="仿宋"/>
          <w:sz w:val="32"/>
          <w:szCs w:val="32"/>
          <w:shd w:val="clear" w:fill="FFFFFF"/>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产出情况：保障交通局机关在职人员5</w:t>
      </w:r>
      <w:r>
        <w:rPr>
          <w:rFonts w:hint="eastAsia" w:ascii="仿宋" w:hAnsi="仿宋" w:eastAsia="仿宋" w:cs="仿宋"/>
          <w:sz w:val="32"/>
          <w:szCs w:val="32"/>
          <w:lang w:val="en-US" w:eastAsia="zh-CN"/>
        </w:rPr>
        <w:t>6</w:t>
      </w:r>
      <w:r>
        <w:rPr>
          <w:rFonts w:hint="eastAsia" w:ascii="仿宋" w:hAnsi="仿宋" w:eastAsia="仿宋" w:cs="仿宋"/>
          <w:sz w:val="32"/>
          <w:szCs w:val="32"/>
        </w:rPr>
        <w:t>人、离退休人员37人正常办公、生活秩序，基本满足在职人员和离退休的正常办公、生活要求。完成</w:t>
      </w:r>
      <w:r>
        <w:rPr>
          <w:rFonts w:hint="eastAsia" w:ascii="仿宋" w:hAnsi="仿宋" w:eastAsia="仿宋" w:cs="仿宋"/>
          <w:sz w:val="32"/>
          <w:szCs w:val="32"/>
          <w:lang w:eastAsia="zh-CN"/>
        </w:rPr>
        <w:t>专项</w:t>
      </w:r>
      <w:r>
        <w:rPr>
          <w:rFonts w:hint="eastAsia" w:ascii="仿宋" w:hAnsi="仿宋" w:eastAsia="仿宋" w:cs="仿宋"/>
          <w:sz w:val="32"/>
          <w:szCs w:val="32"/>
        </w:rPr>
        <w:t>资金支出进度要求，</w:t>
      </w:r>
      <w:r>
        <w:rPr>
          <w:rFonts w:hint="eastAsia" w:ascii="仿宋" w:hAnsi="仿宋" w:eastAsia="仿宋" w:cs="仿宋"/>
          <w:sz w:val="32"/>
          <w:szCs w:val="32"/>
          <w:lang w:eastAsia="zh-CN"/>
        </w:rPr>
        <w:t>确保</w:t>
      </w:r>
      <w:r>
        <w:rPr>
          <w:rFonts w:hint="eastAsia" w:ascii="仿宋" w:hAnsi="仿宋" w:eastAsia="仿宋" w:cs="仿宋"/>
          <w:sz w:val="32"/>
          <w:szCs w:val="32"/>
        </w:rPr>
        <w:t>交通局各项工作顺利开展</w:t>
      </w:r>
      <w:r>
        <w:rPr>
          <w:rFonts w:hint="eastAsia" w:ascii="仿宋" w:hAnsi="仿宋" w:eastAsia="仿宋" w:cs="仿宋"/>
          <w:sz w:val="32"/>
          <w:szCs w:val="32"/>
          <w:lang w:val="en-US" w:eastAsia="zh-CN"/>
        </w:rPr>
        <w:t>.</w:t>
      </w:r>
    </w:p>
    <w:p>
      <w:pPr>
        <w:pStyle w:val="8"/>
        <w:keepNext w:val="0"/>
        <w:keepLines w:val="0"/>
        <w:widowControl/>
        <w:numPr>
          <w:ilvl w:val="0"/>
          <w:numId w:val="0"/>
        </w:numPr>
        <w:suppressLineNumbers w:val="0"/>
        <w:shd w:val="clear" w:fill="FFFFFF"/>
        <w:spacing w:before="0" w:beforeAutospacing="0" w:after="0" w:afterAutospacing="0" w:line="352" w:lineRule="atLeast"/>
        <w:ind w:left="0" w:leftChars="0" w:right="0" w:rightChars="0" w:firstLine="640" w:firstLineChars="200"/>
        <w:jc w:val="both"/>
        <w:rPr>
          <w:rFonts w:hint="eastAsia" w:ascii="仿宋" w:hAnsi="仿宋" w:eastAsia="仿宋" w:cs="仿宋"/>
          <w:sz w:val="32"/>
          <w:szCs w:val="32"/>
          <w:shd w:val="clear" w:fill="FFFFFF"/>
        </w:rPr>
      </w:pPr>
      <w:r>
        <w:rPr>
          <w:rFonts w:hint="eastAsia" w:ascii="仿宋" w:hAnsi="仿宋" w:eastAsia="仿宋" w:cs="仿宋"/>
          <w:sz w:val="32"/>
          <w:szCs w:val="32"/>
          <w:shd w:val="clear" w:fill="FFFFFF"/>
          <w:lang w:val="en-US" w:eastAsia="zh-CN"/>
        </w:rPr>
        <w:t>3、</w:t>
      </w:r>
      <w:r>
        <w:rPr>
          <w:rFonts w:hint="eastAsia" w:ascii="仿宋" w:hAnsi="仿宋" w:eastAsia="仿宋" w:cs="仿宋"/>
          <w:sz w:val="32"/>
          <w:szCs w:val="32"/>
          <w:shd w:val="clear" w:fill="FFFFFF"/>
        </w:rPr>
        <w:t>预算管理</w:t>
      </w:r>
      <w:r>
        <w:rPr>
          <w:rFonts w:hint="eastAsia" w:ascii="仿宋" w:hAnsi="仿宋" w:eastAsia="仿宋" w:cs="仿宋"/>
          <w:sz w:val="32"/>
          <w:szCs w:val="32"/>
          <w:shd w:val="clear" w:fill="FFFFFF"/>
          <w:lang w:eastAsia="zh-CN"/>
        </w:rPr>
        <w:t>：我局严格遵守财经纪律及相关会计制度，按照财务</w:t>
      </w:r>
      <w:r>
        <w:rPr>
          <w:rFonts w:hint="eastAsia" w:ascii="仿宋" w:hAnsi="仿宋" w:eastAsia="仿宋" w:cs="仿宋"/>
          <w:sz w:val="32"/>
          <w:szCs w:val="32"/>
          <w:shd w:val="clear" w:fill="FFFFFF"/>
        </w:rPr>
        <w:t>管理、预算管理、资产管理</w:t>
      </w:r>
      <w:r>
        <w:rPr>
          <w:rFonts w:hint="eastAsia" w:ascii="仿宋" w:hAnsi="仿宋" w:eastAsia="仿宋" w:cs="仿宋"/>
          <w:sz w:val="32"/>
          <w:szCs w:val="32"/>
          <w:shd w:val="clear" w:fill="FFFFFF"/>
          <w:lang w:eastAsia="zh-CN"/>
        </w:rPr>
        <w:t>、办公用品管理、电子卖场管理</w:t>
      </w:r>
      <w:r>
        <w:rPr>
          <w:rFonts w:hint="eastAsia" w:ascii="仿宋" w:hAnsi="仿宋" w:eastAsia="仿宋" w:cs="仿宋"/>
          <w:sz w:val="32"/>
          <w:szCs w:val="32"/>
          <w:shd w:val="clear" w:fill="FFFFFF"/>
        </w:rPr>
        <w:t>等一系列</w:t>
      </w:r>
      <w:r>
        <w:rPr>
          <w:rFonts w:hint="eastAsia" w:ascii="仿宋" w:hAnsi="仿宋" w:eastAsia="仿宋" w:cs="仿宋"/>
          <w:sz w:val="32"/>
          <w:szCs w:val="32"/>
          <w:shd w:val="clear" w:fill="FFFFFF"/>
          <w:lang w:eastAsia="zh-CN"/>
        </w:rPr>
        <w:t>内部财务管理制度进行财务管理。项目支出分项目单独核算。严格按规定在局门户网站上公开预决算信息、绩效评价和三公经费情况。限额以上的按规定进行政府采购，限额以下的均通过电子卖场实施采购，达到公开招投标限额的项目均按要求进行公开招投标。相关资产管理制度合法、合规、完整。预算管理</w:t>
      </w:r>
      <w:r>
        <w:rPr>
          <w:rFonts w:hint="eastAsia" w:ascii="仿宋" w:hAnsi="仿宋" w:eastAsia="仿宋" w:cs="仿宋"/>
          <w:sz w:val="32"/>
          <w:szCs w:val="32"/>
          <w:shd w:val="clear" w:fill="FFFFFF"/>
        </w:rPr>
        <w:t>本着厉行节俭、只减不增的原则，严格执行“三公”经费标准和审批制度与程序，公用经费、三公经费都得到了有效控制。</w:t>
      </w:r>
    </w:p>
    <w:p>
      <w:pPr>
        <w:pStyle w:val="8"/>
        <w:keepNext w:val="0"/>
        <w:keepLines w:val="0"/>
        <w:widowControl/>
        <w:suppressLineNumbers w:val="0"/>
        <w:shd w:val="clear" w:fill="FFFFFF"/>
        <w:spacing w:before="0" w:beforeAutospacing="0" w:after="0" w:afterAutospacing="0" w:line="352" w:lineRule="atLeast"/>
        <w:ind w:right="0" w:firstLine="640" w:firstLineChars="200"/>
        <w:jc w:val="both"/>
        <w:rPr>
          <w:rFonts w:hint="eastAsia" w:ascii="仿宋" w:hAnsi="仿宋" w:eastAsia="仿宋" w:cs="仿宋"/>
          <w:b/>
          <w:bCs/>
          <w:sz w:val="32"/>
          <w:szCs w:val="32"/>
          <w:shd w:val="clear" w:fill="FFFFFF"/>
          <w:lang w:eastAsia="zh-CN"/>
        </w:rPr>
      </w:pPr>
      <w:r>
        <w:rPr>
          <w:rFonts w:hint="eastAsia" w:ascii="仿宋" w:hAnsi="仿宋" w:eastAsia="仿宋" w:cs="仿宋"/>
          <w:b/>
          <w:bCs/>
          <w:sz w:val="32"/>
          <w:szCs w:val="32"/>
          <w:shd w:val="clear" w:fill="FFFFFF"/>
          <w:lang w:eastAsia="zh-CN"/>
        </w:rPr>
        <w:t>（三）发展规划</w:t>
      </w:r>
    </w:p>
    <w:p>
      <w:pPr>
        <w:pStyle w:val="8"/>
        <w:keepNext w:val="0"/>
        <w:keepLines w:val="0"/>
        <w:widowControl/>
        <w:suppressLineNumbers w:val="0"/>
        <w:shd w:val="clear" w:fill="FFFFFF"/>
        <w:spacing w:before="0" w:beforeAutospacing="0" w:after="0" w:afterAutospacing="0" w:line="352" w:lineRule="atLeast"/>
        <w:ind w:right="0" w:firstLine="640" w:firstLineChars="200"/>
        <w:jc w:val="both"/>
        <w:rPr>
          <w:rFonts w:hint="default"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 xml:space="preserve"> 2021年，我局坚持贯彻中央、省、市决策部署和工作安排，紧紧围绕年度目标，着力抓好重点工作，全面推进交通运输工作年度目标任务完成，力争获得省、市真抓实干激励，为推动衡阳经济社会发展提供强有力的交通运输支撑保障。</w:t>
      </w:r>
    </w:p>
    <w:p>
      <w:pPr>
        <w:pStyle w:val="8"/>
        <w:keepNext w:val="0"/>
        <w:keepLines w:val="0"/>
        <w:widowControl/>
        <w:suppressLineNumbers w:val="0"/>
        <w:shd w:val="clear" w:fill="FFFFFF"/>
        <w:spacing w:before="0" w:beforeAutospacing="0" w:after="0" w:afterAutospacing="0" w:line="352" w:lineRule="atLeast"/>
        <w:ind w:left="0" w:right="0" w:firstLine="640" w:firstLineChars="200"/>
        <w:jc w:val="both"/>
        <w:rPr>
          <w:rFonts w:hint="eastAsia" w:ascii="仿宋" w:hAnsi="仿宋" w:eastAsia="仿宋" w:cs="仿宋"/>
          <w:b/>
          <w:bCs/>
          <w:sz w:val="32"/>
          <w:szCs w:val="32"/>
          <w:lang w:eastAsia="zh-CN"/>
        </w:rPr>
      </w:pPr>
      <w:r>
        <w:rPr>
          <w:rFonts w:hint="eastAsia" w:ascii="仿宋" w:hAnsi="仿宋" w:eastAsia="仿宋" w:cs="仿宋"/>
          <w:b/>
          <w:bCs/>
          <w:sz w:val="32"/>
          <w:szCs w:val="32"/>
          <w:shd w:val="clear" w:fill="FFFFFF"/>
          <w:lang w:eastAsia="zh-CN"/>
        </w:rPr>
        <w:t>（四）</w:t>
      </w:r>
      <w:r>
        <w:rPr>
          <w:rFonts w:hint="eastAsia" w:ascii="仿宋" w:hAnsi="仿宋" w:eastAsia="仿宋" w:cs="仿宋"/>
          <w:b/>
          <w:bCs/>
          <w:sz w:val="32"/>
          <w:szCs w:val="32"/>
          <w:shd w:val="clear" w:fill="FFFFFF"/>
        </w:rPr>
        <w:t>社会效益和行政效益方面</w:t>
      </w:r>
    </w:p>
    <w:p>
      <w:pPr>
        <w:keepNext w:val="0"/>
        <w:keepLines w:val="0"/>
        <w:pageBreakBefore w:val="0"/>
        <w:kinsoku/>
        <w:wordWrap/>
        <w:overflowPunct/>
        <w:topLinePunct w:val="0"/>
        <w:autoSpaceDE/>
        <w:autoSpaceDN/>
        <w:bidi w:val="0"/>
        <w:adjustRightInd w:val="0"/>
        <w:snapToGrid w:val="0"/>
        <w:spacing w:line="580" w:lineRule="exact"/>
        <w:ind w:firstLine="616" w:firstLineChars="200"/>
        <w:textAlignment w:val="auto"/>
        <w:rPr>
          <w:rFonts w:hint="eastAsia" w:ascii="仿宋" w:hAnsi="仿宋" w:eastAsia="仿宋" w:cs="仿宋"/>
          <w:color w:val="000000"/>
          <w:sz w:val="32"/>
          <w:szCs w:val="32"/>
        </w:rPr>
      </w:pPr>
      <w:r>
        <w:rPr>
          <w:rFonts w:hint="eastAsia" w:ascii="仿宋" w:hAnsi="仿宋" w:eastAsia="仿宋" w:cs="仿宋"/>
          <w:color w:val="000000"/>
          <w:spacing w:val="-6"/>
          <w:sz w:val="32"/>
          <w:szCs w:val="32"/>
        </w:rPr>
        <w:t>2021年，在市委、市政府的坚强领导下，在市人大、市政协的关心支持下，面对经济下行压力、新冠疫情影响、资金筹集困难等多种不利因素，</w:t>
      </w:r>
      <w:r>
        <w:rPr>
          <w:rFonts w:hint="eastAsia" w:ascii="仿宋" w:hAnsi="仿宋" w:eastAsia="仿宋" w:cs="仿宋"/>
          <w:color w:val="000000"/>
          <w:sz w:val="32"/>
          <w:szCs w:val="32"/>
        </w:rPr>
        <w:t>全系统广大干部职工迎难而上，</w:t>
      </w:r>
      <w:r>
        <w:rPr>
          <w:rFonts w:hint="eastAsia" w:ascii="仿宋" w:hAnsi="仿宋" w:eastAsia="仿宋" w:cs="仿宋"/>
          <w:color w:val="000000"/>
          <w:spacing w:val="-6"/>
          <w:sz w:val="32"/>
          <w:szCs w:val="32"/>
        </w:rPr>
        <w:t>主动作为，勇于担当，</w:t>
      </w:r>
      <w:r>
        <w:rPr>
          <w:rFonts w:hint="eastAsia" w:ascii="仿宋" w:hAnsi="仿宋" w:eastAsia="仿宋" w:cs="仿宋"/>
          <w:color w:val="000000"/>
          <w:sz w:val="32"/>
          <w:szCs w:val="32"/>
        </w:rPr>
        <w:t>奋力</w:t>
      </w:r>
      <w:r>
        <w:rPr>
          <w:rFonts w:hint="eastAsia" w:ascii="仿宋" w:hAnsi="仿宋" w:eastAsia="仿宋" w:cs="仿宋"/>
          <w:color w:val="000000"/>
          <w:spacing w:val="-6"/>
          <w:sz w:val="32"/>
          <w:szCs w:val="32"/>
        </w:rPr>
        <w:t>攻坚，</w:t>
      </w:r>
      <w:r>
        <w:rPr>
          <w:rFonts w:hint="eastAsia" w:ascii="仿宋" w:hAnsi="仿宋" w:eastAsia="仿宋" w:cs="仿宋"/>
          <w:color w:val="000000"/>
          <w:sz w:val="32"/>
          <w:szCs w:val="32"/>
        </w:rPr>
        <w:t>全市交通运输工作抓出了成效。</w:t>
      </w:r>
    </w:p>
    <w:p>
      <w:pPr>
        <w:pStyle w:val="8"/>
        <w:keepNext w:val="0"/>
        <w:keepLines w:val="0"/>
        <w:widowControl/>
        <w:suppressLineNumbers w:val="0"/>
        <w:shd w:val="clear" w:fill="FFFFFF"/>
        <w:spacing w:before="0" w:beforeAutospacing="0" w:after="0" w:afterAutospacing="0" w:line="352" w:lineRule="atLeast"/>
        <w:ind w:left="0" w:right="0" w:firstLine="560"/>
        <w:jc w:val="both"/>
        <w:rPr>
          <w:rFonts w:hint="eastAsia" w:ascii="仿宋" w:hAnsi="仿宋" w:eastAsia="仿宋" w:cs="仿宋"/>
          <w:sz w:val="32"/>
          <w:szCs w:val="32"/>
          <w:shd w:val="clear" w:fill="FFFFFF"/>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shd w:val="clear" w:fill="FFFFFF"/>
        </w:rPr>
        <w:t>在行政效能上，进一步精简文件数量，提高文件质量；严格行文规则，控制文件规格；减少会议数量，压缩会议时间；控制会议规模，创新会议形式；节约会议成本，严肃会议纪律；推动网上办事，降低提交资料的时间及成本，提高了行政效率，降低了行政成本。</w:t>
      </w:r>
    </w:p>
    <w:p>
      <w:pPr>
        <w:widowControl/>
        <w:spacing w:line="600" w:lineRule="exact"/>
        <w:ind w:firstLine="640" w:firstLineChars="200"/>
        <w:jc w:val="left"/>
        <w:rPr>
          <w:rFonts w:hint="eastAsia" w:ascii="仿宋" w:hAnsi="仿宋" w:eastAsia="仿宋" w:cs="仿宋"/>
          <w:sz w:val="32"/>
          <w:szCs w:val="32"/>
        </w:rPr>
      </w:pPr>
      <w:r>
        <w:rPr>
          <w:rFonts w:hint="eastAsia" w:ascii="仿宋" w:hAnsi="仿宋" w:eastAsia="仿宋"/>
          <w:b/>
          <w:bCs/>
          <w:sz w:val="32"/>
          <w:szCs w:val="32"/>
          <w:lang w:eastAsia="zh-CN"/>
        </w:rPr>
        <w:t>（五）</w:t>
      </w:r>
      <w:r>
        <w:rPr>
          <w:rFonts w:hint="eastAsia" w:ascii="仿宋" w:hAnsi="仿宋" w:eastAsia="仿宋"/>
          <w:b/>
          <w:bCs/>
          <w:sz w:val="32"/>
          <w:szCs w:val="32"/>
        </w:rPr>
        <w:t>履职效益</w:t>
      </w:r>
      <w:r>
        <w:rPr>
          <w:rFonts w:hint="eastAsia" w:ascii="仿宋" w:hAnsi="仿宋" w:eastAsia="仿宋" w:cs="仿宋"/>
          <w:sz w:val="32"/>
          <w:szCs w:val="32"/>
        </w:rPr>
        <w:t>：</w:t>
      </w:r>
    </w:p>
    <w:p>
      <w:pPr>
        <w:pStyle w:val="2"/>
        <w:rPr>
          <w:rFonts w:hint="eastAsia" w:ascii="仿宋" w:hAnsi="仿宋" w:eastAsia="仿宋" w:cs="仿宋"/>
          <w:sz w:val="32"/>
          <w:szCs w:val="32"/>
        </w:rPr>
      </w:pPr>
      <w:r>
        <w:rPr>
          <w:rFonts w:hint="eastAsia" w:ascii="仿宋" w:hAnsi="仿宋" w:eastAsia="仿宋"/>
        </w:rPr>
        <w:t xml:space="preserve">     </w:t>
      </w:r>
      <w:r>
        <w:rPr>
          <w:rFonts w:hint="eastAsia" w:ascii="仿宋" w:hAnsi="仿宋" w:eastAsia="仿宋" w:cs="仿宋"/>
          <w:sz w:val="32"/>
          <w:szCs w:val="32"/>
        </w:rPr>
        <w:t xml:space="preserve"> 1）经济效益：通过厉行节约，努力减少各项支出，确保财政资金的正确使用。</w:t>
      </w:r>
    </w:p>
    <w:p>
      <w:pPr>
        <w:pStyle w:val="2"/>
        <w:rPr>
          <w:rFonts w:hint="eastAsia" w:ascii="仿宋" w:hAnsi="仿宋" w:eastAsia="仿宋" w:cs="仿宋"/>
          <w:sz w:val="32"/>
          <w:szCs w:val="32"/>
        </w:rPr>
      </w:pPr>
      <w:r>
        <w:rPr>
          <w:rFonts w:hint="eastAsia" w:ascii="仿宋" w:hAnsi="仿宋" w:eastAsia="仿宋"/>
        </w:rPr>
        <w:t xml:space="preserve">      </w:t>
      </w:r>
      <w:r>
        <w:rPr>
          <w:rFonts w:hint="eastAsia" w:ascii="仿宋" w:hAnsi="仿宋" w:eastAsia="仿宋" w:cs="仿宋"/>
          <w:sz w:val="32"/>
          <w:szCs w:val="32"/>
        </w:rPr>
        <w:t>3）环境效益：通过项目实施，减少环境污染，提高环境质量。</w:t>
      </w:r>
    </w:p>
    <w:p>
      <w:pPr>
        <w:pStyle w:val="2"/>
        <w:ind w:firstLine="960" w:firstLineChars="300"/>
        <w:rPr>
          <w:rFonts w:ascii="仿宋" w:hAnsi="仿宋" w:eastAsia="仿宋" w:cs="仿宋"/>
          <w:sz w:val="32"/>
          <w:szCs w:val="32"/>
        </w:rPr>
      </w:pPr>
      <w:r>
        <w:rPr>
          <w:rFonts w:hint="eastAsia" w:ascii="仿宋" w:hAnsi="仿宋" w:eastAsia="仿宋" w:cs="仿宋"/>
          <w:sz w:val="32"/>
          <w:szCs w:val="32"/>
        </w:rPr>
        <w:t>4）可持续影响：体现政策导向，发挥交通专业优势，带动交通局各项工作的可持续发展。</w:t>
      </w:r>
    </w:p>
    <w:p>
      <w:pPr>
        <w:widowControl/>
        <w:ind w:firstLine="960" w:firstLineChars="300"/>
        <w:rPr>
          <w:rFonts w:hint="eastAsia" w:ascii="仿宋" w:hAnsi="仿宋" w:eastAsia="仿宋" w:cs="仿宋"/>
          <w:sz w:val="32"/>
          <w:szCs w:val="32"/>
        </w:rPr>
      </w:pPr>
      <w:r>
        <w:rPr>
          <w:rFonts w:hint="eastAsia" w:ascii="仿宋" w:hAnsi="仿宋" w:eastAsia="仿宋" w:cs="仿宋"/>
          <w:sz w:val="32"/>
          <w:szCs w:val="32"/>
        </w:rPr>
        <w:t>5）服务对象满意度：</w:t>
      </w:r>
      <w:r>
        <w:rPr>
          <w:rFonts w:hint="eastAsia" w:ascii="仿宋" w:hAnsi="仿宋" w:eastAsia="仿宋" w:cs="仿宋"/>
          <w:sz w:val="32"/>
          <w:szCs w:val="32"/>
          <w:shd w:val="clear" w:fill="FFFFFF"/>
        </w:rPr>
        <w:t>通过上述工作的开展，</w:t>
      </w:r>
      <w:r>
        <w:rPr>
          <w:rFonts w:hint="eastAsia" w:ascii="仿宋" w:hAnsi="仿宋" w:eastAsia="仿宋" w:cs="仿宋"/>
          <w:sz w:val="32"/>
          <w:szCs w:val="32"/>
          <w:shd w:val="clear" w:fill="FFFFFF"/>
          <w:lang w:eastAsia="zh-CN"/>
        </w:rPr>
        <w:t>全市交通运输各项</w:t>
      </w:r>
      <w:r>
        <w:rPr>
          <w:rFonts w:hint="eastAsia" w:ascii="仿宋" w:hAnsi="仿宋" w:eastAsia="仿宋" w:cs="仿宋"/>
          <w:sz w:val="32"/>
          <w:szCs w:val="32"/>
          <w:shd w:val="clear" w:fill="FFFFFF"/>
        </w:rPr>
        <w:t>工作稳步推进，社会公众的满意度得到了提高。</w:t>
      </w:r>
    </w:p>
    <w:p>
      <w:pPr>
        <w:pStyle w:val="8"/>
        <w:keepNext w:val="0"/>
        <w:keepLines w:val="0"/>
        <w:widowControl/>
        <w:suppressLineNumbers w:val="0"/>
        <w:shd w:val="clear" w:fill="FFFFFF"/>
        <w:spacing w:before="0" w:beforeAutospacing="0" w:after="0" w:afterAutospacing="0" w:line="352" w:lineRule="atLeast"/>
        <w:ind w:left="0" w:right="0" w:firstLine="640" w:firstLineChars="200"/>
        <w:jc w:val="both"/>
        <w:rPr>
          <w:rFonts w:hint="eastAsia" w:ascii="仿宋" w:hAnsi="仿宋" w:eastAsia="仿宋" w:cs="仿宋"/>
          <w:b/>
          <w:bCs/>
          <w:sz w:val="32"/>
          <w:szCs w:val="32"/>
        </w:rPr>
      </w:pPr>
      <w:r>
        <w:rPr>
          <w:rFonts w:hint="eastAsia" w:ascii="仿宋" w:hAnsi="仿宋" w:eastAsia="仿宋" w:cs="仿宋"/>
          <w:b/>
          <w:bCs/>
          <w:sz w:val="32"/>
          <w:szCs w:val="32"/>
          <w:shd w:val="clear" w:fill="FFFFFF"/>
          <w:lang w:val="en-US" w:eastAsia="zh-CN"/>
        </w:rPr>
        <w:t>（六）</w:t>
      </w:r>
      <w:r>
        <w:rPr>
          <w:rFonts w:hint="eastAsia" w:ascii="仿宋" w:hAnsi="仿宋" w:eastAsia="仿宋" w:cs="仿宋"/>
          <w:b/>
          <w:bCs/>
          <w:sz w:val="32"/>
          <w:szCs w:val="32"/>
          <w:shd w:val="clear" w:fill="FFFFFF"/>
        </w:rPr>
        <w:t>可持续性分析</w:t>
      </w:r>
    </w:p>
    <w:p>
      <w:pPr>
        <w:pStyle w:val="8"/>
        <w:keepNext w:val="0"/>
        <w:keepLines w:val="0"/>
        <w:widowControl/>
        <w:suppressLineNumbers w:val="0"/>
        <w:shd w:val="clear" w:fill="FFFFFF"/>
        <w:spacing w:before="0" w:beforeAutospacing="0" w:after="0" w:afterAutospacing="0" w:line="352" w:lineRule="atLeast"/>
        <w:ind w:left="0" w:right="0" w:firstLine="560"/>
        <w:jc w:val="both"/>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通过上述工作的开展，</w:t>
      </w:r>
      <w:r>
        <w:rPr>
          <w:rFonts w:hint="eastAsia" w:ascii="仿宋" w:hAnsi="仿宋" w:eastAsia="仿宋" w:cs="仿宋"/>
          <w:sz w:val="32"/>
          <w:szCs w:val="32"/>
          <w:shd w:val="clear" w:fill="FFFFFF"/>
          <w:lang w:eastAsia="zh-CN"/>
        </w:rPr>
        <w:t>全市交通运输各项</w:t>
      </w:r>
      <w:r>
        <w:rPr>
          <w:rFonts w:hint="eastAsia" w:ascii="仿宋" w:hAnsi="仿宋" w:eastAsia="仿宋" w:cs="仿宋"/>
          <w:sz w:val="32"/>
          <w:szCs w:val="32"/>
          <w:shd w:val="clear" w:fill="FFFFFF"/>
        </w:rPr>
        <w:t>工作稳步推进，社会公众的满意度得到了提高。同时在</w:t>
      </w:r>
      <w:r>
        <w:rPr>
          <w:rFonts w:hint="eastAsia" w:ascii="仿宋" w:hAnsi="仿宋" w:eastAsia="仿宋" w:cs="仿宋"/>
          <w:sz w:val="32"/>
          <w:szCs w:val="32"/>
          <w:shd w:val="clear" w:fill="FFFFFF"/>
          <w:lang w:eastAsia="zh-CN"/>
        </w:rPr>
        <w:t>市委市政府</w:t>
      </w:r>
      <w:r>
        <w:rPr>
          <w:rFonts w:hint="eastAsia" w:ascii="仿宋" w:hAnsi="仿宋" w:eastAsia="仿宋" w:cs="仿宋"/>
          <w:sz w:val="32"/>
          <w:szCs w:val="32"/>
          <w:shd w:val="clear" w:fill="FFFFFF"/>
        </w:rPr>
        <w:t>的</w:t>
      </w:r>
      <w:r>
        <w:rPr>
          <w:rFonts w:hint="eastAsia" w:ascii="仿宋" w:hAnsi="仿宋" w:eastAsia="仿宋" w:cs="仿宋"/>
          <w:sz w:val="32"/>
          <w:szCs w:val="32"/>
          <w:shd w:val="clear" w:fill="FFFFFF"/>
          <w:lang w:eastAsia="zh-CN"/>
        </w:rPr>
        <w:t>坚强</w:t>
      </w:r>
      <w:r>
        <w:rPr>
          <w:rFonts w:hint="eastAsia" w:ascii="仿宋" w:hAnsi="仿宋" w:eastAsia="仿宋" w:cs="仿宋"/>
          <w:sz w:val="32"/>
          <w:szCs w:val="32"/>
          <w:shd w:val="clear" w:fill="FFFFFF"/>
        </w:rPr>
        <w:t>领</w:t>
      </w:r>
      <w:r>
        <w:rPr>
          <w:rFonts w:hint="eastAsia" w:ascii="仿宋" w:hAnsi="仿宋" w:eastAsia="仿宋" w:cs="仿宋"/>
          <w:sz w:val="32"/>
          <w:szCs w:val="32"/>
          <w:shd w:val="clear" w:fill="FFFFFF"/>
          <w:lang w:eastAsia="zh-CN"/>
        </w:rPr>
        <w:t>导</w:t>
      </w:r>
      <w:r>
        <w:rPr>
          <w:rFonts w:hint="eastAsia" w:ascii="仿宋" w:hAnsi="仿宋" w:eastAsia="仿宋" w:cs="仿宋"/>
          <w:sz w:val="32"/>
          <w:szCs w:val="32"/>
          <w:shd w:val="clear" w:fill="FFFFFF"/>
        </w:rPr>
        <w:t>下，我</w:t>
      </w:r>
      <w:r>
        <w:rPr>
          <w:rFonts w:hint="eastAsia" w:ascii="仿宋" w:hAnsi="仿宋" w:eastAsia="仿宋" w:cs="仿宋"/>
          <w:sz w:val="32"/>
          <w:szCs w:val="32"/>
          <w:shd w:val="clear" w:fill="FFFFFF"/>
          <w:lang w:eastAsia="zh-CN"/>
        </w:rPr>
        <w:t>局</w:t>
      </w:r>
      <w:r>
        <w:rPr>
          <w:rFonts w:hint="eastAsia" w:ascii="仿宋" w:hAnsi="仿宋" w:eastAsia="仿宋" w:cs="仿宋"/>
          <w:sz w:val="32"/>
          <w:szCs w:val="32"/>
          <w:shd w:val="clear" w:fill="FFFFFF"/>
        </w:rPr>
        <w:t>认真完成上级政府部门布置各项工作任务，</w:t>
      </w:r>
      <w:r>
        <w:rPr>
          <w:rFonts w:hint="eastAsia" w:ascii="仿宋" w:hAnsi="仿宋" w:eastAsia="仿宋" w:cs="仿宋"/>
          <w:sz w:val="32"/>
          <w:szCs w:val="32"/>
          <w:shd w:val="clear" w:fill="FFFFFF"/>
          <w:lang w:eastAsia="zh-CN"/>
        </w:rPr>
        <w:t>加强</w:t>
      </w:r>
      <w:r>
        <w:rPr>
          <w:rFonts w:hint="eastAsia" w:ascii="仿宋" w:hAnsi="仿宋" w:eastAsia="仿宋" w:cs="仿宋"/>
          <w:sz w:val="32"/>
          <w:szCs w:val="32"/>
          <w:shd w:val="clear" w:fill="FFFFFF"/>
        </w:rPr>
        <w:t>资金管理，提高资金使用效率。</w:t>
      </w:r>
    </w:p>
    <w:p>
      <w:pPr>
        <w:pStyle w:val="8"/>
        <w:keepNext w:val="0"/>
        <w:keepLines w:val="0"/>
        <w:widowControl/>
        <w:numPr>
          <w:ilvl w:val="0"/>
          <w:numId w:val="4"/>
        </w:numPr>
        <w:suppressLineNumbers w:val="0"/>
        <w:shd w:val="clear" w:fill="FFFFFF"/>
        <w:spacing w:before="0" w:beforeAutospacing="0" w:after="0" w:afterAutospacing="0" w:line="352" w:lineRule="atLeast"/>
        <w:ind w:left="0" w:right="0" w:firstLine="560"/>
        <w:jc w:val="both"/>
        <w:rPr>
          <w:rFonts w:hint="eastAsia" w:ascii="仿宋" w:hAnsi="仿宋" w:eastAsia="仿宋" w:cs="仿宋"/>
          <w:b/>
          <w:bCs/>
          <w:sz w:val="32"/>
          <w:szCs w:val="32"/>
          <w:shd w:val="clear" w:fill="FFFFFF"/>
          <w:lang w:eastAsia="zh-CN"/>
        </w:rPr>
      </w:pPr>
      <w:r>
        <w:rPr>
          <w:rFonts w:hint="eastAsia" w:ascii="仿宋" w:hAnsi="仿宋" w:eastAsia="仿宋" w:cs="仿宋"/>
          <w:b/>
          <w:bCs/>
          <w:sz w:val="32"/>
          <w:szCs w:val="32"/>
          <w:shd w:val="clear" w:fill="FFFFFF"/>
          <w:lang w:eastAsia="zh-CN"/>
        </w:rPr>
        <w:t>存在的问题及原因分析</w:t>
      </w:r>
    </w:p>
    <w:p>
      <w:pPr>
        <w:pStyle w:val="8"/>
        <w:keepNext w:val="0"/>
        <w:keepLines w:val="0"/>
        <w:widowControl/>
        <w:suppressLineNumbers w:val="0"/>
        <w:shd w:val="clear" w:fill="FFFFFF"/>
        <w:spacing w:before="0" w:beforeAutospacing="0" w:after="0" w:afterAutospacing="0" w:line="352" w:lineRule="atLeast"/>
        <w:ind w:right="0" w:firstLine="640" w:firstLineChars="200"/>
        <w:jc w:val="both"/>
        <w:rPr>
          <w:rFonts w:hint="default"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预算绩效管理人才缺乏，管理能力和水平有待进一步提高。</w:t>
      </w:r>
    </w:p>
    <w:p>
      <w:pPr>
        <w:pStyle w:val="8"/>
        <w:keepNext w:val="0"/>
        <w:keepLines w:val="0"/>
        <w:widowControl/>
        <w:numPr>
          <w:ilvl w:val="0"/>
          <w:numId w:val="4"/>
        </w:numPr>
        <w:suppressLineNumbers w:val="0"/>
        <w:shd w:val="clear" w:fill="FFFFFF"/>
        <w:spacing w:before="0" w:beforeAutospacing="0" w:after="0" w:afterAutospacing="0" w:line="352" w:lineRule="atLeast"/>
        <w:ind w:left="0" w:right="0" w:firstLine="560"/>
        <w:jc w:val="both"/>
        <w:rPr>
          <w:rFonts w:hint="eastAsia" w:ascii="仿宋" w:hAnsi="仿宋" w:eastAsia="仿宋" w:cs="仿宋"/>
          <w:b/>
          <w:bCs/>
          <w:sz w:val="32"/>
          <w:szCs w:val="32"/>
          <w:shd w:val="clear" w:fill="FFFFFF"/>
          <w:lang w:eastAsia="zh-CN"/>
        </w:rPr>
      </w:pPr>
      <w:r>
        <w:rPr>
          <w:rFonts w:hint="eastAsia" w:ascii="仿宋" w:hAnsi="仿宋" w:eastAsia="仿宋" w:cs="仿宋"/>
          <w:b/>
          <w:bCs/>
          <w:sz w:val="32"/>
          <w:szCs w:val="32"/>
          <w:shd w:val="clear" w:fill="FFFFFF"/>
          <w:lang w:eastAsia="zh-CN"/>
        </w:rPr>
        <w:t>下一步工作安排</w:t>
      </w:r>
    </w:p>
    <w:p>
      <w:pPr>
        <w:pStyle w:val="8"/>
        <w:keepNext w:val="0"/>
        <w:keepLines w:val="0"/>
        <w:widowControl/>
        <w:suppressLineNumbers w:val="0"/>
        <w:shd w:val="clear" w:fill="FFFFFF"/>
        <w:spacing w:before="0" w:beforeAutospacing="0" w:after="0" w:afterAutospacing="0" w:line="352" w:lineRule="atLeast"/>
        <w:ind w:left="0" w:right="0" w:firstLine="560"/>
        <w:jc w:val="both"/>
        <w:rPr>
          <w:rFonts w:hint="default" w:ascii="Calibri" w:hAnsi="Calibri" w:cs="Calibri"/>
          <w:sz w:val="32"/>
          <w:szCs w:val="32"/>
        </w:rPr>
      </w:pPr>
      <w:r>
        <w:rPr>
          <w:rFonts w:hint="eastAsia" w:ascii="仿宋" w:hAnsi="仿宋" w:eastAsia="仿宋" w:cs="仿宋"/>
          <w:sz w:val="32"/>
          <w:szCs w:val="32"/>
          <w:shd w:val="clear" w:fill="FFFFFF"/>
        </w:rPr>
        <w:t>1、认真做好预算编制</w:t>
      </w:r>
    </w:p>
    <w:p>
      <w:pPr>
        <w:pStyle w:val="8"/>
        <w:keepNext w:val="0"/>
        <w:keepLines w:val="0"/>
        <w:widowControl/>
        <w:suppressLineNumbers w:val="0"/>
        <w:shd w:val="clear" w:fill="FFFFFF"/>
        <w:spacing w:before="0" w:beforeAutospacing="0" w:after="0" w:afterAutospacing="0" w:line="352" w:lineRule="atLeast"/>
        <w:ind w:left="0" w:right="0" w:firstLine="560"/>
        <w:jc w:val="both"/>
        <w:rPr>
          <w:rFonts w:hint="eastAsia" w:ascii="Calibri" w:hAnsi="Calibri" w:eastAsia="仿宋" w:cs="Calibri"/>
          <w:sz w:val="32"/>
          <w:szCs w:val="32"/>
          <w:lang w:eastAsia="zh-CN"/>
        </w:rPr>
      </w:pPr>
      <w:r>
        <w:rPr>
          <w:rFonts w:hint="eastAsia" w:ascii="仿宋" w:hAnsi="仿宋" w:eastAsia="仿宋" w:cs="仿宋"/>
          <w:sz w:val="32"/>
          <w:szCs w:val="32"/>
          <w:shd w:val="clear" w:fill="FFFFFF"/>
        </w:rPr>
        <w:t>进一步加强单位内部预算管理，严格按照预算编制的相关制度和要求，本着“勤俭节约、保障运转”的原则进行预算编制；编制范围尽可能的全面，不漏项；杜绝预算编制粗放现象的发生，进一步提高预算编制的科学性、合理性、严谨性和可控性</w:t>
      </w:r>
      <w:r>
        <w:rPr>
          <w:rFonts w:hint="eastAsia" w:ascii="仿宋" w:hAnsi="仿宋" w:eastAsia="仿宋" w:cs="仿宋"/>
          <w:sz w:val="32"/>
          <w:szCs w:val="32"/>
          <w:shd w:val="clear" w:fill="FFFFFF"/>
          <w:lang w:eastAsia="zh-CN"/>
        </w:rPr>
        <w:t>，科学制定年度预算，充分预计和提前计划各项支出。</w:t>
      </w:r>
    </w:p>
    <w:p>
      <w:pPr>
        <w:pStyle w:val="8"/>
        <w:keepNext w:val="0"/>
        <w:keepLines w:val="0"/>
        <w:widowControl/>
        <w:suppressLineNumbers w:val="0"/>
        <w:shd w:val="clear" w:fill="FFFFFF"/>
        <w:spacing w:before="0" w:beforeAutospacing="0" w:after="0" w:afterAutospacing="0" w:line="360" w:lineRule="atLeast"/>
        <w:ind w:left="0" w:firstLine="560"/>
        <w:jc w:val="both"/>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rPr>
        <w:t>2、</w:t>
      </w:r>
      <w:r>
        <w:rPr>
          <w:rFonts w:hint="eastAsia" w:ascii="仿宋" w:hAnsi="仿宋" w:eastAsia="仿宋" w:cs="仿宋"/>
          <w:sz w:val="32"/>
          <w:szCs w:val="32"/>
          <w:shd w:val="clear" w:fill="FFFFFF"/>
          <w:lang w:eastAsia="zh-CN"/>
        </w:rPr>
        <w:t>提高绩效管理水平</w:t>
      </w:r>
    </w:p>
    <w:p>
      <w:pPr>
        <w:pStyle w:val="8"/>
        <w:keepNext w:val="0"/>
        <w:keepLines w:val="0"/>
        <w:widowControl/>
        <w:suppressLineNumbers w:val="0"/>
        <w:shd w:val="clear" w:fill="FFFFFF"/>
        <w:spacing w:before="0" w:beforeAutospacing="0" w:after="0" w:afterAutospacing="0" w:line="360" w:lineRule="atLeast"/>
        <w:ind w:left="0" w:firstLine="560"/>
        <w:jc w:val="both"/>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lang w:eastAsia="zh-CN"/>
        </w:rPr>
        <w:t>进一步建立健全预算绩效管理工作制度，加强预算绩效管理工作队伍建设，通过开展预算绩效管理工作培训、与财政和绩效管理先进单位交流学习等方式提高单位绩效管理工作能力和水平。</w:t>
      </w:r>
    </w:p>
    <w:p>
      <w:pPr>
        <w:pStyle w:val="8"/>
        <w:keepNext w:val="0"/>
        <w:keepLines w:val="0"/>
        <w:widowControl/>
        <w:suppressLineNumbers w:val="0"/>
        <w:shd w:val="clear" w:fill="FFFFFF"/>
        <w:spacing w:before="0" w:beforeAutospacing="0" w:after="0" w:afterAutospacing="0" w:line="360" w:lineRule="atLeast"/>
        <w:ind w:left="0" w:firstLine="560"/>
        <w:jc w:val="both"/>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3、完善财务管理制度</w:t>
      </w:r>
    </w:p>
    <w:p>
      <w:pPr>
        <w:pStyle w:val="8"/>
        <w:keepNext w:val="0"/>
        <w:keepLines w:val="0"/>
        <w:widowControl/>
        <w:suppressLineNumbers w:val="0"/>
        <w:shd w:val="clear" w:fill="FFFFFF"/>
        <w:spacing w:before="0" w:beforeAutospacing="0" w:after="0" w:afterAutospacing="0" w:line="360" w:lineRule="atLeast"/>
        <w:ind w:left="0" w:firstLine="560"/>
        <w:jc w:val="both"/>
        <w:rPr>
          <w:rFonts w:hint="eastAsia" w:ascii="宋体" w:hAnsi="宋体" w:eastAsia="宋体" w:cs="宋体"/>
          <w:sz w:val="32"/>
          <w:szCs w:val="32"/>
        </w:rPr>
      </w:pPr>
      <w:r>
        <w:rPr>
          <w:rFonts w:hint="eastAsia" w:ascii="仿宋" w:hAnsi="仿宋" w:eastAsia="仿宋" w:cs="仿宋"/>
          <w:sz w:val="32"/>
          <w:szCs w:val="32"/>
          <w:shd w:val="clear" w:fill="FFFFFF"/>
        </w:rPr>
        <w:t>进一步贯彻落实中央“八项规定”，建立健全新的财务管理制度，针对“三公”经费制订专门的审批和控制制度，规范支出标准与范围，并严格执行。</w:t>
      </w:r>
    </w:p>
    <w:p>
      <w:pPr>
        <w:pStyle w:val="8"/>
        <w:keepNext w:val="0"/>
        <w:keepLines w:val="0"/>
        <w:widowControl/>
        <w:suppressLineNumbers w:val="0"/>
        <w:shd w:val="clear" w:fill="FFFFFF"/>
        <w:spacing w:before="0" w:beforeAutospacing="0" w:after="0" w:afterAutospacing="0" w:line="360" w:lineRule="atLeast"/>
        <w:ind w:left="0" w:firstLine="560"/>
        <w:jc w:val="both"/>
        <w:rPr>
          <w:rFonts w:hint="eastAsia" w:ascii="宋体" w:hAnsi="宋体" w:eastAsia="仿宋" w:cs="宋体"/>
          <w:sz w:val="32"/>
          <w:szCs w:val="32"/>
          <w:lang w:eastAsia="zh-CN"/>
        </w:rPr>
      </w:pPr>
      <w:r>
        <w:rPr>
          <w:rFonts w:hint="eastAsia" w:ascii="仿宋" w:hAnsi="仿宋" w:eastAsia="仿宋" w:cs="仿宋"/>
          <w:sz w:val="32"/>
          <w:szCs w:val="32"/>
          <w:shd w:val="clear" w:fill="FFFFFF"/>
          <w:lang w:val="en-US" w:eastAsia="zh-CN"/>
        </w:rPr>
        <w:t>4</w:t>
      </w:r>
      <w:r>
        <w:rPr>
          <w:rFonts w:hint="eastAsia" w:ascii="仿宋" w:hAnsi="仿宋" w:eastAsia="仿宋" w:cs="仿宋"/>
          <w:sz w:val="32"/>
          <w:szCs w:val="32"/>
          <w:shd w:val="clear" w:fill="FFFFFF"/>
        </w:rPr>
        <w:t>、加强</w:t>
      </w:r>
      <w:r>
        <w:rPr>
          <w:rFonts w:hint="eastAsia" w:ascii="仿宋" w:hAnsi="仿宋" w:eastAsia="仿宋" w:cs="仿宋"/>
          <w:sz w:val="32"/>
          <w:szCs w:val="32"/>
          <w:shd w:val="clear" w:fill="FFFFFF"/>
          <w:lang w:eastAsia="zh-CN"/>
        </w:rPr>
        <w:t>全局</w:t>
      </w:r>
      <w:r>
        <w:rPr>
          <w:rFonts w:hint="eastAsia" w:ascii="仿宋" w:hAnsi="仿宋" w:eastAsia="仿宋" w:cs="仿宋"/>
          <w:sz w:val="32"/>
          <w:szCs w:val="32"/>
          <w:shd w:val="clear" w:fill="FFFFFF"/>
        </w:rPr>
        <w:t>经费管理</w:t>
      </w:r>
    </w:p>
    <w:p>
      <w:pPr>
        <w:pStyle w:val="8"/>
        <w:keepNext w:val="0"/>
        <w:keepLines w:val="0"/>
        <w:widowControl/>
        <w:suppressLineNumbers w:val="0"/>
        <w:shd w:val="clear" w:fill="FFFFFF"/>
        <w:spacing w:before="0" w:beforeAutospacing="0" w:after="0" w:afterAutospacing="0" w:line="360" w:lineRule="atLeast"/>
        <w:ind w:left="0" w:firstLine="560"/>
        <w:jc w:val="both"/>
        <w:rPr>
          <w:rFonts w:hint="eastAsia" w:ascii="宋体" w:hAnsi="宋体" w:eastAsia="宋体" w:cs="宋体"/>
          <w:sz w:val="32"/>
          <w:szCs w:val="32"/>
        </w:rPr>
      </w:pPr>
      <w:r>
        <w:rPr>
          <w:rFonts w:hint="eastAsia" w:ascii="仿宋" w:hAnsi="仿宋" w:eastAsia="仿宋" w:cs="仿宋"/>
          <w:sz w:val="32"/>
          <w:szCs w:val="32"/>
          <w:shd w:val="clear" w:fill="FFFFFF"/>
          <w:lang w:eastAsia="zh-CN"/>
        </w:rPr>
        <w:t>在当前工作经费逐年压减少的大环境下，财务本着少花钱、事要办好的原则，继续推行经费先批后用、先预算后结算的操作模式，</w:t>
      </w:r>
      <w:r>
        <w:rPr>
          <w:rFonts w:hint="eastAsia" w:ascii="仿宋" w:hAnsi="仿宋" w:eastAsia="仿宋" w:cs="仿宋"/>
          <w:sz w:val="32"/>
          <w:szCs w:val="32"/>
          <w:shd w:val="clear" w:fill="FFFFFF"/>
        </w:rPr>
        <w:t>确保</w:t>
      </w:r>
      <w:r>
        <w:rPr>
          <w:rFonts w:hint="eastAsia" w:ascii="仿宋" w:hAnsi="仿宋" w:eastAsia="仿宋" w:cs="仿宋"/>
          <w:sz w:val="32"/>
          <w:szCs w:val="32"/>
          <w:shd w:val="clear" w:fill="FFFFFF"/>
          <w:lang w:eastAsia="zh-CN"/>
        </w:rPr>
        <w:t>我局</w:t>
      </w:r>
      <w:r>
        <w:rPr>
          <w:rFonts w:hint="eastAsia" w:ascii="仿宋" w:hAnsi="仿宋" w:eastAsia="仿宋" w:cs="仿宋"/>
          <w:sz w:val="32"/>
          <w:szCs w:val="32"/>
          <w:shd w:val="clear" w:fill="FFFFFF"/>
        </w:rPr>
        <w:t>各项工作有序开展并取得实效。</w:t>
      </w:r>
    </w:p>
    <w:p>
      <w:pPr>
        <w:widowControl/>
        <w:numPr>
          <w:ilvl w:val="0"/>
          <w:numId w:val="0"/>
        </w:numPr>
        <w:ind w:leftChars="200"/>
        <w:rPr>
          <w:rFonts w:hint="eastAsia" w:ascii="仿宋" w:hAnsi="仿宋" w:eastAsia="仿宋" w:cs="仿宋"/>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pStyle w:val="2"/>
        <w:rPr>
          <w:rFonts w:hint="eastAsia" w:ascii="黑体" w:hAnsi="黑体" w:eastAsia="黑体" w:cs="黑体"/>
          <w:kern w:val="0"/>
          <w:sz w:val="32"/>
          <w:szCs w:val="32"/>
        </w:rPr>
      </w:pPr>
    </w:p>
    <w:p>
      <w:pPr>
        <w:pStyle w:val="2"/>
        <w:rPr>
          <w:rFonts w:hint="eastAsia" w:ascii="黑体" w:hAnsi="黑体" w:eastAsia="黑体" w:cs="黑体"/>
          <w:kern w:val="0"/>
          <w:sz w:val="32"/>
          <w:szCs w:val="32"/>
        </w:rPr>
      </w:pPr>
    </w:p>
    <w:p>
      <w:pPr>
        <w:pStyle w:val="2"/>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Times New Roman" w:hAnsi="Times New Roman" w:eastAsia="仿宋_GB2312"/>
          <w:kern w:val="0"/>
          <w:sz w:val="36"/>
          <w:szCs w:val="36"/>
          <w:lang w:val="en-US" w:eastAsia="zh-CN"/>
        </w:rPr>
      </w:pPr>
      <w:r>
        <w:rPr>
          <w:rFonts w:hint="eastAsia" w:ascii="黑体" w:hAnsi="黑体" w:eastAsia="黑体" w:cs="黑体"/>
          <w:kern w:val="0"/>
          <w:sz w:val="32"/>
          <w:szCs w:val="32"/>
        </w:rPr>
        <w:t>附件</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6"/>
          <w:szCs w:val="36"/>
          <w:lang w:val="en-US" w:eastAsia="zh-CN"/>
        </w:rPr>
        <w:t xml:space="preserve"> </w:t>
      </w:r>
    </w:p>
    <w:p>
      <w:pPr>
        <w:ind w:left="359" w:leftChars="171" w:right="640" w:firstLine="1440" w:firstLineChars="40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部门整体支出绩效评价基础数据表</w:t>
      </w:r>
      <w:r>
        <w:rPr>
          <w:rFonts w:hint="eastAsia" w:ascii="方正小标宋简体" w:hAnsi="方正小标宋简体" w:eastAsia="方正小标宋简体" w:cs="方正小标宋简体"/>
          <w:sz w:val="36"/>
          <w:szCs w:val="36"/>
          <w:lang w:val="en-US" w:eastAsia="zh-CN"/>
        </w:rPr>
        <w:t xml:space="preserve">  </w:t>
      </w:r>
    </w:p>
    <w:p>
      <w:pPr>
        <w:ind w:right="640"/>
        <w:jc w:val="both"/>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lang w:eastAsia="zh-CN"/>
        </w:rPr>
        <w:t>（</w:t>
      </w:r>
      <w:r>
        <w:rPr>
          <w:rFonts w:hint="eastAsia" w:ascii="Times New Roman" w:hAnsi="Times New Roman"/>
          <w:kern w:val="0"/>
          <w:sz w:val="24"/>
          <w:lang w:val="en-US" w:eastAsia="zh-CN"/>
        </w:rPr>
        <w:t>盖章</w:t>
      </w:r>
      <w:r>
        <w:rPr>
          <w:rFonts w:hint="eastAsia" w:ascii="Times New Roman" w:hAnsi="Times New Roman"/>
          <w:kern w:val="0"/>
          <w:sz w:val="24"/>
          <w:lang w:eastAsia="zh-CN"/>
        </w:rPr>
        <w:t>）</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9"/>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2020年决算数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2021年决算数</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1524.71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1455.27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1562.1</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487.58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559.81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449.58</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52.32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63.6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33.02</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印刷费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8.88</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水费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1.68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1.38</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电费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15.51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18.21</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邮电费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5.97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6.02</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54.79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47.71</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维修（维护）费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9.79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6.43</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会议费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10.42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43</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4.98</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4.49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15.94</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工会经费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30.13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35.3</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35.3</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其他交通费用</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46.52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46.01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45.35</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物业管理费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69.4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80.41</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其他商品服务支出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148.69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120.5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125.79</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其他资本性支出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21.49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9.3</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10.68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10.86</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7.41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7.51</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w:t>
            </w:r>
            <w:r>
              <w:rPr>
                <w:rFonts w:hint="eastAsia" w:ascii="Times New Roman" w:hAnsi="Times New Roman"/>
                <w:kern w:val="0"/>
                <w:szCs w:val="21"/>
                <w:lang w:eastAsia="zh-CN"/>
              </w:rPr>
              <w:t>务</w:t>
            </w:r>
            <w:r>
              <w:rPr>
                <w:rFonts w:ascii="Times New Roman" w:hAnsi="Times New Roman"/>
                <w:kern w:val="0"/>
                <w:szCs w:val="21"/>
              </w:rPr>
              <w:t>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ascii="Times New Roman" w:hAnsi="Times New Roman" w:eastAsia="Times New Roman"/>
                <w:kern w:val="0"/>
                <w:szCs w:val="21"/>
              </w:rPr>
            </w:pPr>
            <w:r>
              <w:rPr>
                <w:rFonts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7.41</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7.51</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3.27</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3.35</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1425.06</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1、业务工作专项</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19.25</w:t>
            </w:r>
          </w:p>
        </w:tc>
        <w:tc>
          <w:tcPr>
            <w:tcW w:w="224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69"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纪检办案经费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3.13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企业军转干部工资及其他</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15.16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企业离退休干部管理费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0.96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2、运行维护专项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办公楼提质改造</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3、市级专项资金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1405.81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第三方安全检查服务费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64.17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44.95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75</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农村客运奖补资金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25.8</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2018年目标管理考核</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84.45</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 xml:space="preserve">    创卫奖补资金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 xml:space="preserve"> 特困企业解困资金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170.96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178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156.71</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碍航款</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70.6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“两客”车辆安全防范智能终端配套资金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81.14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铁路安全环境治理整治</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安全隐患治理与引导奖</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春运工作经费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16.32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8.16</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码头整治专项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6.41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4.83</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治超专项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15.04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83.13</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防疫专项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34.07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专题报告编制经费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18.58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17.8</w:t>
            </w:r>
            <w:r>
              <w:rPr>
                <w:rFonts w:ascii="Times New Roman" w:hAnsi="Times New Roman"/>
                <w:kern w:val="0"/>
                <w:szCs w:val="21"/>
              </w:rPr>
              <w:t>　</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网约车平台专项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66.5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2019年目标管理考核</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74</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10</w:t>
            </w:r>
            <w:r>
              <w:rPr>
                <w:rFonts w:ascii="Times New Roman" w:hAnsi="Times New Roman"/>
                <w:kern w:val="0"/>
                <w:szCs w:val="21"/>
              </w:rPr>
              <w:t>　</w:t>
            </w:r>
          </w:p>
        </w:tc>
      </w:tr>
      <w:tr>
        <w:tblPrEx>
          <w:tblCellMar>
            <w:top w:w="0" w:type="dxa"/>
            <w:left w:w="108" w:type="dxa"/>
            <w:bottom w:w="0" w:type="dxa"/>
            <w:right w:w="108" w:type="dxa"/>
          </w:tblCellMar>
        </w:tblPrEx>
        <w:trPr>
          <w:trHeight w:val="42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both"/>
              <w:rPr>
                <w:rFonts w:ascii="Times New Roman" w:hAnsi="Times New Roman" w:eastAsia="Times New Roman"/>
                <w:kern w:val="0"/>
                <w:szCs w:val="21"/>
              </w:rPr>
            </w:pPr>
            <w:r>
              <w:rPr>
                <w:rFonts w:hint="eastAsia" w:ascii="Times New Roman" w:hAnsi="Times New Roman"/>
                <w:kern w:val="0"/>
                <w:szCs w:val="21"/>
                <w:lang w:eastAsia="zh-CN"/>
              </w:rPr>
              <w:t>国土空间规划编制费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115.22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 xml:space="preserve"> 三基三化专项建设资金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客货运站场建设补助资金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 xml:space="preserve">  疫情防控与解困资金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铁路专线办经费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36.81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铁路专线省补资金</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214</w:t>
            </w:r>
          </w:p>
        </w:tc>
        <w:tc>
          <w:tcPr>
            <w:tcW w:w="224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渡口气象牌补助资金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三桥专项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普铁安全环境整治奖补资金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50</w:t>
            </w:r>
          </w:p>
        </w:tc>
      </w:tr>
      <w:tr>
        <w:tblPrEx>
          <w:tblCellMar>
            <w:top w:w="0" w:type="dxa"/>
            <w:left w:w="108" w:type="dxa"/>
            <w:bottom w:w="0" w:type="dxa"/>
            <w:right w:w="108" w:type="dxa"/>
          </w:tblCellMar>
        </w:tblPrEx>
        <w:trPr>
          <w:trHeight w:val="5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交通运输事业发展专项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222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158.39</w:t>
            </w:r>
          </w:p>
        </w:tc>
      </w:tr>
      <w:tr>
        <w:tblPrEx>
          <w:tblCellMar>
            <w:top w:w="0" w:type="dxa"/>
            <w:left w:w="108" w:type="dxa"/>
            <w:bottom w:w="0" w:type="dxa"/>
            <w:right w:w="108" w:type="dxa"/>
          </w:tblCellMar>
        </w:tblPrEx>
        <w:trPr>
          <w:trHeight w:val="5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船舶污染物收集点建设资金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w:t>
            </w:r>
          </w:p>
        </w:tc>
      </w:tr>
      <w:tr>
        <w:tblPrEx>
          <w:tblCellMar>
            <w:top w:w="0" w:type="dxa"/>
            <w:left w:w="108" w:type="dxa"/>
            <w:bottom w:w="0" w:type="dxa"/>
            <w:right w:w="108" w:type="dxa"/>
          </w:tblCellMar>
        </w:tblPrEx>
        <w:trPr>
          <w:trHeight w:val="5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食堂改造专项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74.98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17.38</w:t>
            </w:r>
          </w:p>
        </w:tc>
      </w:tr>
      <w:tr>
        <w:tblPrEx>
          <w:tblCellMar>
            <w:top w:w="0" w:type="dxa"/>
            <w:left w:w="108" w:type="dxa"/>
            <w:bottom w:w="0" w:type="dxa"/>
            <w:right w:w="108" w:type="dxa"/>
          </w:tblCellMar>
        </w:tblPrEx>
        <w:trPr>
          <w:trHeight w:val="5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国土空间控制规划编制费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346.78</w:t>
            </w:r>
          </w:p>
        </w:tc>
      </w:tr>
      <w:tr>
        <w:tblPrEx>
          <w:tblCellMar>
            <w:top w:w="0" w:type="dxa"/>
            <w:left w:w="108" w:type="dxa"/>
            <w:bottom w:w="0" w:type="dxa"/>
            <w:right w:w="108" w:type="dxa"/>
          </w:tblCellMar>
        </w:tblPrEx>
        <w:trPr>
          <w:trHeight w:val="5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单开门车淘汰奖补资金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138.68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138.68</w:t>
            </w:r>
          </w:p>
        </w:tc>
      </w:tr>
      <w:tr>
        <w:tblPrEx>
          <w:tblCellMar>
            <w:top w:w="0" w:type="dxa"/>
            <w:left w:w="108" w:type="dxa"/>
            <w:bottom w:w="0" w:type="dxa"/>
            <w:right w:w="108" w:type="dxa"/>
          </w:tblCellMar>
        </w:tblPrEx>
        <w:trPr>
          <w:trHeight w:val="5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军转干部工资等</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7.53</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9.26</w:t>
            </w:r>
          </w:p>
        </w:tc>
      </w:tr>
      <w:tr>
        <w:tblPrEx>
          <w:tblCellMar>
            <w:top w:w="0" w:type="dxa"/>
            <w:left w:w="108" w:type="dxa"/>
            <w:bottom w:w="0" w:type="dxa"/>
            <w:right w:w="108" w:type="dxa"/>
          </w:tblCellMar>
        </w:tblPrEx>
        <w:trPr>
          <w:trHeight w:val="5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国防战备专项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4.17</w:t>
            </w:r>
          </w:p>
        </w:tc>
      </w:tr>
      <w:tr>
        <w:tblPrEx>
          <w:tblCellMar>
            <w:top w:w="0" w:type="dxa"/>
            <w:left w:w="108" w:type="dxa"/>
            <w:bottom w:w="0" w:type="dxa"/>
            <w:right w:w="108" w:type="dxa"/>
          </w:tblCellMar>
        </w:tblPrEx>
        <w:trPr>
          <w:trHeight w:val="5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耒水公司向国资委借款</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left="2940" w:hanging="2940" w:hangingChars="1400"/>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 xml:space="preserve"> </w:t>
            </w:r>
            <w:r>
              <w:rPr>
                <w:rFonts w:hint="eastAsia" w:ascii="Times New Roman" w:hAnsi="Times New Roman"/>
                <w:kern w:val="0"/>
                <w:szCs w:val="21"/>
                <w:lang w:val="en-US" w:eastAsia="zh-CN"/>
              </w:rPr>
              <w:t xml:space="preserve">                                                                                                                                                                                                                                                                                                                                                   </w:t>
            </w:r>
            <w:r>
              <w:rPr>
                <w:rFonts w:hint="eastAsia" w:ascii="Times New Roman" w:hAnsi="Times New Roman"/>
                <w:kern w:val="0"/>
                <w:szCs w:val="21"/>
                <w:lang w:eastAsia="zh-CN"/>
              </w:rPr>
              <w:t>创文创卫专项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Cs w:val="21"/>
                <w:lang w:val="en-US" w:eastAsia="zh-CN"/>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12.93</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农村公路专项资金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Cs w:val="21"/>
                <w:lang w:val="en-US" w:eastAsia="zh-CN"/>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145.38</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铁路专线专项资金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Cs w:val="21"/>
                <w:lang w:val="en-US" w:eastAsia="zh-CN"/>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治超平台升级改造和运维</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Cs w:val="21"/>
                <w:lang w:val="en-US" w:eastAsia="zh-CN"/>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405.81</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307.5</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280.58</w:t>
            </w:r>
            <w:r>
              <w:rPr>
                <w:rFonts w:ascii="Times New Roman" w:hAnsi="Times New Roman"/>
                <w:kern w:val="0"/>
                <w:szCs w:val="21"/>
              </w:rPr>
              <w:t>　</w:t>
            </w:r>
          </w:p>
        </w:tc>
      </w:tr>
      <w:tr>
        <w:tblPrEx>
          <w:tblCellMar>
            <w:top w:w="0" w:type="dxa"/>
            <w:left w:w="108" w:type="dxa"/>
            <w:bottom w:w="0" w:type="dxa"/>
            <w:right w:w="108" w:type="dxa"/>
          </w:tblCellMar>
        </w:tblPrEx>
        <w:trPr>
          <w:trHeight w:val="8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numPr>
                <w:ilvl w:val="0"/>
                <w:numId w:val="5"/>
              </w:numPr>
              <w:rPr>
                <w:rFonts w:hint="eastAsia" w:ascii="Times New Roman" w:hAnsi="Times New Roman"/>
                <w:kern w:val="0"/>
                <w:szCs w:val="21"/>
              </w:rPr>
            </w:pPr>
            <w:r>
              <w:rPr>
                <w:rFonts w:hint="eastAsia" w:ascii="Times New Roman" w:hAnsi="Times New Roman"/>
                <w:kern w:val="0"/>
                <w:szCs w:val="21"/>
              </w:rPr>
              <w:t>严格控制公务接待和差旅费用支出，制定公务接待标准，严禁超标准接待。严控公务人员出差规模和数量、天数。</w:t>
            </w:r>
          </w:p>
          <w:p>
            <w:pPr>
              <w:widowControl/>
              <w:numPr>
                <w:ilvl w:val="0"/>
                <w:numId w:val="5"/>
              </w:numPr>
              <w:rPr>
                <w:rFonts w:ascii="Times New Roman" w:hAnsi="Times New Roman"/>
                <w:kern w:val="0"/>
                <w:szCs w:val="21"/>
              </w:rPr>
            </w:pPr>
            <w:r>
              <w:rPr>
                <w:rFonts w:hint="eastAsia" w:ascii="Times New Roman" w:hAnsi="Times New Roman"/>
                <w:kern w:val="0"/>
                <w:szCs w:val="21"/>
              </w:rPr>
              <w:t>严格控制办公设施设备的建设和购置，购置必须本着节约的原则，对急需、必须的设备严格审批购买。</w:t>
            </w:r>
          </w:p>
          <w:p>
            <w:pPr>
              <w:widowControl/>
              <w:numPr>
                <w:ilvl w:val="0"/>
                <w:numId w:val="5"/>
              </w:numPr>
              <w:rPr>
                <w:rFonts w:ascii="Times New Roman" w:hAnsi="Times New Roman"/>
                <w:kern w:val="0"/>
                <w:szCs w:val="21"/>
              </w:rPr>
            </w:pPr>
            <w:r>
              <w:rPr>
                <w:rFonts w:hint="eastAsia" w:ascii="Times New Roman" w:hAnsi="Times New Roman"/>
                <w:kern w:val="0"/>
                <w:szCs w:val="21"/>
              </w:rPr>
              <w:t>控制会议、文件等一般性支出，强化日常节约管理，推行无纸化办公，控制会议规模，能不开的会坚决不开，精简会议内容，提倡开短会、讲短话，提高开会效率。</w:t>
            </w:r>
          </w:p>
          <w:p>
            <w:pPr>
              <w:widowControl/>
              <w:numPr>
                <w:ilvl w:val="0"/>
                <w:numId w:val="5"/>
              </w:numPr>
              <w:rPr>
                <w:rFonts w:ascii="Times New Roman" w:hAnsi="Times New Roman" w:eastAsia="宋体" w:cs="Times New Roman"/>
                <w:kern w:val="0"/>
                <w:sz w:val="21"/>
                <w:szCs w:val="21"/>
                <w:lang w:val="en-US" w:eastAsia="zh-CN" w:bidi="ar-SA"/>
              </w:rPr>
            </w:pPr>
            <w:r>
              <w:rPr>
                <w:rFonts w:hint="eastAsia" w:ascii="Times New Roman" w:hAnsi="Times New Roman"/>
                <w:kern w:val="0"/>
                <w:szCs w:val="21"/>
              </w:rPr>
              <w:t>制定切实可行的用水、用电、用油和通信费措施，车辆出行一律派派车单。</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rPr>
          <w:rFonts w:ascii="Times New Roman" w:hAnsi="Times New Roman"/>
          <w:kern w:val="0"/>
          <w:sz w:val="22"/>
        </w:rPr>
      </w:pPr>
    </w:p>
    <w:p>
      <w:pPr>
        <w:rPr>
          <w:rFonts w:ascii="Times New Roman" w:hAnsi="Times New Roman"/>
          <w:kern w:val="0"/>
          <w:sz w:val="22"/>
        </w:rPr>
      </w:pPr>
    </w:p>
    <w:p>
      <w:pPr>
        <w:rPr>
          <w:rFonts w:ascii="Times New Roman" w:hAnsi="Times New Roman" w:eastAsia="黑体"/>
          <w:sz w:val="32"/>
          <w:szCs w:val="32"/>
        </w:rPr>
      </w:pPr>
      <w:r>
        <w:rPr>
          <w:rFonts w:ascii="Times New Roman" w:hAnsi="Times New Roman" w:eastAsia="仿宋_GB2312"/>
          <w:sz w:val="24"/>
        </w:rPr>
        <w:t>填表人：       填报日期：        联系电话：       单位负责人签字：</w:t>
      </w: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附件3</w:t>
      </w:r>
    </w:p>
    <w:tbl>
      <w:tblPr>
        <w:tblStyle w:val="9"/>
        <w:tblW w:w="9999" w:type="dxa"/>
        <w:jc w:val="center"/>
        <w:tblLayout w:type="fixed"/>
        <w:tblCellMar>
          <w:top w:w="0" w:type="dxa"/>
          <w:left w:w="108" w:type="dxa"/>
          <w:bottom w:w="0" w:type="dxa"/>
          <w:right w:w="108" w:type="dxa"/>
        </w:tblCellMar>
      </w:tblPr>
      <w:tblGrid>
        <w:gridCol w:w="1363"/>
        <w:gridCol w:w="1020"/>
        <w:gridCol w:w="1110"/>
        <w:gridCol w:w="1125"/>
        <w:gridCol w:w="1110"/>
        <w:gridCol w:w="255"/>
        <w:gridCol w:w="810"/>
        <w:gridCol w:w="210"/>
        <w:gridCol w:w="1116"/>
        <w:gridCol w:w="609"/>
        <w:gridCol w:w="300"/>
        <w:gridCol w:w="971"/>
      </w:tblGrid>
      <w:tr>
        <w:tblPrEx>
          <w:tblCellMar>
            <w:top w:w="0" w:type="dxa"/>
            <w:left w:w="108" w:type="dxa"/>
            <w:bottom w:w="0" w:type="dxa"/>
            <w:right w:w="108" w:type="dxa"/>
          </w:tblCellMar>
        </w:tblPrEx>
        <w:trPr>
          <w:trHeight w:val="549" w:hRule="atLeast"/>
          <w:jc w:val="center"/>
        </w:trPr>
        <w:tc>
          <w:tcPr>
            <w:tcW w:w="9999"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2"/>
            <w:tcBorders>
              <w:top w:val="nil"/>
              <w:left w:val="nil"/>
              <w:bottom w:val="single" w:color="auto" w:sz="4" w:space="0"/>
              <w:right w:val="nil"/>
            </w:tcBorders>
            <w:shd w:val="clear" w:color="auto" w:fill="auto"/>
            <w:noWrap/>
            <w:vAlign w:val="center"/>
          </w:tcPr>
          <w:p>
            <w:pPr>
              <w:widowControl/>
              <w:rPr>
                <w:rFonts w:hint="default" w:ascii="Times New Roman" w:hAnsi="Times New Roman" w:eastAsia="宋体"/>
                <w:color w:val="000000"/>
                <w:kern w:val="0"/>
                <w:sz w:val="22"/>
                <w:lang w:val="en-US" w:eastAsia="zh-CN"/>
              </w:rPr>
            </w:pPr>
            <w:r>
              <w:rPr>
                <w:rFonts w:ascii="Times New Roman" w:hAnsi="Times New Roman"/>
                <w:color w:val="000000"/>
                <w:kern w:val="0"/>
                <w:sz w:val="22"/>
              </w:rPr>
              <w:t>填报单位： （盖章）</w:t>
            </w:r>
            <w:r>
              <w:rPr>
                <w:rFonts w:hint="eastAsia" w:ascii="Times New Roman" w:hAnsi="Times New Roman"/>
                <w:color w:val="000000"/>
                <w:kern w:val="0"/>
                <w:sz w:val="22"/>
                <w:lang w:val="en-US" w:eastAsia="zh-CN"/>
              </w:rPr>
              <w:t xml:space="preserve">                 （2021年度）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衡阳市交通运输局</w:t>
            </w:r>
            <w:r>
              <w:rPr>
                <w:rFonts w:ascii="Times New Roman" w:hAnsi="Times New Roman" w:eastAsia="仿宋_GB2312"/>
                <w:color w:val="000000"/>
                <w:kern w:val="0"/>
                <w:szCs w:val="21"/>
              </w:rPr>
              <w:t>　</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执行数</w:t>
            </w:r>
          </w:p>
        </w:tc>
        <w:tc>
          <w:tcPr>
            <w:tcW w:w="1116" w:type="dxa"/>
            <w:tcBorders>
              <w:top w:val="single" w:color="auto" w:sz="4" w:space="0"/>
              <w:left w:val="nil"/>
              <w:bottom w:val="single" w:color="auto"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资金执行率</w:t>
            </w:r>
          </w:p>
        </w:tc>
        <w:tc>
          <w:tcPr>
            <w:tcW w:w="90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lang w:val="en-US" w:eastAsia="zh-CN"/>
              </w:rPr>
              <w:t>1455.27</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1561.20</w:t>
            </w:r>
          </w:p>
        </w:tc>
        <w:tc>
          <w:tcPr>
            <w:tcW w:w="1116"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107.27%</w:t>
            </w:r>
          </w:p>
        </w:tc>
        <w:tc>
          <w:tcPr>
            <w:tcW w:w="90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lang w:val="en-US" w:eastAsia="zh-CN"/>
              </w:rPr>
              <w:t xml:space="preserve">                         </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按指出性质分：</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1455.27</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其中：基本支出：904.77</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项目支出：550.5</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spacing w:line="560" w:lineRule="exact"/>
              <w:ind w:firstLine="400" w:firstLineChars="200"/>
              <w:rPr>
                <w:rFonts w:ascii="宋体" w:cs="宋体"/>
                <w:kern w:val="0"/>
                <w:sz w:val="20"/>
                <w:szCs w:val="20"/>
              </w:rPr>
            </w:pPr>
            <w:r>
              <w:rPr>
                <w:rFonts w:ascii="宋体" w:cs="宋体"/>
                <w:kern w:val="0"/>
                <w:sz w:val="20"/>
                <w:szCs w:val="20"/>
              </w:rPr>
              <w:t>1、承担涉及综合运输体系的规划协调工作，会同有关部门组织编制全市综合运输体系规划，指导县市区和承担市本级的交通运输枢纽规划和管理。</w:t>
            </w:r>
          </w:p>
          <w:p>
            <w:pPr>
              <w:spacing w:line="560" w:lineRule="exact"/>
              <w:ind w:firstLine="400" w:firstLineChars="200"/>
              <w:rPr>
                <w:rFonts w:hint="eastAsia" w:ascii="宋体" w:cs="宋体"/>
                <w:kern w:val="0"/>
                <w:sz w:val="20"/>
                <w:szCs w:val="20"/>
              </w:rPr>
            </w:pPr>
            <w:r>
              <w:rPr>
                <w:rFonts w:hint="eastAsia" w:ascii="宋体" w:cs="宋体"/>
                <w:kern w:val="0"/>
                <w:sz w:val="20"/>
                <w:szCs w:val="20"/>
              </w:rPr>
              <w:t>2、</w:t>
            </w:r>
            <w:r>
              <w:rPr>
                <w:rFonts w:ascii="宋体" w:cs="宋体"/>
                <w:kern w:val="0"/>
                <w:sz w:val="20"/>
                <w:szCs w:val="20"/>
              </w:rPr>
              <w:t xml:space="preserve"> </w:t>
            </w:r>
            <w:r>
              <w:rPr>
                <w:rFonts w:hint="eastAsia" w:ascii="宋体" w:cs="宋体"/>
                <w:kern w:val="0"/>
                <w:sz w:val="20"/>
                <w:szCs w:val="20"/>
              </w:rPr>
              <w:t>贯彻落实国家、省、市有关交通运输的法律、法规和方针、政策，拟定全市交通运输行业发展政策、行业管理规范性文件。</w:t>
            </w:r>
          </w:p>
          <w:p>
            <w:pPr>
              <w:spacing w:line="560" w:lineRule="exact"/>
              <w:ind w:firstLine="400" w:firstLineChars="200"/>
              <w:rPr>
                <w:rFonts w:hint="eastAsia" w:ascii="宋体" w:cs="宋体"/>
                <w:kern w:val="0"/>
                <w:sz w:val="20"/>
                <w:szCs w:val="20"/>
              </w:rPr>
            </w:pPr>
            <w:r>
              <w:rPr>
                <w:rFonts w:hint="eastAsia" w:ascii="宋体" w:cs="宋体"/>
                <w:kern w:val="0"/>
                <w:sz w:val="20"/>
                <w:szCs w:val="20"/>
              </w:rPr>
              <w:t>3、承担全市公</w:t>
            </w:r>
            <w:r>
              <w:rPr>
                <w:rFonts w:ascii="宋体" w:cs="宋体"/>
                <w:kern w:val="0"/>
                <w:sz w:val="20"/>
                <w:szCs w:val="20"/>
              </w:rPr>
              <w:t>路、水路</w:t>
            </w:r>
            <w:r>
              <w:rPr>
                <w:rFonts w:hint="eastAsia" w:ascii="宋体" w:cs="宋体"/>
                <w:kern w:val="0"/>
                <w:sz w:val="20"/>
                <w:szCs w:val="20"/>
              </w:rPr>
              <w:t>建设</w:t>
            </w:r>
            <w:r>
              <w:rPr>
                <w:rFonts w:ascii="宋体" w:cs="宋体"/>
                <w:kern w:val="0"/>
                <w:sz w:val="20"/>
                <w:szCs w:val="20"/>
              </w:rPr>
              <w:t>市场监管责任。</w:t>
            </w:r>
          </w:p>
          <w:p>
            <w:pPr>
              <w:spacing w:line="560" w:lineRule="exact"/>
              <w:ind w:firstLine="400" w:firstLineChars="200"/>
              <w:rPr>
                <w:rFonts w:hint="eastAsia" w:ascii="宋体" w:cs="宋体"/>
                <w:kern w:val="0"/>
                <w:sz w:val="20"/>
                <w:szCs w:val="20"/>
              </w:rPr>
            </w:pPr>
            <w:r>
              <w:rPr>
                <w:rFonts w:hint="eastAsia" w:ascii="宋体" w:cs="宋体"/>
                <w:kern w:val="0"/>
                <w:sz w:val="20"/>
                <w:szCs w:val="20"/>
              </w:rPr>
              <w:t>4、承担全市道路运输、水路运输市场监管责任。</w:t>
            </w:r>
          </w:p>
          <w:p>
            <w:pPr>
              <w:spacing w:line="560" w:lineRule="exact"/>
              <w:ind w:firstLine="400" w:firstLineChars="200"/>
              <w:rPr>
                <w:rFonts w:ascii="宋体" w:cs="宋体"/>
                <w:kern w:val="0"/>
                <w:sz w:val="20"/>
                <w:szCs w:val="20"/>
              </w:rPr>
            </w:pPr>
            <w:r>
              <w:rPr>
                <w:rFonts w:hint="eastAsia" w:ascii="宋体" w:cs="宋体"/>
                <w:kern w:val="0"/>
                <w:sz w:val="20"/>
                <w:szCs w:val="20"/>
              </w:rPr>
              <w:t>5</w:t>
            </w:r>
            <w:r>
              <w:rPr>
                <w:rFonts w:ascii="宋体" w:cs="宋体"/>
                <w:kern w:val="0"/>
                <w:sz w:val="20"/>
                <w:szCs w:val="20"/>
              </w:rPr>
              <w:t xml:space="preserve">、承担水上交通安全监管责任。 </w:t>
            </w:r>
          </w:p>
          <w:p>
            <w:pPr>
              <w:spacing w:line="560" w:lineRule="exact"/>
              <w:ind w:firstLine="400" w:firstLineChars="200"/>
              <w:rPr>
                <w:rFonts w:ascii="宋体" w:cs="宋体"/>
                <w:kern w:val="0"/>
                <w:sz w:val="20"/>
                <w:szCs w:val="20"/>
              </w:rPr>
            </w:pPr>
            <w:r>
              <w:rPr>
                <w:rFonts w:hint="eastAsia" w:ascii="宋体" w:cs="宋体"/>
                <w:kern w:val="0"/>
                <w:sz w:val="20"/>
                <w:szCs w:val="20"/>
              </w:rPr>
              <w:t>6</w:t>
            </w:r>
            <w:r>
              <w:rPr>
                <w:rFonts w:ascii="宋体" w:cs="宋体"/>
                <w:kern w:val="0"/>
                <w:sz w:val="20"/>
                <w:szCs w:val="20"/>
              </w:rPr>
              <w:t>、负责提出全市公路、水路固定资产投资规模和方向、市级财政性资金安排建议</w:t>
            </w:r>
            <w:r>
              <w:rPr>
                <w:rFonts w:hint="eastAsia" w:ascii="宋体" w:cs="宋体"/>
                <w:kern w:val="0"/>
                <w:sz w:val="20"/>
                <w:szCs w:val="20"/>
              </w:rPr>
              <w:t>；</w:t>
            </w:r>
            <w:r>
              <w:rPr>
                <w:rFonts w:ascii="宋体" w:cs="宋体"/>
                <w:kern w:val="0"/>
                <w:sz w:val="20"/>
                <w:szCs w:val="20"/>
              </w:rPr>
              <w:t xml:space="preserve">按市政府规定权限审批、核准全市规划内和年度计划内固定资产投资项目。负责公路、桥梁、渡口、隧道的行业管理。提出有关财政、土地、价格等政策建议。 </w:t>
            </w:r>
          </w:p>
          <w:p>
            <w:pPr>
              <w:spacing w:line="560" w:lineRule="exact"/>
              <w:ind w:firstLine="400" w:firstLineChars="200"/>
              <w:rPr>
                <w:rFonts w:hint="eastAsia" w:ascii="宋体" w:cs="宋体"/>
                <w:kern w:val="0"/>
                <w:sz w:val="20"/>
                <w:szCs w:val="20"/>
              </w:rPr>
            </w:pPr>
            <w:r>
              <w:rPr>
                <w:rFonts w:hint="eastAsia" w:ascii="宋体" w:cs="宋体"/>
                <w:kern w:val="0"/>
                <w:sz w:val="20"/>
                <w:szCs w:val="20"/>
              </w:rPr>
              <w:t>7</w:t>
            </w:r>
            <w:r>
              <w:rPr>
                <w:rFonts w:ascii="宋体" w:cs="宋体"/>
                <w:kern w:val="0"/>
                <w:sz w:val="20"/>
                <w:szCs w:val="20"/>
              </w:rPr>
              <w:t xml:space="preserve">、指导县市区和负责市本级公路、水路行业安全生产和应急管理工作。 </w:t>
            </w:r>
            <w:r>
              <w:rPr>
                <w:rFonts w:hint="eastAsia" w:ascii="宋体" w:cs="宋体"/>
                <w:kern w:val="0"/>
                <w:sz w:val="20"/>
                <w:szCs w:val="20"/>
              </w:rPr>
              <w:t xml:space="preserve"> </w:t>
            </w:r>
          </w:p>
          <w:p>
            <w:pPr>
              <w:spacing w:line="560" w:lineRule="exact"/>
              <w:rPr>
                <w:rFonts w:ascii="宋体" w:cs="宋体"/>
                <w:kern w:val="0"/>
                <w:sz w:val="20"/>
                <w:szCs w:val="20"/>
              </w:rPr>
            </w:pPr>
            <w:r>
              <w:rPr>
                <w:rFonts w:hint="eastAsia" w:ascii="宋体" w:cs="宋体"/>
                <w:kern w:val="0"/>
                <w:sz w:val="20"/>
                <w:szCs w:val="20"/>
              </w:rPr>
              <w:t xml:space="preserve">    </w:t>
            </w:r>
            <w:r>
              <w:rPr>
                <w:rFonts w:ascii="宋体" w:cs="宋体"/>
                <w:kern w:val="0"/>
                <w:sz w:val="20"/>
                <w:szCs w:val="20"/>
              </w:rPr>
              <w:t xml:space="preserve">8、监督实施地方性交通运输行业科技政策、规划和规范。 </w:t>
            </w:r>
          </w:p>
          <w:p>
            <w:pPr>
              <w:spacing w:line="560" w:lineRule="exact"/>
              <w:rPr>
                <w:rFonts w:ascii="宋体" w:cs="宋体"/>
                <w:kern w:val="0"/>
                <w:sz w:val="20"/>
                <w:szCs w:val="20"/>
              </w:rPr>
            </w:pPr>
            <w:r>
              <w:rPr>
                <w:rFonts w:hint="eastAsia" w:ascii="宋体" w:cs="宋体"/>
                <w:kern w:val="0"/>
                <w:sz w:val="20"/>
                <w:szCs w:val="20"/>
              </w:rPr>
              <w:t xml:space="preserve">    </w:t>
            </w:r>
            <w:r>
              <w:rPr>
                <w:rFonts w:ascii="宋体" w:cs="宋体"/>
                <w:kern w:val="0"/>
                <w:sz w:val="20"/>
                <w:szCs w:val="20"/>
              </w:rPr>
              <w:t xml:space="preserve">9、指导县市区和负责市本级交通运输行业开展对外交流合作和交通外经外贸工作。 </w:t>
            </w:r>
            <w:r>
              <w:rPr>
                <w:rFonts w:hint="eastAsia" w:ascii="宋体" w:cs="宋体"/>
                <w:kern w:val="0"/>
                <w:sz w:val="20"/>
                <w:szCs w:val="20"/>
              </w:rPr>
              <w:t>协调高速公路、铁路、民航、邮政管理涉及地方的相关工作。</w:t>
            </w:r>
          </w:p>
          <w:p>
            <w:pPr>
              <w:widowControl/>
              <w:jc w:val="center"/>
              <w:rPr>
                <w:rFonts w:ascii="Times New Roman" w:hAnsi="Times New Roman" w:eastAsia="仿宋_GB2312"/>
                <w:color w:val="000000"/>
                <w:kern w:val="0"/>
                <w:szCs w:val="21"/>
              </w:rPr>
            </w:pPr>
            <w:r>
              <w:rPr>
                <w:rFonts w:hint="eastAsia" w:ascii="宋体" w:cs="宋体"/>
                <w:kern w:val="0"/>
                <w:sz w:val="20"/>
                <w:szCs w:val="20"/>
              </w:rPr>
              <w:t xml:space="preserve">    </w:t>
            </w:r>
            <w:r>
              <w:rPr>
                <w:rFonts w:ascii="宋体" w:cs="宋体"/>
                <w:kern w:val="0"/>
                <w:sz w:val="20"/>
                <w:szCs w:val="20"/>
              </w:rPr>
              <w:t>10、承办市人民政府交办的其他事项。</w:t>
            </w: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宋体" w:cs="宋体"/>
                <w:kern w:val="0"/>
                <w:sz w:val="20"/>
                <w:szCs w:val="20"/>
              </w:rPr>
              <w:t>通过预算执行，保障局机关基本运转，完成10个项目目标，着力推进重大项目建设。转型发展，增强行业改革攻坚适应能力；提质增效，全面提升行业管理服务水平；严格管控，坚决抓好安全生产工作；落实责任，不断加强队伍建设。全面促进行业监管、行业安全监管、应急维稳、交通战备、增资跑项、交通运输信息化、铁路专线监管、第三方安全生产检查、安全生产监管、纪检监察等各项工作的开展。</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13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60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50</w:t>
            </w:r>
            <w:r>
              <w:rPr>
                <w:rFonts w:ascii="Times New Roman" w:hAnsi="Times New Roman" w:eastAsia="仿宋_GB2312"/>
                <w:color w:val="000000"/>
                <w:kern w:val="0"/>
                <w:szCs w:val="21"/>
              </w:rPr>
              <w:t>分)</w:t>
            </w: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建设干线公路里程</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建设干线公路里程</w:t>
            </w:r>
            <w:r>
              <w:rPr>
                <w:rFonts w:hint="eastAsia" w:ascii="Times New Roman" w:hAnsi="Times New Roman" w:eastAsia="仿宋_GB2312"/>
                <w:color w:val="000000"/>
                <w:kern w:val="0"/>
                <w:szCs w:val="21"/>
                <w:lang w:val="en-US" w:eastAsia="zh-CN"/>
              </w:rPr>
              <w:t>49公里</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建设干线公路里程</w:t>
            </w:r>
            <w:r>
              <w:rPr>
                <w:rFonts w:hint="eastAsia" w:ascii="Times New Roman" w:hAnsi="Times New Roman" w:eastAsia="仿宋_GB2312"/>
                <w:color w:val="000000"/>
                <w:kern w:val="0"/>
                <w:szCs w:val="21"/>
                <w:lang w:val="en-US" w:eastAsia="zh-CN"/>
              </w:rPr>
              <w:t>49公里</w:t>
            </w:r>
          </w:p>
        </w:tc>
        <w:tc>
          <w:tcPr>
            <w:tcW w:w="13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60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建设农村公路里程</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建设农村公路里程</w:t>
            </w:r>
            <w:r>
              <w:rPr>
                <w:rFonts w:hint="eastAsia" w:ascii="Times New Roman" w:hAnsi="Times New Roman" w:eastAsia="仿宋_GB2312"/>
                <w:color w:val="000000"/>
                <w:kern w:val="0"/>
                <w:szCs w:val="21"/>
                <w:lang w:val="en-US" w:eastAsia="zh-CN"/>
              </w:rPr>
              <w:t>373公里</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建设农村公路里程超</w:t>
            </w:r>
            <w:r>
              <w:rPr>
                <w:rFonts w:hint="eastAsia" w:ascii="Times New Roman" w:hAnsi="Times New Roman" w:eastAsia="仿宋_GB2312"/>
                <w:color w:val="000000"/>
                <w:kern w:val="0"/>
                <w:szCs w:val="21"/>
                <w:lang w:val="en-US" w:eastAsia="zh-CN"/>
              </w:rPr>
              <w:t>380.4公里</w:t>
            </w:r>
          </w:p>
        </w:tc>
        <w:tc>
          <w:tcPr>
            <w:tcW w:w="13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60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农村公路完成率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eastAsia="zh-CN"/>
              </w:rPr>
              <w:t>农村公路完成率</w:t>
            </w:r>
            <w:r>
              <w:rPr>
                <w:rFonts w:hint="eastAsia" w:ascii="Times New Roman" w:hAnsi="Times New Roman" w:eastAsia="仿宋_GB2312"/>
                <w:color w:val="000000"/>
                <w:kern w:val="0"/>
                <w:szCs w:val="21"/>
                <w:lang w:val="en-US" w:eastAsia="zh-CN"/>
              </w:rPr>
              <w:t>90%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农村公路完成率</w:t>
            </w:r>
            <w:r>
              <w:rPr>
                <w:rFonts w:hint="eastAsia" w:ascii="Times New Roman" w:hAnsi="Times New Roman" w:eastAsia="仿宋_GB2312"/>
                <w:color w:val="000000"/>
                <w:kern w:val="0"/>
                <w:szCs w:val="21"/>
                <w:lang w:val="en-US" w:eastAsia="zh-CN"/>
              </w:rPr>
              <w:t>100%</w:t>
            </w:r>
          </w:p>
        </w:tc>
        <w:tc>
          <w:tcPr>
            <w:tcW w:w="13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60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干线公路完成率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eastAsia="zh-CN"/>
              </w:rPr>
              <w:t>干线公路完成率</w:t>
            </w:r>
            <w:r>
              <w:rPr>
                <w:rFonts w:hint="eastAsia" w:ascii="Times New Roman" w:hAnsi="Times New Roman" w:eastAsia="仿宋_GB2312"/>
                <w:color w:val="000000"/>
                <w:kern w:val="0"/>
                <w:szCs w:val="21"/>
                <w:lang w:val="en-US" w:eastAsia="zh-CN"/>
              </w:rPr>
              <w:t>90%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干线公路完成率</w:t>
            </w:r>
            <w:r>
              <w:rPr>
                <w:rFonts w:hint="eastAsia" w:ascii="Times New Roman" w:hAnsi="Times New Roman" w:eastAsia="仿宋_GB2312"/>
                <w:color w:val="000000"/>
                <w:kern w:val="0"/>
                <w:szCs w:val="21"/>
                <w:lang w:val="en-US" w:eastAsia="zh-CN"/>
              </w:rPr>
              <w:t>100%</w:t>
            </w:r>
            <w:r>
              <w:rPr>
                <w:rFonts w:ascii="Times New Roman" w:hAnsi="Times New Roman" w:eastAsia="仿宋_GB2312"/>
                <w:color w:val="000000"/>
                <w:kern w:val="0"/>
                <w:szCs w:val="21"/>
              </w:rPr>
              <w:t>　</w:t>
            </w:r>
          </w:p>
        </w:tc>
        <w:tc>
          <w:tcPr>
            <w:tcW w:w="13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60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完成时间</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2021年12月31日锁前</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2021年12月31日锁前</w:t>
            </w:r>
          </w:p>
        </w:tc>
        <w:tc>
          <w:tcPr>
            <w:tcW w:w="13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60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公路建设成本</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二级公路</w:t>
            </w:r>
            <w:r>
              <w:rPr>
                <w:rFonts w:hint="eastAsia" w:ascii="Times New Roman" w:hAnsi="Times New Roman" w:eastAsia="仿宋_GB2312"/>
                <w:color w:val="000000"/>
                <w:kern w:val="0"/>
                <w:szCs w:val="21"/>
                <w:lang w:val="en-US" w:eastAsia="zh-CN"/>
              </w:rPr>
              <w:t>500-2000万元/公里</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二级公路</w:t>
            </w:r>
            <w:r>
              <w:rPr>
                <w:rFonts w:hint="eastAsia" w:ascii="Times New Roman" w:hAnsi="Times New Roman" w:eastAsia="仿宋_GB2312"/>
                <w:color w:val="000000"/>
                <w:kern w:val="0"/>
                <w:szCs w:val="21"/>
                <w:lang w:val="en-US" w:eastAsia="zh-CN"/>
              </w:rPr>
              <w:t>500-2000万元/公里</w:t>
            </w:r>
          </w:p>
        </w:tc>
        <w:tc>
          <w:tcPr>
            <w:tcW w:w="13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60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农村公路建设成本</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40-300万元/公里</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40-300万元/公里</w:t>
            </w:r>
          </w:p>
        </w:tc>
        <w:tc>
          <w:tcPr>
            <w:tcW w:w="13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7</w:t>
            </w:r>
          </w:p>
        </w:tc>
        <w:tc>
          <w:tcPr>
            <w:tcW w:w="609"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6</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带动项目总投资</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663542万元</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663542万元</w:t>
            </w:r>
          </w:p>
        </w:tc>
        <w:tc>
          <w:tcPr>
            <w:tcW w:w="13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0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安命财产安全</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事故率低</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事故率低</w:t>
            </w:r>
          </w:p>
        </w:tc>
        <w:tc>
          <w:tcPr>
            <w:tcW w:w="13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0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649"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环境污染</w:t>
            </w: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不断降低</w:t>
            </w:r>
          </w:p>
        </w:tc>
        <w:tc>
          <w:tcPr>
            <w:tcW w:w="10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不断降低</w:t>
            </w:r>
          </w:p>
        </w:tc>
        <w:tc>
          <w:tcPr>
            <w:tcW w:w="13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0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全市人民是否安全、便捷出行</w:t>
            </w: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全市人民安全、便捷出行</w:t>
            </w:r>
          </w:p>
        </w:tc>
        <w:tc>
          <w:tcPr>
            <w:tcW w:w="10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全市人民是否安全、便捷出行</w:t>
            </w:r>
            <w:r>
              <w:rPr>
                <w:rFonts w:ascii="Times New Roman" w:hAnsi="Times New Roman" w:eastAsia="仿宋_GB2312"/>
                <w:color w:val="000000"/>
                <w:kern w:val="0"/>
                <w:szCs w:val="21"/>
              </w:rPr>
              <w:t>　</w:t>
            </w:r>
          </w:p>
        </w:tc>
        <w:tc>
          <w:tcPr>
            <w:tcW w:w="13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社会公众以及交通运输相关企业满意度</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仿宋_GB2312" w:hAnsi="仿宋_GB2312" w:eastAsia="仿宋_GB2312" w:cs="仿宋_GB2312"/>
                <w:color w:val="000000"/>
                <w:kern w:val="0"/>
                <w:szCs w:val="21"/>
              </w:rPr>
              <w:t>&gt;</w:t>
            </w:r>
            <w:r>
              <w:rPr>
                <w:rFonts w:hint="eastAsia" w:ascii="Times New Roman" w:hAnsi="Times New Roman" w:eastAsia="仿宋_GB2312"/>
                <w:color w:val="000000"/>
                <w:kern w:val="0"/>
                <w:szCs w:val="21"/>
                <w:lang w:val="en-US" w:eastAsia="zh-CN"/>
              </w:rPr>
              <w:t>=95%</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仿宋_GB2312" w:hAnsi="仿宋_GB2312" w:eastAsia="仿宋_GB2312" w:cs="仿宋_GB2312"/>
                <w:color w:val="000000"/>
                <w:kern w:val="0"/>
                <w:szCs w:val="21"/>
                <w:lang w:val="en-US" w:eastAsia="zh-CN"/>
              </w:rPr>
            </w:pPr>
            <w:r>
              <w:rPr>
                <w:rFonts w:ascii="Times New Roman" w:hAnsi="Times New Roman" w:eastAsia="仿宋_GB2312"/>
                <w:color w:val="000000"/>
                <w:kern w:val="0"/>
                <w:szCs w:val="21"/>
              </w:rPr>
              <w:t>　</w:t>
            </w:r>
            <w:r>
              <w:rPr>
                <w:rFonts w:hint="eastAsia"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lang w:val="en-US" w:eastAsia="zh-CN"/>
              </w:rPr>
              <w:t>=95%</w:t>
            </w:r>
          </w:p>
        </w:tc>
        <w:tc>
          <w:tcPr>
            <w:tcW w:w="132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0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793"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13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6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98</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spacing w:beforeLines="50"/>
        <w:rPr>
          <w:rFonts w:ascii="Times New Roman" w:hAnsi="Times New Roman" w:eastAsia="黑体"/>
          <w:sz w:val="32"/>
          <w:szCs w:val="32"/>
        </w:rPr>
      </w:pPr>
      <w:r>
        <w:rPr>
          <w:rFonts w:ascii="Times New Roman" w:hAnsi="Times New Roman" w:eastAsia="仿宋_GB2312"/>
          <w:sz w:val="24"/>
        </w:rPr>
        <w:t>填表人：       填报日期：        联系电话：       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附件4</w:t>
      </w:r>
    </w:p>
    <w:tbl>
      <w:tblPr>
        <w:tblStyle w:val="9"/>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楷体" w:hAnsi="楷体" w:eastAsia="楷体" w:cs="楷体"/>
                <w:kern w:val="0"/>
                <w:szCs w:val="21"/>
              </w:rPr>
              <w:t>交通战备</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衡阳市交通运输局战备办</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楷体" w:hAnsi="楷体" w:eastAsia="楷体" w:cs="楷体"/>
                <w:kern w:val="0"/>
                <w:sz w:val="18"/>
                <w:szCs w:val="18"/>
              </w:rPr>
              <w:t>抓好公路建设、抓好保障队伍建设，做好专项演练</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楷体" w:hAnsi="楷体" w:eastAsia="楷体" w:cs="楷体"/>
                <w:kern w:val="0"/>
                <w:sz w:val="18"/>
                <w:szCs w:val="18"/>
                <w:lang w:eastAsia="zh-CN"/>
              </w:rPr>
              <w:t>完成</w:t>
            </w:r>
            <w:r>
              <w:rPr>
                <w:rFonts w:hint="eastAsia" w:ascii="楷体" w:hAnsi="楷体" w:eastAsia="楷体" w:cs="楷体"/>
                <w:kern w:val="0"/>
                <w:sz w:val="18"/>
                <w:szCs w:val="18"/>
              </w:rPr>
              <w:t>公路建设、抓好保障队伍建设，做好专项演练</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rPr>
                <w:rFonts w:hint="eastAsia" w:ascii="仿宋" w:hAnsi="仿宋" w:eastAsia="仿宋" w:cs="楷体"/>
                <w:kern w:val="0"/>
                <w:szCs w:val="21"/>
              </w:rPr>
            </w:pPr>
            <w:r>
              <w:rPr>
                <w:rFonts w:hint="eastAsia" w:ascii="仿宋" w:hAnsi="仿宋" w:eastAsia="仿宋" w:cs="楷体"/>
                <w:kern w:val="0"/>
                <w:szCs w:val="21"/>
                <w:lang w:val="en-US" w:eastAsia="zh-CN"/>
              </w:rPr>
              <w:t>1、</w:t>
            </w:r>
            <w:r>
              <w:rPr>
                <w:rFonts w:hint="eastAsia" w:ascii="仿宋" w:hAnsi="仿宋" w:eastAsia="仿宋" w:cs="楷体"/>
                <w:kern w:val="0"/>
                <w:szCs w:val="21"/>
              </w:rPr>
              <w:t>完成公路建设投资</w:t>
            </w:r>
          </w:p>
          <w:p>
            <w:pPr>
              <w:widowControl/>
              <w:jc w:val="left"/>
              <w:rPr>
                <w:rFonts w:ascii="Times New Roman" w:hAnsi="Times New Roman" w:eastAsia="仿宋_GB2312"/>
                <w:color w:val="000000"/>
                <w:kern w:val="0"/>
                <w:szCs w:val="21"/>
              </w:rPr>
            </w:pPr>
            <w:r>
              <w:rPr>
                <w:rFonts w:hint="eastAsia" w:ascii="仿宋" w:hAnsi="仿宋" w:eastAsia="仿宋" w:cs="楷体"/>
                <w:kern w:val="0"/>
                <w:szCs w:val="21"/>
                <w:lang w:val="en-US" w:eastAsia="zh-CN"/>
              </w:rPr>
              <w:t>2、</w:t>
            </w:r>
            <w:r>
              <w:rPr>
                <w:rFonts w:hint="eastAsia" w:ascii="仿宋" w:hAnsi="仿宋" w:eastAsia="仿宋" w:cs="楷体"/>
                <w:kern w:val="0"/>
                <w:szCs w:val="21"/>
              </w:rPr>
              <w:t>改建三级公路3</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楷体"/>
                <w:kern w:val="0"/>
                <w:szCs w:val="21"/>
              </w:rPr>
            </w:pPr>
            <w:r>
              <w:rPr>
                <w:rFonts w:hint="eastAsia" w:ascii="仿宋" w:hAnsi="仿宋" w:eastAsia="仿宋" w:cs="楷体"/>
                <w:kern w:val="0"/>
                <w:szCs w:val="21"/>
                <w:lang w:val="en-US" w:eastAsia="zh-CN"/>
              </w:rPr>
              <w:t>1、</w:t>
            </w:r>
            <w:r>
              <w:rPr>
                <w:rFonts w:hint="eastAsia" w:ascii="仿宋" w:hAnsi="仿宋" w:eastAsia="仿宋" w:cs="楷体"/>
                <w:kern w:val="0"/>
                <w:szCs w:val="21"/>
              </w:rPr>
              <w:t>累计完成投资10189万元</w:t>
            </w:r>
          </w:p>
          <w:p>
            <w:pPr>
              <w:rPr>
                <w:rFonts w:hint="eastAsia" w:ascii="仿宋" w:hAnsi="仿宋" w:eastAsia="仿宋" w:cs="楷体"/>
                <w:kern w:val="2"/>
                <w:sz w:val="21"/>
                <w:szCs w:val="21"/>
                <w:lang w:val="en-US" w:eastAsia="zh-CN" w:bidi="ar-SA"/>
              </w:rPr>
            </w:pPr>
            <w:r>
              <w:rPr>
                <w:rFonts w:hint="eastAsia" w:ascii="仿宋" w:hAnsi="仿宋" w:eastAsia="仿宋" w:cs="楷体"/>
                <w:szCs w:val="21"/>
                <w:lang w:val="en-US" w:eastAsia="zh-CN"/>
              </w:rPr>
              <w:t>2、</w:t>
            </w:r>
            <w:r>
              <w:rPr>
                <w:rFonts w:hint="eastAsia" w:ascii="仿宋" w:hAnsi="仿宋" w:eastAsia="仿宋" w:cs="楷体"/>
                <w:szCs w:val="21"/>
              </w:rPr>
              <w:t>建成通车里程50.872公里</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rPr>
                <w:rFonts w:ascii="仿宋" w:hAnsi="仿宋" w:eastAsia="仿宋" w:cs="楷体"/>
                <w:kern w:val="0"/>
                <w:szCs w:val="21"/>
              </w:rPr>
            </w:pPr>
            <w:r>
              <w:rPr>
                <w:rFonts w:ascii="Times New Roman" w:hAnsi="Times New Roman" w:eastAsia="仿宋_GB2312"/>
                <w:color w:val="000000"/>
                <w:kern w:val="0"/>
                <w:szCs w:val="21"/>
              </w:rPr>
              <w:t>　</w:t>
            </w:r>
            <w:r>
              <w:rPr>
                <w:rFonts w:hint="eastAsia" w:ascii="仿宋" w:hAnsi="仿宋" w:eastAsia="仿宋" w:cs="楷体"/>
                <w:kern w:val="0"/>
                <w:szCs w:val="21"/>
              </w:rPr>
              <w:t>累计完成投资</w:t>
            </w:r>
            <w:r>
              <w:rPr>
                <w:rFonts w:hint="eastAsia" w:ascii="仿宋" w:hAnsi="仿宋" w:eastAsia="仿宋" w:cs="楷体"/>
                <w:kern w:val="0"/>
                <w:szCs w:val="21"/>
                <w:lang w:val="en-US" w:eastAsia="zh-CN"/>
              </w:rPr>
              <w:t>7332.66</w:t>
            </w:r>
            <w:r>
              <w:rPr>
                <w:rFonts w:hint="eastAsia" w:ascii="仿宋" w:hAnsi="仿宋" w:eastAsia="仿宋" w:cs="楷体"/>
                <w:kern w:val="0"/>
                <w:szCs w:val="21"/>
              </w:rPr>
              <w:t>万元</w:t>
            </w:r>
          </w:p>
          <w:p>
            <w:pPr>
              <w:rPr>
                <w:rFonts w:ascii="仿宋" w:hAnsi="仿宋" w:eastAsia="仿宋" w:cs="楷体"/>
                <w:szCs w:val="21"/>
              </w:rPr>
            </w:pPr>
          </w:p>
          <w:p>
            <w:pPr>
              <w:widowControl/>
              <w:jc w:val="left"/>
              <w:rPr>
                <w:rFonts w:ascii="Times New Roman" w:hAnsi="Times New Roman" w:eastAsia="仿宋_GB2312"/>
                <w:color w:val="000000"/>
                <w:kern w:val="0"/>
                <w:szCs w:val="21"/>
              </w:rPr>
            </w:pPr>
            <w:r>
              <w:rPr>
                <w:rFonts w:hint="eastAsia" w:ascii="仿宋" w:hAnsi="仿宋" w:eastAsia="仿宋" w:cs="楷体"/>
                <w:szCs w:val="21"/>
              </w:rPr>
              <w:t>建成通车里程</w:t>
            </w:r>
            <w:r>
              <w:rPr>
                <w:rFonts w:hint="eastAsia" w:ascii="仿宋" w:hAnsi="仿宋" w:eastAsia="仿宋" w:cs="楷体"/>
                <w:szCs w:val="21"/>
                <w:lang w:val="en-US" w:eastAsia="zh-CN"/>
              </w:rPr>
              <w:t>37.049</w:t>
            </w:r>
            <w:r>
              <w:rPr>
                <w:rFonts w:hint="eastAsia" w:ascii="仿宋" w:hAnsi="仿宋" w:eastAsia="仿宋" w:cs="楷体"/>
                <w:szCs w:val="21"/>
              </w:rPr>
              <w:t>公里</w:t>
            </w:r>
            <w:r>
              <w:rPr>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18"/>
                <w:szCs w:val="18"/>
                <w:lang w:val="en-US" w:eastAsia="zh-CN" w:bidi="ar-SA"/>
              </w:rPr>
            </w:pPr>
            <w:r>
              <w:rPr>
                <w:rFonts w:ascii="仿宋" w:hAnsi="仿宋" w:eastAsia="仿宋"/>
                <w:kern w:val="0"/>
                <w:sz w:val="18"/>
                <w:szCs w:val="18"/>
              </w:rPr>
              <w:t>　</w:t>
            </w:r>
            <w:r>
              <w:rPr>
                <w:rFonts w:hint="eastAsia" w:ascii="仿宋" w:hAnsi="仿宋" w:eastAsia="仿宋"/>
                <w:kern w:val="0"/>
                <w:sz w:val="18"/>
                <w:szCs w:val="18"/>
              </w:rPr>
              <w:t>公路等级</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18"/>
                <w:szCs w:val="18"/>
                <w:lang w:val="en-US" w:eastAsia="zh-CN" w:bidi="ar-SA"/>
              </w:rPr>
            </w:pPr>
            <w:r>
              <w:rPr>
                <w:rFonts w:ascii="仿宋" w:hAnsi="仿宋" w:eastAsia="仿宋"/>
                <w:kern w:val="0"/>
                <w:sz w:val="18"/>
                <w:szCs w:val="18"/>
              </w:rPr>
              <w:t>　</w:t>
            </w:r>
            <w:r>
              <w:rPr>
                <w:rFonts w:hint="eastAsia" w:ascii="仿宋" w:hAnsi="仿宋" w:eastAsia="仿宋"/>
                <w:kern w:val="0"/>
                <w:sz w:val="18"/>
                <w:szCs w:val="18"/>
              </w:rPr>
              <w:t>合格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合格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cs="楷体"/>
                <w:kern w:val="0"/>
                <w:sz w:val="18"/>
                <w:szCs w:val="18"/>
              </w:rPr>
              <w:t>按计划进行　</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cs="楷体"/>
                <w:kern w:val="0"/>
                <w:sz w:val="18"/>
                <w:szCs w:val="18"/>
              </w:rPr>
              <w:t>2021年12月前</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cs="楷体"/>
                <w:kern w:val="0"/>
                <w:sz w:val="18"/>
                <w:szCs w:val="18"/>
              </w:rPr>
              <w:t>2021年12月前</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cs="楷体"/>
                <w:kern w:val="0"/>
                <w:sz w:val="18"/>
                <w:szCs w:val="18"/>
              </w:rPr>
              <w:t>　总成本</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ind w:firstLine="180" w:firstLineChars="100"/>
              <w:rPr>
                <w:rFonts w:ascii="Times New Roman" w:hAnsi="Times New Roman" w:eastAsia="仿宋_GB2312"/>
                <w:color w:val="000000"/>
                <w:kern w:val="0"/>
                <w:szCs w:val="21"/>
              </w:rPr>
            </w:pPr>
            <w:r>
              <w:rPr>
                <w:rFonts w:hint="eastAsia" w:ascii="仿宋" w:hAnsi="仿宋" w:eastAsia="仿宋" w:cs="楷体"/>
                <w:kern w:val="0"/>
                <w:sz w:val="18"/>
                <w:szCs w:val="18"/>
              </w:rPr>
              <w:t>11646万元</w:t>
            </w:r>
          </w:p>
        </w:tc>
        <w:tc>
          <w:tcPr>
            <w:tcW w:w="1107"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cs="楷体"/>
                <w:kern w:val="0"/>
                <w:sz w:val="18"/>
                <w:szCs w:val="18"/>
              </w:rPr>
              <w:t>　</w:t>
            </w:r>
            <w:r>
              <w:rPr>
                <w:rFonts w:hint="eastAsia"/>
                <w:kern w:val="0"/>
                <w:szCs w:val="21"/>
                <w:lang w:val="en-US" w:eastAsia="zh-CN"/>
              </w:rPr>
              <w:t>7332万元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 w:hAnsi="仿宋" w:eastAsia="仿宋"/>
                <w:kern w:val="0"/>
                <w:sz w:val="18"/>
                <w:szCs w:val="18"/>
              </w:rPr>
              <w:t>项目总投资</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15"/>
                <w:szCs w:val="15"/>
                <w:lang w:val="en-US" w:eastAsia="zh-CN" w:bidi="ar-SA"/>
              </w:rPr>
            </w:pPr>
            <w:r>
              <w:rPr>
                <w:rFonts w:ascii="仿宋" w:hAnsi="仿宋" w:eastAsia="仿宋"/>
                <w:kern w:val="0"/>
                <w:sz w:val="15"/>
                <w:szCs w:val="15"/>
              </w:rPr>
              <w:t>　</w:t>
            </w:r>
            <w:r>
              <w:rPr>
                <w:rFonts w:hint="eastAsia" w:ascii="仿宋" w:hAnsi="仿宋" w:eastAsia="仿宋"/>
                <w:kern w:val="0"/>
                <w:sz w:val="15"/>
                <w:szCs w:val="15"/>
              </w:rPr>
              <w:t>11646万元</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rFonts w:hint="default" w:ascii="Calibri" w:hAnsi="Calibri" w:eastAsia="宋体" w:cs="Times New Roman"/>
                <w:kern w:val="0"/>
                <w:sz w:val="21"/>
                <w:szCs w:val="21"/>
                <w:lang w:val="en-US" w:eastAsia="zh-CN" w:bidi="ar-SA"/>
              </w:rPr>
            </w:pPr>
            <w:r>
              <w:rPr>
                <w:kern w:val="0"/>
                <w:szCs w:val="21"/>
              </w:rPr>
              <w:t>　</w:t>
            </w:r>
            <w:r>
              <w:rPr>
                <w:rFonts w:hint="eastAsia"/>
                <w:kern w:val="0"/>
                <w:szCs w:val="21"/>
                <w:lang w:val="en-US" w:eastAsia="zh-CN"/>
              </w:rPr>
              <w:t>7332万元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8</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18"/>
                <w:szCs w:val="18"/>
                <w:lang w:val="en-US" w:eastAsia="zh-CN" w:bidi="ar-SA"/>
              </w:rPr>
            </w:pPr>
            <w:r>
              <w:rPr>
                <w:rFonts w:ascii="仿宋" w:hAnsi="仿宋" w:eastAsia="仿宋"/>
                <w:kern w:val="0"/>
                <w:sz w:val="18"/>
                <w:szCs w:val="18"/>
              </w:rPr>
              <w:t>　</w:t>
            </w:r>
            <w:r>
              <w:rPr>
                <w:rFonts w:hint="eastAsia" w:ascii="仿宋" w:hAnsi="仿宋" w:eastAsia="仿宋"/>
                <w:kern w:val="0"/>
                <w:sz w:val="18"/>
                <w:szCs w:val="18"/>
              </w:rPr>
              <w:t>安全</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15"/>
                <w:szCs w:val="15"/>
                <w:lang w:val="en-US" w:eastAsia="zh-CN" w:bidi="ar-SA"/>
              </w:rPr>
            </w:pPr>
            <w:r>
              <w:rPr>
                <w:rFonts w:hint="eastAsia" w:ascii="仿宋" w:hAnsi="仿宋" w:eastAsia="仿宋"/>
                <w:kern w:val="0"/>
                <w:sz w:val="15"/>
                <w:szCs w:val="15"/>
              </w:rPr>
              <w:t>公路交通畅通</w:t>
            </w:r>
          </w:p>
        </w:tc>
        <w:tc>
          <w:tcPr>
            <w:tcW w:w="1107"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15"/>
                <w:szCs w:val="15"/>
                <w:lang w:val="en-US" w:eastAsia="zh-CN" w:bidi="ar-SA"/>
              </w:rPr>
            </w:pPr>
            <w:r>
              <w:rPr>
                <w:rFonts w:hint="eastAsia" w:ascii="仿宋" w:hAnsi="仿宋" w:eastAsia="仿宋"/>
                <w:kern w:val="0"/>
                <w:sz w:val="15"/>
                <w:szCs w:val="15"/>
              </w:rPr>
              <w:t>公路交通畅通</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ascii="仿宋" w:hAnsi="仿宋" w:eastAsia="仿宋"/>
                <w:kern w:val="0"/>
                <w:sz w:val="18"/>
                <w:szCs w:val="18"/>
              </w:rPr>
              <w:t>　</w:t>
            </w:r>
            <w:r>
              <w:rPr>
                <w:rFonts w:hint="eastAsia" w:ascii="仿宋" w:hAnsi="仿宋" w:eastAsia="仿宋"/>
                <w:kern w:val="0"/>
                <w:sz w:val="18"/>
                <w:szCs w:val="18"/>
              </w:rPr>
              <w:t>生态环境改善</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ascii="仿宋" w:hAnsi="仿宋" w:eastAsia="仿宋"/>
                <w:kern w:val="0"/>
                <w:sz w:val="15"/>
                <w:szCs w:val="15"/>
              </w:rPr>
              <w:t>　</w:t>
            </w:r>
            <w:r>
              <w:rPr>
                <w:rFonts w:hint="eastAsia" w:ascii="仿宋" w:hAnsi="仿宋" w:eastAsia="仿宋"/>
                <w:kern w:val="0"/>
                <w:sz w:val="15"/>
                <w:szCs w:val="15"/>
              </w:rPr>
              <w:t>95%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left"/>
              <w:rPr>
                <w:rFonts w:ascii="Times New Roman" w:hAnsi="Times New Roman" w:eastAsia="仿宋_GB2312"/>
                <w:color w:val="000000"/>
                <w:kern w:val="0"/>
                <w:szCs w:val="21"/>
              </w:rPr>
            </w:pPr>
            <w:r>
              <w:rPr>
                <w:kern w:val="0"/>
                <w:szCs w:val="21"/>
              </w:rPr>
              <w:t>　</w:t>
            </w:r>
            <w:r>
              <w:rPr>
                <w:rFonts w:hint="eastAsia" w:ascii="仿宋" w:hAnsi="仿宋" w:eastAsia="仿宋" w:cs="Times New Roman"/>
                <w:kern w:val="0"/>
                <w:sz w:val="15"/>
                <w:szCs w:val="15"/>
                <w:lang w:val="en-US" w:eastAsia="zh-CN"/>
              </w:rPr>
              <w:t>95%</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ascii="仿宋" w:hAnsi="仿宋" w:eastAsia="仿宋"/>
                <w:kern w:val="0"/>
                <w:sz w:val="18"/>
                <w:szCs w:val="18"/>
              </w:rPr>
              <w:t>　</w:t>
            </w:r>
            <w:r>
              <w:rPr>
                <w:rFonts w:hint="eastAsia" w:ascii="仿宋" w:hAnsi="仿宋" w:eastAsia="仿宋"/>
                <w:kern w:val="0"/>
                <w:sz w:val="18"/>
                <w:szCs w:val="18"/>
              </w:rPr>
              <w:t>适应目前战备交通需要</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ascii="仿宋" w:hAnsi="仿宋" w:eastAsia="仿宋"/>
                <w:kern w:val="0"/>
                <w:sz w:val="15"/>
                <w:szCs w:val="15"/>
              </w:rPr>
              <w:t>　</w:t>
            </w:r>
            <w:r>
              <w:rPr>
                <w:rFonts w:hint="eastAsia" w:ascii="仿宋" w:hAnsi="仿宋" w:eastAsia="仿宋"/>
                <w:kern w:val="0"/>
                <w:sz w:val="15"/>
                <w:szCs w:val="15"/>
              </w:rPr>
              <w:t>公路等级持续上升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left"/>
              <w:rPr>
                <w:rFonts w:ascii="Times New Roman" w:hAnsi="Times New Roman" w:eastAsia="仿宋_GB2312"/>
                <w:color w:val="000000"/>
                <w:kern w:val="0"/>
                <w:szCs w:val="21"/>
              </w:rPr>
            </w:pPr>
            <w:r>
              <w:rPr>
                <w:kern w:val="0"/>
                <w:szCs w:val="21"/>
              </w:rPr>
              <w:t>　</w:t>
            </w:r>
            <w:r>
              <w:rPr>
                <w:rFonts w:hint="eastAsia" w:ascii="仿宋" w:hAnsi="仿宋" w:eastAsia="仿宋"/>
                <w:kern w:val="0"/>
                <w:sz w:val="15"/>
                <w:szCs w:val="15"/>
              </w:rPr>
              <w:t>公路等级持续上升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楷体"/>
                <w:kern w:val="0"/>
                <w:sz w:val="18"/>
                <w:szCs w:val="18"/>
                <w:lang w:val="en-US" w:eastAsia="zh-CN" w:bidi="ar-SA"/>
              </w:rPr>
            </w:pPr>
            <w:r>
              <w:rPr>
                <w:rFonts w:hint="eastAsia" w:ascii="仿宋" w:hAnsi="仿宋" w:eastAsia="仿宋" w:cs="楷体"/>
                <w:kern w:val="0"/>
                <w:sz w:val="18"/>
                <w:szCs w:val="18"/>
              </w:rPr>
              <w:t>公众满意度</w:t>
            </w:r>
          </w:p>
        </w:tc>
        <w:tc>
          <w:tcPr>
            <w:tcW w:w="1230" w:type="dxa"/>
            <w:tcBorders>
              <w:top w:val="nil"/>
              <w:left w:val="nil"/>
              <w:bottom w:val="single" w:color="auto" w:sz="4" w:space="0"/>
              <w:right w:val="single" w:color="auto" w:sz="4" w:space="0"/>
            </w:tcBorders>
            <w:shd w:val="clear" w:color="auto" w:fill="auto"/>
            <w:noWrap/>
            <w:vAlign w:val="top"/>
          </w:tcPr>
          <w:p>
            <w:pPr>
              <w:widowControl/>
              <w:spacing w:line="280" w:lineRule="exact"/>
              <w:ind w:firstLine="180" w:firstLineChars="100"/>
              <w:rPr>
                <w:rFonts w:hint="eastAsia" w:ascii="仿宋" w:hAnsi="仿宋" w:eastAsia="仿宋" w:cs="楷体"/>
                <w:kern w:val="0"/>
                <w:sz w:val="18"/>
                <w:szCs w:val="18"/>
                <w:lang w:val="en-US" w:eastAsia="zh-CN" w:bidi="ar-SA"/>
              </w:rPr>
            </w:pPr>
            <w:r>
              <w:rPr>
                <w:rFonts w:hint="eastAsia" w:ascii="仿宋" w:hAnsi="仿宋" w:eastAsia="仿宋" w:cs="楷体"/>
                <w:kern w:val="0"/>
                <w:sz w:val="18"/>
                <w:szCs w:val="18"/>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hint="default" w:ascii="Calibri" w:hAnsi="Calibri" w:eastAsia="宋体" w:cs="Times New Roman"/>
                <w:kern w:val="0"/>
                <w:sz w:val="21"/>
                <w:szCs w:val="21"/>
                <w:lang w:val="en-US" w:eastAsia="zh-CN" w:bidi="ar-SA"/>
              </w:rPr>
            </w:pPr>
            <w:r>
              <w:rPr>
                <w:rFonts w:hint="eastAsia" w:ascii="仿宋" w:hAnsi="仿宋" w:eastAsia="仿宋" w:cs="楷体"/>
                <w:kern w:val="0"/>
                <w:sz w:val="18"/>
                <w:szCs w:val="18"/>
              </w:rPr>
              <w:t>　</w:t>
            </w:r>
            <w:r>
              <w:rPr>
                <w:rFonts w:hint="eastAsia" w:ascii="仿宋" w:hAnsi="仿宋" w:eastAsia="仿宋" w:cs="楷体"/>
                <w:kern w:val="0"/>
                <w:sz w:val="18"/>
                <w:szCs w:val="18"/>
                <w:lang w:val="en-US" w:eastAsia="zh-CN"/>
              </w:rPr>
              <w:t>95%</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仿宋_GB2312"/>
          <w:sz w:val="24"/>
        </w:rPr>
      </w:pPr>
      <w:r>
        <w:rPr>
          <w:rFonts w:ascii="Times New Roman" w:hAnsi="Times New Roman" w:eastAsia="仿宋_GB2312"/>
          <w:sz w:val="24"/>
        </w:rPr>
        <w:t>填表人：        填报日期：        联系电话：     单位负责人签字：</w:t>
      </w:r>
    </w:p>
    <w:p/>
    <w:tbl>
      <w:tblPr>
        <w:tblStyle w:val="9"/>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99" w:hRule="atLeast"/>
          <w:jc w:val="center"/>
        </w:trPr>
        <w:tc>
          <w:tcPr>
            <w:tcW w:w="9999" w:type="dxa"/>
            <w:gridSpan w:val="9"/>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45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铁路专线监管经费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衡阳市交通运输局运输科</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210" w:firstLineChars="100"/>
              <w:jc w:val="center"/>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keepNext w:val="0"/>
              <w:keepLines w:val="0"/>
              <w:pageBreakBefore w:val="0"/>
              <w:widowControl/>
              <w:kinsoku/>
              <w:wordWrap/>
              <w:overflowPunct/>
              <w:topLinePunct w:val="0"/>
              <w:autoSpaceDE/>
              <w:autoSpaceDN/>
              <w:bidi w:val="0"/>
              <w:adjustRightInd/>
              <w:snapToGrid/>
              <w:spacing w:line="280" w:lineRule="exact"/>
              <w:ind w:firstLine="210" w:firstLineChars="100"/>
              <w:jc w:val="center"/>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210" w:firstLineChars="100"/>
              <w:jc w:val="center"/>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keepNext w:val="0"/>
              <w:keepLines w:val="0"/>
              <w:pageBreakBefore w:val="0"/>
              <w:widowControl/>
              <w:kinsoku/>
              <w:wordWrap/>
              <w:overflowPunct/>
              <w:topLinePunct w:val="0"/>
              <w:autoSpaceDE/>
              <w:autoSpaceDN/>
              <w:bidi w:val="0"/>
              <w:adjustRightInd/>
              <w:snapToGrid/>
              <w:spacing w:line="280" w:lineRule="exact"/>
              <w:ind w:firstLine="210" w:firstLineChars="100"/>
              <w:jc w:val="center"/>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szCs w:val="21"/>
              </w:rPr>
            </w:pPr>
            <w:r>
              <w:rPr>
                <w:rFonts w:ascii="Times New Roman" w:hAnsi="Times New Roman" w:eastAsia="仿宋_GB2312"/>
                <w:szCs w:val="21"/>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1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1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28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630" w:firstLineChars="300"/>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25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630" w:firstLineChars="300"/>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25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1143"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733"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1153"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 w:hAnsi="仿宋" w:eastAsia="仿宋" w:cs="楷体"/>
                <w:kern w:val="0"/>
                <w:szCs w:val="21"/>
              </w:rPr>
              <w:t>全市铁路专用线社会道口共52个</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cs="楷体"/>
                <w:kern w:val="0"/>
                <w:szCs w:val="21"/>
              </w:rPr>
              <w:t>无安全事故</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无安全事故</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781"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 w:hAnsi="仿宋" w:eastAsia="仿宋"/>
                <w:kern w:val="0"/>
                <w:szCs w:val="21"/>
              </w:rPr>
              <w:t>道口使用率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kern w:val="0"/>
                <w:szCs w:val="21"/>
              </w:rPr>
              <w:t>95%</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olor w:val="000000"/>
                <w:kern w:val="0"/>
                <w:szCs w:val="21"/>
                <w:lang w:val="en-US" w:eastAsia="zh-CN"/>
              </w:rPr>
            </w:pPr>
            <w:r>
              <w:rPr>
                <w:rFonts w:ascii="Times New Roman" w:hAnsi="Times New Roman" w:eastAsia="仿宋_GB2312"/>
                <w:color w:val="000000"/>
                <w:kern w:val="0"/>
                <w:szCs w:val="21"/>
              </w:rPr>
              <w:t>　</w:t>
            </w:r>
            <w:r>
              <w:rPr>
                <w:rFonts w:hint="eastAsia" w:ascii="仿宋" w:hAnsi="仿宋" w:eastAsia="仿宋"/>
                <w:kern w:val="0"/>
                <w:szCs w:val="21"/>
              </w:rPr>
              <w:t>道口使用率</w:t>
            </w:r>
            <w:r>
              <w:rPr>
                <w:rFonts w:hint="eastAsia" w:ascii="仿宋" w:hAnsi="仿宋" w:eastAsia="仿宋"/>
                <w:kern w:val="0"/>
                <w:szCs w:val="21"/>
                <w:lang w:eastAsia="zh-CN"/>
              </w:rPr>
              <w:t>达到</w:t>
            </w:r>
            <w:r>
              <w:rPr>
                <w:rFonts w:hint="eastAsia" w:ascii="仿宋" w:hAnsi="仿宋" w:eastAsia="仿宋"/>
                <w:kern w:val="0"/>
                <w:szCs w:val="21"/>
                <w:lang w:val="en-US" w:eastAsia="zh-CN"/>
              </w:rPr>
              <w:t>95%</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99"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 w:hAnsi="仿宋" w:eastAsia="仿宋" w:cs="楷体"/>
                <w:kern w:val="0"/>
                <w:szCs w:val="21"/>
              </w:rPr>
              <w:t>按计划进行</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cs="楷体"/>
                <w:kern w:val="0"/>
                <w:szCs w:val="21"/>
              </w:rPr>
              <w:t>长期</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长期进行</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736"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 w:hAnsi="仿宋" w:eastAsia="仿宋" w:cs="楷体"/>
                <w:kern w:val="0"/>
                <w:szCs w:val="21"/>
              </w:rPr>
              <w:t>总成本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cs="楷体"/>
                <w:kern w:val="0"/>
                <w:szCs w:val="21"/>
              </w:rPr>
              <w:t>每年20万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olor w:val="000000"/>
                <w:kern w:val="0"/>
                <w:szCs w:val="21"/>
                <w:lang w:val="en-US" w:eastAsia="zh-CN"/>
              </w:rPr>
            </w:pPr>
            <w:r>
              <w:rPr>
                <w:rFonts w:ascii="Times New Roman" w:hAnsi="Times New Roman" w:eastAsia="仿宋_GB2312"/>
                <w:color w:val="000000"/>
                <w:kern w:val="0"/>
                <w:szCs w:val="21"/>
              </w:rPr>
              <w:t>　</w:t>
            </w:r>
            <w:r>
              <w:rPr>
                <w:rFonts w:hint="eastAsia" w:ascii="仿宋" w:hAnsi="仿宋" w:eastAsia="仿宋" w:cs="楷体"/>
                <w:kern w:val="0"/>
                <w:szCs w:val="21"/>
              </w:rPr>
              <w:t>总成本</w:t>
            </w:r>
            <w:r>
              <w:rPr>
                <w:rFonts w:hint="eastAsia" w:ascii="仿宋" w:hAnsi="仿宋" w:eastAsia="仿宋" w:cs="楷体"/>
                <w:kern w:val="0"/>
                <w:szCs w:val="21"/>
                <w:lang w:eastAsia="zh-CN"/>
              </w:rPr>
              <w:t>达到每年</w:t>
            </w:r>
            <w:r>
              <w:rPr>
                <w:rFonts w:hint="eastAsia" w:ascii="仿宋" w:hAnsi="仿宋" w:eastAsia="仿宋" w:cs="楷体"/>
                <w:kern w:val="0"/>
                <w:szCs w:val="21"/>
                <w:lang w:val="en-US" w:eastAsia="zh-CN"/>
              </w:rPr>
              <w:t>20万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 w:hAnsi="仿宋" w:eastAsia="仿宋"/>
                <w:kern w:val="0"/>
                <w:szCs w:val="21"/>
              </w:rPr>
              <w:t>确保安全通行</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kern w:val="0"/>
                <w:szCs w:val="21"/>
              </w:rPr>
              <w:t>保障率97%</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安全通行保障率达到</w:t>
            </w:r>
            <w:r>
              <w:rPr>
                <w:rFonts w:hint="eastAsia" w:ascii="Times New Roman" w:hAnsi="Times New Roman" w:eastAsia="仿宋_GB2312"/>
                <w:color w:val="000000"/>
                <w:kern w:val="0"/>
                <w:szCs w:val="21"/>
                <w:lang w:val="en-US" w:eastAsia="zh-CN"/>
              </w:rPr>
              <w:t>97%</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123"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 w:hAnsi="仿宋" w:eastAsia="仿宋"/>
                <w:kern w:val="0"/>
                <w:szCs w:val="21"/>
              </w:rPr>
              <w:t>满足火车和行人通行需要</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kern w:val="0"/>
                <w:szCs w:val="21"/>
              </w:rPr>
              <w:t>96%</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kern w:val="0"/>
                <w:szCs w:val="21"/>
              </w:rPr>
              <w:t>满足</w:t>
            </w:r>
            <w:r>
              <w:rPr>
                <w:rFonts w:hint="eastAsia" w:ascii="仿宋" w:hAnsi="仿宋" w:eastAsia="仿宋"/>
                <w:kern w:val="0"/>
                <w:szCs w:val="21"/>
                <w:lang w:eastAsia="zh-CN"/>
              </w:rPr>
              <w:t>了</w:t>
            </w:r>
            <w:r>
              <w:rPr>
                <w:rFonts w:hint="eastAsia" w:ascii="仿宋" w:hAnsi="仿宋" w:eastAsia="仿宋"/>
                <w:kern w:val="0"/>
                <w:szCs w:val="21"/>
              </w:rPr>
              <w:t>火车和行人通行需要</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64"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 w:hAnsi="仿宋" w:eastAsia="仿宋"/>
                <w:kern w:val="0"/>
                <w:szCs w:val="21"/>
              </w:rPr>
              <w:t>污染率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kern w:val="0"/>
                <w:szCs w:val="21"/>
              </w:rPr>
              <w:t>0</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无污染</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 w:hAnsi="仿宋" w:eastAsia="仿宋"/>
                <w:kern w:val="0"/>
                <w:szCs w:val="21"/>
              </w:rPr>
              <w:t>交通通行保障能力</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kern w:val="0"/>
                <w:szCs w:val="21"/>
              </w:rPr>
              <w:t>不断提升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交通通行保障能力得到提升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1</w:t>
            </w:r>
            <w:r>
              <w:rPr>
                <w:rFonts w:ascii="Times New Roman" w:hAnsi="Times New Roman" w:eastAsia="仿宋_GB2312"/>
                <w:color w:val="000000"/>
                <w:kern w:val="0"/>
                <w:szCs w:val="21"/>
              </w:rPr>
              <w:t>0分）</w:t>
            </w:r>
          </w:p>
        </w:tc>
        <w:tc>
          <w:tcPr>
            <w:tcW w:w="1261"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 w:hAnsi="仿宋" w:eastAsia="仿宋" w:cs="楷体"/>
                <w:kern w:val="0"/>
                <w:szCs w:val="21"/>
              </w:rPr>
              <w:t>公众满意度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cs="楷体"/>
                <w:kern w:val="0"/>
                <w:szCs w:val="21"/>
              </w:rPr>
              <w:t>94%</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公众满意度达到</w:t>
            </w:r>
            <w:r>
              <w:rPr>
                <w:rFonts w:hint="eastAsia" w:ascii="Times New Roman" w:hAnsi="Times New Roman" w:eastAsia="仿宋_GB2312"/>
                <w:color w:val="000000"/>
                <w:kern w:val="0"/>
                <w:szCs w:val="21"/>
                <w:lang w:val="en-US" w:eastAsia="zh-CN"/>
              </w:rPr>
              <w:t>94%</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仿宋_GB2312"/>
          <w:sz w:val="24"/>
        </w:rPr>
      </w:pPr>
      <w:r>
        <w:rPr>
          <w:rFonts w:ascii="Times New Roman" w:hAnsi="Times New Roman" w:eastAsia="仿宋_GB2312"/>
          <w:sz w:val="24"/>
        </w:rPr>
        <w:t>填表人：        填报日期：        联系电话：     单位负责人签字：</w:t>
      </w:r>
    </w:p>
    <w:p/>
    <w:p>
      <w:pPr>
        <w:adjustRightInd w:val="0"/>
        <w:snapToGrid w:val="0"/>
        <w:spacing w:line="600" w:lineRule="exact"/>
        <w:ind w:firstLine="640" w:firstLineChars="200"/>
        <w:rPr>
          <w:rFonts w:hint="default" w:ascii="Times New Roman" w:hAnsi="Times New Roman" w:eastAsia="黑体"/>
          <w:sz w:val="32"/>
          <w:szCs w:val="32"/>
          <w:lang w:val="en-US" w:eastAsia="zh-CN"/>
        </w:rPr>
      </w:pPr>
      <w:r>
        <w:rPr>
          <w:rFonts w:hint="eastAsia" w:ascii="Times New Roman" w:hAnsi="Times New Roman" w:eastAsia="黑体"/>
          <w:sz w:val="32"/>
          <w:szCs w:val="32"/>
          <w:lang w:val="en-US" w:eastAsia="zh-CN"/>
        </w:rPr>
        <w:t xml:space="preserve">    </w:t>
      </w:r>
    </w:p>
    <w:tbl>
      <w:tblPr>
        <w:tblStyle w:val="9"/>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交通运输行业监管</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衡阳市交通运输局安全科</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80" w:lineRule="exact"/>
              <w:jc w:val="center"/>
              <w:rPr>
                <w:rFonts w:ascii="Calibri" w:hAnsi="Calibri" w:eastAsia="宋体" w:cs="Times New Roman"/>
                <w:kern w:val="0"/>
                <w:sz w:val="21"/>
                <w:szCs w:val="21"/>
                <w:lang w:val="en-US" w:eastAsia="zh-CN" w:bidi="ar-SA"/>
              </w:rPr>
            </w:pPr>
            <w:r>
              <w:rPr>
                <w:rFonts w:hint="eastAsia" w:ascii="楷体" w:hAnsi="楷体" w:eastAsia="楷体" w:cs="楷体"/>
                <w:kern w:val="0"/>
                <w:szCs w:val="21"/>
              </w:rPr>
              <w:t>确保全年行业稳定、目标任务顺利完成、安全生产无等级责任事故</w:t>
            </w:r>
            <w:r>
              <w:rPr>
                <w:rFonts w:hAnsi="宋体"/>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Calibri" w:hAnsi="Calibri" w:eastAsia="宋体" w:cs="Times New Roman"/>
                <w:kern w:val="0"/>
                <w:sz w:val="21"/>
                <w:szCs w:val="21"/>
                <w:lang w:val="en-US" w:eastAsia="zh-CN" w:bidi="ar-SA"/>
              </w:rPr>
            </w:pPr>
            <w:r>
              <w:rPr>
                <w:rFonts w:hint="eastAsia" w:ascii="楷体" w:hAnsi="楷体" w:eastAsia="楷体" w:cs="楷体"/>
                <w:kern w:val="0"/>
                <w:szCs w:val="21"/>
              </w:rPr>
              <w:t>全年行业稳定、目标任务顺利完成、安全生产无等级责任事故</w:t>
            </w:r>
            <w:r>
              <w:rPr>
                <w:rFonts w:hAnsi="宋体"/>
                <w:kern w:val="0"/>
                <w:szCs w:val="21"/>
              </w:rPr>
              <w:t>　</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联网售票</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18家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14家</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4</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完成客运站长途客运实名制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19家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14家</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全市</w:t>
            </w:r>
            <w:r>
              <w:rPr>
                <w:rFonts w:hint="eastAsia" w:ascii="Times New Roman" w:hAnsi="Times New Roman" w:eastAsia="仿宋_GB2312"/>
                <w:color w:val="000000"/>
                <w:kern w:val="0"/>
                <w:szCs w:val="21"/>
                <w:lang w:val="en-US" w:eastAsia="zh-CN"/>
              </w:rPr>
              <w:t>110所驾培机构“计时收费、先培后付”</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111所</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“计时收费，先培后付”正在等待省局审批中</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汽车维修电子健康档案系统稳步推进</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98家</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4</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hint="eastAsia" w:ascii="仿宋" w:hAnsi="仿宋" w:eastAsia="仿宋"/>
                <w:kern w:val="0"/>
                <w:szCs w:val="21"/>
              </w:rPr>
              <w:t>合格</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hint="eastAsia" w:ascii="仿宋" w:hAnsi="仿宋" w:eastAsia="仿宋"/>
                <w:kern w:val="0"/>
                <w:szCs w:val="21"/>
              </w:rPr>
              <w:t>97%</w:t>
            </w:r>
          </w:p>
        </w:tc>
        <w:tc>
          <w:tcPr>
            <w:tcW w:w="1107"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97%</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楷体"/>
                <w:kern w:val="0"/>
                <w:sz w:val="21"/>
                <w:szCs w:val="21"/>
                <w:lang w:val="en-US" w:eastAsia="zh-CN" w:bidi="ar-SA"/>
              </w:rPr>
            </w:pPr>
            <w:r>
              <w:rPr>
                <w:rFonts w:hint="eastAsia" w:ascii="仿宋" w:hAnsi="仿宋" w:eastAsia="仿宋" w:cs="楷体"/>
                <w:kern w:val="0"/>
                <w:szCs w:val="21"/>
              </w:rPr>
              <w:t>按计划进行</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楷体"/>
                <w:kern w:val="0"/>
                <w:sz w:val="21"/>
                <w:szCs w:val="21"/>
                <w:lang w:val="en-US" w:eastAsia="zh-CN" w:bidi="ar-SA"/>
              </w:rPr>
            </w:pPr>
            <w:r>
              <w:rPr>
                <w:rFonts w:hint="eastAsia" w:ascii="仿宋" w:hAnsi="仿宋" w:eastAsia="仿宋" w:cs="楷体"/>
                <w:kern w:val="0"/>
                <w:szCs w:val="21"/>
              </w:rPr>
              <w:t>2021年</w:t>
            </w:r>
          </w:p>
        </w:tc>
        <w:tc>
          <w:tcPr>
            <w:tcW w:w="1107"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楷体"/>
                <w:kern w:val="0"/>
                <w:sz w:val="21"/>
                <w:szCs w:val="21"/>
                <w:lang w:val="en-US" w:eastAsia="zh-CN" w:bidi="ar-SA"/>
              </w:rPr>
            </w:pPr>
            <w:r>
              <w:rPr>
                <w:rFonts w:hint="eastAsia" w:ascii="仿宋" w:hAnsi="仿宋" w:eastAsia="仿宋" w:cs="楷体"/>
                <w:kern w:val="0"/>
                <w:szCs w:val="21"/>
              </w:rPr>
              <w:t>2021年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楷体"/>
                <w:kern w:val="0"/>
                <w:sz w:val="21"/>
                <w:szCs w:val="21"/>
                <w:lang w:val="en-US" w:eastAsia="zh-CN" w:bidi="ar-SA"/>
              </w:rPr>
            </w:pPr>
            <w:r>
              <w:rPr>
                <w:rFonts w:hint="eastAsia" w:ascii="仿宋" w:hAnsi="仿宋" w:eastAsia="仿宋" w:cs="楷体"/>
                <w:kern w:val="0"/>
                <w:szCs w:val="21"/>
              </w:rPr>
              <w:t>总成本</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楷体"/>
                <w:kern w:val="0"/>
                <w:sz w:val="21"/>
                <w:szCs w:val="21"/>
                <w:lang w:val="en-US" w:eastAsia="zh-CN" w:bidi="ar-SA"/>
              </w:rPr>
            </w:pPr>
            <w:r>
              <w:rPr>
                <w:rFonts w:hint="eastAsia" w:ascii="仿宋" w:hAnsi="仿宋" w:eastAsia="仿宋" w:cs="楷体"/>
                <w:kern w:val="0"/>
                <w:szCs w:val="21"/>
              </w:rPr>
              <w:t>60万</w:t>
            </w:r>
          </w:p>
        </w:tc>
        <w:tc>
          <w:tcPr>
            <w:tcW w:w="1107"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楷体"/>
                <w:kern w:val="0"/>
                <w:sz w:val="21"/>
                <w:szCs w:val="21"/>
                <w:lang w:val="en-US" w:eastAsia="zh-CN" w:bidi="ar-SA"/>
              </w:rPr>
            </w:pPr>
            <w:r>
              <w:rPr>
                <w:rFonts w:hint="eastAsia" w:ascii="仿宋" w:hAnsi="仿宋" w:eastAsia="仿宋" w:cs="楷体"/>
                <w:kern w:val="0"/>
                <w:szCs w:val="21"/>
              </w:rPr>
              <w:t>60万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kern w:val="0"/>
                <w:szCs w:val="21"/>
              </w:rPr>
              <w:t>确保经济平稳发展</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kern w:val="0"/>
                <w:szCs w:val="21"/>
              </w:rPr>
              <w:t>运力提升</w:t>
            </w:r>
          </w:p>
        </w:tc>
        <w:tc>
          <w:tcPr>
            <w:tcW w:w="1107"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s="Times New Roman"/>
                <w:color w:val="000000"/>
                <w:kern w:val="0"/>
                <w:sz w:val="21"/>
                <w:szCs w:val="21"/>
                <w:lang w:val="en-US" w:eastAsia="zh-CN" w:bidi="ar-SA"/>
              </w:rPr>
            </w:pPr>
            <w:r>
              <w:rPr>
                <w:rFonts w:hint="eastAsia" w:ascii="仿宋" w:hAnsi="仿宋" w:eastAsia="仿宋"/>
                <w:kern w:val="0"/>
                <w:szCs w:val="21"/>
              </w:rPr>
              <w:t>运力提升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kern w:val="0"/>
                <w:szCs w:val="21"/>
              </w:rPr>
              <w:t>行业稳定</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kern w:val="0"/>
                <w:szCs w:val="21"/>
              </w:rPr>
              <w:t>96%</w:t>
            </w:r>
          </w:p>
        </w:tc>
        <w:tc>
          <w:tcPr>
            <w:tcW w:w="1107"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s="Times New Roman"/>
                <w:color w:val="000000"/>
                <w:kern w:val="0"/>
                <w:sz w:val="21"/>
                <w:szCs w:val="21"/>
                <w:lang w:val="en-US" w:eastAsia="zh-CN" w:bidi="ar-SA"/>
              </w:rPr>
            </w:pPr>
            <w:r>
              <w:rPr>
                <w:rFonts w:hint="eastAsia" w:ascii="仿宋" w:hAnsi="仿宋" w:eastAsia="仿宋"/>
                <w:kern w:val="0"/>
                <w:szCs w:val="21"/>
              </w:rPr>
              <w:t>96%</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kern w:val="0"/>
                <w:szCs w:val="21"/>
              </w:rPr>
              <w:t>环境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kern w:val="0"/>
                <w:szCs w:val="21"/>
              </w:rPr>
              <w:t>污染率逐年降低</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s="Times New Roman"/>
                <w:color w:val="000000"/>
                <w:kern w:val="0"/>
                <w:sz w:val="21"/>
                <w:szCs w:val="21"/>
                <w:lang w:val="en-US" w:eastAsia="zh-CN" w:bidi="ar-SA"/>
              </w:rPr>
            </w:pPr>
            <w:r>
              <w:rPr>
                <w:rFonts w:hint="eastAsia" w:ascii="仿宋" w:hAnsi="仿宋" w:eastAsia="仿宋"/>
                <w:kern w:val="0"/>
                <w:szCs w:val="21"/>
              </w:rPr>
              <w:t>污染率逐年降低</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hint="eastAsia" w:ascii="仿宋" w:hAnsi="仿宋" w:eastAsia="仿宋"/>
                <w:kern w:val="0"/>
                <w:szCs w:val="21"/>
              </w:rPr>
              <w:t>保障能力</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hint="eastAsia" w:ascii="仿宋" w:hAnsi="仿宋" w:eastAsia="仿宋"/>
                <w:kern w:val="0"/>
                <w:szCs w:val="21"/>
              </w:rPr>
              <w:t>逐年提升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hint="eastAsia" w:ascii="仿宋" w:hAnsi="仿宋" w:eastAsia="仿宋"/>
                <w:kern w:val="0"/>
                <w:szCs w:val="21"/>
              </w:rPr>
              <w:t>逐年提升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楷体"/>
                <w:kern w:val="0"/>
                <w:sz w:val="21"/>
                <w:szCs w:val="21"/>
                <w:lang w:val="en-US" w:eastAsia="zh-CN" w:bidi="ar-SA"/>
              </w:rPr>
            </w:pPr>
            <w:r>
              <w:rPr>
                <w:rFonts w:hint="eastAsia" w:ascii="仿宋" w:hAnsi="仿宋" w:eastAsia="仿宋" w:cs="楷体"/>
                <w:kern w:val="0"/>
                <w:szCs w:val="21"/>
              </w:rPr>
              <w:t>公众满意度</w:t>
            </w:r>
          </w:p>
        </w:tc>
        <w:tc>
          <w:tcPr>
            <w:tcW w:w="1230" w:type="dxa"/>
            <w:tcBorders>
              <w:top w:val="nil"/>
              <w:left w:val="nil"/>
              <w:bottom w:val="single" w:color="auto" w:sz="4" w:space="0"/>
              <w:right w:val="single" w:color="auto" w:sz="4" w:space="0"/>
            </w:tcBorders>
            <w:shd w:val="clear" w:color="auto" w:fill="auto"/>
            <w:noWrap/>
            <w:vAlign w:val="top"/>
          </w:tcPr>
          <w:p>
            <w:pPr>
              <w:widowControl/>
              <w:spacing w:line="280" w:lineRule="exact"/>
              <w:ind w:firstLine="210" w:firstLineChars="100"/>
              <w:rPr>
                <w:rFonts w:hint="eastAsia" w:ascii="仿宋" w:hAnsi="仿宋" w:eastAsia="仿宋" w:cs="楷体"/>
                <w:kern w:val="0"/>
                <w:sz w:val="21"/>
                <w:szCs w:val="21"/>
                <w:lang w:val="en-US" w:eastAsia="zh-CN" w:bidi="ar-SA"/>
              </w:rPr>
            </w:pPr>
            <w:r>
              <w:rPr>
                <w:rFonts w:hint="eastAsia" w:ascii="仿宋" w:hAnsi="仿宋" w:eastAsia="仿宋" w:cs="楷体"/>
                <w:kern w:val="0"/>
                <w:szCs w:val="21"/>
              </w:rPr>
              <w:t>94%</w:t>
            </w:r>
          </w:p>
        </w:tc>
        <w:tc>
          <w:tcPr>
            <w:tcW w:w="1107" w:type="dxa"/>
            <w:tcBorders>
              <w:top w:val="nil"/>
              <w:left w:val="nil"/>
              <w:bottom w:val="single" w:color="auto" w:sz="4" w:space="0"/>
              <w:right w:val="single" w:color="auto" w:sz="4" w:space="0"/>
            </w:tcBorders>
            <w:shd w:val="clear" w:color="auto" w:fill="auto"/>
            <w:noWrap/>
            <w:vAlign w:val="top"/>
          </w:tcPr>
          <w:p>
            <w:pPr>
              <w:widowControl/>
              <w:spacing w:line="280" w:lineRule="exact"/>
              <w:ind w:firstLine="210" w:firstLineChars="100"/>
              <w:rPr>
                <w:rFonts w:hint="eastAsia" w:ascii="仿宋" w:hAnsi="仿宋" w:eastAsia="仿宋" w:cs="楷体"/>
                <w:kern w:val="0"/>
                <w:sz w:val="21"/>
                <w:szCs w:val="21"/>
                <w:lang w:val="en-US" w:eastAsia="zh-CN" w:bidi="ar-SA"/>
              </w:rPr>
            </w:pPr>
            <w:r>
              <w:rPr>
                <w:rFonts w:hint="eastAsia" w:ascii="仿宋" w:hAnsi="仿宋" w:eastAsia="仿宋" w:cs="楷体"/>
                <w:kern w:val="0"/>
                <w:szCs w:val="21"/>
              </w:rPr>
              <w:t>94%</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96</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仿宋_GB2312"/>
          <w:sz w:val="24"/>
        </w:rPr>
      </w:pPr>
      <w:r>
        <w:rPr>
          <w:rFonts w:ascii="Times New Roman" w:hAnsi="Times New Roman" w:eastAsia="仿宋_GB2312"/>
          <w:sz w:val="24"/>
        </w:rPr>
        <w:t>填表人：        填报日期：        联系电话：     单位负责人签字：</w:t>
      </w:r>
    </w:p>
    <w:p/>
    <w:tbl>
      <w:tblPr>
        <w:tblStyle w:val="9"/>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安全生产监管</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衡阳市交通运输局安全科</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楷体" w:hAnsi="楷体" w:eastAsia="楷体" w:cs="楷体"/>
                <w:kern w:val="0"/>
                <w:szCs w:val="21"/>
              </w:rPr>
              <w:t>根据国务院安全生产党政同责和湖南省“一岗双责”等文件精神，落实安全生产监督管理责任，努力开展应急演练、安全生产隐患排查治理等一系列活动.</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全市交通运输</w:t>
            </w:r>
            <w:r>
              <w:rPr>
                <w:rFonts w:hint="eastAsia" w:ascii="Times New Roman" w:hAnsi="Times New Roman" w:eastAsia="仿宋_GB2312"/>
                <w:color w:val="000000"/>
                <w:kern w:val="0"/>
                <w:szCs w:val="21"/>
                <w:lang w:val="en-US" w:eastAsia="zh-CN"/>
              </w:rPr>
              <w:t>行业</w:t>
            </w:r>
            <w:r>
              <w:rPr>
                <w:rFonts w:hint="eastAsia" w:ascii="Times New Roman" w:hAnsi="Times New Roman" w:eastAsia="仿宋_GB2312"/>
                <w:color w:val="000000"/>
                <w:kern w:val="0"/>
                <w:szCs w:val="21"/>
              </w:rPr>
              <w:t>安全生产形势持续稳定向好。</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1.检查“两客一危”企业。</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2.站场。</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3.发现隐患。</w:t>
            </w:r>
          </w:p>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rPr>
              <w:t>4.下达整改通知书。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1.27家</w:t>
            </w:r>
          </w:p>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2.4个。</w:t>
            </w:r>
          </w:p>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w:t>
            </w:r>
            <w:r>
              <w:rPr>
                <w:rFonts w:hint="default" w:ascii="Times New Roman" w:hAnsi="Times New Roman" w:eastAsia="仿宋_GB2312"/>
                <w:color w:val="000000"/>
                <w:kern w:val="0"/>
                <w:szCs w:val="21"/>
                <w:lang w:val="en" w:eastAsia="zh-CN"/>
              </w:rPr>
              <w:t>623</w:t>
            </w:r>
            <w:r>
              <w:rPr>
                <w:rFonts w:hint="eastAsia" w:ascii="Times New Roman" w:hAnsi="Times New Roman" w:eastAsia="仿宋_GB2312"/>
                <w:color w:val="000000"/>
                <w:kern w:val="0"/>
                <w:szCs w:val="21"/>
                <w:lang w:val="en-US" w:eastAsia="zh-CN"/>
              </w:rPr>
              <w:t>个。</w:t>
            </w:r>
          </w:p>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4.</w:t>
            </w:r>
            <w:r>
              <w:rPr>
                <w:rFonts w:hint="default" w:ascii="Times New Roman" w:hAnsi="Times New Roman" w:eastAsia="仿宋_GB2312"/>
                <w:color w:val="000000"/>
                <w:kern w:val="0"/>
                <w:szCs w:val="21"/>
                <w:lang w:val="en" w:eastAsia="zh-CN"/>
              </w:rPr>
              <w:t>5</w:t>
            </w:r>
            <w:r>
              <w:rPr>
                <w:rFonts w:hint="eastAsia" w:ascii="Times New Roman" w:hAnsi="Times New Roman" w:eastAsia="仿宋_GB2312"/>
                <w:color w:val="000000"/>
                <w:kern w:val="0"/>
                <w:szCs w:val="21"/>
                <w:lang w:val="en-US" w:eastAsia="zh-CN"/>
              </w:rPr>
              <w:t>份。</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 w:eastAsia="zh-CN"/>
              </w:rPr>
            </w:pPr>
            <w:r>
              <w:rPr>
                <w:rFonts w:hint="default" w:ascii="Times New Roman" w:hAnsi="Times New Roman" w:eastAsia="仿宋_GB2312"/>
                <w:color w:val="000000"/>
                <w:kern w:val="0"/>
                <w:szCs w:val="21"/>
                <w:lang w:val="en" w:eastAsia="zh-CN"/>
              </w:rPr>
              <w:t>1.31家。</w:t>
            </w:r>
          </w:p>
          <w:p>
            <w:pPr>
              <w:widowControl/>
              <w:jc w:val="left"/>
              <w:rPr>
                <w:rFonts w:hint="default" w:ascii="Times New Roman" w:hAnsi="Times New Roman" w:eastAsia="仿宋_GB2312"/>
                <w:color w:val="000000"/>
                <w:kern w:val="0"/>
                <w:szCs w:val="21"/>
                <w:lang w:val="en" w:eastAsia="zh-CN"/>
              </w:rPr>
            </w:pPr>
            <w:r>
              <w:rPr>
                <w:rFonts w:hint="default" w:ascii="Times New Roman" w:hAnsi="Times New Roman" w:eastAsia="仿宋_GB2312"/>
                <w:color w:val="000000"/>
                <w:kern w:val="0"/>
                <w:szCs w:val="21"/>
                <w:lang w:val="en" w:eastAsia="zh-CN"/>
              </w:rPr>
              <w:t>2.15个。</w:t>
            </w:r>
          </w:p>
          <w:p>
            <w:pPr>
              <w:widowControl/>
              <w:jc w:val="left"/>
              <w:rPr>
                <w:rFonts w:hint="default" w:ascii="Times New Roman" w:hAnsi="Times New Roman" w:eastAsia="仿宋_GB2312"/>
                <w:color w:val="000000"/>
                <w:kern w:val="0"/>
                <w:szCs w:val="21"/>
                <w:lang w:val="en" w:eastAsia="zh-CN"/>
              </w:rPr>
            </w:pPr>
            <w:r>
              <w:rPr>
                <w:rFonts w:hint="default" w:ascii="Times New Roman" w:hAnsi="Times New Roman" w:eastAsia="仿宋_GB2312"/>
                <w:color w:val="000000"/>
                <w:kern w:val="0"/>
                <w:szCs w:val="21"/>
                <w:lang w:val="en" w:eastAsia="zh-CN"/>
              </w:rPr>
              <w:t>3. 961个。</w:t>
            </w:r>
          </w:p>
          <w:p>
            <w:pPr>
              <w:widowControl/>
              <w:jc w:val="left"/>
              <w:rPr>
                <w:rFonts w:hint="default" w:ascii="Times New Roman" w:hAnsi="Times New Roman" w:eastAsia="仿宋_GB2312"/>
                <w:color w:val="000000"/>
                <w:kern w:val="0"/>
                <w:szCs w:val="21"/>
                <w:lang w:val="en" w:eastAsia="zh-CN"/>
              </w:rPr>
            </w:pPr>
            <w:r>
              <w:rPr>
                <w:rFonts w:hint="default" w:ascii="Times New Roman" w:hAnsi="Times New Roman" w:eastAsia="仿宋_GB2312"/>
                <w:color w:val="000000"/>
                <w:kern w:val="0"/>
                <w:szCs w:val="21"/>
                <w:lang w:val="en" w:eastAsia="zh-CN"/>
              </w:rPr>
              <w:t xml:space="preserve">4. 13份。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安全形势</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平稳</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 w:eastAsia="zh-CN"/>
              </w:rPr>
            </w:pPr>
            <w:r>
              <w:rPr>
                <w:rFonts w:hint="default" w:ascii="Times New Roman" w:hAnsi="Times New Roman" w:eastAsia="仿宋_GB2312"/>
                <w:color w:val="000000"/>
                <w:kern w:val="0"/>
                <w:szCs w:val="21"/>
                <w:lang w:val="en" w:eastAsia="zh-CN"/>
              </w:rPr>
              <w:t>平稳</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rPr>
              <w:t>按计划进行</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2021年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 w:eastAsia="zh-CN"/>
              </w:rPr>
            </w:pPr>
            <w:r>
              <w:rPr>
                <w:rFonts w:hint="default" w:ascii="Times New Roman" w:hAnsi="Times New Roman" w:eastAsia="仿宋_GB2312"/>
                <w:color w:val="000000"/>
                <w:kern w:val="0"/>
                <w:szCs w:val="21"/>
                <w:lang w:val="en" w:eastAsia="zh-CN"/>
              </w:rPr>
              <w:t>2021年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总成</w:t>
            </w:r>
            <w:r>
              <w:rPr>
                <w:rFonts w:hint="eastAsia" w:ascii="Times New Roman" w:hAnsi="Times New Roman" w:eastAsia="仿宋_GB2312"/>
                <w:color w:val="000000"/>
                <w:kern w:val="0"/>
                <w:szCs w:val="21"/>
                <w:lang w:eastAsia="zh-CN"/>
              </w:rPr>
              <w:t>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 w:eastAsia="zh-CN"/>
              </w:rPr>
            </w:pPr>
            <w:r>
              <w:rPr>
                <w:rFonts w:hint="default" w:ascii="Times New Roman" w:hAnsi="Times New Roman" w:eastAsia="仿宋_GB2312"/>
                <w:color w:val="000000"/>
                <w:kern w:val="0"/>
                <w:szCs w:val="21"/>
                <w:lang w:val="en" w:eastAsia="zh-CN"/>
              </w:rPr>
              <w:t>60万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安全平稳</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安全平稳</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 w:eastAsia="zh-CN"/>
              </w:rPr>
            </w:pPr>
            <w:r>
              <w:rPr>
                <w:rFonts w:hint="default" w:ascii="Times New Roman" w:hAnsi="Times New Roman" w:eastAsia="仿宋_GB2312"/>
                <w:color w:val="000000"/>
                <w:kern w:val="0"/>
                <w:szCs w:val="21"/>
                <w:lang w:val="en"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安全事故低</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平稳运行</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降低事故率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减少对周边环境污染。</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仿宋" w:hAnsi="仿宋" w:eastAsia="仿宋"/>
                <w:kern w:val="0"/>
                <w:szCs w:val="21"/>
              </w:rPr>
              <w:t>减少</w:t>
            </w:r>
            <w:r>
              <w:rPr>
                <w:rFonts w:hint="eastAsia" w:ascii="仿宋" w:hAnsi="仿宋" w:eastAsia="仿宋"/>
                <w:kern w:val="0"/>
                <w:szCs w:val="21"/>
                <w:lang w:eastAsia="zh-CN"/>
              </w:rPr>
              <w:t>了</w:t>
            </w:r>
            <w:r>
              <w:rPr>
                <w:rFonts w:hint="eastAsia" w:ascii="仿宋" w:hAnsi="仿宋" w:eastAsia="仿宋"/>
                <w:kern w:val="0"/>
                <w:szCs w:val="21"/>
              </w:rPr>
              <w:t>对周边环境污染。</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
              </w:rPr>
            </w:pPr>
            <w:r>
              <w:rPr>
                <w:rFonts w:ascii="Times New Roman" w:hAnsi="Times New Roman" w:eastAsia="仿宋_GB2312"/>
                <w:color w:val="000000"/>
                <w:kern w:val="0"/>
                <w:szCs w:val="21"/>
                <w:lang w:val="en"/>
              </w:rPr>
              <w:t>安全稳定</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 w:eastAsia="zh-CN"/>
              </w:rPr>
            </w:pPr>
            <w:r>
              <w:rPr>
                <w:rFonts w:hint="default" w:ascii="Times New Roman" w:hAnsi="Times New Roman" w:eastAsia="仿宋_GB2312"/>
                <w:color w:val="000000"/>
                <w:kern w:val="0"/>
                <w:szCs w:val="21"/>
                <w:lang w:val="en" w:eastAsia="zh-CN"/>
              </w:rPr>
              <w:t>安全稳定</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 w:eastAsia="zh-CN"/>
              </w:rPr>
            </w:pPr>
            <w:r>
              <w:rPr>
                <w:rFonts w:hint="default" w:ascii="Times New Roman" w:hAnsi="Times New Roman" w:eastAsia="仿宋_GB2312"/>
                <w:color w:val="000000"/>
                <w:kern w:val="0"/>
                <w:szCs w:val="21"/>
                <w:lang w:val="en" w:eastAsia="zh-CN"/>
              </w:rPr>
              <w:t>100%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仿宋_GB2312"/>
          <w:sz w:val="24"/>
        </w:rPr>
      </w:pPr>
      <w:r>
        <w:rPr>
          <w:rFonts w:ascii="Times New Roman" w:hAnsi="Times New Roman" w:eastAsia="仿宋_GB2312"/>
          <w:sz w:val="24"/>
        </w:rPr>
        <w:t>填表人：        填报日期：        联系电话：     单位负责人签字：</w:t>
      </w:r>
    </w:p>
    <w:p/>
    <w:tbl>
      <w:tblPr>
        <w:tblStyle w:val="9"/>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第三方安全生产检查技术服务</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衡阳市交通运输局安全科</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default" w:ascii="Times New Roman" w:hAnsi="Times New Roman" w:eastAsia="仿宋_GB2312"/>
                <w:color w:val="000000"/>
                <w:kern w:val="0"/>
                <w:szCs w:val="21"/>
                <w:lang w:val="en" w:eastAsia="zh-CN"/>
              </w:rPr>
              <w:t>10</w:t>
            </w:r>
            <w:r>
              <w:rPr>
                <w:rFonts w:hint="eastAsia" w:ascii="Times New Roman" w:hAnsi="Times New Roman" w:eastAsia="仿宋_GB2312"/>
                <w:color w:val="000000"/>
                <w:kern w:val="0"/>
                <w:szCs w:val="21"/>
                <w:lang w:val="en-US" w:eastAsia="zh-CN"/>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default" w:ascii="Times New Roman" w:hAnsi="Times New Roman" w:eastAsia="仿宋_GB2312"/>
                <w:color w:val="000000"/>
                <w:kern w:val="0"/>
                <w:szCs w:val="21"/>
                <w:lang w:val="en" w:eastAsia="zh-CN"/>
              </w:rPr>
              <w:t>10</w:t>
            </w:r>
            <w:r>
              <w:rPr>
                <w:rFonts w:hint="eastAsia" w:ascii="Times New Roman" w:hAnsi="Times New Roman" w:eastAsia="仿宋_GB2312"/>
                <w:color w:val="000000"/>
                <w:kern w:val="0"/>
                <w:szCs w:val="21"/>
                <w:lang w:val="en-US" w:eastAsia="zh-CN"/>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default" w:ascii="Times New Roman" w:hAnsi="Times New Roman" w:eastAsia="仿宋_GB2312"/>
                <w:color w:val="000000"/>
                <w:kern w:val="0"/>
                <w:szCs w:val="21"/>
                <w:lang w:val="en" w:eastAsia="zh-CN"/>
              </w:rPr>
              <w:t>10</w:t>
            </w:r>
            <w:r>
              <w:rPr>
                <w:rFonts w:hint="eastAsia" w:ascii="Times New Roman" w:hAnsi="Times New Roman" w:eastAsia="仿宋_GB2312"/>
                <w:color w:val="000000"/>
                <w:kern w:val="0"/>
                <w:szCs w:val="21"/>
                <w:lang w:val="en-US" w:eastAsia="zh-CN"/>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default" w:ascii="Times New Roman" w:hAnsi="Times New Roman" w:eastAsia="仿宋_GB2312"/>
                <w:color w:val="000000"/>
                <w:kern w:val="0"/>
                <w:szCs w:val="21"/>
                <w:lang w:val="en" w:eastAsia="zh-CN"/>
              </w:rPr>
              <w:t>10</w:t>
            </w:r>
            <w:r>
              <w:rPr>
                <w:rFonts w:hint="eastAsia" w:ascii="Times New Roman" w:hAnsi="Times New Roman" w:eastAsia="仿宋_GB2312"/>
                <w:color w:val="000000"/>
                <w:kern w:val="0"/>
                <w:szCs w:val="21"/>
                <w:lang w:val="en-US" w:eastAsia="zh-CN"/>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default" w:ascii="Times New Roman" w:hAnsi="Times New Roman" w:eastAsia="仿宋_GB2312"/>
                <w:color w:val="000000"/>
                <w:kern w:val="0"/>
                <w:szCs w:val="21"/>
                <w:lang w:val="en" w:eastAsia="zh-CN"/>
              </w:rPr>
              <w:t>10</w:t>
            </w:r>
            <w:r>
              <w:rPr>
                <w:rFonts w:hint="eastAsia" w:ascii="Times New Roman" w:hAnsi="Times New Roman" w:eastAsia="仿宋_GB2312"/>
                <w:color w:val="000000"/>
                <w:kern w:val="0"/>
                <w:szCs w:val="21"/>
                <w:lang w:val="en-US" w:eastAsia="zh-CN"/>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default" w:ascii="Times New Roman" w:hAnsi="Times New Roman" w:eastAsia="仿宋_GB2312"/>
                <w:color w:val="000000"/>
                <w:kern w:val="0"/>
                <w:szCs w:val="21"/>
                <w:lang w:val="en" w:eastAsia="zh-CN"/>
              </w:rPr>
              <w:t>10</w:t>
            </w:r>
            <w:r>
              <w:rPr>
                <w:rFonts w:hint="eastAsia" w:ascii="Times New Roman" w:hAnsi="Times New Roman" w:eastAsia="仿宋_GB2312"/>
                <w:color w:val="000000"/>
                <w:kern w:val="0"/>
                <w:szCs w:val="21"/>
                <w:lang w:val="en-US" w:eastAsia="zh-CN"/>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楷体" w:hAnsi="楷体" w:eastAsia="楷体" w:cs="楷体"/>
                <w:kern w:val="0"/>
                <w:szCs w:val="21"/>
              </w:rPr>
              <w:t>贯彻落实</w:t>
            </w:r>
            <w:r>
              <w:rPr>
                <w:rFonts w:hint="eastAsia" w:ascii="楷体" w:hAnsi="楷体" w:eastAsia="楷体" w:cs="楷体"/>
                <w:kern w:val="0"/>
                <w:szCs w:val="21"/>
                <w:lang w:val="en-US" w:eastAsia="zh-CN"/>
              </w:rPr>
              <w:t>党</w:t>
            </w:r>
            <w:bookmarkStart w:id="0" w:name="_GoBack"/>
            <w:bookmarkEnd w:id="0"/>
            <w:r>
              <w:rPr>
                <w:rFonts w:hint="eastAsia" w:ascii="楷体" w:hAnsi="楷体" w:eastAsia="楷体" w:cs="楷体"/>
                <w:kern w:val="0"/>
                <w:szCs w:val="21"/>
              </w:rPr>
              <w:t>中央、国务院安全生产改革发展相关政策，创新安全监管模式，引入第三方安全监管机构，对市城区55家安全生产重点监管企业开展第三方安全检查服务.</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每季度检查</w:t>
            </w:r>
            <w:r>
              <w:rPr>
                <w:rFonts w:hint="eastAsia" w:ascii="Times New Roman" w:hAnsi="Times New Roman" w:eastAsia="仿宋_GB2312"/>
                <w:color w:val="000000"/>
                <w:kern w:val="0"/>
                <w:szCs w:val="21"/>
                <w:lang w:val="en" w:eastAsia="zh-CN"/>
              </w:rPr>
              <w:t>一次、</w:t>
            </w:r>
            <w:r>
              <w:rPr>
                <w:rFonts w:hint="eastAsia" w:ascii="Times New Roman" w:hAnsi="Times New Roman" w:eastAsia="仿宋_GB2312"/>
                <w:color w:val="000000"/>
                <w:kern w:val="0"/>
                <w:szCs w:val="21"/>
                <w:lang w:val="en-US" w:eastAsia="zh-CN"/>
              </w:rPr>
              <w:t>复查一次，全年</w:t>
            </w:r>
            <w:r>
              <w:rPr>
                <w:rFonts w:hint="eastAsia" w:ascii="Times New Roman" w:hAnsi="Times New Roman" w:eastAsia="仿宋_GB2312"/>
                <w:color w:val="000000"/>
                <w:kern w:val="0"/>
                <w:szCs w:val="21"/>
                <w:lang w:val="en" w:eastAsia="zh-CN"/>
              </w:rPr>
              <w:t>共</w:t>
            </w:r>
            <w:r>
              <w:rPr>
                <w:rFonts w:hint="eastAsia" w:ascii="Times New Roman" w:hAnsi="Times New Roman" w:eastAsia="仿宋_GB2312"/>
                <w:color w:val="000000"/>
                <w:kern w:val="0"/>
                <w:szCs w:val="21"/>
                <w:lang w:val="en-US" w:eastAsia="zh-CN"/>
              </w:rPr>
              <w:t>排查整治隐患900余项。出台了《重点监管企业安全管理规定》，将5家企业列入“重点监管”名单</w:t>
            </w:r>
            <w:r>
              <w:rPr>
                <w:rFonts w:hint="eastAsia" w:ascii="Times New Roman" w:hAnsi="Times New Roman" w:eastAsia="仿宋_GB2312"/>
                <w:color w:val="000000"/>
                <w:kern w:val="0"/>
                <w:szCs w:val="21"/>
              </w:rPr>
              <w:t>。</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rPr>
              <w:t>聘请“第三方”对市属交通运输企业全面开展安全检查，排查整治安全隐患。</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每季度检查一次、复查一次</w:t>
            </w:r>
            <w:r>
              <w:rPr>
                <w:rFonts w:hint="default" w:ascii="Times New Roman" w:hAnsi="Times New Roman" w:eastAsia="仿宋_GB2312" w:cs="Times New Roman"/>
                <w:color w:val="000000"/>
                <w:kern w:val="0"/>
                <w:sz w:val="21"/>
                <w:szCs w:val="21"/>
                <w:lang w:val="en" w:eastAsia="zh-CN" w:bidi="ar-SA"/>
              </w:rPr>
              <w:t>，全面</w:t>
            </w:r>
            <w:r>
              <w:rPr>
                <w:rFonts w:hint="default" w:ascii="Times New Roman" w:hAnsi="Times New Roman" w:eastAsia="仿宋_GB2312" w:cs="Times New Roman"/>
                <w:color w:val="000000"/>
                <w:kern w:val="0"/>
                <w:sz w:val="21"/>
                <w:szCs w:val="21"/>
                <w:lang w:val="en-US" w:eastAsia="zh-CN" w:bidi="ar-SA"/>
              </w:rPr>
              <w:t>排查整治隐患</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default" w:ascii="Times New Roman" w:hAnsi="Times New Roman" w:eastAsia="仿宋_GB2312"/>
                <w:color w:val="000000"/>
                <w:kern w:val="0"/>
                <w:szCs w:val="21"/>
                <w:lang w:val="en-US" w:eastAsia="zh-CN"/>
              </w:rPr>
              <w:t>共检查4次，排查整治隐患900余项。将5家企业列入“重点监管”名单</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ascii="仿宋" w:hAnsi="仿宋" w:eastAsia="仿宋"/>
                <w:kern w:val="0"/>
                <w:szCs w:val="21"/>
              </w:rPr>
              <w:t>　</w:t>
            </w:r>
            <w:r>
              <w:rPr>
                <w:rFonts w:hint="eastAsia" w:ascii="仿宋" w:hAnsi="仿宋" w:eastAsia="仿宋"/>
                <w:kern w:val="0"/>
                <w:szCs w:val="21"/>
              </w:rPr>
              <w:t>合格</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eastAsia" w:ascii="Times New Roman" w:hAnsi="Times New Roman" w:eastAsia="仿宋_GB2312"/>
                <w:color w:val="000000"/>
                <w:kern w:val="0"/>
                <w:szCs w:val="21"/>
                <w:lang w:eastAsia="zh-CN"/>
              </w:rPr>
            </w:pPr>
            <w:r>
              <w:rPr>
                <w:rFonts w:ascii="仿宋" w:hAnsi="仿宋" w:eastAsia="仿宋"/>
                <w:kern w:val="0"/>
                <w:szCs w:val="21"/>
              </w:rPr>
              <w:t>　</w:t>
            </w:r>
            <w:r>
              <w:rPr>
                <w:rFonts w:hint="eastAsia" w:ascii="仿宋" w:hAnsi="仿宋" w:eastAsia="仿宋"/>
                <w:kern w:val="0"/>
                <w:szCs w:val="21"/>
              </w:rPr>
              <w:t>96%</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 w:eastAsia="zh-CN"/>
              </w:rPr>
            </w:pPr>
            <w:r>
              <w:rPr>
                <w:rFonts w:ascii="Times New Roman" w:hAnsi="Times New Roman" w:eastAsia="仿宋_GB2312"/>
                <w:color w:val="000000"/>
                <w:kern w:val="0"/>
                <w:szCs w:val="21"/>
              </w:rPr>
              <w:t>　</w:t>
            </w:r>
            <w:r>
              <w:rPr>
                <w:rFonts w:hint="default" w:ascii="Times New Roman" w:hAnsi="Times New Roman" w:eastAsia="仿宋_GB2312"/>
                <w:color w:val="000000"/>
                <w:kern w:val="0"/>
                <w:szCs w:val="21"/>
                <w:lang w:val="en"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按计划进行　</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2021年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2021年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总成</w:t>
            </w:r>
            <w:r>
              <w:rPr>
                <w:rFonts w:hint="eastAsia" w:ascii="Times New Roman" w:hAnsi="Times New Roman" w:eastAsia="仿宋_GB2312"/>
                <w:color w:val="000000"/>
                <w:kern w:val="0"/>
                <w:szCs w:val="21"/>
                <w:lang w:eastAsia="zh-CN"/>
              </w:rPr>
              <w:t>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 w:eastAsia="zh-CN"/>
              </w:rPr>
            </w:pPr>
            <w:r>
              <w:rPr>
                <w:rFonts w:ascii="Times New Roman" w:hAnsi="Times New Roman" w:eastAsia="仿宋_GB2312"/>
                <w:color w:val="000000"/>
                <w:kern w:val="0"/>
                <w:szCs w:val="21"/>
              </w:rPr>
              <w:t>　</w:t>
            </w:r>
            <w:r>
              <w:rPr>
                <w:rFonts w:hint="default" w:ascii="Times New Roman" w:hAnsi="Times New Roman" w:eastAsia="仿宋_GB2312"/>
                <w:color w:val="000000"/>
                <w:kern w:val="0"/>
                <w:szCs w:val="21"/>
                <w:lang w:val="en" w:eastAsia="zh-CN"/>
              </w:rPr>
              <w:t>10</w:t>
            </w:r>
            <w:r>
              <w:rPr>
                <w:rFonts w:hint="eastAsia" w:ascii="Times New Roman" w:hAnsi="Times New Roman" w:eastAsia="仿宋_GB2312"/>
                <w:color w:val="000000"/>
                <w:kern w:val="0"/>
                <w:szCs w:val="21"/>
                <w:lang w:val="en-US" w:eastAsia="zh-CN"/>
              </w:rPr>
              <w:t>0万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default" w:ascii="Times New Roman" w:hAnsi="Times New Roman" w:eastAsia="仿宋_GB2312"/>
                <w:color w:val="000000"/>
                <w:kern w:val="0"/>
                <w:szCs w:val="21"/>
                <w:lang w:val="en"/>
              </w:rPr>
              <w:t>10</w:t>
            </w:r>
            <w:r>
              <w:rPr>
                <w:rFonts w:hint="eastAsia" w:ascii="Times New Roman" w:hAnsi="Times New Roman" w:eastAsia="仿宋_GB2312"/>
                <w:color w:val="000000"/>
                <w:kern w:val="0"/>
                <w:szCs w:val="21"/>
                <w:lang w:val="en-US" w:eastAsia="zh-CN"/>
              </w:rPr>
              <w:t>0万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kern w:val="0"/>
                <w:szCs w:val="21"/>
              </w:rPr>
              <w:t>安全平稳</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eastAsia" w:ascii="Times New Roman" w:hAnsi="Times New Roman" w:eastAsia="仿宋_GB2312"/>
                <w:color w:val="000000"/>
                <w:kern w:val="0"/>
                <w:szCs w:val="21"/>
                <w:lang w:eastAsia="zh-CN"/>
              </w:rPr>
            </w:pPr>
            <w:r>
              <w:rPr>
                <w:rFonts w:ascii="仿宋" w:hAnsi="仿宋" w:eastAsia="仿宋"/>
                <w:kern w:val="0"/>
                <w:szCs w:val="21"/>
              </w:rPr>
              <w:t>　</w:t>
            </w:r>
            <w:r>
              <w:rPr>
                <w:rFonts w:hint="eastAsia" w:ascii="仿宋" w:hAnsi="仿宋" w:eastAsia="仿宋"/>
                <w:kern w:val="0"/>
                <w:szCs w:val="21"/>
              </w:rPr>
              <w:t>96%</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kern w:val="0"/>
                <w:szCs w:val="21"/>
              </w:rPr>
              <w:t>安全平稳</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eastAsia" w:ascii="Times New Roman" w:hAnsi="Times New Roman" w:eastAsia="仿宋_GB2312"/>
                <w:color w:val="000000"/>
                <w:kern w:val="0"/>
                <w:szCs w:val="21"/>
                <w:lang w:eastAsia="zh-CN"/>
              </w:rPr>
            </w:pPr>
            <w:r>
              <w:rPr>
                <w:rFonts w:ascii="仿宋" w:hAnsi="仿宋" w:eastAsia="仿宋"/>
                <w:kern w:val="0"/>
                <w:szCs w:val="21"/>
              </w:rPr>
              <w:t>　</w:t>
            </w:r>
            <w:r>
              <w:rPr>
                <w:rFonts w:hint="eastAsia" w:ascii="仿宋" w:hAnsi="仿宋" w:eastAsia="仿宋"/>
                <w:kern w:val="0"/>
                <w:szCs w:val="21"/>
              </w:rPr>
              <w:t>96%</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Calibri" w:hAnsi="Calibri" w:eastAsia="宋体" w:cs="Times New Roman"/>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p>
        </w:tc>
        <w:tc>
          <w:tcPr>
            <w:tcW w:w="8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污染</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降低97%</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default" w:ascii="Calibri" w:hAnsi="Calibri" w:eastAsia="宋体" w:cs="Times New Roman"/>
                <w:kern w:val="0"/>
                <w:sz w:val="21"/>
                <w:szCs w:val="21"/>
                <w:lang w:val="en-US" w:eastAsia="zh-CN" w:bidi="ar-SA"/>
              </w:rPr>
            </w:pPr>
            <w:r>
              <w:rPr>
                <w:rFonts w:hint="eastAsia" w:ascii="仿宋" w:hAnsi="仿宋" w:eastAsia="仿宋"/>
                <w:kern w:val="0"/>
                <w:szCs w:val="21"/>
              </w:rPr>
              <w:t>降低97%</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kern w:val="0"/>
                <w:szCs w:val="21"/>
              </w:rPr>
              <w:t>安全平稳</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hint="eastAsia" w:ascii="Times New Roman" w:hAnsi="Times New Roman" w:eastAsia="仿宋_GB2312"/>
                <w:color w:val="000000"/>
                <w:kern w:val="0"/>
                <w:szCs w:val="21"/>
                <w:lang w:eastAsia="zh-CN"/>
              </w:rPr>
            </w:pPr>
            <w:r>
              <w:rPr>
                <w:rFonts w:ascii="仿宋" w:hAnsi="仿宋" w:eastAsia="仿宋"/>
                <w:kern w:val="0"/>
                <w:szCs w:val="21"/>
              </w:rPr>
              <w:t>　</w:t>
            </w:r>
            <w:r>
              <w:rPr>
                <w:rFonts w:hint="eastAsia" w:ascii="仿宋" w:hAnsi="仿宋" w:eastAsia="仿宋"/>
                <w:kern w:val="0"/>
                <w:szCs w:val="21"/>
              </w:rPr>
              <w:t>96%</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cs="楷体"/>
                <w:kern w:val="0"/>
                <w:szCs w:val="21"/>
              </w:rPr>
              <w:t>公众满意度</w:t>
            </w:r>
          </w:p>
        </w:tc>
        <w:tc>
          <w:tcPr>
            <w:tcW w:w="1230" w:type="dxa"/>
            <w:tcBorders>
              <w:top w:val="nil"/>
              <w:left w:val="nil"/>
              <w:bottom w:val="single" w:color="auto" w:sz="4" w:space="0"/>
              <w:right w:val="single" w:color="auto" w:sz="4" w:space="0"/>
            </w:tcBorders>
            <w:shd w:val="clear" w:color="auto" w:fill="auto"/>
            <w:noWrap/>
            <w:vAlign w:val="top"/>
          </w:tcPr>
          <w:p>
            <w:pPr>
              <w:widowControl/>
              <w:spacing w:line="280" w:lineRule="exact"/>
              <w:ind w:firstLine="210" w:firstLineChars="100"/>
              <w:rPr>
                <w:rFonts w:hint="eastAsia" w:ascii="Times New Roman" w:hAnsi="Times New Roman" w:eastAsia="仿宋_GB2312"/>
                <w:color w:val="000000"/>
                <w:kern w:val="0"/>
                <w:szCs w:val="21"/>
                <w:lang w:eastAsia="zh-CN"/>
              </w:rPr>
            </w:pPr>
            <w:r>
              <w:rPr>
                <w:rFonts w:hint="eastAsia" w:ascii="仿宋" w:hAnsi="仿宋" w:eastAsia="仿宋" w:cs="楷体"/>
                <w:kern w:val="0"/>
                <w:szCs w:val="21"/>
              </w:rPr>
              <w:t>93%</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 w:eastAsia="zh-CN"/>
              </w:rPr>
            </w:pPr>
            <w:r>
              <w:rPr>
                <w:rFonts w:ascii="Times New Roman" w:hAnsi="Times New Roman" w:eastAsia="仿宋_GB2312"/>
                <w:color w:val="000000"/>
                <w:kern w:val="0"/>
                <w:szCs w:val="21"/>
              </w:rPr>
              <w:t>　</w:t>
            </w:r>
            <w:r>
              <w:rPr>
                <w:rFonts w:hint="default" w:ascii="Times New Roman" w:hAnsi="Times New Roman" w:eastAsia="仿宋_GB2312"/>
                <w:color w:val="000000"/>
                <w:kern w:val="0"/>
                <w:szCs w:val="21"/>
                <w:lang w:val="en" w:eastAsia="zh-CN"/>
              </w:rPr>
              <w:t>93%</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仿宋_GB2312"/>
          <w:sz w:val="24"/>
        </w:rPr>
      </w:pPr>
      <w:r>
        <w:rPr>
          <w:rFonts w:ascii="Times New Roman" w:hAnsi="Times New Roman" w:eastAsia="仿宋_GB2312"/>
          <w:sz w:val="24"/>
        </w:rPr>
        <w:t>填表人：        填报日期：        联系电话：     单位负责人签字：</w:t>
      </w:r>
    </w:p>
    <w:p/>
    <w:tbl>
      <w:tblPr>
        <w:tblStyle w:val="9"/>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交通行业安全监管</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衡阳市交通运输局安全科</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楷体" w:hAnsi="楷体" w:eastAsia="楷体" w:cs="楷体"/>
                <w:kern w:val="0"/>
                <w:szCs w:val="21"/>
              </w:rPr>
              <w:t>落实安全生产监督管理责任，大力开展安全生产教育和培训，不断提高从业人员安全素质和管理水平.</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全市交通运输</w:t>
            </w:r>
            <w:r>
              <w:rPr>
                <w:rFonts w:hint="eastAsia" w:ascii="Times New Roman" w:hAnsi="Times New Roman" w:eastAsia="仿宋_GB2312"/>
                <w:color w:val="000000"/>
                <w:kern w:val="0"/>
                <w:szCs w:val="21"/>
                <w:lang w:val="en-US" w:eastAsia="zh-CN"/>
              </w:rPr>
              <w:t>行业</w:t>
            </w:r>
            <w:r>
              <w:rPr>
                <w:rFonts w:hint="eastAsia" w:ascii="Times New Roman" w:hAnsi="Times New Roman" w:eastAsia="仿宋_GB2312"/>
                <w:color w:val="000000"/>
                <w:kern w:val="0"/>
                <w:szCs w:val="21"/>
              </w:rPr>
              <w:t>安全生产形势持续稳定向好。</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rPr>
              <w:t>全市道路运输行业开展“隐患清零”行动。</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 w:eastAsia="zh-CN" w:bidi="ar-SA"/>
              </w:rPr>
            </w:pPr>
            <w:r>
              <w:rPr>
                <w:rFonts w:hint="eastAsia" w:ascii="Times New Roman" w:hAnsi="Times New Roman" w:eastAsia="仿宋_GB2312"/>
                <w:color w:val="000000"/>
                <w:kern w:val="0"/>
                <w:szCs w:val="21"/>
                <w:lang w:val="en-US" w:eastAsia="zh-CN"/>
              </w:rPr>
              <w:t>开展4次</w:t>
            </w:r>
            <w:r>
              <w:rPr>
                <w:rFonts w:hint="default" w:ascii="Times New Roman" w:hAnsi="Times New Roman" w:eastAsia="仿宋_GB2312"/>
                <w:color w:val="000000"/>
                <w:kern w:val="0"/>
                <w:szCs w:val="21"/>
                <w:lang w:val="en" w:eastAsia="zh-CN"/>
              </w:rPr>
              <w:t>隐患清零督查</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default" w:ascii="Times New Roman" w:hAnsi="Times New Roman" w:eastAsia="仿宋_GB2312"/>
                <w:color w:val="000000"/>
                <w:kern w:val="0"/>
                <w:szCs w:val="21"/>
                <w:lang w:val="en-US" w:eastAsia="zh-CN"/>
              </w:rPr>
              <w:t>开展4次隐患清零督查</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ascii="仿宋" w:hAnsi="仿宋" w:eastAsia="仿宋"/>
                <w:kern w:val="0"/>
                <w:szCs w:val="21"/>
              </w:rPr>
              <w:t>　</w:t>
            </w:r>
            <w:r>
              <w:rPr>
                <w:rFonts w:hint="eastAsia" w:ascii="仿宋" w:hAnsi="仿宋" w:eastAsia="仿宋"/>
                <w:kern w:val="0"/>
                <w:szCs w:val="21"/>
              </w:rPr>
              <w:t>合格</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eastAsia" w:ascii="Times New Roman" w:hAnsi="Times New Roman" w:eastAsia="仿宋_GB2312"/>
                <w:color w:val="000000"/>
                <w:kern w:val="0"/>
                <w:szCs w:val="21"/>
                <w:lang w:eastAsia="zh-CN"/>
              </w:rPr>
            </w:pPr>
            <w:r>
              <w:rPr>
                <w:rFonts w:hint="eastAsia" w:ascii="仿宋" w:hAnsi="仿宋" w:eastAsia="仿宋"/>
                <w:kern w:val="0"/>
                <w:szCs w:val="21"/>
              </w:rPr>
              <w:t>95%</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 w:eastAsia="zh-CN"/>
              </w:rPr>
            </w:pPr>
            <w:r>
              <w:rPr>
                <w:rFonts w:ascii="Times New Roman" w:hAnsi="Times New Roman" w:eastAsia="仿宋_GB2312"/>
                <w:color w:val="000000"/>
                <w:kern w:val="0"/>
                <w:szCs w:val="21"/>
              </w:rPr>
              <w:t>　</w:t>
            </w:r>
            <w:r>
              <w:rPr>
                <w:rFonts w:hint="default" w:ascii="Times New Roman" w:hAnsi="Times New Roman" w:eastAsia="仿宋_GB2312"/>
                <w:color w:val="000000"/>
                <w:kern w:val="0"/>
                <w:szCs w:val="21"/>
                <w:lang w:val="en" w:eastAsia="zh-CN"/>
              </w:rPr>
              <w:t>95%</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cs="楷体"/>
                <w:kern w:val="0"/>
                <w:szCs w:val="21"/>
              </w:rPr>
              <w:t>按计划进行　</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Times New Roman" w:hAnsi="Times New Roman" w:eastAsia="仿宋_GB2312"/>
                <w:color w:val="000000"/>
                <w:kern w:val="0"/>
                <w:szCs w:val="21"/>
              </w:rPr>
            </w:pPr>
            <w:r>
              <w:rPr>
                <w:rFonts w:hint="eastAsia" w:ascii="仿宋" w:hAnsi="仿宋" w:eastAsia="仿宋" w:cs="楷体"/>
                <w:kern w:val="0"/>
                <w:szCs w:val="21"/>
              </w:rPr>
              <w:t>2021年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2021年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总成</w:t>
            </w:r>
            <w:r>
              <w:rPr>
                <w:rFonts w:hint="eastAsia" w:ascii="Times New Roman" w:hAnsi="Times New Roman" w:eastAsia="仿宋_GB2312"/>
                <w:color w:val="000000"/>
                <w:kern w:val="0"/>
                <w:szCs w:val="21"/>
                <w:lang w:eastAsia="zh-CN"/>
              </w:rPr>
              <w:t>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
              </w:rPr>
            </w:pPr>
            <w:r>
              <w:rPr>
                <w:rFonts w:ascii="Times New Roman" w:hAnsi="Times New Roman" w:eastAsia="仿宋_GB2312"/>
                <w:color w:val="000000"/>
                <w:kern w:val="0"/>
                <w:szCs w:val="21"/>
                <w:lang w:val="en"/>
              </w:rPr>
              <w:t>安全稳定</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 w:eastAsia="zh-CN"/>
              </w:rPr>
            </w:pPr>
            <w:r>
              <w:rPr>
                <w:rFonts w:hint="eastAsia" w:ascii="Times New Roman" w:hAnsi="Times New Roman" w:eastAsia="仿宋_GB2312"/>
                <w:color w:val="000000"/>
                <w:kern w:val="0"/>
                <w:szCs w:val="21"/>
                <w:lang w:eastAsia="zh-CN"/>
              </w:rPr>
              <w:t>安全</w:t>
            </w:r>
            <w:r>
              <w:rPr>
                <w:rFonts w:hint="default" w:ascii="Times New Roman" w:hAnsi="Times New Roman" w:eastAsia="仿宋_GB2312"/>
                <w:color w:val="000000"/>
                <w:kern w:val="0"/>
                <w:szCs w:val="21"/>
                <w:lang w:val="en" w:eastAsia="zh-CN"/>
              </w:rPr>
              <w:t>稳定</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lang w:val="en"/>
              </w:rPr>
              <w:t>安全稳定</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安全</w:t>
            </w:r>
            <w:r>
              <w:rPr>
                <w:rFonts w:hint="default" w:ascii="Times New Roman" w:hAnsi="Times New Roman" w:eastAsia="仿宋_GB2312"/>
                <w:color w:val="000000"/>
                <w:kern w:val="0"/>
                <w:szCs w:val="21"/>
                <w:lang w:val="en" w:eastAsia="zh-CN"/>
              </w:rPr>
              <w:t>稳定</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p>
        </w:tc>
        <w:tc>
          <w:tcPr>
            <w:tcW w:w="8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污染</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Times New Roman"/>
                <w:kern w:val="0"/>
                <w:sz w:val="21"/>
                <w:szCs w:val="21"/>
                <w:lang w:val="en-US" w:eastAsia="zh-CN" w:bidi="ar-SA"/>
              </w:rPr>
            </w:pPr>
            <w:r>
              <w:rPr>
                <w:rFonts w:hint="eastAsia" w:ascii="仿宋" w:hAnsi="仿宋" w:eastAsia="仿宋"/>
                <w:kern w:val="0"/>
                <w:szCs w:val="21"/>
              </w:rPr>
              <w:t>不断降低</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hint="default" w:ascii="仿宋" w:hAnsi="仿宋" w:eastAsia="仿宋" w:cs="Times New Roman"/>
                <w:kern w:val="0"/>
                <w:sz w:val="21"/>
                <w:szCs w:val="21"/>
                <w:lang w:val="en-US" w:eastAsia="zh-CN" w:bidi="ar-SA"/>
              </w:rPr>
            </w:pPr>
            <w:r>
              <w:rPr>
                <w:rFonts w:hint="eastAsia" w:ascii="仿宋" w:hAnsi="仿宋" w:eastAsia="仿宋"/>
                <w:kern w:val="0"/>
                <w:szCs w:val="21"/>
              </w:rPr>
              <w:t>不断降低</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lang w:val="en"/>
              </w:rPr>
              <w:t>安全稳定</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安全</w:t>
            </w:r>
            <w:r>
              <w:rPr>
                <w:rFonts w:hint="default" w:ascii="Times New Roman" w:hAnsi="Times New Roman" w:eastAsia="仿宋_GB2312"/>
                <w:color w:val="000000"/>
                <w:kern w:val="0"/>
                <w:szCs w:val="21"/>
                <w:lang w:val="en" w:eastAsia="zh-CN"/>
              </w:rPr>
              <w:t>稳定</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default" w:ascii="Times New Roman" w:hAnsi="Times New Roman" w:eastAsia="仿宋_GB2312"/>
                <w:color w:val="000000"/>
                <w:kern w:val="0"/>
                <w:szCs w:val="21"/>
                <w:lang w:val="en" w:eastAsia="zh-CN"/>
              </w:rPr>
              <w:t>93</w:t>
            </w:r>
            <w:r>
              <w:rPr>
                <w:rFonts w:hint="eastAsia" w:ascii="Times New Roman" w:hAnsi="Times New Roman" w:eastAsia="仿宋_GB2312"/>
                <w:color w:val="000000"/>
                <w:kern w:val="0"/>
                <w:szCs w:val="21"/>
                <w:lang w:val="en-US" w:eastAsia="zh-CN"/>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仿宋_GB2312"/>
          <w:sz w:val="24"/>
        </w:rPr>
      </w:pPr>
      <w:r>
        <w:rPr>
          <w:rFonts w:ascii="Times New Roman" w:hAnsi="Times New Roman" w:eastAsia="仿宋_GB2312"/>
          <w:sz w:val="24"/>
        </w:rPr>
        <w:t>填表人：        填报日期：        联系电话：     单位负责人签字：</w:t>
      </w:r>
    </w:p>
    <w:p>
      <w:pPr>
        <w:rPr>
          <w:rFonts w:ascii="Times New Roman" w:hAnsi="Times New Roman" w:eastAsia="黑体"/>
        </w:rPr>
      </w:pPr>
    </w:p>
    <w:tbl>
      <w:tblPr>
        <w:tblStyle w:val="9"/>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应急管理、行业维稳</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衡阳市交通运输局安全科</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楷体" w:hAnsi="楷体" w:eastAsia="楷体" w:cs="楷体"/>
                <w:kern w:val="0"/>
                <w:szCs w:val="21"/>
              </w:rPr>
              <w:t>维护社会与行业稳定.</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全市交通运输行业持续稳定向好</w:t>
            </w:r>
            <w:r>
              <w:rPr>
                <w:rFonts w:hint="eastAsia" w:ascii="Times New Roman" w:hAnsi="Times New Roman" w:eastAsia="仿宋_GB2312"/>
                <w:color w:val="000000"/>
                <w:kern w:val="0"/>
                <w:szCs w:val="21"/>
              </w:rPr>
              <w:t>。</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1.强化普通公路管养。</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2.强化运输市场管理。</w:t>
            </w:r>
          </w:p>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rPr>
              <w:t>3.强化治超综合管理。</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1.管养率96%。</w:t>
            </w:r>
          </w:p>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2.深入开展“打非治违”专项行动。</w:t>
            </w:r>
          </w:p>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3.安装不停车预检系统</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安全形势</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平稳</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平稳</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按计划进行</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2021年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2021年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总成</w:t>
            </w:r>
            <w:r>
              <w:rPr>
                <w:rFonts w:hint="eastAsia" w:ascii="Times New Roman" w:hAnsi="Times New Roman" w:eastAsia="仿宋_GB2312"/>
                <w:color w:val="000000"/>
                <w:kern w:val="0"/>
                <w:szCs w:val="21"/>
                <w:lang w:eastAsia="zh-CN"/>
              </w:rPr>
              <w:t>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安全形势</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平稳</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安全形势</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平稳</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污染率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持续降低</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仿宋" w:hAnsi="仿宋" w:eastAsia="仿宋"/>
                <w:kern w:val="0"/>
                <w:szCs w:val="21"/>
              </w:rPr>
              <w:t>持续降低</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安全形势</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平稳</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94%</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default" w:ascii="Times New Roman" w:hAnsi="Times New Roman" w:eastAsia="仿宋_GB2312"/>
                <w:color w:val="000000"/>
                <w:kern w:val="0"/>
                <w:szCs w:val="21"/>
                <w:lang w:val="en-US" w:eastAsia="zh-CN"/>
              </w:rPr>
              <w:t>94%</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仿宋_GB2312"/>
          <w:sz w:val="24"/>
        </w:rPr>
      </w:pPr>
      <w:r>
        <w:rPr>
          <w:rFonts w:ascii="Times New Roman" w:hAnsi="Times New Roman" w:eastAsia="仿宋_GB2312"/>
          <w:sz w:val="24"/>
        </w:rPr>
        <w:t>填表人：        填报日期：        联系电话：     单位负责人签字：</w:t>
      </w:r>
    </w:p>
    <w:p/>
    <w:tbl>
      <w:tblPr>
        <w:tblStyle w:val="9"/>
        <w:tblpPr w:leftFromText="180" w:rightFromText="180" w:vertAnchor="text" w:horzAnchor="page" w:tblpX="1052" w:tblpY="603"/>
        <w:tblOverlap w:val="never"/>
        <w:tblW w:w="9999" w:type="dxa"/>
        <w:tblInd w:w="0" w:type="dxa"/>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仿宋_GB2312"/>
                <w:sz w:val="24"/>
              </w:rPr>
            </w:pPr>
            <w:r>
              <w:rPr>
                <w:rFonts w:ascii="Times New Roman" w:hAnsi="Times New Roman" w:eastAsia="仿宋_GB2312"/>
                <w:sz w:val="24"/>
              </w:rPr>
              <w:t>填表人：        填报日期：        联系电话：     单位负责人签字：</w:t>
            </w:r>
          </w:p>
          <w:p>
            <w:pPr>
              <w:widowControl/>
              <w:jc w:val="center"/>
              <w:rPr>
                <w:rFonts w:ascii="Times New Roman" w:hAnsi="Times New Roman" w:eastAsia="仿宋_GB2312"/>
                <w:sz w:val="24"/>
              </w:rPr>
            </w:pPr>
          </w:p>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交通运输信息化管理</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衡阳市交通运输局运输科</w:t>
            </w:r>
          </w:p>
        </w:tc>
      </w:tr>
      <w:tr>
        <w:tblPrEx>
          <w:tblCellMar>
            <w:top w:w="0" w:type="dxa"/>
            <w:left w:w="108" w:type="dxa"/>
            <w:bottom w:w="0" w:type="dxa"/>
            <w:right w:w="108" w:type="dxa"/>
          </w:tblCellMar>
        </w:tblPrEx>
        <w:trPr>
          <w:trHeight w:val="340" w:hRule="atLeast"/>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68" w:hRule="atLeast"/>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right w:val="single" w:color="auto" w:sz="4" w:space="0"/>
            </w:tcBorders>
            <w:shd w:val="clear" w:color="auto" w:fill="auto"/>
            <w:noWrap/>
            <w:vAlign w:val="top"/>
          </w:tcPr>
          <w:p>
            <w:pPr>
              <w:widowControl/>
              <w:spacing w:line="280" w:lineRule="exact"/>
              <w:rPr>
                <w:rFonts w:hint="eastAsia" w:ascii="仿宋" w:hAnsi="仿宋" w:eastAsia="仿宋" w:cs="楷体"/>
                <w:kern w:val="0"/>
                <w:sz w:val="21"/>
                <w:szCs w:val="21"/>
                <w:lang w:val="en-US" w:eastAsia="zh-CN" w:bidi="ar-SA"/>
              </w:rPr>
            </w:pPr>
            <w:r>
              <w:rPr>
                <w:rFonts w:hint="eastAsia" w:ascii="仿宋" w:hAnsi="仿宋" w:eastAsia="仿宋" w:cs="楷体"/>
                <w:kern w:val="0"/>
                <w:szCs w:val="21"/>
              </w:rPr>
              <w:t>加快运输平台建设，继续完善“两客”车辆全面安装智能监管系统</w:t>
            </w:r>
          </w:p>
        </w:tc>
        <w:tc>
          <w:tcPr>
            <w:tcW w:w="1230" w:type="dxa"/>
            <w:tcBorders>
              <w:top w:val="single" w:color="auto" w:sz="4" w:space="0"/>
              <w:left w:val="nil"/>
              <w:right w:val="single" w:color="auto" w:sz="4" w:space="0"/>
            </w:tcBorders>
            <w:shd w:val="clear" w:color="auto" w:fill="auto"/>
            <w:noWrap/>
            <w:vAlign w:val="top"/>
          </w:tcPr>
          <w:p>
            <w:pPr>
              <w:widowControl/>
              <w:spacing w:line="280" w:lineRule="exact"/>
              <w:ind w:firstLine="315" w:firstLineChars="150"/>
              <w:rPr>
                <w:rFonts w:hint="eastAsia" w:ascii="仿宋" w:hAnsi="仿宋" w:eastAsia="仿宋" w:cs="楷体"/>
                <w:kern w:val="0"/>
                <w:sz w:val="21"/>
                <w:szCs w:val="21"/>
                <w:lang w:val="en-US" w:eastAsia="zh-CN" w:bidi="ar-SA"/>
              </w:rPr>
            </w:pPr>
            <w:r>
              <w:rPr>
                <w:rFonts w:hint="eastAsia" w:ascii="仿宋" w:hAnsi="仿宋" w:eastAsia="仿宋" w:cs="楷体"/>
                <w:kern w:val="0"/>
                <w:szCs w:val="21"/>
              </w:rPr>
              <w:t>96%</w:t>
            </w:r>
          </w:p>
        </w:tc>
        <w:tc>
          <w:tcPr>
            <w:tcW w:w="1107" w:type="dxa"/>
            <w:tcBorders>
              <w:top w:val="single" w:color="auto" w:sz="4" w:space="0"/>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cs="楷体"/>
                <w:kern w:val="0"/>
                <w:szCs w:val="21"/>
              </w:rPr>
              <w:t>96%</w:t>
            </w:r>
          </w:p>
        </w:tc>
        <w:tc>
          <w:tcPr>
            <w:tcW w:w="993" w:type="dxa"/>
            <w:tcBorders>
              <w:top w:val="single" w:color="auto" w:sz="4" w:space="0"/>
              <w:left w:val="nil"/>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合格</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default"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 xml:space="preserve"> 97%</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97%</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楷体"/>
                <w:kern w:val="0"/>
                <w:sz w:val="21"/>
                <w:szCs w:val="21"/>
                <w:lang w:val="en-US" w:eastAsia="zh-CN" w:bidi="ar-SA"/>
              </w:rPr>
            </w:pPr>
            <w:r>
              <w:rPr>
                <w:rFonts w:hint="eastAsia" w:ascii="仿宋" w:hAnsi="仿宋" w:eastAsia="仿宋" w:cs="楷体"/>
                <w:kern w:val="0"/>
                <w:szCs w:val="21"/>
              </w:rPr>
              <w:t>按计划进行　</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default" w:ascii="仿宋" w:hAnsi="仿宋" w:eastAsia="仿宋" w:cs="楷体"/>
                <w:kern w:val="0"/>
                <w:sz w:val="21"/>
                <w:szCs w:val="21"/>
                <w:lang w:val="en-US" w:eastAsia="zh-CN" w:bidi="ar-SA"/>
              </w:rPr>
            </w:pPr>
            <w:r>
              <w:rPr>
                <w:rFonts w:hint="eastAsia" w:ascii="仿宋" w:hAnsi="仿宋" w:eastAsia="仿宋" w:cs="楷体"/>
                <w:kern w:val="0"/>
                <w:szCs w:val="21"/>
              </w:rPr>
              <w:t xml:space="preserve">   2021年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成本效益</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楷体"/>
                <w:kern w:val="0"/>
                <w:sz w:val="21"/>
                <w:szCs w:val="21"/>
                <w:lang w:val="en-US" w:eastAsia="zh-CN" w:bidi="ar-SA"/>
              </w:rPr>
            </w:pPr>
            <w:r>
              <w:rPr>
                <w:rFonts w:hint="eastAsia" w:ascii="仿宋" w:hAnsi="仿宋" w:eastAsia="仿宋" w:cs="楷体"/>
                <w:kern w:val="0"/>
                <w:szCs w:val="21"/>
              </w:rPr>
              <w:t>　总成本</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default" w:ascii="仿宋" w:hAnsi="仿宋" w:eastAsia="仿宋" w:cs="Times New Roman"/>
                <w:kern w:val="0"/>
                <w:sz w:val="21"/>
                <w:szCs w:val="21"/>
                <w:lang w:val="en-US" w:eastAsia="zh-CN" w:bidi="ar-SA"/>
              </w:rPr>
            </w:pPr>
            <w:r>
              <w:rPr>
                <w:rFonts w:hint="eastAsia" w:ascii="仿宋" w:hAnsi="仿宋" w:eastAsia="仿宋" w:cs="楷体"/>
                <w:kern w:val="0"/>
                <w:szCs w:val="21"/>
              </w:rPr>
              <w:t xml:space="preserve">   20万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5</w:t>
            </w:r>
            <w:r>
              <w:rPr>
                <w:rFonts w:ascii="Times New Roman" w:hAnsi="Times New Roman" w:eastAsia="仿宋_GB2312"/>
                <w:color w:val="000000"/>
                <w:kern w:val="0"/>
                <w:szCs w:val="21"/>
              </w:rPr>
              <w:t>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p>
            <w:pPr>
              <w:widowControl/>
              <w:jc w:val="both"/>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无财产损失</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default" w:ascii="仿宋" w:hAnsi="仿宋" w:eastAsia="仿宋" w:cs="Times New Roman"/>
                <w:kern w:val="0"/>
                <w:sz w:val="21"/>
                <w:szCs w:val="21"/>
                <w:lang w:val="en-US" w:eastAsia="zh-CN" w:bidi="ar-SA"/>
              </w:rPr>
            </w:pPr>
            <w:r>
              <w:rPr>
                <w:rFonts w:hint="eastAsia" w:ascii="仿宋" w:hAnsi="仿宋" w:eastAsia="仿宋"/>
                <w:kern w:val="0"/>
                <w:szCs w:val="21"/>
              </w:rPr>
              <w:t>平稳率96%</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仿宋" w:hAnsi="仿宋" w:eastAsia="仿宋"/>
                <w:kern w:val="0"/>
                <w:szCs w:val="21"/>
              </w:rPr>
              <w:t>96%</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生命财产安全</w:t>
            </w:r>
          </w:p>
        </w:tc>
        <w:tc>
          <w:tcPr>
            <w:tcW w:w="1230" w:type="dxa"/>
            <w:tcBorders>
              <w:top w:val="single" w:color="auto" w:sz="4" w:space="0"/>
              <w:left w:val="nil"/>
              <w:bottom w:val="single" w:color="auto" w:sz="4" w:space="0"/>
              <w:right w:val="single" w:color="auto" w:sz="4" w:space="0"/>
            </w:tcBorders>
            <w:shd w:val="clear" w:color="auto" w:fill="auto"/>
            <w:noWrap/>
            <w:vAlign w:val="top"/>
          </w:tcPr>
          <w:p>
            <w:pPr>
              <w:widowControl/>
              <w:spacing w:line="280" w:lineRule="exact"/>
              <w:rPr>
                <w:rFonts w:hint="default" w:ascii="仿宋" w:hAnsi="仿宋" w:eastAsia="仿宋" w:cs="Times New Roman"/>
                <w:kern w:val="0"/>
                <w:sz w:val="21"/>
                <w:szCs w:val="21"/>
                <w:lang w:val="en-US" w:eastAsia="zh-CN" w:bidi="ar-SA"/>
              </w:rPr>
            </w:pPr>
            <w:r>
              <w:rPr>
                <w:rFonts w:hint="eastAsia" w:ascii="仿宋" w:hAnsi="仿宋" w:eastAsia="仿宋"/>
                <w:kern w:val="0"/>
                <w:szCs w:val="21"/>
              </w:rPr>
              <w:t>事故率低</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 w:hAnsi="仿宋" w:eastAsia="仿宋"/>
                <w:kern w:val="0"/>
                <w:szCs w:val="21"/>
              </w:rPr>
              <w:t>事故率低</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无污染</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hint="default"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 xml:space="preserve">   0</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ascii="仿宋" w:hAnsi="仿宋" w:eastAsia="仿宋" w:cs="Times New Roman"/>
                <w:kern w:val="0"/>
                <w:sz w:val="21"/>
                <w:szCs w:val="21"/>
                <w:lang w:val="en-US" w:eastAsia="zh-CN" w:bidi="ar-SA"/>
              </w:rPr>
            </w:pPr>
            <w:r>
              <w:rPr>
                <w:rFonts w:ascii="仿宋" w:hAnsi="仿宋" w:eastAsia="仿宋"/>
                <w:kern w:val="0"/>
                <w:szCs w:val="21"/>
              </w:rPr>
              <w:t>　</w:t>
            </w:r>
            <w:r>
              <w:rPr>
                <w:rFonts w:hint="eastAsia" w:ascii="仿宋" w:hAnsi="仿宋" w:eastAsia="仿宋"/>
                <w:kern w:val="0"/>
                <w:szCs w:val="21"/>
              </w:rPr>
              <w:t>智慧交通水平</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Times New Roman"/>
                <w:kern w:val="0"/>
                <w:sz w:val="21"/>
                <w:szCs w:val="21"/>
                <w:lang w:val="en-US" w:eastAsia="zh-CN" w:bidi="ar-SA"/>
              </w:rPr>
            </w:pPr>
            <w:r>
              <w:rPr>
                <w:rFonts w:hint="eastAsia" w:ascii="仿宋" w:hAnsi="仿宋" w:eastAsia="仿宋"/>
                <w:kern w:val="0"/>
                <w:szCs w:val="21"/>
              </w:rPr>
              <w:t>逐年提高</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kern w:val="0"/>
                <w:szCs w:val="21"/>
              </w:rPr>
              <w:t>逐年提高</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社会公众或服务对象满意度指标</w:t>
            </w:r>
          </w:p>
        </w:tc>
        <w:tc>
          <w:tcPr>
            <w:tcW w:w="1155" w:type="dxa"/>
            <w:tcBorders>
              <w:top w:val="nil"/>
              <w:left w:val="nil"/>
              <w:bottom w:val="single" w:color="auto" w:sz="4" w:space="0"/>
              <w:right w:val="single" w:color="auto" w:sz="4" w:space="0"/>
            </w:tcBorders>
            <w:shd w:val="clear" w:color="auto" w:fill="auto"/>
            <w:noWrap/>
            <w:vAlign w:val="top"/>
          </w:tcPr>
          <w:p>
            <w:pPr>
              <w:widowControl/>
              <w:spacing w:line="280" w:lineRule="exact"/>
              <w:rPr>
                <w:rFonts w:hint="eastAsia" w:ascii="仿宋" w:hAnsi="仿宋" w:eastAsia="仿宋" w:cs="楷体"/>
                <w:kern w:val="0"/>
                <w:sz w:val="21"/>
                <w:szCs w:val="21"/>
                <w:lang w:val="en-US" w:eastAsia="zh-CN" w:bidi="ar-SA"/>
              </w:rPr>
            </w:pPr>
            <w:r>
              <w:rPr>
                <w:rFonts w:hint="eastAsia" w:ascii="仿宋" w:hAnsi="仿宋" w:eastAsia="仿宋" w:cs="楷体"/>
                <w:kern w:val="0"/>
                <w:szCs w:val="21"/>
              </w:rPr>
              <w:t>公众满意度</w:t>
            </w:r>
          </w:p>
        </w:tc>
        <w:tc>
          <w:tcPr>
            <w:tcW w:w="1230" w:type="dxa"/>
            <w:tcBorders>
              <w:top w:val="nil"/>
              <w:left w:val="nil"/>
              <w:bottom w:val="single" w:color="auto" w:sz="4" w:space="0"/>
              <w:right w:val="single" w:color="auto" w:sz="4" w:space="0"/>
            </w:tcBorders>
            <w:shd w:val="clear" w:color="auto" w:fill="auto"/>
            <w:noWrap/>
            <w:vAlign w:val="top"/>
          </w:tcPr>
          <w:p>
            <w:pPr>
              <w:widowControl/>
              <w:spacing w:line="280" w:lineRule="exact"/>
              <w:ind w:firstLine="210" w:firstLineChars="100"/>
              <w:rPr>
                <w:rFonts w:hint="default" w:ascii="仿宋" w:hAnsi="仿宋" w:eastAsia="仿宋" w:cs="楷体"/>
                <w:kern w:val="0"/>
                <w:sz w:val="21"/>
                <w:szCs w:val="21"/>
                <w:lang w:val="en-US" w:eastAsia="zh-CN" w:bidi="ar-SA"/>
              </w:rPr>
            </w:pPr>
            <w:r>
              <w:rPr>
                <w:rFonts w:hint="eastAsia" w:ascii="仿宋" w:hAnsi="仿宋" w:eastAsia="仿宋" w:cs="楷体"/>
                <w:kern w:val="0"/>
                <w:szCs w:val="21"/>
              </w:rPr>
              <w:t xml:space="preserve">  95%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仿宋_GB2312"/>
          <w:sz w:val="24"/>
        </w:rPr>
      </w:pPr>
      <w:r>
        <w:rPr>
          <w:rFonts w:ascii="Times New Roman" w:hAnsi="Times New Roman" w:eastAsia="仿宋_GB2312"/>
          <w:sz w:val="24"/>
        </w:rPr>
        <w:t>填表人：        填报日期：        联系电话：     单位负责人签字：</w:t>
      </w:r>
    </w:p>
    <w:p/>
    <w:p>
      <w:pPr>
        <w:adjustRightInd w:val="0"/>
        <w:snapToGrid w:val="0"/>
        <w:spacing w:line="600" w:lineRule="exact"/>
        <w:ind w:firstLine="640" w:firstLineChars="200"/>
        <w:rPr>
          <w:rFonts w:hint="default" w:ascii="Times New Roman" w:hAnsi="Times New Roman" w:eastAsia="黑体"/>
          <w:sz w:val="32"/>
          <w:szCs w:val="32"/>
          <w:lang w:val="en-US" w:eastAsia="zh-CN"/>
        </w:rPr>
      </w:pPr>
    </w:p>
    <w:sectPr>
      <w:footerReference r:id="rId3" w:type="default"/>
      <w:footerReference r:id="rId4" w:type="even"/>
      <w:pgSz w:w="11906" w:h="16838"/>
      <w:pgMar w:top="1440" w:right="1049" w:bottom="1440" w:left="97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Times New Roman" w:hAnsi="Times New Roman"/>
        <w:sz w:val="28"/>
        <w:szCs w:val="28"/>
      </w:rPr>
    </w:pP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- 10 -</w:t>
    </w:r>
    <w:r>
      <w:rPr>
        <w:rStyle w:val="11"/>
        <w:rFonts w:ascii="Times New Roman" w:hAnsi="Times New Roman"/>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2B43E9"/>
    <w:multiLevelType w:val="singleLevel"/>
    <w:tmpl w:val="DD2B43E9"/>
    <w:lvl w:ilvl="0" w:tentative="0">
      <w:start w:val="1"/>
      <w:numFmt w:val="decimal"/>
      <w:suff w:val="nothing"/>
      <w:lvlText w:val="（%1）"/>
      <w:lvlJc w:val="left"/>
    </w:lvl>
  </w:abstractNum>
  <w:abstractNum w:abstractNumId="1">
    <w:nsid w:val="01D5834E"/>
    <w:multiLevelType w:val="singleLevel"/>
    <w:tmpl w:val="01D5834E"/>
    <w:lvl w:ilvl="0" w:tentative="0">
      <w:start w:val="7"/>
      <w:numFmt w:val="chineseCounting"/>
      <w:suff w:val="nothing"/>
      <w:lvlText w:val="%1、"/>
      <w:lvlJc w:val="left"/>
      <w:rPr>
        <w:rFonts w:hint="eastAsia"/>
      </w:rPr>
    </w:lvl>
  </w:abstractNum>
  <w:abstractNum w:abstractNumId="2">
    <w:nsid w:val="51A1AB3E"/>
    <w:multiLevelType w:val="singleLevel"/>
    <w:tmpl w:val="51A1AB3E"/>
    <w:lvl w:ilvl="0" w:tentative="0">
      <w:start w:val="1"/>
      <w:numFmt w:val="decimal"/>
      <w:suff w:val="nothing"/>
      <w:lvlText w:val="%1、"/>
      <w:lvlJc w:val="left"/>
    </w:lvl>
  </w:abstractNum>
  <w:abstractNum w:abstractNumId="3">
    <w:nsid w:val="5C7831B4"/>
    <w:multiLevelType w:val="singleLevel"/>
    <w:tmpl w:val="5C7831B4"/>
    <w:lvl w:ilvl="0" w:tentative="0">
      <w:start w:val="2"/>
      <w:numFmt w:val="chineseCounting"/>
      <w:suff w:val="nothing"/>
      <w:lvlText w:val="（%1）"/>
      <w:lvlJc w:val="left"/>
      <w:rPr>
        <w:rFonts w:hint="eastAsia"/>
      </w:rPr>
    </w:lvl>
  </w:abstractNum>
  <w:abstractNum w:abstractNumId="4">
    <w:nsid w:val="7285AB45"/>
    <w:multiLevelType w:val="singleLevel"/>
    <w:tmpl w:val="7285AB45"/>
    <w:lvl w:ilvl="0" w:tentative="0">
      <w:start w:val="2"/>
      <w:numFmt w:val="decimal"/>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NGIwZmI4ZTFmN2U2MzBlYTUxMzQyY2VkMWEwOWQifQ=="/>
  </w:docVars>
  <w:rsids>
    <w:rsidRoot w:val="00C553EF"/>
    <w:rsid w:val="00012C93"/>
    <w:rsid w:val="000734E3"/>
    <w:rsid w:val="000773D5"/>
    <w:rsid w:val="00080625"/>
    <w:rsid w:val="00093B9D"/>
    <w:rsid w:val="00094646"/>
    <w:rsid w:val="000A561A"/>
    <w:rsid w:val="000D5E7F"/>
    <w:rsid w:val="000E2B59"/>
    <w:rsid w:val="000F775C"/>
    <w:rsid w:val="00135131"/>
    <w:rsid w:val="00135395"/>
    <w:rsid w:val="00184AF2"/>
    <w:rsid w:val="001A7CAB"/>
    <w:rsid w:val="001B56F4"/>
    <w:rsid w:val="001B69B6"/>
    <w:rsid w:val="001B6D56"/>
    <w:rsid w:val="00220A85"/>
    <w:rsid w:val="002238BB"/>
    <w:rsid w:val="00225BED"/>
    <w:rsid w:val="002320EB"/>
    <w:rsid w:val="002A03D6"/>
    <w:rsid w:val="002D01D7"/>
    <w:rsid w:val="002F05A3"/>
    <w:rsid w:val="003056F3"/>
    <w:rsid w:val="003126FC"/>
    <w:rsid w:val="00323CF3"/>
    <w:rsid w:val="0032533F"/>
    <w:rsid w:val="003A1408"/>
    <w:rsid w:val="003B7F5C"/>
    <w:rsid w:val="003E1FD6"/>
    <w:rsid w:val="003E5841"/>
    <w:rsid w:val="003F1540"/>
    <w:rsid w:val="004148E0"/>
    <w:rsid w:val="004217FE"/>
    <w:rsid w:val="00440BFE"/>
    <w:rsid w:val="00463FD5"/>
    <w:rsid w:val="00474AD0"/>
    <w:rsid w:val="00487AC5"/>
    <w:rsid w:val="00496F05"/>
    <w:rsid w:val="00537950"/>
    <w:rsid w:val="00551D43"/>
    <w:rsid w:val="00566BA9"/>
    <w:rsid w:val="00581EEE"/>
    <w:rsid w:val="005851E9"/>
    <w:rsid w:val="00591495"/>
    <w:rsid w:val="00594AEE"/>
    <w:rsid w:val="006264B7"/>
    <w:rsid w:val="006964D9"/>
    <w:rsid w:val="006F37DA"/>
    <w:rsid w:val="007123D7"/>
    <w:rsid w:val="00713B58"/>
    <w:rsid w:val="00751BF0"/>
    <w:rsid w:val="00764972"/>
    <w:rsid w:val="00771B0E"/>
    <w:rsid w:val="007A6F2C"/>
    <w:rsid w:val="007B3731"/>
    <w:rsid w:val="007C3C5A"/>
    <w:rsid w:val="007E2D1B"/>
    <w:rsid w:val="007E3E71"/>
    <w:rsid w:val="008241E1"/>
    <w:rsid w:val="00847A3C"/>
    <w:rsid w:val="00893AEC"/>
    <w:rsid w:val="00940D4A"/>
    <w:rsid w:val="00971DB4"/>
    <w:rsid w:val="0097394E"/>
    <w:rsid w:val="009D0C0A"/>
    <w:rsid w:val="00A0127D"/>
    <w:rsid w:val="00A148B9"/>
    <w:rsid w:val="00A2187E"/>
    <w:rsid w:val="00A3605E"/>
    <w:rsid w:val="00A377C0"/>
    <w:rsid w:val="00A55C61"/>
    <w:rsid w:val="00A801F4"/>
    <w:rsid w:val="00AC12C1"/>
    <w:rsid w:val="00AC349E"/>
    <w:rsid w:val="00AC5F31"/>
    <w:rsid w:val="00AF15ED"/>
    <w:rsid w:val="00B049DD"/>
    <w:rsid w:val="00B17D23"/>
    <w:rsid w:val="00B62F82"/>
    <w:rsid w:val="00B702EE"/>
    <w:rsid w:val="00B86511"/>
    <w:rsid w:val="00B86BA1"/>
    <w:rsid w:val="00B9399A"/>
    <w:rsid w:val="00BD4955"/>
    <w:rsid w:val="00C23636"/>
    <w:rsid w:val="00C553EF"/>
    <w:rsid w:val="00C641BD"/>
    <w:rsid w:val="00C91F4C"/>
    <w:rsid w:val="00C9428C"/>
    <w:rsid w:val="00CC6012"/>
    <w:rsid w:val="00CD7E4E"/>
    <w:rsid w:val="00CE4DFE"/>
    <w:rsid w:val="00CF0AA7"/>
    <w:rsid w:val="00D64926"/>
    <w:rsid w:val="00D74987"/>
    <w:rsid w:val="00D812AD"/>
    <w:rsid w:val="00D8620A"/>
    <w:rsid w:val="00D90B2D"/>
    <w:rsid w:val="00D91931"/>
    <w:rsid w:val="00DC7EE1"/>
    <w:rsid w:val="00DD4AA2"/>
    <w:rsid w:val="00DD5A15"/>
    <w:rsid w:val="00E01819"/>
    <w:rsid w:val="00E039BF"/>
    <w:rsid w:val="00E141EB"/>
    <w:rsid w:val="00E323CD"/>
    <w:rsid w:val="00E8571A"/>
    <w:rsid w:val="00E94B12"/>
    <w:rsid w:val="00EF0339"/>
    <w:rsid w:val="00F137EB"/>
    <w:rsid w:val="00F2080B"/>
    <w:rsid w:val="00F55DE1"/>
    <w:rsid w:val="00FA2BB2"/>
    <w:rsid w:val="00FC450D"/>
    <w:rsid w:val="00FD081E"/>
    <w:rsid w:val="00FE100B"/>
    <w:rsid w:val="00FE4826"/>
    <w:rsid w:val="027A6FEA"/>
    <w:rsid w:val="028D58A7"/>
    <w:rsid w:val="02A46D06"/>
    <w:rsid w:val="03043E77"/>
    <w:rsid w:val="03B32E34"/>
    <w:rsid w:val="04074D6C"/>
    <w:rsid w:val="046E3A85"/>
    <w:rsid w:val="04DC42B4"/>
    <w:rsid w:val="05305441"/>
    <w:rsid w:val="05592026"/>
    <w:rsid w:val="055C7BF2"/>
    <w:rsid w:val="05910880"/>
    <w:rsid w:val="068C1467"/>
    <w:rsid w:val="07286BBE"/>
    <w:rsid w:val="08BF22FE"/>
    <w:rsid w:val="09456F63"/>
    <w:rsid w:val="09CB7861"/>
    <w:rsid w:val="0A2A1F75"/>
    <w:rsid w:val="0ACB4F8A"/>
    <w:rsid w:val="0AE147AE"/>
    <w:rsid w:val="0B266665"/>
    <w:rsid w:val="0B604295"/>
    <w:rsid w:val="0BB05556"/>
    <w:rsid w:val="0BCA3DA9"/>
    <w:rsid w:val="0C68202D"/>
    <w:rsid w:val="0C7C260F"/>
    <w:rsid w:val="0D1C2595"/>
    <w:rsid w:val="0D571602"/>
    <w:rsid w:val="0E184715"/>
    <w:rsid w:val="0EC0292C"/>
    <w:rsid w:val="0F262ACD"/>
    <w:rsid w:val="0F345D26"/>
    <w:rsid w:val="12087E47"/>
    <w:rsid w:val="13F264AF"/>
    <w:rsid w:val="153656F6"/>
    <w:rsid w:val="159A6F7B"/>
    <w:rsid w:val="159D49D2"/>
    <w:rsid w:val="15DA6FC6"/>
    <w:rsid w:val="1706559C"/>
    <w:rsid w:val="17A666E8"/>
    <w:rsid w:val="17B62B1E"/>
    <w:rsid w:val="18934E7A"/>
    <w:rsid w:val="1AA81F13"/>
    <w:rsid w:val="1B21327E"/>
    <w:rsid w:val="1DF92B94"/>
    <w:rsid w:val="1E9049CE"/>
    <w:rsid w:val="1EED3883"/>
    <w:rsid w:val="20A51CE5"/>
    <w:rsid w:val="217D46AD"/>
    <w:rsid w:val="21EE6901"/>
    <w:rsid w:val="227B4008"/>
    <w:rsid w:val="2291514A"/>
    <w:rsid w:val="23091CF9"/>
    <w:rsid w:val="2378007B"/>
    <w:rsid w:val="2403462C"/>
    <w:rsid w:val="24717252"/>
    <w:rsid w:val="25587043"/>
    <w:rsid w:val="26A650A8"/>
    <w:rsid w:val="27215264"/>
    <w:rsid w:val="27351C9B"/>
    <w:rsid w:val="27DA6DDD"/>
    <w:rsid w:val="2893667D"/>
    <w:rsid w:val="28980AF3"/>
    <w:rsid w:val="29652B97"/>
    <w:rsid w:val="29A04A31"/>
    <w:rsid w:val="2A3D08C7"/>
    <w:rsid w:val="2AD642EB"/>
    <w:rsid w:val="2AFA5B22"/>
    <w:rsid w:val="2B5F72E9"/>
    <w:rsid w:val="2BD305D3"/>
    <w:rsid w:val="2C65033B"/>
    <w:rsid w:val="2CA61530"/>
    <w:rsid w:val="2DF36C4C"/>
    <w:rsid w:val="2E660FDE"/>
    <w:rsid w:val="2E907E08"/>
    <w:rsid w:val="2EBF7C24"/>
    <w:rsid w:val="2ED61241"/>
    <w:rsid w:val="2F3D3EB4"/>
    <w:rsid w:val="2FFC27A3"/>
    <w:rsid w:val="301F52AD"/>
    <w:rsid w:val="30B55C11"/>
    <w:rsid w:val="311453D0"/>
    <w:rsid w:val="314502DB"/>
    <w:rsid w:val="31B06F89"/>
    <w:rsid w:val="31FE3BEE"/>
    <w:rsid w:val="32797238"/>
    <w:rsid w:val="32C04E80"/>
    <w:rsid w:val="34974197"/>
    <w:rsid w:val="35F74241"/>
    <w:rsid w:val="361A593A"/>
    <w:rsid w:val="367459D4"/>
    <w:rsid w:val="36A92AAB"/>
    <w:rsid w:val="36C05BDE"/>
    <w:rsid w:val="37531961"/>
    <w:rsid w:val="37F41099"/>
    <w:rsid w:val="382F6367"/>
    <w:rsid w:val="3914766B"/>
    <w:rsid w:val="398B5761"/>
    <w:rsid w:val="3A0705F3"/>
    <w:rsid w:val="3AA646BC"/>
    <w:rsid w:val="3C145EE2"/>
    <w:rsid w:val="3DBD4389"/>
    <w:rsid w:val="3E1408C1"/>
    <w:rsid w:val="3E907AB6"/>
    <w:rsid w:val="3EFF10CB"/>
    <w:rsid w:val="3F215F4F"/>
    <w:rsid w:val="3F52287D"/>
    <w:rsid w:val="40C2756A"/>
    <w:rsid w:val="411B561D"/>
    <w:rsid w:val="416B7C26"/>
    <w:rsid w:val="417B5774"/>
    <w:rsid w:val="41807B75"/>
    <w:rsid w:val="41C61B6B"/>
    <w:rsid w:val="42093C6B"/>
    <w:rsid w:val="421366AA"/>
    <w:rsid w:val="42497F67"/>
    <w:rsid w:val="424B0183"/>
    <w:rsid w:val="43C55609"/>
    <w:rsid w:val="44186EBF"/>
    <w:rsid w:val="444917D4"/>
    <w:rsid w:val="448E762B"/>
    <w:rsid w:val="449A0253"/>
    <w:rsid w:val="44A75419"/>
    <w:rsid w:val="451926A8"/>
    <w:rsid w:val="456B5020"/>
    <w:rsid w:val="4616283A"/>
    <w:rsid w:val="479D69BF"/>
    <w:rsid w:val="48D10CB7"/>
    <w:rsid w:val="49147208"/>
    <w:rsid w:val="49950503"/>
    <w:rsid w:val="4B5538D6"/>
    <w:rsid w:val="4B56183A"/>
    <w:rsid w:val="4B7E0AE9"/>
    <w:rsid w:val="4B842C24"/>
    <w:rsid w:val="4BAB3A41"/>
    <w:rsid w:val="4BE32D41"/>
    <w:rsid w:val="4C391DEA"/>
    <w:rsid w:val="4D090A1F"/>
    <w:rsid w:val="4F0757CA"/>
    <w:rsid w:val="4FA2515B"/>
    <w:rsid w:val="4FCE12DA"/>
    <w:rsid w:val="4FFF120E"/>
    <w:rsid w:val="5067585C"/>
    <w:rsid w:val="514E5624"/>
    <w:rsid w:val="520B5239"/>
    <w:rsid w:val="521318BA"/>
    <w:rsid w:val="521C17FC"/>
    <w:rsid w:val="52AD3126"/>
    <w:rsid w:val="53446E95"/>
    <w:rsid w:val="53542C2A"/>
    <w:rsid w:val="54A97900"/>
    <w:rsid w:val="55311AB1"/>
    <w:rsid w:val="554641B6"/>
    <w:rsid w:val="55552838"/>
    <w:rsid w:val="567D7CFB"/>
    <w:rsid w:val="568D5713"/>
    <w:rsid w:val="57B46841"/>
    <w:rsid w:val="58131D55"/>
    <w:rsid w:val="58C40FF2"/>
    <w:rsid w:val="591C7D2C"/>
    <w:rsid w:val="59F16894"/>
    <w:rsid w:val="5A702E86"/>
    <w:rsid w:val="5B325690"/>
    <w:rsid w:val="5BDB704B"/>
    <w:rsid w:val="5C137D0F"/>
    <w:rsid w:val="5C2F64BB"/>
    <w:rsid w:val="5FD24771"/>
    <w:rsid w:val="5FE43136"/>
    <w:rsid w:val="609A4BD3"/>
    <w:rsid w:val="6165003F"/>
    <w:rsid w:val="61D373A0"/>
    <w:rsid w:val="61F119FE"/>
    <w:rsid w:val="62312A9A"/>
    <w:rsid w:val="62946748"/>
    <w:rsid w:val="62F62474"/>
    <w:rsid w:val="63393766"/>
    <w:rsid w:val="640815D9"/>
    <w:rsid w:val="64215F60"/>
    <w:rsid w:val="64614B24"/>
    <w:rsid w:val="64B80B6F"/>
    <w:rsid w:val="64D83F13"/>
    <w:rsid w:val="650C334B"/>
    <w:rsid w:val="654F3237"/>
    <w:rsid w:val="660E6C4E"/>
    <w:rsid w:val="66B91727"/>
    <w:rsid w:val="683546F5"/>
    <w:rsid w:val="689E5515"/>
    <w:rsid w:val="68B91843"/>
    <w:rsid w:val="694A64E1"/>
    <w:rsid w:val="697B3329"/>
    <w:rsid w:val="69E05367"/>
    <w:rsid w:val="6A321D47"/>
    <w:rsid w:val="6A325601"/>
    <w:rsid w:val="6AF80B9B"/>
    <w:rsid w:val="6BA11423"/>
    <w:rsid w:val="6BAD2A66"/>
    <w:rsid w:val="6BB362CE"/>
    <w:rsid w:val="6BBD584D"/>
    <w:rsid w:val="6C636BEE"/>
    <w:rsid w:val="6CDE3E9F"/>
    <w:rsid w:val="6CE0227F"/>
    <w:rsid w:val="6EBE020C"/>
    <w:rsid w:val="6F481FDE"/>
    <w:rsid w:val="6FE07923"/>
    <w:rsid w:val="6FEA102B"/>
    <w:rsid w:val="704C4F43"/>
    <w:rsid w:val="71125845"/>
    <w:rsid w:val="71780130"/>
    <w:rsid w:val="71FA5AA8"/>
    <w:rsid w:val="7249173A"/>
    <w:rsid w:val="72545C91"/>
    <w:rsid w:val="72991060"/>
    <w:rsid w:val="7327134F"/>
    <w:rsid w:val="73A03875"/>
    <w:rsid w:val="752D7DA7"/>
    <w:rsid w:val="75CD2682"/>
    <w:rsid w:val="75D83039"/>
    <w:rsid w:val="76400D93"/>
    <w:rsid w:val="76CC46E8"/>
    <w:rsid w:val="77132317"/>
    <w:rsid w:val="773A3B3B"/>
    <w:rsid w:val="77A24B7F"/>
    <w:rsid w:val="77EB306D"/>
    <w:rsid w:val="79312F28"/>
    <w:rsid w:val="79734262"/>
    <w:rsid w:val="7A620E8E"/>
    <w:rsid w:val="7ABA14E0"/>
    <w:rsid w:val="7B293EB3"/>
    <w:rsid w:val="7B367B0A"/>
    <w:rsid w:val="7B4E50F2"/>
    <w:rsid w:val="7BD227A0"/>
    <w:rsid w:val="7C4B4301"/>
    <w:rsid w:val="7C554D56"/>
    <w:rsid w:val="7D4058CC"/>
    <w:rsid w:val="7D6C4656"/>
    <w:rsid w:val="7EA2775A"/>
    <w:rsid w:val="7EB0669D"/>
    <w:rsid w:val="7F4A2182"/>
    <w:rsid w:val="7F531EB8"/>
    <w:rsid w:val="7F910F92"/>
    <w:rsid w:val="7F9145F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annotation text"/>
    <w:basedOn w:val="1"/>
    <w:link w:val="13"/>
    <w:qFormat/>
    <w:uiPriority w:val="99"/>
    <w:pPr>
      <w:jc w:val="left"/>
    </w:pPr>
    <w:rPr>
      <w:rFonts w:ascii="Times New Roman" w:hAnsi="Times New Roman"/>
      <w:szCs w:val="24"/>
    </w:rPr>
  </w:style>
  <w:style w:type="paragraph" w:styleId="4">
    <w:name w:val="Balloon Text"/>
    <w:basedOn w:val="1"/>
    <w:link w:val="14"/>
    <w:qFormat/>
    <w:uiPriority w:val="99"/>
    <w:rPr>
      <w:rFonts w:ascii="Times New Roman" w:hAnsi="Times New Roman"/>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locked/>
    <w:uiPriority w:val="99"/>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99"/>
    <w:rPr>
      <w:rFonts w:cs="Times New Roman"/>
    </w:rPr>
  </w:style>
  <w:style w:type="character" w:styleId="12">
    <w:name w:val="annotation reference"/>
    <w:basedOn w:val="10"/>
    <w:qFormat/>
    <w:uiPriority w:val="99"/>
    <w:rPr>
      <w:rFonts w:cs="Times New Roman"/>
      <w:sz w:val="21"/>
      <w:szCs w:val="21"/>
    </w:rPr>
  </w:style>
  <w:style w:type="character" w:customStyle="1" w:styleId="13">
    <w:name w:val="批注文字 Char"/>
    <w:basedOn w:val="10"/>
    <w:link w:val="3"/>
    <w:qFormat/>
    <w:locked/>
    <w:uiPriority w:val="99"/>
    <w:rPr>
      <w:rFonts w:ascii="Times New Roman" w:hAnsi="Times New Roman" w:eastAsia="宋体" w:cs="Times New Roman"/>
      <w:sz w:val="24"/>
      <w:szCs w:val="24"/>
    </w:rPr>
  </w:style>
  <w:style w:type="character" w:customStyle="1" w:styleId="14">
    <w:name w:val="批注框文本 Char"/>
    <w:basedOn w:val="10"/>
    <w:link w:val="4"/>
    <w:qFormat/>
    <w:locked/>
    <w:uiPriority w:val="99"/>
    <w:rPr>
      <w:rFonts w:ascii="Times New Roman" w:hAnsi="Times New Roman" w:eastAsia="宋体" w:cs="Times New Roman"/>
      <w:sz w:val="18"/>
      <w:szCs w:val="18"/>
    </w:rPr>
  </w:style>
  <w:style w:type="character" w:customStyle="1" w:styleId="15">
    <w:name w:val="页脚 Char"/>
    <w:basedOn w:val="10"/>
    <w:link w:val="5"/>
    <w:qFormat/>
    <w:locked/>
    <w:uiPriority w:val="99"/>
    <w:rPr>
      <w:rFonts w:cs="Times New Roman"/>
      <w:sz w:val="18"/>
      <w:szCs w:val="18"/>
    </w:rPr>
  </w:style>
  <w:style w:type="character" w:customStyle="1" w:styleId="16">
    <w:name w:val="页眉 Char"/>
    <w:basedOn w:val="10"/>
    <w:link w:val="6"/>
    <w:qFormat/>
    <w:locked/>
    <w:uiPriority w:val="99"/>
    <w:rPr>
      <w:rFonts w:cs="Times New Roman"/>
      <w:sz w:val="18"/>
      <w:szCs w:val="18"/>
    </w:rPr>
  </w:style>
  <w:style w:type="paragraph" w:customStyle="1" w:styleId="17">
    <w:name w:val="列出段落1"/>
    <w:basedOn w:val="1"/>
    <w:qFormat/>
    <w:uiPriority w:val="99"/>
    <w:pPr>
      <w:ind w:firstLine="420" w:firstLineChars="200"/>
    </w:pPr>
    <w:rPr>
      <w:rFonts w:ascii="Times New Roman" w:hAnsi="Times New Roman"/>
      <w:szCs w:val="24"/>
    </w:rPr>
  </w:style>
  <w:style w:type="paragraph" w:styleId="18">
    <w:name w:val="List Paragraph"/>
    <w:basedOn w:val="1"/>
    <w:qFormat/>
    <w:uiPriority w:val="99"/>
    <w:pPr>
      <w:ind w:firstLine="420" w:firstLineChars="200"/>
    </w:pPr>
    <w:rPr>
      <w:rFonts w:ascii="Times New Roman" w:hAnsi="Times New Roman"/>
      <w:szCs w:val="24"/>
    </w:rPr>
  </w:style>
  <w:style w:type="paragraph" w:customStyle="1" w:styleId="19">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13785</Words>
  <Characters>15270</Characters>
  <Lines>35</Lines>
  <Paragraphs>9</Paragraphs>
  <TotalTime>0</TotalTime>
  <ScaleCrop>false</ScaleCrop>
  <LinksUpToDate>false</LinksUpToDate>
  <CharactersWithSpaces>17097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邓婷</cp:lastModifiedBy>
  <cp:lastPrinted>2022-10-27T00:43:00Z</cp:lastPrinted>
  <dcterms:modified xsi:type="dcterms:W3CDTF">2022-11-16T02:00:14Z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8BD261819C444293B1426274B03E6EC0</vt:lpwstr>
  </property>
</Properties>
</file>