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8" w:line="237" w:lineRule="auto"/>
        <w:ind w:right="-122" w:rightChars="0"/>
        <w:jc w:val="center"/>
        <w:rPr>
          <w:rFonts w:hint="eastAsia" w:eastAsia="宋体"/>
          <w:b/>
          <w:bCs/>
          <w:sz w:val="44"/>
          <w:szCs w:val="44"/>
          <w:lang w:eastAsia="zh-CN"/>
        </w:rPr>
      </w:pPr>
      <w:r>
        <w:rPr>
          <w:rFonts w:hint="eastAsia"/>
          <w:b/>
          <w:bCs/>
          <w:sz w:val="44"/>
          <w:szCs w:val="44"/>
          <w:lang w:eastAsia="zh-CN"/>
        </w:rPr>
        <w:t>衡阳市</w:t>
      </w:r>
      <w:r>
        <w:rPr>
          <w:rFonts w:hint="eastAsia"/>
          <w:b/>
          <w:bCs/>
          <w:w w:val="95"/>
          <w:sz w:val="44"/>
          <w:szCs w:val="44"/>
          <w:lang w:eastAsia="zh-CN"/>
        </w:rPr>
        <w:t>“双随机、一公开”</w:t>
      </w:r>
      <w:r>
        <w:rPr>
          <w:b/>
          <w:bCs/>
          <w:sz w:val="44"/>
          <w:szCs w:val="44"/>
        </w:rPr>
        <w:t>监管工作抽查检查结果公示和运用</w:t>
      </w:r>
      <w:r>
        <w:rPr>
          <w:rFonts w:hint="eastAsia"/>
          <w:b/>
          <w:bCs/>
          <w:sz w:val="44"/>
          <w:szCs w:val="44"/>
          <w:lang w:eastAsia="zh-CN"/>
        </w:rPr>
        <w:t>规范标准化</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3"/>
        <w:gridCol w:w="2745"/>
        <w:gridCol w:w="6822"/>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964" w:type="pct"/>
            <w:vMerge w:val="restart"/>
            <w:vAlign w:val="center"/>
          </w:tcPr>
          <w:p>
            <w:pPr>
              <w:numPr>
                <w:ilvl w:val="0"/>
                <w:numId w:val="1"/>
              </w:numPr>
              <w:ind w:left="0" w:leftChars="0" w:right="0" w:rightChars="0"/>
              <w:jc w:val="left"/>
              <w:rPr>
                <w:rFonts w:hint="default"/>
                <w:b w:val="0"/>
                <w:bCs w:val="0"/>
                <w:spacing w:val="-3"/>
                <w:lang w:val="en-US" w:eastAsia="zh-CN"/>
              </w:rPr>
            </w:pPr>
            <w:r>
              <w:rPr>
                <w:rFonts w:hint="eastAsia"/>
                <w:b w:val="0"/>
                <w:bCs w:val="0"/>
                <w:spacing w:val="-3"/>
                <w:lang w:val="en-US" w:eastAsia="zh-CN"/>
              </w:rPr>
              <w:t>基本要求</w:t>
            </w:r>
          </w:p>
        </w:tc>
        <w:tc>
          <w:tcPr>
            <w:tcW w:w="968" w:type="pct"/>
            <w:vAlign w:val="center"/>
          </w:tcPr>
          <w:p>
            <w:pPr>
              <w:ind w:left="0" w:leftChars="0" w:right="0" w:rightChars="0"/>
              <w:jc w:val="left"/>
              <w:rPr>
                <w:rFonts w:hint="default"/>
                <w:b w:val="0"/>
                <w:bCs w:val="0"/>
                <w:spacing w:val="-3"/>
                <w:lang w:val="en-US" w:eastAsia="zh-CN"/>
              </w:rPr>
            </w:pPr>
            <w:r>
              <w:rPr>
                <w:rFonts w:hint="eastAsia"/>
                <w:b w:val="0"/>
                <w:bCs w:val="0"/>
                <w:spacing w:val="-3"/>
                <w:lang w:val="en-US" w:eastAsia="zh-CN"/>
              </w:rPr>
              <w:t>1.1 工作原则</w:t>
            </w:r>
          </w:p>
        </w:tc>
        <w:tc>
          <w:tcPr>
            <w:tcW w:w="2406" w:type="pct"/>
            <w:vAlign w:val="center"/>
          </w:tcPr>
          <w:p>
            <w:pPr>
              <w:ind w:left="0" w:leftChars="0" w:right="0" w:rightChars="0" w:firstLine="428" w:firstLineChars="200"/>
              <w:jc w:val="left"/>
              <w:rPr>
                <w:rFonts w:hint="eastAsia"/>
                <w:b w:val="0"/>
                <w:bCs w:val="0"/>
                <w:spacing w:val="-3"/>
                <w:lang w:eastAsia="zh-CN"/>
              </w:rPr>
            </w:pPr>
            <w:r>
              <w:rPr>
                <w:b w:val="0"/>
                <w:bCs w:val="0"/>
                <w:spacing w:val="-3"/>
              </w:rPr>
              <w:t>按照“谁检查、谁录入、谁公开” 的原则，各部门对抽查检查结果应向社会公示，接受社会监督。法律法规规章或其他规范性文件明确另有规定的除外。</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ind w:left="0" w:leftChars="0" w:right="0" w:rightChars="0"/>
              <w:jc w:val="left"/>
              <w:rPr>
                <w:rFonts w:hint="default"/>
                <w:b w:val="0"/>
                <w:bCs w:val="0"/>
                <w:spacing w:val="-3"/>
                <w:lang w:val="en-US" w:eastAsia="zh-CN"/>
              </w:rPr>
            </w:pPr>
            <w:r>
              <w:rPr>
                <w:rFonts w:hint="eastAsia"/>
                <w:b w:val="0"/>
                <w:bCs w:val="0"/>
                <w:spacing w:val="-3"/>
                <w:lang w:val="en-US" w:eastAsia="zh-CN"/>
              </w:rPr>
              <w:t>1.2 信息共享</w:t>
            </w:r>
          </w:p>
        </w:tc>
        <w:tc>
          <w:tcPr>
            <w:tcW w:w="2406" w:type="pct"/>
            <w:vAlign w:val="center"/>
          </w:tcPr>
          <w:p>
            <w:pPr>
              <w:ind w:left="0" w:leftChars="0" w:right="0" w:rightChars="0" w:firstLine="428" w:firstLineChars="200"/>
              <w:jc w:val="left"/>
              <w:rPr>
                <w:rFonts w:hint="eastAsia"/>
                <w:b/>
                <w:bCs/>
                <w:w w:val="95"/>
                <w:sz w:val="32"/>
                <w:szCs w:val="32"/>
                <w:vertAlign w:val="baseline"/>
                <w:lang w:eastAsia="zh-CN"/>
              </w:rPr>
            </w:pPr>
            <w:r>
              <w:rPr>
                <w:spacing w:val="-3"/>
              </w:rPr>
              <w:t>涉及检查对象的抽查检查结果，</w:t>
            </w:r>
            <w:r>
              <w:rPr>
                <w:b w:val="0"/>
                <w:bCs w:val="0"/>
                <w:spacing w:val="-3"/>
              </w:rPr>
              <w:t>应及时</w:t>
            </w:r>
            <w:r>
              <w:rPr>
                <w:rFonts w:hint="eastAsia"/>
                <w:b w:val="0"/>
                <w:bCs w:val="0"/>
                <w:spacing w:val="-3"/>
                <w:lang w:eastAsia="zh-CN"/>
              </w:rPr>
              <w:t>录入</w:t>
            </w:r>
            <w:r>
              <w:rPr>
                <w:b w:val="0"/>
                <w:bCs w:val="0"/>
                <w:spacing w:val="-3"/>
              </w:rPr>
              <w:t>至</w:t>
            </w:r>
            <w:r>
              <w:rPr>
                <w:rFonts w:hint="eastAsia"/>
                <w:b w:val="0"/>
                <w:bCs w:val="0"/>
                <w:spacing w:val="-3"/>
                <w:lang w:eastAsia="zh-CN"/>
              </w:rPr>
              <w:t>湖南省“双随机、一公开”监管工作平台（以下简称“省级平台”）并公示，相关信息与国家企业</w:t>
            </w:r>
            <w:r>
              <w:rPr>
                <w:b w:val="0"/>
                <w:bCs w:val="0"/>
                <w:spacing w:val="-3"/>
              </w:rPr>
              <w:t>信用信息公示系统</w:t>
            </w:r>
            <w:r>
              <w:rPr>
                <w:rFonts w:hint="eastAsia"/>
                <w:b w:val="0"/>
                <w:bCs w:val="0"/>
                <w:spacing w:val="-3"/>
                <w:lang w:eastAsia="zh-CN"/>
              </w:rPr>
              <w:t>（湖南）、全国信用共享平台对接互通</w:t>
            </w:r>
            <w:r>
              <w:rPr>
                <w:b w:val="0"/>
                <w:bCs w:val="0"/>
                <w:spacing w:val="-3"/>
              </w:rPr>
              <w:t>。检查部门应向其他部门推送行政处罚、严重失信</w:t>
            </w:r>
            <w:r>
              <w:rPr>
                <w:spacing w:val="-3"/>
              </w:rPr>
              <w:t>名单等相关信息，实施联合惩戒，形成有力震慑，增强检查对象守法的自觉性。</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ind w:left="0" w:leftChars="0" w:right="0" w:rightChars="0"/>
              <w:jc w:val="left"/>
              <w:rPr>
                <w:rFonts w:hint="default"/>
                <w:b w:val="0"/>
                <w:bCs w:val="0"/>
                <w:spacing w:val="-3"/>
                <w:lang w:val="en-US" w:eastAsia="zh-CN"/>
              </w:rPr>
            </w:pPr>
            <w:r>
              <w:rPr>
                <w:rFonts w:hint="eastAsia"/>
                <w:b w:val="0"/>
                <w:bCs w:val="0"/>
                <w:spacing w:val="-3"/>
                <w:lang w:val="en-US" w:eastAsia="zh-CN"/>
              </w:rPr>
              <w:t>1.3 后续监管</w:t>
            </w:r>
          </w:p>
        </w:tc>
        <w:tc>
          <w:tcPr>
            <w:tcW w:w="2406" w:type="pct"/>
            <w:vAlign w:val="center"/>
          </w:tcPr>
          <w:p>
            <w:pPr>
              <w:pStyle w:val="3"/>
              <w:spacing w:line="278" w:lineRule="auto"/>
              <w:ind w:right="6" w:rightChars="0" w:firstLine="420" w:firstLineChars="200"/>
              <w:rPr>
                <w:rFonts w:hint="eastAsia"/>
                <w:b/>
                <w:bCs/>
                <w:w w:val="95"/>
                <w:sz w:val="32"/>
                <w:szCs w:val="32"/>
                <w:vertAlign w:val="baseline"/>
                <w:lang w:eastAsia="zh-CN"/>
              </w:rPr>
            </w:pPr>
            <w:r>
              <w:t>对双随机抽查中发现的各类问题，应按照</w:t>
            </w:r>
            <w:r>
              <w:rPr>
                <w:rFonts w:ascii="Times New Roman" w:hAnsi="Times New Roman" w:eastAsia="Times New Roman"/>
              </w:rPr>
              <w:t>“</w:t>
            </w:r>
            <w:r>
              <w:t>谁管辖、谁负责</w:t>
            </w:r>
            <w:r>
              <w:rPr>
                <w:rFonts w:ascii="Times New Roman" w:hAnsi="Times New Roman" w:eastAsia="Times New Roman"/>
              </w:rPr>
              <w:t xml:space="preserve">” </w:t>
            </w:r>
            <w:r>
              <w:t>的原则做好后续监管的衔接。对发现的违法违规行为依法加大惩处力度，对涉嫌犯罪的及时移送司法机关，防止监管脱节。</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64" w:type="pct"/>
            <w:vAlign w:val="center"/>
          </w:tcPr>
          <w:p>
            <w:pPr>
              <w:pStyle w:val="3"/>
              <w:numPr>
                <w:ilvl w:val="0"/>
                <w:numId w:val="2"/>
              </w:numPr>
              <w:spacing w:line="278" w:lineRule="auto"/>
              <w:ind w:right="384"/>
              <w:rPr>
                <w:rFonts w:hint="eastAsia"/>
                <w:lang w:eastAsia="zh-CN"/>
              </w:rPr>
            </w:pPr>
            <w:bookmarkStart w:id="0" w:name="_bookmark5"/>
            <w:bookmarkEnd w:id="0"/>
            <w:bookmarkStart w:id="1" w:name="_bookmark5"/>
            <w:bookmarkEnd w:id="1"/>
            <w:r>
              <w:t>资料整理</w:t>
            </w:r>
          </w:p>
        </w:tc>
        <w:tc>
          <w:tcPr>
            <w:tcW w:w="968" w:type="pct"/>
            <w:vAlign w:val="center"/>
          </w:tcPr>
          <w:p>
            <w:pPr>
              <w:pStyle w:val="3"/>
              <w:spacing w:line="278" w:lineRule="auto"/>
              <w:ind w:right="384"/>
              <w:rPr>
                <w:rFonts w:hint="default"/>
                <w:lang w:val="en-US" w:eastAsia="zh-CN"/>
              </w:rPr>
            </w:pPr>
            <w:r>
              <w:rPr>
                <w:rFonts w:hint="eastAsia"/>
                <w:lang w:val="en-US" w:eastAsia="zh-CN"/>
              </w:rPr>
              <w:t xml:space="preserve">2.1 </w:t>
            </w:r>
            <w:r>
              <w:t>抽查检查结果</w:t>
            </w:r>
            <w:r>
              <w:rPr>
                <w:rFonts w:hint="eastAsia"/>
                <w:lang w:val="en-US" w:eastAsia="zh-CN"/>
              </w:rPr>
              <w:t>资料整理</w:t>
            </w:r>
          </w:p>
        </w:tc>
        <w:tc>
          <w:tcPr>
            <w:tcW w:w="2406" w:type="pct"/>
            <w:vAlign w:val="center"/>
          </w:tcPr>
          <w:p>
            <w:pPr>
              <w:pStyle w:val="3"/>
              <w:spacing w:line="278" w:lineRule="auto"/>
              <w:ind w:right="6" w:rightChars="0" w:firstLine="420" w:firstLineChars="200"/>
              <w:rPr>
                <w:rFonts w:hint="eastAsia"/>
                <w:b/>
                <w:bCs/>
                <w:w w:val="95"/>
                <w:sz w:val="32"/>
                <w:szCs w:val="32"/>
                <w:vertAlign w:val="baseline"/>
                <w:lang w:eastAsia="zh-CN"/>
              </w:rPr>
            </w:pPr>
            <w:r>
              <w:t>通过现场检查、书面检查和网络检查等方式，依法查阅复制有关账册、合同和资料，向当事人、知情人调查了解情况；或委托有资质的机构开展检验检测、财务审计、调查咨询等工作，依法采用相关机构作出的鉴定结论等形成的“双随机、一公开”抽查结果记录</w:t>
            </w:r>
            <w:r>
              <w:rPr>
                <w:rFonts w:hint="eastAsia"/>
                <w:lang w:eastAsia="zh-CN"/>
              </w:rPr>
              <w:t>，</w:t>
            </w:r>
            <w:r>
              <w:t>抽查检查结果记录，应在录入</w:t>
            </w:r>
            <w:r>
              <w:rPr>
                <w:rFonts w:hint="eastAsia"/>
                <w:lang w:eastAsia="zh-CN"/>
              </w:rPr>
              <w:t>省级</w:t>
            </w:r>
            <w:r>
              <w:t>平台前逐项清点材料，认真核对所有资料。</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5" w:hRule="atLeast"/>
        </w:trPr>
        <w:tc>
          <w:tcPr>
            <w:tcW w:w="964" w:type="pct"/>
            <w:vAlign w:val="center"/>
          </w:tcPr>
          <w:p>
            <w:pPr>
              <w:pStyle w:val="7"/>
              <w:keepNext w:val="0"/>
              <w:keepLines w:val="0"/>
              <w:pageBreakBefore w:val="0"/>
              <w:widowControl w:val="0"/>
              <w:numPr>
                <w:ilvl w:val="0"/>
                <w:numId w:val="2"/>
              </w:numPr>
              <w:tabs>
                <w:tab w:val="left" w:pos="848"/>
              </w:tabs>
              <w:kinsoku/>
              <w:wordWrap/>
              <w:overflowPunct/>
              <w:topLinePunct w:val="0"/>
              <w:autoSpaceDE w:val="0"/>
              <w:autoSpaceDN w:val="0"/>
              <w:bidi w:val="0"/>
              <w:adjustRightInd/>
              <w:snapToGrid/>
              <w:spacing w:before="0" w:after="0" w:line="320" w:lineRule="exact"/>
              <w:ind w:left="0" w:leftChars="0" w:right="6" w:rightChars="0" w:firstLine="0" w:firstLineChars="0"/>
              <w:jc w:val="both"/>
              <w:textAlignment w:val="auto"/>
              <w:rPr>
                <w:rFonts w:hint="default" w:ascii="宋体" w:hAnsi="宋体" w:eastAsia="宋体" w:cs="宋体"/>
                <w:sz w:val="21"/>
                <w:szCs w:val="21"/>
                <w:lang w:val="en-US" w:eastAsia="zh-CN" w:bidi="en-US"/>
              </w:rPr>
            </w:pPr>
            <w:r>
              <w:rPr>
                <w:rFonts w:hint="eastAsia" w:ascii="宋体" w:hAnsi="宋体" w:eastAsia="宋体" w:cs="宋体"/>
                <w:sz w:val="21"/>
                <w:szCs w:val="21"/>
                <w:lang w:val="en-US" w:eastAsia="zh-CN" w:bidi="en-US"/>
              </w:rPr>
              <w:t>抽查结果公示</w:t>
            </w:r>
          </w:p>
        </w:tc>
        <w:tc>
          <w:tcPr>
            <w:tcW w:w="968" w:type="pct"/>
            <w:vAlign w:val="center"/>
          </w:tcPr>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hint="eastAsia" w:ascii="宋体" w:hAnsi="宋体" w:eastAsia="宋体" w:cs="宋体"/>
                <w:sz w:val="21"/>
                <w:szCs w:val="21"/>
                <w:lang w:val="en-US" w:eastAsia="zh-CN" w:bidi="en-US"/>
              </w:rPr>
            </w:pPr>
            <w:r>
              <w:rPr>
                <w:rFonts w:hint="eastAsia" w:ascii="宋体" w:hAnsi="宋体" w:eastAsia="宋体" w:cs="宋体"/>
                <w:sz w:val="21"/>
                <w:szCs w:val="21"/>
                <w:lang w:val="en-US" w:eastAsia="zh-CN" w:bidi="en-US"/>
              </w:rPr>
              <w:t xml:space="preserve">3.1 </w:t>
            </w:r>
            <w:r>
              <w:rPr>
                <w:rFonts w:ascii="宋体" w:hAnsi="宋体" w:eastAsia="宋体" w:cs="宋体"/>
                <w:sz w:val="21"/>
                <w:szCs w:val="21"/>
                <w:lang w:val="en-US" w:eastAsia="en-US" w:bidi="en-US"/>
              </w:rPr>
              <w:t>公示要求</w:t>
            </w:r>
          </w:p>
        </w:tc>
        <w:tc>
          <w:tcPr>
            <w:tcW w:w="2406" w:type="pct"/>
            <w:vAlign w:val="center"/>
          </w:tcPr>
          <w:p>
            <w:pPr>
              <w:pStyle w:val="7"/>
              <w:keepNext w:val="0"/>
              <w:keepLines w:val="0"/>
              <w:pageBreakBefore w:val="0"/>
              <w:widowControl w:val="0"/>
              <w:numPr>
                <w:ilvl w:val="0"/>
                <w:numId w:val="0"/>
              </w:numPr>
              <w:tabs>
                <w:tab w:val="left" w:pos="847"/>
                <w:tab w:val="left" w:pos="848"/>
              </w:tabs>
              <w:kinsoku/>
              <w:wordWrap/>
              <w:overflowPunct/>
              <w:topLinePunct w:val="0"/>
              <w:autoSpaceDE w:val="0"/>
              <w:autoSpaceDN w:val="0"/>
              <w:bidi w:val="0"/>
              <w:adjustRightInd/>
              <w:snapToGrid/>
              <w:spacing w:before="0" w:after="0" w:line="320" w:lineRule="exact"/>
              <w:ind w:leftChars="0" w:right="0"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 xml:space="preserve">3.1.1 </w:t>
            </w:r>
            <w:r>
              <w:rPr>
                <w:rFonts w:ascii="宋体" w:hAnsi="宋体" w:eastAsia="宋体" w:cs="宋体"/>
                <w:sz w:val="21"/>
                <w:szCs w:val="21"/>
                <w:lang w:val="en-US" w:eastAsia="en-US" w:bidi="en-US"/>
              </w:rPr>
              <w:t>各部门负责对本部门形成的检查结果进行审核，并对其合法性、准确性和真实性负责。</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 xml:space="preserve">3.1.2 </w:t>
            </w:r>
            <w:r>
              <w:rPr>
                <w:rFonts w:ascii="宋体" w:hAnsi="宋体" w:eastAsia="宋体" w:cs="宋体"/>
                <w:sz w:val="21"/>
                <w:szCs w:val="21"/>
                <w:lang w:val="en-US" w:eastAsia="en-US" w:bidi="en-US"/>
              </w:rPr>
              <w:t>各部门应在检查结束之日起 20 个工作日内，经</w:t>
            </w:r>
            <w:r>
              <w:rPr>
                <w:rFonts w:hint="eastAsia" w:cs="宋体"/>
                <w:sz w:val="21"/>
                <w:szCs w:val="21"/>
                <w:lang w:val="en-US" w:eastAsia="zh-CN" w:bidi="en-US"/>
              </w:rPr>
              <w:t>审核人员</w:t>
            </w:r>
            <w:r>
              <w:rPr>
                <w:rFonts w:ascii="宋体" w:hAnsi="宋体" w:eastAsia="宋体" w:cs="宋体"/>
                <w:sz w:val="21"/>
                <w:szCs w:val="21"/>
                <w:lang w:val="en-US" w:eastAsia="en-US" w:bidi="en-US"/>
              </w:rPr>
              <w:t>审核签名确认后，将检查结果</w:t>
            </w:r>
            <w:r>
              <w:rPr>
                <w:rFonts w:hint="eastAsia" w:ascii="宋体" w:hAnsi="宋体" w:eastAsia="宋体" w:cs="宋体"/>
                <w:sz w:val="21"/>
                <w:szCs w:val="21"/>
                <w:lang w:val="en-US" w:eastAsia="zh-CN" w:bidi="en-US"/>
              </w:rPr>
              <w:t>录入省级</w:t>
            </w:r>
            <w:r>
              <w:rPr>
                <w:rFonts w:ascii="宋体" w:hAnsi="宋体" w:eastAsia="宋体" w:cs="宋体"/>
                <w:sz w:val="21"/>
                <w:szCs w:val="21"/>
                <w:lang w:val="en-US" w:eastAsia="en-US" w:bidi="en-US"/>
              </w:rPr>
              <w:t>平台并</w:t>
            </w:r>
            <w:r>
              <w:rPr>
                <w:rFonts w:hint="eastAsia" w:cs="宋体"/>
                <w:sz w:val="21"/>
                <w:szCs w:val="21"/>
                <w:lang w:val="en-US" w:eastAsia="zh-CN" w:bidi="en-US"/>
              </w:rPr>
              <w:t>公示。</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 xml:space="preserve">3.1.3 </w:t>
            </w:r>
            <w:r>
              <w:rPr>
                <w:rFonts w:ascii="宋体" w:hAnsi="宋体" w:eastAsia="宋体" w:cs="宋体"/>
                <w:sz w:val="21"/>
                <w:szCs w:val="21"/>
                <w:lang w:val="en-US" w:eastAsia="en-US" w:bidi="en-US"/>
              </w:rPr>
              <w:t>部门联合抽查，检查小组成员单位在检查结果作出后 20 个工作日内，</w:t>
            </w:r>
            <w:r>
              <w:rPr>
                <w:rFonts w:hint="eastAsia" w:ascii="宋体" w:hAnsi="宋体" w:eastAsia="宋体" w:cs="宋体"/>
                <w:sz w:val="21"/>
                <w:szCs w:val="21"/>
                <w:lang w:val="en-US" w:eastAsia="zh-CN" w:bidi="en-US"/>
              </w:rPr>
              <w:t>将抽查结果</w:t>
            </w:r>
            <w:r>
              <w:rPr>
                <w:rFonts w:ascii="宋体" w:hAnsi="宋体" w:eastAsia="宋体" w:cs="宋体"/>
                <w:sz w:val="21"/>
                <w:szCs w:val="21"/>
                <w:lang w:val="en-US" w:eastAsia="en-US" w:bidi="en-US"/>
              </w:rPr>
              <w:t>录入</w:t>
            </w:r>
            <w:r>
              <w:rPr>
                <w:rFonts w:hint="eastAsia" w:ascii="宋体" w:hAnsi="宋体" w:eastAsia="宋体" w:cs="宋体"/>
                <w:sz w:val="21"/>
                <w:szCs w:val="21"/>
                <w:lang w:val="en-US" w:eastAsia="zh-CN" w:bidi="en-US"/>
              </w:rPr>
              <w:t>省级</w:t>
            </w:r>
            <w:r>
              <w:rPr>
                <w:rFonts w:ascii="宋体" w:hAnsi="宋体" w:eastAsia="宋体" w:cs="宋体"/>
                <w:sz w:val="21"/>
                <w:szCs w:val="21"/>
                <w:lang w:val="en-US" w:eastAsia="en-US" w:bidi="en-US"/>
              </w:rPr>
              <w:t>平台并</w:t>
            </w:r>
            <w:r>
              <w:rPr>
                <w:rFonts w:hint="eastAsia" w:cs="宋体"/>
                <w:sz w:val="21"/>
                <w:szCs w:val="21"/>
                <w:lang w:val="en-US" w:eastAsia="zh-CN" w:bidi="en-US"/>
              </w:rPr>
              <w:t>公示</w:t>
            </w:r>
            <w:r>
              <w:rPr>
                <w:rFonts w:ascii="宋体" w:hAnsi="宋体" w:eastAsia="宋体" w:cs="宋体"/>
                <w:sz w:val="21"/>
                <w:szCs w:val="21"/>
                <w:lang w:val="en-US" w:eastAsia="en-US" w:bidi="en-US"/>
              </w:rPr>
              <w:t>。</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ascii="宋体" w:hAnsi="宋体" w:eastAsia="宋体" w:cs="宋体"/>
                <w:sz w:val="21"/>
                <w:szCs w:val="21"/>
                <w:lang w:val="en-US" w:eastAsia="en-US" w:bidi="en-US"/>
              </w:rPr>
            </w:pPr>
            <w:r>
              <w:rPr>
                <w:rFonts w:hint="eastAsia" w:cs="宋体"/>
                <w:sz w:val="21"/>
                <w:szCs w:val="21"/>
                <w:lang w:val="en-US" w:eastAsia="zh-CN" w:bidi="en-US"/>
              </w:rPr>
              <w:t xml:space="preserve">3.1.4 </w:t>
            </w:r>
            <w:r>
              <w:rPr>
                <w:rFonts w:ascii="宋体" w:hAnsi="宋体" w:eastAsia="宋体" w:cs="宋体"/>
                <w:sz w:val="21"/>
                <w:szCs w:val="21"/>
                <w:lang w:val="en-US" w:eastAsia="en-US" w:bidi="en-US"/>
              </w:rPr>
              <w:t>各部门的检查表、现场检查笔录、相关法律文书和证据材料等，由各部门各自归档。</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3.1.</w:t>
            </w:r>
            <w:r>
              <w:rPr>
                <w:rFonts w:hint="eastAsia" w:cs="宋体"/>
                <w:sz w:val="21"/>
                <w:szCs w:val="21"/>
                <w:lang w:val="en-US" w:eastAsia="zh-CN" w:bidi="en-US"/>
              </w:rPr>
              <w:t>5</w:t>
            </w:r>
            <w:r>
              <w:rPr>
                <w:rFonts w:hint="eastAsia" w:ascii="宋体" w:hAnsi="宋体" w:eastAsia="宋体" w:cs="宋体"/>
                <w:sz w:val="21"/>
                <w:szCs w:val="21"/>
                <w:lang w:val="en-US" w:eastAsia="zh-CN" w:bidi="en-US"/>
              </w:rPr>
              <w:t xml:space="preserve"> </w:t>
            </w:r>
            <w:r>
              <w:rPr>
                <w:rFonts w:ascii="宋体" w:hAnsi="宋体" w:eastAsia="宋体" w:cs="宋体"/>
                <w:sz w:val="21"/>
                <w:szCs w:val="21"/>
                <w:lang w:val="en-US" w:eastAsia="en-US" w:bidi="en-US"/>
              </w:rPr>
              <w:t>被检查对象对检查结果有异议的，应当自检查结果公示之日起 60 日内，向检查部门提交书面申请和相关证明材料，检查部门在收到申请材料之日起 20 个工作日内组织复查，经复查确有错误的，应按规定予以及时更正，无错误的予以维持；复查情况自作出复查结果之日起 15 个工作日内反馈。</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3.1.</w:t>
            </w:r>
            <w:r>
              <w:rPr>
                <w:rFonts w:hint="eastAsia" w:cs="宋体"/>
                <w:sz w:val="21"/>
                <w:szCs w:val="21"/>
                <w:lang w:val="en-US" w:eastAsia="zh-CN" w:bidi="en-US"/>
              </w:rPr>
              <w:t>6</w:t>
            </w:r>
            <w:r>
              <w:rPr>
                <w:rFonts w:hint="eastAsia" w:ascii="宋体" w:hAnsi="宋体" w:eastAsia="宋体" w:cs="宋体"/>
                <w:sz w:val="21"/>
                <w:szCs w:val="21"/>
                <w:lang w:val="en-US" w:eastAsia="zh-CN" w:bidi="en-US"/>
              </w:rPr>
              <w:t xml:space="preserve"> </w:t>
            </w:r>
            <w:r>
              <w:rPr>
                <w:rFonts w:ascii="宋体" w:hAnsi="宋体" w:eastAsia="宋体" w:cs="宋体"/>
                <w:sz w:val="21"/>
                <w:szCs w:val="21"/>
                <w:lang w:val="en-US" w:eastAsia="en-US" w:bidi="en-US"/>
              </w:rPr>
              <w:t>除涉及国家秘密、商业秘密或个人隐私，并经相应程序批准后不予公开的以外，检查结果应向社会公开。检查结果一经公开不得擅自更改。</w:t>
            </w:r>
          </w:p>
          <w:p>
            <w:pPr>
              <w:pStyle w:val="7"/>
              <w:keepNext w:val="0"/>
              <w:keepLines w:val="0"/>
              <w:pageBreakBefore w:val="0"/>
              <w:widowControl w:val="0"/>
              <w:numPr>
                <w:ilvl w:val="0"/>
                <w:numId w:val="0"/>
              </w:numPr>
              <w:tabs>
                <w:tab w:val="left" w:pos="847"/>
                <w:tab w:val="left" w:pos="848"/>
              </w:tabs>
              <w:kinsoku/>
              <w:wordWrap/>
              <w:overflowPunct/>
              <w:topLinePunct w:val="0"/>
              <w:autoSpaceDE w:val="0"/>
              <w:autoSpaceDN w:val="0"/>
              <w:bidi w:val="0"/>
              <w:adjustRightInd/>
              <w:snapToGrid/>
              <w:spacing w:before="0" w:after="0" w:line="320" w:lineRule="exact"/>
              <w:ind w:leftChars="0" w:right="0" w:rightChars="0"/>
              <w:jc w:val="both"/>
              <w:textAlignment w:val="auto"/>
              <w:rPr>
                <w:rFonts w:ascii="宋体" w:hAnsi="宋体" w:eastAsia="宋体" w:cs="宋体"/>
                <w:sz w:val="21"/>
                <w:szCs w:val="21"/>
                <w:lang w:val="en-US" w:eastAsia="en-US" w:bidi="en-US"/>
              </w:rPr>
            </w:pPr>
            <w:r>
              <w:rPr>
                <w:rFonts w:hint="eastAsia" w:ascii="宋体" w:hAnsi="宋体" w:eastAsia="宋体" w:cs="宋体"/>
                <w:sz w:val="21"/>
                <w:szCs w:val="21"/>
                <w:lang w:val="en-US" w:eastAsia="zh-CN" w:bidi="en-US"/>
              </w:rPr>
              <w:t>3.1.</w:t>
            </w:r>
            <w:r>
              <w:rPr>
                <w:rFonts w:hint="eastAsia" w:cs="宋体"/>
                <w:sz w:val="21"/>
                <w:szCs w:val="21"/>
                <w:lang w:val="en-US" w:eastAsia="zh-CN" w:bidi="en-US"/>
              </w:rPr>
              <w:t>7</w:t>
            </w:r>
            <w:r>
              <w:rPr>
                <w:rFonts w:hint="eastAsia" w:ascii="宋体" w:hAnsi="宋体" w:eastAsia="宋体" w:cs="宋体"/>
                <w:sz w:val="21"/>
                <w:szCs w:val="21"/>
                <w:lang w:val="en-US" w:eastAsia="zh-CN" w:bidi="en-US"/>
              </w:rPr>
              <w:t xml:space="preserve"> </w:t>
            </w:r>
            <w:r>
              <w:rPr>
                <w:rFonts w:ascii="宋体" w:hAnsi="宋体" w:eastAsia="宋体" w:cs="宋体"/>
                <w:sz w:val="21"/>
                <w:szCs w:val="21"/>
                <w:lang w:val="en-US" w:eastAsia="en-US" w:bidi="en-US"/>
              </w:rPr>
              <w:t>已实施完检査但抽查结果未公</w:t>
            </w:r>
            <w:r>
              <w:rPr>
                <w:rFonts w:hint="eastAsia" w:cs="宋体"/>
                <w:sz w:val="21"/>
                <w:szCs w:val="21"/>
                <w:lang w:val="en-US" w:eastAsia="zh-CN" w:bidi="en-US"/>
              </w:rPr>
              <w:t>示</w:t>
            </w:r>
            <w:r>
              <w:rPr>
                <w:rFonts w:ascii="宋体" w:hAnsi="宋体" w:eastAsia="宋体" w:cs="宋体"/>
                <w:sz w:val="21"/>
                <w:szCs w:val="21"/>
                <w:lang w:val="en-US" w:eastAsia="en-US" w:bidi="en-US"/>
              </w:rPr>
              <w:t>的，视为未完成检查。</w:t>
            </w:r>
          </w:p>
          <w:p>
            <w:pPr>
              <w:pStyle w:val="7"/>
              <w:keepNext w:val="0"/>
              <w:keepLines w:val="0"/>
              <w:pageBreakBefore w:val="0"/>
              <w:widowControl w:val="0"/>
              <w:numPr>
                <w:ilvl w:val="0"/>
                <w:numId w:val="0"/>
              </w:numPr>
              <w:tabs>
                <w:tab w:val="left" w:pos="848"/>
              </w:tabs>
              <w:kinsoku/>
              <w:wordWrap/>
              <w:overflowPunct/>
              <w:topLinePunct w:val="0"/>
              <w:autoSpaceDE w:val="0"/>
              <w:autoSpaceDN w:val="0"/>
              <w:bidi w:val="0"/>
              <w:adjustRightInd/>
              <w:snapToGrid/>
              <w:spacing w:before="0" w:after="0" w:line="320" w:lineRule="exact"/>
              <w:ind w:leftChars="0" w:right="6" w:rightChars="0"/>
              <w:jc w:val="both"/>
              <w:textAlignment w:val="auto"/>
              <w:rPr>
                <w:rFonts w:hint="eastAsia"/>
                <w:spacing w:val="-3"/>
                <w:sz w:val="21"/>
                <w:lang w:eastAsia="zh-CN"/>
              </w:rPr>
            </w:pPr>
            <w:r>
              <w:rPr>
                <w:rFonts w:hint="eastAsia" w:ascii="宋体" w:hAnsi="宋体" w:eastAsia="宋体" w:cs="宋体"/>
                <w:sz w:val="21"/>
                <w:szCs w:val="21"/>
                <w:lang w:val="en-US" w:eastAsia="zh-CN" w:bidi="en-US"/>
              </w:rPr>
              <w:t>3.1.</w:t>
            </w:r>
            <w:r>
              <w:rPr>
                <w:rFonts w:hint="eastAsia" w:cs="宋体"/>
                <w:sz w:val="21"/>
                <w:szCs w:val="21"/>
                <w:lang w:val="en-US" w:eastAsia="zh-CN" w:bidi="en-US"/>
              </w:rPr>
              <w:t>8</w:t>
            </w:r>
            <w:r>
              <w:rPr>
                <w:rFonts w:hint="eastAsia" w:ascii="宋体" w:hAnsi="宋体" w:eastAsia="宋体" w:cs="宋体"/>
                <w:sz w:val="21"/>
                <w:szCs w:val="21"/>
                <w:lang w:val="en-US" w:eastAsia="zh-CN" w:bidi="en-US"/>
              </w:rPr>
              <w:t xml:space="preserve"> </w:t>
            </w:r>
            <w:r>
              <w:rPr>
                <w:rFonts w:ascii="宋体" w:hAnsi="宋体" w:eastAsia="宋体" w:cs="宋体"/>
                <w:sz w:val="21"/>
                <w:szCs w:val="21"/>
                <w:lang w:val="en-US" w:eastAsia="en-US" w:bidi="en-US"/>
              </w:rPr>
              <w:t>检查结果的公示只针对检查行为本身，后续对检查对象作出的列入经营异常名录、严重违法失信名单、行政处罚等监管执法结果信息</w:t>
            </w:r>
            <w:r>
              <w:rPr>
                <w:rFonts w:hint="eastAsia" w:cs="宋体"/>
                <w:sz w:val="21"/>
                <w:szCs w:val="21"/>
                <w:lang w:val="en-US" w:eastAsia="zh-CN" w:bidi="en-US"/>
              </w:rPr>
              <w:t>，</w:t>
            </w:r>
            <w:r>
              <w:rPr>
                <w:rFonts w:ascii="宋体" w:hAnsi="宋体" w:eastAsia="宋体" w:cs="宋体"/>
                <w:sz w:val="21"/>
                <w:szCs w:val="21"/>
                <w:lang w:val="en-US" w:eastAsia="en-US" w:bidi="en-US"/>
              </w:rPr>
              <w:t>应按照规定的程序作出处理后另行依法向社会公示。</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964" w:type="pct"/>
            <w:vMerge w:val="restart"/>
            <w:vAlign w:val="center"/>
          </w:tcPr>
          <w:p>
            <w:pPr>
              <w:numPr>
                <w:ilvl w:val="0"/>
                <w:numId w:val="0"/>
              </w:numPr>
              <w:ind w:leftChars="0" w:right="0" w:rightChars="0"/>
              <w:jc w:val="both"/>
              <w:rPr>
                <w:rFonts w:hint="eastAsia"/>
                <w:b/>
                <w:bCs/>
                <w:w w:val="95"/>
                <w:sz w:val="32"/>
                <w:szCs w:val="32"/>
                <w:vertAlign w:val="baseline"/>
                <w:lang w:eastAsia="zh-CN"/>
              </w:rPr>
            </w:pPr>
            <w:r>
              <w:rPr>
                <w:rFonts w:hint="eastAsia" w:cs="宋体"/>
                <w:sz w:val="21"/>
                <w:szCs w:val="21"/>
                <w:lang w:val="en-US" w:eastAsia="zh-CN" w:bidi="en-US"/>
              </w:rPr>
              <w:t>3.</w:t>
            </w:r>
            <w:r>
              <w:rPr>
                <w:rFonts w:hint="eastAsia" w:ascii="宋体" w:hAnsi="宋体" w:eastAsia="宋体" w:cs="宋体"/>
                <w:sz w:val="21"/>
                <w:szCs w:val="21"/>
                <w:lang w:val="en-US" w:eastAsia="zh-CN" w:bidi="en-US"/>
              </w:rPr>
              <w:t>抽查结果公示</w:t>
            </w:r>
          </w:p>
        </w:tc>
        <w:tc>
          <w:tcPr>
            <w:tcW w:w="968" w:type="pct"/>
            <w:vAlign w:val="center"/>
          </w:tcPr>
          <w:p>
            <w:pPr>
              <w:ind w:left="0" w:leftChars="0" w:right="0" w:rightChars="0"/>
              <w:jc w:val="both"/>
              <w:rPr>
                <w:rFonts w:hint="eastAsia"/>
                <w:b/>
                <w:bCs/>
                <w:w w:val="95"/>
                <w:sz w:val="32"/>
                <w:szCs w:val="32"/>
                <w:vertAlign w:val="baseline"/>
                <w:lang w:eastAsia="zh-CN"/>
              </w:rPr>
            </w:pPr>
            <w:r>
              <w:rPr>
                <w:rFonts w:hint="eastAsia" w:ascii="宋体" w:hAnsi="宋体" w:eastAsia="宋体" w:cs="宋体"/>
                <w:sz w:val="21"/>
                <w:szCs w:val="21"/>
                <w:lang w:val="en-US" w:eastAsia="zh-CN" w:bidi="en-US"/>
              </w:rPr>
              <w:t>3.2 公示渠道</w:t>
            </w:r>
          </w:p>
        </w:tc>
        <w:tc>
          <w:tcPr>
            <w:tcW w:w="2406" w:type="pct"/>
            <w:vAlign w:val="center"/>
          </w:tcPr>
          <w:p>
            <w:pPr>
              <w:pStyle w:val="7"/>
              <w:numPr>
                <w:ilvl w:val="0"/>
                <w:numId w:val="0"/>
              </w:numPr>
              <w:tabs>
                <w:tab w:val="left" w:pos="848"/>
                <w:tab w:val="left" w:pos="5940"/>
              </w:tabs>
              <w:spacing w:before="72" w:after="0" w:line="278" w:lineRule="auto"/>
              <w:ind w:right="6" w:rightChars="0"/>
              <w:jc w:val="both"/>
              <w:rPr>
                <w:sz w:val="21"/>
              </w:rPr>
            </w:pPr>
            <w:r>
              <w:rPr>
                <w:rFonts w:hint="eastAsia"/>
                <w:spacing w:val="-3"/>
                <w:sz w:val="21"/>
                <w:lang w:val="en-US" w:eastAsia="zh-CN"/>
              </w:rPr>
              <w:t xml:space="preserve">3.2.1 </w:t>
            </w:r>
            <w:r>
              <w:rPr>
                <w:spacing w:val="-3"/>
                <w:sz w:val="21"/>
              </w:rPr>
              <w:t>“双随机、一公开”抽查检查结果录入</w:t>
            </w:r>
            <w:r>
              <w:rPr>
                <w:rFonts w:hint="eastAsia"/>
                <w:spacing w:val="-3"/>
                <w:sz w:val="21"/>
                <w:lang w:eastAsia="zh-CN"/>
              </w:rPr>
              <w:t>省级</w:t>
            </w:r>
            <w:r>
              <w:rPr>
                <w:spacing w:val="-3"/>
                <w:sz w:val="21"/>
              </w:rPr>
              <w:t>平台审核通过后，由平台自动推送至国家企业</w:t>
            </w:r>
            <w:r>
              <w:rPr>
                <w:spacing w:val="-5"/>
                <w:sz w:val="21"/>
              </w:rPr>
              <w:t>信用信息公示系统</w:t>
            </w:r>
            <w:r>
              <w:rPr>
                <w:spacing w:val="-3"/>
                <w:sz w:val="21"/>
              </w:rPr>
              <w:t>（</w:t>
            </w:r>
            <w:r>
              <w:rPr>
                <w:rFonts w:hint="eastAsia"/>
                <w:spacing w:val="-2"/>
                <w:sz w:val="21"/>
                <w:lang w:eastAsia="zh-CN"/>
              </w:rPr>
              <w:t>湖南</w:t>
            </w:r>
            <w:r>
              <w:rPr>
                <w:spacing w:val="-17"/>
                <w:sz w:val="21"/>
              </w:rPr>
              <w:t>）</w:t>
            </w:r>
            <w:r>
              <w:rPr>
                <w:spacing w:val="-10"/>
                <w:sz w:val="21"/>
              </w:rPr>
              <w:t>、</w:t>
            </w:r>
            <w:r>
              <w:rPr>
                <w:rFonts w:hint="eastAsia"/>
                <w:b w:val="0"/>
                <w:bCs w:val="0"/>
                <w:spacing w:val="-3"/>
                <w:lang w:eastAsia="zh-CN"/>
              </w:rPr>
              <w:t>全国信用共享平台</w:t>
            </w:r>
            <w:r>
              <w:rPr>
                <w:spacing w:val="-10"/>
                <w:sz w:val="21"/>
              </w:rPr>
              <w:t>等信用信息公示平台公示。</w:t>
            </w:r>
          </w:p>
          <w:p>
            <w:pPr>
              <w:pStyle w:val="7"/>
              <w:numPr>
                <w:ilvl w:val="0"/>
                <w:numId w:val="0"/>
              </w:numPr>
              <w:tabs>
                <w:tab w:val="left" w:pos="848"/>
              </w:tabs>
              <w:spacing w:before="0" w:after="0" w:line="278" w:lineRule="auto"/>
              <w:ind w:right="6" w:rightChars="0"/>
              <w:jc w:val="both"/>
              <w:rPr>
                <w:rFonts w:hint="eastAsia"/>
                <w:b/>
                <w:bCs/>
                <w:w w:val="95"/>
                <w:sz w:val="32"/>
                <w:szCs w:val="32"/>
                <w:vertAlign w:val="baseline"/>
                <w:lang w:eastAsia="zh-CN"/>
              </w:rPr>
            </w:pPr>
            <w:r>
              <w:rPr>
                <w:rFonts w:hint="eastAsia"/>
                <w:spacing w:val="-3"/>
                <w:sz w:val="21"/>
                <w:lang w:val="en-US" w:eastAsia="zh-CN"/>
              </w:rPr>
              <w:t xml:space="preserve">3.2.2 </w:t>
            </w:r>
            <w:r>
              <w:rPr>
                <w:spacing w:val="-3"/>
                <w:sz w:val="21"/>
              </w:rPr>
              <w:t>通过国家企业信用信息公示系统</w:t>
            </w:r>
            <w:r>
              <w:rPr>
                <w:sz w:val="21"/>
              </w:rPr>
              <w:t>（</w:t>
            </w:r>
            <w:r>
              <w:rPr>
                <w:rFonts w:hint="eastAsia"/>
                <w:sz w:val="21"/>
                <w:lang w:eastAsia="zh-CN"/>
              </w:rPr>
              <w:t>湖南</w:t>
            </w:r>
            <w:r>
              <w:rPr>
                <w:sz w:val="21"/>
              </w:rPr>
              <w:t>）</w:t>
            </w:r>
            <w:r>
              <w:rPr>
                <w:spacing w:val="-3"/>
                <w:sz w:val="21"/>
              </w:rPr>
              <w:t>、</w:t>
            </w:r>
            <w:r>
              <w:rPr>
                <w:rFonts w:hint="eastAsia"/>
                <w:b w:val="0"/>
                <w:bCs w:val="0"/>
                <w:spacing w:val="-3"/>
                <w:lang w:eastAsia="zh-CN"/>
              </w:rPr>
              <w:t>全国信用共享平台</w:t>
            </w:r>
            <w:r>
              <w:rPr>
                <w:spacing w:val="-3"/>
                <w:sz w:val="21"/>
              </w:rPr>
              <w:t>的对接整合，实现数据同步，抽查</w:t>
            </w:r>
            <w:r>
              <w:rPr>
                <w:rFonts w:hint="eastAsia"/>
                <w:spacing w:val="-3"/>
                <w:sz w:val="21"/>
                <w:lang w:eastAsia="zh-CN"/>
              </w:rPr>
              <w:t>数据与“互联网</w:t>
            </w:r>
            <w:r>
              <w:rPr>
                <w:rFonts w:hint="eastAsia"/>
                <w:spacing w:val="-3"/>
                <w:sz w:val="21"/>
                <w:lang w:val="en-US" w:eastAsia="zh-CN"/>
              </w:rPr>
              <w:t>+</w:t>
            </w:r>
            <w:r>
              <w:rPr>
                <w:spacing w:val="-3"/>
                <w:sz w:val="21"/>
              </w:rPr>
              <w:t>监管</w:t>
            </w:r>
            <w:r>
              <w:rPr>
                <w:rFonts w:hint="eastAsia"/>
                <w:spacing w:val="-3"/>
                <w:sz w:val="21"/>
                <w:lang w:eastAsia="zh-CN"/>
              </w:rPr>
              <w:t>”</w:t>
            </w:r>
            <w:r>
              <w:rPr>
                <w:spacing w:val="-3"/>
                <w:sz w:val="21"/>
              </w:rPr>
              <w:t>工作平台</w:t>
            </w:r>
            <w:r>
              <w:rPr>
                <w:rFonts w:hint="eastAsia"/>
                <w:spacing w:val="-3"/>
                <w:sz w:val="21"/>
                <w:lang w:eastAsia="zh-CN"/>
              </w:rPr>
              <w:t>互通</w:t>
            </w:r>
            <w:r>
              <w:rPr>
                <w:spacing w:val="-3"/>
                <w:sz w:val="21"/>
              </w:rPr>
              <w:t>。</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ind w:left="0" w:leftChars="0" w:right="0" w:rightChars="0"/>
              <w:jc w:val="both"/>
              <w:rPr>
                <w:rFonts w:hint="eastAsia"/>
                <w:b/>
                <w:bCs/>
                <w:w w:val="95"/>
                <w:sz w:val="32"/>
                <w:szCs w:val="32"/>
                <w:vertAlign w:val="baseline"/>
                <w:lang w:eastAsia="zh-CN"/>
              </w:rPr>
            </w:pPr>
            <w:r>
              <w:rPr>
                <w:rFonts w:hint="eastAsia"/>
                <w:spacing w:val="-3"/>
                <w:sz w:val="21"/>
                <w:lang w:val="en-US" w:eastAsia="zh-CN"/>
              </w:rPr>
              <w:t xml:space="preserve">3.3 </w:t>
            </w:r>
            <w:r>
              <w:rPr>
                <w:spacing w:val="-3"/>
                <w:sz w:val="21"/>
              </w:rPr>
              <w:t>检查结果公示表述</w:t>
            </w:r>
          </w:p>
        </w:tc>
        <w:tc>
          <w:tcPr>
            <w:tcW w:w="2406" w:type="pct"/>
            <w:vAlign w:val="center"/>
          </w:tcPr>
          <w:p>
            <w:pPr>
              <w:pStyle w:val="7"/>
              <w:numPr>
                <w:ilvl w:val="0"/>
                <w:numId w:val="0"/>
              </w:numPr>
              <w:tabs>
                <w:tab w:val="left" w:pos="847"/>
                <w:tab w:val="left" w:pos="848"/>
              </w:tabs>
              <w:spacing w:before="72" w:after="0" w:line="240" w:lineRule="auto"/>
              <w:ind w:right="0" w:rightChars="0"/>
              <w:jc w:val="both"/>
              <w:rPr>
                <w:sz w:val="21"/>
              </w:rPr>
            </w:pPr>
            <w:r>
              <w:rPr>
                <w:spacing w:val="-3"/>
                <w:sz w:val="21"/>
              </w:rPr>
              <w:t>按照检查对象的检查结果，公示结果分别采用以下规范化表述：</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2"/>
                <w:sz w:val="21"/>
                <w:lang w:val="en-US" w:eastAsia="zh-CN"/>
              </w:rPr>
              <w:t xml:space="preserve">3.3.1 </w:t>
            </w:r>
            <w:r>
              <w:rPr>
                <w:spacing w:val="-2"/>
                <w:sz w:val="21"/>
              </w:rPr>
              <w:t>未发现问题</w:t>
            </w:r>
            <w:r>
              <w:rPr>
                <w:rFonts w:hint="eastAsia"/>
                <w:spacing w:val="-2"/>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2"/>
                <w:sz w:val="21"/>
                <w:lang w:val="en-US" w:eastAsia="zh-CN"/>
              </w:rPr>
              <w:t xml:space="preserve">3.3.2 </w:t>
            </w:r>
            <w:r>
              <w:rPr>
                <w:spacing w:val="-3"/>
                <w:sz w:val="21"/>
              </w:rPr>
              <w:t>未按规定公示</w:t>
            </w:r>
            <w:r>
              <w:rPr>
                <w:rFonts w:hint="eastAsia"/>
                <w:spacing w:val="-3"/>
                <w:sz w:val="21"/>
                <w:lang w:eastAsia="zh-CN"/>
              </w:rPr>
              <w:t>应当公示的</w:t>
            </w:r>
            <w:r>
              <w:rPr>
                <w:spacing w:val="-3"/>
                <w:sz w:val="21"/>
              </w:rPr>
              <w:t>信息</w:t>
            </w:r>
            <w:r>
              <w:rPr>
                <w:rFonts w:hint="eastAsia"/>
                <w:spacing w:val="-3"/>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2"/>
                <w:sz w:val="21"/>
                <w:lang w:val="en-US" w:eastAsia="zh-CN"/>
              </w:rPr>
              <w:t xml:space="preserve">3.3.3 </w:t>
            </w:r>
            <w:r>
              <w:rPr>
                <w:spacing w:val="-3"/>
                <w:sz w:val="21"/>
              </w:rPr>
              <w:t>公示信息隐瞒真实情况弄虚作假</w:t>
            </w:r>
            <w:r>
              <w:rPr>
                <w:rFonts w:hint="eastAsia"/>
                <w:spacing w:val="-3"/>
                <w:sz w:val="21"/>
                <w:lang w:eastAsia="zh-CN"/>
              </w:rPr>
              <w:t>。</w:t>
            </w:r>
          </w:p>
          <w:p>
            <w:pPr>
              <w:pStyle w:val="7"/>
              <w:numPr>
                <w:ilvl w:val="0"/>
                <w:numId w:val="0"/>
              </w:numPr>
              <w:tabs>
                <w:tab w:val="left" w:pos="965"/>
                <w:tab w:val="left" w:pos="966"/>
              </w:tabs>
              <w:spacing w:before="43" w:after="0" w:line="240" w:lineRule="auto"/>
              <w:ind w:right="0" w:rightChars="0"/>
              <w:jc w:val="both"/>
              <w:rPr>
                <w:sz w:val="21"/>
              </w:rPr>
            </w:pPr>
            <w:r>
              <w:rPr>
                <w:rFonts w:hint="eastAsia"/>
                <w:spacing w:val="-2"/>
                <w:sz w:val="21"/>
                <w:lang w:val="en-US" w:eastAsia="zh-CN"/>
              </w:rPr>
              <w:t xml:space="preserve">3.3.4 </w:t>
            </w:r>
            <w:r>
              <w:rPr>
                <w:spacing w:val="-3"/>
                <w:sz w:val="21"/>
              </w:rPr>
              <w:t>通过登记住所(经营场所）</w:t>
            </w:r>
            <w:r>
              <w:rPr>
                <w:spacing w:val="-1"/>
                <w:sz w:val="21"/>
              </w:rPr>
              <w:t>无法联系</w:t>
            </w:r>
            <w:r>
              <w:rPr>
                <w:rFonts w:hint="eastAsia"/>
                <w:spacing w:val="-1"/>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3"/>
                <w:sz w:val="21"/>
                <w:lang w:val="en-US" w:eastAsia="zh-CN"/>
              </w:rPr>
              <w:t xml:space="preserve">3.3.5 </w:t>
            </w:r>
            <w:r>
              <w:rPr>
                <w:spacing w:val="-3"/>
                <w:sz w:val="21"/>
              </w:rPr>
              <w:t>发现问题已责令改正</w:t>
            </w:r>
            <w:r>
              <w:rPr>
                <w:rFonts w:hint="eastAsia"/>
                <w:spacing w:val="-3"/>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3"/>
                <w:sz w:val="21"/>
                <w:lang w:val="en-US" w:eastAsia="zh-CN"/>
              </w:rPr>
              <w:t xml:space="preserve">3.3.6 </w:t>
            </w:r>
            <w:r>
              <w:rPr>
                <w:spacing w:val="-3"/>
                <w:sz w:val="21"/>
              </w:rPr>
              <w:t>不配合检查情节严重</w:t>
            </w:r>
            <w:r>
              <w:rPr>
                <w:rFonts w:hint="eastAsia"/>
                <w:spacing w:val="-3"/>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sz w:val="21"/>
                <w:lang w:eastAsia="zh-CN"/>
              </w:rPr>
            </w:pPr>
            <w:r>
              <w:rPr>
                <w:rFonts w:hint="eastAsia"/>
                <w:spacing w:val="-3"/>
                <w:sz w:val="21"/>
                <w:lang w:val="en-US" w:eastAsia="zh-CN"/>
              </w:rPr>
              <w:t xml:space="preserve">3.3.7 </w:t>
            </w:r>
            <w:r>
              <w:rPr>
                <w:spacing w:val="-3"/>
                <w:sz w:val="21"/>
              </w:rPr>
              <w:t>未发现开展本次抽査涉及的经营活动</w:t>
            </w:r>
            <w:r>
              <w:rPr>
                <w:rFonts w:hint="eastAsia"/>
                <w:spacing w:val="-3"/>
                <w:sz w:val="21"/>
                <w:lang w:eastAsia="zh-CN"/>
              </w:rPr>
              <w:t>。</w:t>
            </w:r>
          </w:p>
          <w:p>
            <w:pPr>
              <w:pStyle w:val="7"/>
              <w:numPr>
                <w:ilvl w:val="0"/>
                <w:numId w:val="0"/>
              </w:numPr>
              <w:tabs>
                <w:tab w:val="left" w:pos="965"/>
                <w:tab w:val="left" w:pos="966"/>
              </w:tabs>
              <w:spacing w:before="43" w:after="0" w:line="240" w:lineRule="auto"/>
              <w:ind w:right="0" w:rightChars="0"/>
              <w:jc w:val="both"/>
              <w:rPr>
                <w:rFonts w:hint="eastAsia" w:eastAsia="宋体"/>
                <w:b/>
                <w:bCs/>
                <w:w w:val="95"/>
                <w:sz w:val="32"/>
                <w:szCs w:val="32"/>
                <w:vertAlign w:val="baseline"/>
                <w:lang w:eastAsia="zh-CN"/>
              </w:rPr>
            </w:pPr>
            <w:r>
              <w:rPr>
                <w:rFonts w:hint="eastAsia"/>
                <w:spacing w:val="-3"/>
                <w:sz w:val="21"/>
                <w:lang w:val="en-US" w:eastAsia="zh-CN"/>
              </w:rPr>
              <w:t xml:space="preserve">3.3.8 </w:t>
            </w:r>
            <w:r>
              <w:rPr>
                <w:spacing w:val="-3"/>
                <w:sz w:val="21"/>
              </w:rPr>
              <w:t>发现问题待后续处理</w:t>
            </w:r>
            <w:r>
              <w:rPr>
                <w:rFonts w:hint="eastAsia"/>
                <w:spacing w:val="-3"/>
                <w:sz w:val="21"/>
                <w:lang w:eastAsia="zh-CN"/>
              </w:rPr>
              <w:t>。</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964" w:type="pct"/>
            <w:vMerge w:val="continue"/>
            <w:vAlign w:val="center"/>
          </w:tcPr>
          <w:p>
            <w:pPr>
              <w:ind w:left="0" w:leftChars="0" w:right="0" w:rightChars="0"/>
              <w:jc w:val="center"/>
              <w:rPr>
                <w:rFonts w:hint="eastAsia"/>
                <w:b/>
                <w:bCs/>
                <w:w w:val="95"/>
                <w:sz w:val="32"/>
                <w:szCs w:val="32"/>
                <w:vertAlign w:val="baseline"/>
                <w:lang w:eastAsia="zh-CN"/>
              </w:rPr>
            </w:pPr>
          </w:p>
        </w:tc>
        <w:tc>
          <w:tcPr>
            <w:tcW w:w="968" w:type="pct"/>
            <w:vAlign w:val="center"/>
          </w:tcPr>
          <w:p>
            <w:pPr>
              <w:ind w:left="0" w:leftChars="0" w:right="0" w:rightChars="0"/>
              <w:jc w:val="both"/>
              <w:rPr>
                <w:rFonts w:hint="eastAsia"/>
                <w:spacing w:val="-3"/>
                <w:sz w:val="21"/>
                <w:lang w:val="en-US" w:eastAsia="zh-CN"/>
              </w:rPr>
            </w:pPr>
            <w:r>
              <w:rPr>
                <w:rFonts w:hint="eastAsia"/>
                <w:spacing w:val="-3"/>
                <w:sz w:val="21"/>
                <w:lang w:val="en-US" w:eastAsia="zh-CN"/>
              </w:rPr>
              <w:t xml:space="preserve">3.4 </w:t>
            </w:r>
            <w:r>
              <w:rPr>
                <w:spacing w:val="-3"/>
                <w:sz w:val="21"/>
              </w:rPr>
              <w:t>检查结果公示表述认定规则</w:t>
            </w:r>
          </w:p>
        </w:tc>
        <w:tc>
          <w:tcPr>
            <w:tcW w:w="2406" w:type="pct"/>
            <w:vAlign w:val="center"/>
          </w:tcPr>
          <w:p>
            <w:pPr>
              <w:pStyle w:val="7"/>
              <w:numPr>
                <w:ilvl w:val="0"/>
                <w:numId w:val="0"/>
              </w:numPr>
              <w:tabs>
                <w:tab w:val="left" w:pos="1133"/>
                <w:tab w:val="left" w:pos="1134"/>
              </w:tabs>
              <w:spacing w:before="72" w:after="0" w:line="240" w:lineRule="auto"/>
              <w:ind w:right="0" w:rightChars="0"/>
              <w:jc w:val="both"/>
            </w:pPr>
            <w:r>
              <w:rPr>
                <w:rFonts w:hint="eastAsia"/>
                <w:spacing w:val="-1"/>
                <w:sz w:val="21"/>
                <w:lang w:val="en-US" w:eastAsia="zh-CN"/>
              </w:rPr>
              <w:t xml:space="preserve">3.4.1 </w:t>
            </w:r>
            <w:r>
              <w:rPr>
                <w:spacing w:val="-1"/>
                <w:sz w:val="21"/>
              </w:rPr>
              <w:t>未发现问题</w:t>
            </w:r>
            <w:r>
              <w:rPr>
                <w:rFonts w:hint="eastAsia"/>
                <w:spacing w:val="-1"/>
                <w:sz w:val="21"/>
                <w:lang w:eastAsia="zh-CN"/>
              </w:rPr>
              <w:t>。</w:t>
            </w:r>
            <w:r>
              <w:t>通过抽查所匹配的抽查事项的检查，未发现违反本指引所列法律法规的，可认定为“未发现问题”。</w:t>
            </w:r>
          </w:p>
          <w:p>
            <w:pPr>
              <w:pStyle w:val="7"/>
              <w:numPr>
                <w:ilvl w:val="0"/>
                <w:numId w:val="0"/>
              </w:numPr>
              <w:tabs>
                <w:tab w:val="left" w:pos="1133"/>
                <w:tab w:val="left" w:pos="1134"/>
              </w:tabs>
              <w:spacing w:before="0" w:after="0" w:line="240" w:lineRule="auto"/>
              <w:ind w:right="0" w:rightChars="0"/>
              <w:jc w:val="both"/>
              <w:rPr>
                <w:rFonts w:hint="eastAsia"/>
                <w:spacing w:val="-3"/>
                <w:sz w:val="21"/>
                <w:lang w:val="en-US" w:eastAsia="zh-CN"/>
              </w:rPr>
            </w:pPr>
            <w:r>
              <w:rPr>
                <w:rFonts w:hint="eastAsia"/>
                <w:spacing w:val="-3"/>
                <w:sz w:val="21"/>
                <w:lang w:val="en-US" w:eastAsia="zh-CN"/>
              </w:rPr>
              <w:t xml:space="preserve">3.4.2 </w:t>
            </w:r>
            <w:r>
              <w:rPr>
                <w:spacing w:val="-3"/>
                <w:sz w:val="21"/>
              </w:rPr>
              <w:t>未按规定公示</w:t>
            </w:r>
            <w:r>
              <w:rPr>
                <w:rFonts w:hint="eastAsia"/>
                <w:spacing w:val="-3"/>
                <w:sz w:val="21"/>
                <w:lang w:eastAsia="zh-CN"/>
              </w:rPr>
              <w:t>应当公示的</w:t>
            </w:r>
            <w:r>
              <w:rPr>
                <w:spacing w:val="-3"/>
                <w:sz w:val="21"/>
              </w:rPr>
              <w:t>信息</w:t>
            </w:r>
            <w:r>
              <w:rPr>
                <w:rFonts w:hint="eastAsia"/>
                <w:spacing w:val="-3"/>
                <w:sz w:val="21"/>
                <w:lang w:eastAsia="zh-CN"/>
              </w:rPr>
              <w:t>。</w:t>
            </w:r>
            <w:r>
              <w:rPr>
                <w:spacing w:val="-10"/>
              </w:rPr>
              <w:t>企业未依照</w:t>
            </w:r>
            <w:r>
              <w:rPr>
                <w:rFonts w:hint="eastAsia"/>
                <w:spacing w:val="-10"/>
                <w:lang w:eastAsia="zh-CN"/>
              </w:rPr>
              <w:t>相关</w:t>
            </w:r>
            <w:r>
              <w:rPr>
                <w:spacing w:val="-10"/>
              </w:rPr>
              <w:t>规定履行公示义务的，应当书面责令其在</w:t>
            </w:r>
            <w:r>
              <w:t>10</w:t>
            </w:r>
            <w:r>
              <w:rPr>
                <w:spacing w:val="-3"/>
              </w:rPr>
              <w:t>日内履行公示义务。企业未在责令的期限内公示信息的，可认定为“未按规定公示应当公示的信息”。</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5" w:hRule="atLeast"/>
        </w:trPr>
        <w:tc>
          <w:tcPr>
            <w:tcW w:w="964" w:type="pct"/>
            <w:vAlign w:val="center"/>
          </w:tcPr>
          <w:p>
            <w:pPr>
              <w:pStyle w:val="7"/>
              <w:numPr>
                <w:ilvl w:val="0"/>
                <w:numId w:val="0"/>
              </w:numPr>
              <w:tabs>
                <w:tab w:val="left" w:pos="1133"/>
                <w:tab w:val="left" w:pos="1134"/>
              </w:tabs>
              <w:spacing w:before="156" w:after="0" w:line="240" w:lineRule="auto"/>
              <w:ind w:right="0" w:rightChars="0"/>
              <w:jc w:val="left"/>
              <w:rPr>
                <w:rFonts w:hint="eastAsia" w:ascii="宋体" w:hAnsi="宋体" w:eastAsia="宋体" w:cs="宋体"/>
                <w:spacing w:val="-3"/>
                <w:sz w:val="22"/>
                <w:szCs w:val="22"/>
                <w:lang w:val="en-US" w:eastAsia="zh-CN" w:bidi="en-US"/>
              </w:rPr>
            </w:pPr>
            <w:r>
              <w:rPr>
                <w:rFonts w:hint="eastAsia" w:cs="宋体"/>
                <w:sz w:val="21"/>
                <w:szCs w:val="21"/>
                <w:lang w:val="en-US" w:eastAsia="zh-CN" w:bidi="en-US"/>
              </w:rPr>
              <w:t>3.</w:t>
            </w:r>
            <w:r>
              <w:rPr>
                <w:rFonts w:hint="eastAsia" w:ascii="宋体" w:hAnsi="宋体" w:eastAsia="宋体" w:cs="宋体"/>
                <w:sz w:val="21"/>
                <w:szCs w:val="21"/>
                <w:lang w:val="en-US" w:eastAsia="zh-CN" w:bidi="en-US"/>
              </w:rPr>
              <w:t>抽查结果公示</w:t>
            </w:r>
          </w:p>
        </w:tc>
        <w:tc>
          <w:tcPr>
            <w:tcW w:w="968" w:type="pct"/>
            <w:vAlign w:val="center"/>
          </w:tcPr>
          <w:p>
            <w:pPr>
              <w:pStyle w:val="7"/>
              <w:numPr>
                <w:ilvl w:val="0"/>
                <w:numId w:val="0"/>
              </w:numPr>
              <w:tabs>
                <w:tab w:val="left" w:pos="1133"/>
                <w:tab w:val="left" w:pos="1134"/>
              </w:tabs>
              <w:spacing w:before="156" w:after="0" w:line="240" w:lineRule="auto"/>
              <w:ind w:right="0" w:rightChars="0"/>
              <w:jc w:val="left"/>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w:t>
            </w:r>
            <w:r>
              <w:rPr>
                <w:rFonts w:hint="eastAsia" w:cs="宋体"/>
                <w:spacing w:val="-3"/>
                <w:sz w:val="22"/>
                <w:szCs w:val="22"/>
                <w:lang w:val="en-US" w:eastAsia="zh-CN" w:bidi="en-US"/>
              </w:rPr>
              <w:t xml:space="preserve"> </w:t>
            </w:r>
            <w:r>
              <w:rPr>
                <w:rFonts w:hint="eastAsia" w:ascii="宋体" w:hAnsi="宋体" w:eastAsia="宋体" w:cs="宋体"/>
                <w:spacing w:val="-3"/>
                <w:sz w:val="22"/>
                <w:szCs w:val="22"/>
                <w:lang w:val="en-US" w:eastAsia="zh-CN" w:bidi="en-US"/>
              </w:rPr>
              <w:t>检查结果公示表述认定规则</w:t>
            </w:r>
          </w:p>
        </w:tc>
        <w:tc>
          <w:tcPr>
            <w:tcW w:w="2406" w:type="pct"/>
            <w:vAlign w:val="center"/>
          </w:tcPr>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360" w:lineRule="exact"/>
              <w:ind w:right="0" w:rightChars="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3.4.3 </w:t>
            </w:r>
            <w:r>
              <w:rPr>
                <w:rFonts w:ascii="宋体" w:hAnsi="宋体" w:eastAsia="宋体" w:cs="宋体"/>
                <w:spacing w:val="-3"/>
                <w:sz w:val="22"/>
                <w:szCs w:val="22"/>
                <w:lang w:val="en-US" w:eastAsia="en-US" w:bidi="en-US"/>
              </w:rPr>
              <w:t>公示信息隐瞒真实情况弄虚作假</w:t>
            </w:r>
            <w:r>
              <w:rPr>
                <w:rFonts w:hint="eastAsia" w:ascii="宋体" w:hAnsi="宋体" w:eastAsia="宋体" w:cs="宋体"/>
                <w:spacing w:val="-3"/>
                <w:sz w:val="22"/>
                <w:szCs w:val="22"/>
                <w:lang w:val="en-US" w:eastAsia="zh-CN" w:bidi="en-US"/>
              </w:rPr>
              <w:t>。</w:t>
            </w:r>
            <w:r>
              <w:rPr>
                <w:rFonts w:ascii="宋体" w:hAnsi="宋体" w:eastAsia="宋体" w:cs="宋体"/>
                <w:spacing w:val="-3"/>
                <w:sz w:val="22"/>
                <w:szCs w:val="22"/>
                <w:lang w:val="en-US" w:eastAsia="en-US" w:bidi="en-US"/>
              </w:rPr>
              <w:t>检查中发现下列公示信息与检查情况不一致的，可认定为“公示信息隐瞒真实情况弄虚作假”：</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3.4.3.1 </w:t>
            </w:r>
            <w:r>
              <w:rPr>
                <w:rFonts w:ascii="宋体" w:hAnsi="宋体" w:eastAsia="宋体" w:cs="宋体"/>
                <w:spacing w:val="-3"/>
                <w:sz w:val="22"/>
                <w:szCs w:val="22"/>
                <w:lang w:val="en-US" w:eastAsia="en-US" w:bidi="en-US"/>
              </w:rPr>
              <w:t>企业投资设立企业、购买股权信息</w:t>
            </w:r>
            <w:r>
              <w:rPr>
                <w:rFonts w:hint="eastAsia" w:ascii="宋体" w:hAnsi="宋体" w:eastAsia="宋体" w:cs="宋体"/>
                <w:spacing w:val="-3"/>
                <w:sz w:val="22"/>
                <w:szCs w:val="22"/>
                <w:lang w:val="en-US" w:eastAsia="zh-CN" w:bidi="en-US"/>
              </w:rPr>
              <w:t>。</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3.4.3.2 </w:t>
            </w:r>
            <w:r>
              <w:rPr>
                <w:rFonts w:ascii="宋体" w:hAnsi="宋体" w:eastAsia="宋体" w:cs="宋体"/>
                <w:spacing w:val="-3"/>
                <w:sz w:val="22"/>
                <w:szCs w:val="22"/>
                <w:lang w:val="en-US" w:eastAsia="en-US" w:bidi="en-US"/>
              </w:rPr>
              <w:t>股东或发起人认缴和实缴的出资额、出资时间、出资方式等信息</w:t>
            </w:r>
            <w:r>
              <w:rPr>
                <w:rFonts w:hint="eastAsia" w:ascii="宋体" w:hAnsi="宋体" w:eastAsia="宋体" w:cs="宋体"/>
                <w:spacing w:val="-3"/>
                <w:sz w:val="22"/>
                <w:szCs w:val="22"/>
                <w:lang w:val="en-US" w:eastAsia="zh-CN" w:bidi="en-US"/>
              </w:rPr>
              <w:t>。</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3.4.3.3 </w:t>
            </w:r>
            <w:r>
              <w:rPr>
                <w:rFonts w:ascii="宋体" w:hAnsi="宋体" w:eastAsia="宋体" w:cs="宋体"/>
                <w:spacing w:val="-3"/>
                <w:sz w:val="22"/>
                <w:szCs w:val="22"/>
                <w:lang w:val="en-US" w:eastAsia="en-US" w:bidi="en-US"/>
              </w:rPr>
              <w:t>有限公司股东股权转让等股权变更信息</w:t>
            </w:r>
            <w:r>
              <w:rPr>
                <w:rFonts w:hint="eastAsia" w:ascii="宋体" w:hAnsi="宋体" w:eastAsia="宋体" w:cs="宋体"/>
                <w:spacing w:val="-3"/>
                <w:sz w:val="22"/>
                <w:szCs w:val="22"/>
                <w:lang w:val="en-US" w:eastAsia="zh-CN" w:bidi="en-US"/>
              </w:rPr>
              <w:t>。</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6" w:rightChars="0" w:firstLine="428" w:firstLineChars="20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3.4.3.4 </w:t>
            </w:r>
            <w:r>
              <w:rPr>
                <w:rFonts w:ascii="宋体" w:hAnsi="宋体" w:eastAsia="宋体" w:cs="宋体"/>
                <w:spacing w:val="-3"/>
                <w:sz w:val="22"/>
                <w:szCs w:val="22"/>
                <w:lang w:val="en-US" w:eastAsia="en-US" w:bidi="en-US"/>
              </w:rPr>
              <w:t>资产总额、负债总额、所有者权益合计、营业总收入、主营业务收入、利润总额、净利润、纳税总额信息</w:t>
            </w:r>
            <w:r>
              <w:rPr>
                <w:rFonts w:hint="eastAsia" w:ascii="宋体" w:hAnsi="宋体" w:eastAsia="宋体" w:cs="宋体"/>
                <w:spacing w:val="-3"/>
                <w:sz w:val="22"/>
                <w:szCs w:val="22"/>
                <w:lang w:val="en-US" w:eastAsia="zh-CN" w:bidi="en-US"/>
              </w:rPr>
              <w:t>。</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3.4.3.5 </w:t>
            </w:r>
            <w:r>
              <w:rPr>
                <w:rFonts w:ascii="宋体" w:hAnsi="宋体" w:eastAsia="宋体" w:cs="宋体"/>
                <w:spacing w:val="-3"/>
                <w:sz w:val="22"/>
                <w:szCs w:val="22"/>
                <w:lang w:val="en-US" w:eastAsia="en-US" w:bidi="en-US"/>
              </w:rPr>
              <w:t>对外提供保证担保信息</w:t>
            </w:r>
            <w:r>
              <w:rPr>
                <w:rFonts w:hint="eastAsia" w:ascii="宋体" w:hAnsi="宋体" w:eastAsia="宋体" w:cs="宋体"/>
                <w:spacing w:val="-3"/>
                <w:sz w:val="22"/>
                <w:szCs w:val="22"/>
                <w:lang w:val="en-US" w:eastAsia="zh-CN" w:bidi="en-US"/>
              </w:rPr>
              <w:t>。</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3.4.3.6 </w:t>
            </w:r>
            <w:r>
              <w:rPr>
                <w:rFonts w:ascii="宋体" w:hAnsi="宋体" w:eastAsia="宋体" w:cs="宋体"/>
                <w:spacing w:val="-3"/>
                <w:sz w:val="22"/>
                <w:szCs w:val="22"/>
                <w:lang w:val="en-US" w:eastAsia="en-US" w:bidi="en-US"/>
              </w:rPr>
              <w:t>行政许可、行政处罚、知识产权出质登记等即时公示信息。</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360" w:lineRule="exact"/>
              <w:ind w:right="0" w:rightChars="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3.4.4 </w:t>
            </w:r>
            <w:r>
              <w:rPr>
                <w:rFonts w:ascii="宋体" w:hAnsi="宋体" w:eastAsia="宋体" w:cs="宋体"/>
                <w:spacing w:val="-3"/>
                <w:sz w:val="22"/>
                <w:szCs w:val="22"/>
                <w:lang w:val="en-US" w:eastAsia="en-US" w:bidi="en-US"/>
              </w:rPr>
              <w:t>通过登记住所(经营场所）无法联系</w:t>
            </w:r>
            <w:r>
              <w:rPr>
                <w:rFonts w:hint="eastAsia" w:ascii="宋体" w:hAnsi="宋体" w:eastAsia="宋体" w:cs="宋体"/>
                <w:spacing w:val="-3"/>
                <w:sz w:val="22"/>
                <w:szCs w:val="22"/>
                <w:lang w:val="en-US" w:eastAsia="zh-CN" w:bidi="en-US"/>
              </w:rPr>
              <w:t>。</w:t>
            </w:r>
            <w:r>
              <w:rPr>
                <w:rFonts w:ascii="宋体" w:hAnsi="宋体" w:eastAsia="宋体" w:cs="宋体"/>
                <w:spacing w:val="-3"/>
                <w:sz w:val="22"/>
                <w:szCs w:val="22"/>
                <w:lang w:val="en-US" w:eastAsia="en-US" w:bidi="en-US"/>
              </w:rPr>
              <w:t>有以下情形之一的，可认定为“通过登记的住所（经营场所）无法联系”：</w:t>
            </w:r>
          </w:p>
          <w:p>
            <w:pPr>
              <w:pStyle w:val="7"/>
              <w:keepNext w:val="0"/>
              <w:keepLines w:val="0"/>
              <w:pageBreakBefore w:val="0"/>
              <w:widowControl w:val="0"/>
              <w:numPr>
                <w:ilvl w:val="0"/>
                <w:numId w:val="0"/>
              </w:numPr>
              <w:tabs>
                <w:tab w:val="left" w:pos="1250"/>
                <w:tab w:val="left" w:pos="1251"/>
                <w:tab w:val="left" w:pos="6600"/>
              </w:tabs>
              <w:kinsoku/>
              <w:wordWrap/>
              <w:overflowPunct/>
              <w:topLinePunct w:val="0"/>
              <w:autoSpaceDE w:val="0"/>
              <w:autoSpaceDN w:val="0"/>
              <w:bidi w:val="0"/>
              <w:adjustRightInd/>
              <w:snapToGrid/>
              <w:spacing w:before="0" w:after="0" w:line="360" w:lineRule="exact"/>
              <w:ind w:right="6" w:rightChars="0" w:firstLine="428" w:firstLineChars="20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3.4.4.1 </w:t>
            </w:r>
            <w:r>
              <w:rPr>
                <w:rFonts w:ascii="宋体" w:hAnsi="宋体" w:eastAsia="宋体" w:cs="宋体"/>
                <w:spacing w:val="-3"/>
                <w:sz w:val="22"/>
                <w:szCs w:val="22"/>
                <w:lang w:val="en-US" w:eastAsia="en-US" w:bidi="en-US"/>
              </w:rPr>
              <w:t>通过实地核查，确认实际不存在该被检对象，并由登记的住所或经营场所产权所有人、物管公司、相关部门等予以证明的；</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3.4.4.2 </w:t>
            </w:r>
            <w:r>
              <w:rPr>
                <w:rFonts w:ascii="宋体" w:hAnsi="宋体" w:eastAsia="宋体" w:cs="宋体"/>
                <w:spacing w:val="-3"/>
                <w:sz w:val="22"/>
                <w:szCs w:val="22"/>
                <w:lang w:val="en-US" w:eastAsia="en-US" w:bidi="en-US"/>
              </w:rPr>
              <w:t>通过实地核查、第三方证明或邮寄等方式，能确认登记的住所或经营场所实际不存在的；</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ascii="宋体" w:hAnsi="宋体" w:eastAsia="宋体" w:cs="宋体"/>
                <w:spacing w:val="-3"/>
                <w:sz w:val="22"/>
                <w:szCs w:val="22"/>
                <w:lang w:val="en-US" w:eastAsia="en-US" w:bidi="en-US"/>
              </w:rPr>
            </w:pPr>
            <w:r>
              <w:rPr>
                <w:rFonts w:hint="eastAsia" w:ascii="宋体" w:hAnsi="宋体" w:eastAsia="宋体" w:cs="宋体"/>
                <w:spacing w:val="-3"/>
                <w:sz w:val="22"/>
                <w:szCs w:val="22"/>
                <w:lang w:val="en-US" w:eastAsia="zh-CN" w:bidi="en-US"/>
              </w:rPr>
              <w:t xml:space="preserve">3.4.4.3 </w:t>
            </w:r>
            <w:r>
              <w:rPr>
                <w:rFonts w:ascii="宋体" w:hAnsi="宋体" w:eastAsia="宋体" w:cs="宋体"/>
                <w:spacing w:val="-3"/>
                <w:sz w:val="22"/>
                <w:szCs w:val="22"/>
                <w:lang w:val="en-US" w:eastAsia="en-US" w:bidi="en-US"/>
              </w:rPr>
              <w:t>经向被检</w:t>
            </w:r>
            <w:r>
              <w:rPr>
                <w:rFonts w:hint="eastAsia" w:cs="宋体"/>
                <w:spacing w:val="-3"/>
                <w:sz w:val="22"/>
                <w:szCs w:val="22"/>
                <w:lang w:val="en-US" w:eastAsia="zh-CN" w:bidi="en-US"/>
              </w:rPr>
              <w:t>查</w:t>
            </w:r>
            <w:r>
              <w:rPr>
                <w:rFonts w:ascii="宋体" w:hAnsi="宋体" w:eastAsia="宋体" w:cs="宋体"/>
                <w:spacing w:val="-3"/>
                <w:sz w:val="22"/>
                <w:szCs w:val="22"/>
                <w:lang w:val="en-US" w:eastAsia="en-US" w:bidi="en-US"/>
              </w:rPr>
              <w:t>对象登记的住所或经营场所两次邮寄专用信函，无人签收的；</w:t>
            </w:r>
          </w:p>
          <w:p>
            <w:pPr>
              <w:pStyle w:val="7"/>
              <w:keepNext w:val="0"/>
              <w:keepLines w:val="0"/>
              <w:pageBreakBefore w:val="0"/>
              <w:widowControl w:val="0"/>
              <w:numPr>
                <w:ilvl w:val="0"/>
                <w:numId w:val="0"/>
              </w:numPr>
              <w:tabs>
                <w:tab w:val="left" w:pos="1250"/>
                <w:tab w:val="left" w:pos="1251"/>
              </w:tabs>
              <w:kinsoku/>
              <w:wordWrap/>
              <w:overflowPunct/>
              <w:topLinePunct w:val="0"/>
              <w:autoSpaceDE w:val="0"/>
              <w:autoSpaceDN w:val="0"/>
              <w:bidi w:val="0"/>
              <w:adjustRightInd/>
              <w:snapToGrid/>
              <w:spacing w:before="0" w:after="0" w:line="360" w:lineRule="exact"/>
              <w:ind w:right="0" w:rightChars="0" w:firstLine="428" w:firstLineChars="200"/>
              <w:jc w:val="both"/>
              <w:textAlignment w:val="auto"/>
              <w:rPr>
                <w:rFonts w:hint="eastAsia"/>
                <w:b/>
                <w:bCs/>
                <w:w w:val="95"/>
                <w:sz w:val="32"/>
                <w:szCs w:val="32"/>
                <w:vertAlign w:val="baseline"/>
                <w:lang w:eastAsia="zh-CN"/>
              </w:rPr>
            </w:pPr>
            <w:r>
              <w:rPr>
                <w:rFonts w:hint="eastAsia" w:ascii="宋体" w:hAnsi="宋体" w:eastAsia="宋体" w:cs="宋体"/>
                <w:spacing w:val="-3"/>
                <w:sz w:val="22"/>
                <w:szCs w:val="22"/>
                <w:lang w:val="en-US" w:eastAsia="zh-CN" w:bidi="en-US"/>
              </w:rPr>
              <w:t xml:space="preserve">3.4.4.4 </w:t>
            </w:r>
            <w:r>
              <w:rPr>
                <w:rFonts w:ascii="宋体" w:hAnsi="宋体" w:eastAsia="宋体" w:cs="宋体"/>
                <w:spacing w:val="-3"/>
                <w:sz w:val="22"/>
                <w:szCs w:val="22"/>
                <w:lang w:val="en-US" w:eastAsia="en-US" w:bidi="en-US"/>
              </w:rPr>
              <w:t>法院无法送达情况的。</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Merge w:val="restart"/>
            <w:vAlign w:val="center"/>
          </w:tcPr>
          <w:p>
            <w:pPr>
              <w:pStyle w:val="7"/>
              <w:numPr>
                <w:ilvl w:val="0"/>
                <w:numId w:val="3"/>
              </w:numPr>
              <w:tabs>
                <w:tab w:val="left" w:pos="1133"/>
                <w:tab w:val="left" w:pos="1134"/>
              </w:tabs>
              <w:spacing w:before="156" w:after="0" w:line="240" w:lineRule="auto"/>
              <w:ind w:left="0" w:leftChars="0" w:right="0" w:rightChars="0" w:firstLine="0" w:firstLineChars="0"/>
              <w:jc w:val="left"/>
              <w:rPr>
                <w:rFonts w:hint="eastAsia" w:ascii="宋体" w:hAnsi="宋体" w:eastAsia="宋体" w:cs="宋体"/>
                <w:spacing w:val="-3"/>
                <w:sz w:val="22"/>
                <w:szCs w:val="22"/>
                <w:lang w:val="en-US" w:eastAsia="zh-CN" w:bidi="en-US"/>
              </w:rPr>
            </w:pPr>
            <w:r>
              <w:rPr>
                <w:rFonts w:hint="eastAsia" w:ascii="宋体" w:hAnsi="宋体" w:eastAsia="宋体" w:cs="宋体"/>
                <w:sz w:val="21"/>
                <w:szCs w:val="21"/>
                <w:lang w:val="en-US" w:eastAsia="zh-CN" w:bidi="en-US"/>
              </w:rPr>
              <w:t>抽查结果公示</w:t>
            </w:r>
          </w:p>
        </w:tc>
        <w:tc>
          <w:tcPr>
            <w:tcW w:w="968" w:type="pct"/>
            <w:vAlign w:val="center"/>
          </w:tcPr>
          <w:p>
            <w:pPr>
              <w:pStyle w:val="7"/>
              <w:numPr>
                <w:ilvl w:val="0"/>
                <w:numId w:val="0"/>
              </w:numPr>
              <w:tabs>
                <w:tab w:val="left" w:pos="1133"/>
                <w:tab w:val="left" w:pos="1134"/>
              </w:tabs>
              <w:spacing w:before="156" w:after="0" w:line="240" w:lineRule="auto"/>
              <w:ind w:left="0" w:leftChars="0" w:right="0" w:rightChars="0" w:firstLine="0" w:firstLineChars="0"/>
              <w:jc w:val="left"/>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w:t>
            </w:r>
            <w:r>
              <w:rPr>
                <w:rFonts w:hint="eastAsia" w:cs="宋体"/>
                <w:spacing w:val="-3"/>
                <w:sz w:val="22"/>
                <w:szCs w:val="22"/>
                <w:lang w:val="en-US" w:eastAsia="zh-CN" w:bidi="en-US"/>
              </w:rPr>
              <w:t xml:space="preserve"> </w:t>
            </w:r>
            <w:r>
              <w:rPr>
                <w:rFonts w:hint="eastAsia" w:ascii="宋体" w:hAnsi="宋体" w:eastAsia="宋体" w:cs="宋体"/>
                <w:spacing w:val="-3"/>
                <w:sz w:val="22"/>
                <w:szCs w:val="22"/>
                <w:lang w:val="en-US" w:eastAsia="zh-CN" w:bidi="en-US"/>
              </w:rPr>
              <w:t>检查结果公示表述认定规则</w:t>
            </w:r>
          </w:p>
        </w:tc>
        <w:tc>
          <w:tcPr>
            <w:tcW w:w="2406" w:type="pct"/>
            <w:vAlign w:val="center"/>
          </w:tcPr>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3.4.5 发现问题已责令改正。对检查发现的违反本指引所列法律法规的行为，通过指导、提示、告诫等方式要求被检</w:t>
            </w:r>
            <w:r>
              <w:rPr>
                <w:rFonts w:hint="eastAsia" w:cs="宋体"/>
                <w:spacing w:val="-3"/>
                <w:sz w:val="22"/>
                <w:szCs w:val="22"/>
                <w:lang w:val="en-US" w:eastAsia="zh-CN" w:bidi="en-US"/>
              </w:rPr>
              <w:t>查</w:t>
            </w:r>
            <w:r>
              <w:rPr>
                <w:rFonts w:hint="eastAsia" w:ascii="宋体" w:hAnsi="宋体" w:eastAsia="宋体" w:cs="宋体"/>
                <w:spacing w:val="-3"/>
                <w:sz w:val="22"/>
                <w:szCs w:val="22"/>
                <w:lang w:val="en-US" w:eastAsia="zh-CN" w:bidi="en-US"/>
              </w:rPr>
              <w:t>对象改正</w:t>
            </w:r>
            <w:r>
              <w:rPr>
                <w:rFonts w:hint="eastAsia" w:cs="宋体"/>
                <w:spacing w:val="-3"/>
                <w:sz w:val="22"/>
                <w:szCs w:val="22"/>
                <w:lang w:val="en-US" w:eastAsia="zh-CN" w:bidi="en-US"/>
              </w:rPr>
              <w:t>的</w:t>
            </w:r>
            <w:r>
              <w:rPr>
                <w:rFonts w:hint="eastAsia" w:ascii="宋体" w:hAnsi="宋体" w:eastAsia="宋体" w:cs="宋体"/>
                <w:spacing w:val="-3"/>
                <w:sz w:val="22"/>
                <w:szCs w:val="22"/>
                <w:lang w:val="en-US" w:eastAsia="zh-CN" w:bidi="en-US"/>
              </w:rPr>
              <w:t>，且已改正的，可认定为“发现问题已责令改正”。</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3.4.6 不配合检查情节严重。有以下情形之一的，可认定为“不配合检查情节严重”：</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firstLine="428" w:firstLineChars="20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3.4.6.1 拒绝检查人员或其委托的专业机构进入被检查场所的；</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firstLine="428" w:firstLineChars="20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3.4.6.2 拒绝向检查人员或其委托的专业机构提供相关材料的；</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firstLine="428" w:firstLineChars="20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3.4.6.3 其他阻扰、妨碍检查工作的行为，致使检查工作无法正常进行的。</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3.4.7 未发现开展本次抽査涉及的经营活动。未发现被检</w:t>
            </w:r>
            <w:r>
              <w:rPr>
                <w:rFonts w:hint="eastAsia" w:cs="宋体"/>
                <w:spacing w:val="-3"/>
                <w:sz w:val="22"/>
                <w:szCs w:val="22"/>
                <w:lang w:val="en-US" w:eastAsia="zh-CN" w:bidi="en-US"/>
              </w:rPr>
              <w:t>查</w:t>
            </w:r>
            <w:r>
              <w:rPr>
                <w:rFonts w:hint="eastAsia" w:ascii="宋体" w:hAnsi="宋体" w:eastAsia="宋体" w:cs="宋体"/>
                <w:spacing w:val="-3"/>
                <w:sz w:val="22"/>
                <w:szCs w:val="22"/>
                <w:lang w:val="en-US" w:eastAsia="zh-CN" w:bidi="en-US"/>
              </w:rPr>
              <w:t>对象从事本次抽查匹配的检查事项，并经被检</w:t>
            </w:r>
            <w:r>
              <w:rPr>
                <w:rFonts w:hint="eastAsia" w:cs="宋体"/>
                <w:spacing w:val="-3"/>
                <w:sz w:val="22"/>
                <w:szCs w:val="22"/>
                <w:lang w:val="en-US" w:eastAsia="zh-CN" w:bidi="en-US"/>
              </w:rPr>
              <w:t>查</w:t>
            </w:r>
            <w:r>
              <w:rPr>
                <w:rFonts w:hint="eastAsia" w:ascii="宋体" w:hAnsi="宋体" w:eastAsia="宋体" w:cs="宋体"/>
                <w:spacing w:val="-3"/>
                <w:sz w:val="22"/>
                <w:szCs w:val="22"/>
                <w:lang w:val="en-US" w:eastAsia="zh-CN" w:bidi="en-US"/>
              </w:rPr>
              <w:t>对象书面承诺的，可认定为“未发现开展本次抽查涉及的经营活动”。</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spacing w:val="-6"/>
              </w:rPr>
            </w:pPr>
            <w:r>
              <w:rPr>
                <w:rFonts w:hint="eastAsia" w:ascii="宋体" w:hAnsi="宋体" w:eastAsia="宋体" w:cs="宋体"/>
                <w:spacing w:val="-3"/>
                <w:sz w:val="22"/>
                <w:szCs w:val="22"/>
                <w:lang w:val="en-US" w:eastAsia="zh-CN" w:bidi="en-US"/>
              </w:rPr>
              <w:t>3.4.8 发现问题待后续处理。检查发现的违反本指引所列法律法规的行为，不能通过指导、提示、告诫等方式现场纠正，需进一步调查处理的，可认定为“发现问题待后续处理”。经进一步调查确定没有问题的，将检查结果按程序修改为“未发现问题”。经进一步调查，确实存在违反本指引所列</w:t>
            </w:r>
            <w:r>
              <w:rPr>
                <w:spacing w:val="-12"/>
              </w:rPr>
              <w:t>法律法规的行为，且通过立案调查等方式进</w:t>
            </w:r>
            <w:r>
              <w:rPr>
                <w:spacing w:val="-6"/>
              </w:rPr>
              <w:t>行了处理的，检查结果不变。</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b/>
                <w:bCs/>
                <w:w w:val="95"/>
                <w:sz w:val="32"/>
                <w:szCs w:val="32"/>
                <w:vertAlign w:val="baseline"/>
                <w:lang w:val="en-US" w:eastAsia="zh-CN" w:bidi="en-US"/>
              </w:rPr>
            </w:pPr>
            <w:r>
              <w:rPr>
                <w:rFonts w:hint="eastAsia" w:ascii="宋体" w:hAnsi="宋体" w:eastAsia="宋体" w:cs="宋体"/>
                <w:spacing w:val="-8"/>
                <w:sz w:val="22"/>
                <w:szCs w:val="22"/>
                <w:lang w:val="en-US" w:eastAsia="zh-CN" w:bidi="en-US"/>
              </w:rPr>
              <w:t xml:space="preserve">3.4.9 </w:t>
            </w:r>
            <w:r>
              <w:rPr>
                <w:rFonts w:ascii="宋体" w:hAnsi="宋体" w:eastAsia="宋体" w:cs="宋体"/>
                <w:spacing w:val="-8"/>
                <w:sz w:val="22"/>
                <w:szCs w:val="22"/>
                <w:lang w:val="en-US" w:eastAsia="en-US" w:bidi="en-US"/>
              </w:rPr>
              <w:t>其他不宜公开的检查结果，应按照法律、法规、规章等规定执行。</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Merge w:val="continue"/>
            <w:vAlign w:val="center"/>
          </w:tcPr>
          <w:p>
            <w:pPr>
              <w:pStyle w:val="7"/>
              <w:numPr>
                <w:ilvl w:val="0"/>
                <w:numId w:val="0"/>
              </w:numPr>
              <w:tabs>
                <w:tab w:val="left" w:pos="1133"/>
                <w:tab w:val="left" w:pos="1134"/>
              </w:tabs>
              <w:spacing w:before="156" w:after="0" w:line="240" w:lineRule="auto"/>
              <w:ind w:left="0" w:leftChars="0" w:right="0" w:rightChars="0" w:firstLine="0" w:firstLineChars="0"/>
              <w:jc w:val="left"/>
              <w:rPr>
                <w:rFonts w:hint="eastAsia" w:ascii="宋体" w:hAnsi="宋体" w:eastAsia="宋体" w:cs="宋体"/>
                <w:spacing w:val="-3"/>
                <w:sz w:val="22"/>
                <w:szCs w:val="22"/>
                <w:lang w:val="en-US" w:eastAsia="zh-CN" w:bidi="en-US"/>
              </w:rPr>
            </w:pPr>
          </w:p>
        </w:tc>
        <w:tc>
          <w:tcPr>
            <w:tcW w:w="968" w:type="pct"/>
            <w:vAlign w:val="center"/>
          </w:tcPr>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3.5 违法违规情形处理及公示</w:t>
            </w:r>
          </w:p>
        </w:tc>
        <w:tc>
          <w:tcPr>
            <w:tcW w:w="2406" w:type="pct"/>
            <w:vAlign w:val="center"/>
          </w:tcPr>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firstLine="428" w:firstLineChars="200"/>
              <w:jc w:val="left"/>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按照“谁管辖、谁负责”的原则。对检查结果中的涉嫌违法违规情形，属于本部门职责范围内的， 应按相关法律法规及时作出处理决定</w:t>
            </w:r>
            <w:r>
              <w:rPr>
                <w:rFonts w:hint="eastAsia" w:cs="宋体"/>
                <w:spacing w:val="-3"/>
                <w:sz w:val="22"/>
                <w:szCs w:val="22"/>
                <w:lang w:val="en-US" w:eastAsia="zh-CN" w:bidi="en-US"/>
              </w:rPr>
              <w:t>，</w:t>
            </w:r>
            <w:r>
              <w:rPr>
                <w:rFonts w:hint="eastAsia" w:ascii="宋体" w:hAnsi="宋体" w:eastAsia="宋体" w:cs="宋体"/>
                <w:spacing w:val="-3"/>
                <w:sz w:val="22"/>
                <w:szCs w:val="22"/>
                <w:lang w:val="en-US" w:eastAsia="zh-CN" w:bidi="en-US"/>
              </w:rPr>
              <w:t>推送至国家企业信用信息公示系统（湖南）、全国信用共享平台等信用公示平台进行公示。对检查结果中的涉嫌违法违规情形，属于其他部门处理的，将</w:t>
            </w:r>
            <w:r>
              <w:rPr>
                <w:rFonts w:hint="eastAsia" w:cs="宋体"/>
                <w:spacing w:val="-3"/>
                <w:sz w:val="22"/>
                <w:szCs w:val="22"/>
                <w:lang w:val="en-US" w:eastAsia="zh-CN" w:bidi="en-US"/>
              </w:rPr>
              <w:t>违法线索</w:t>
            </w:r>
            <w:r>
              <w:rPr>
                <w:rFonts w:hint="eastAsia" w:ascii="宋体" w:hAnsi="宋体" w:eastAsia="宋体" w:cs="宋体"/>
                <w:spacing w:val="-3"/>
                <w:sz w:val="22"/>
                <w:szCs w:val="22"/>
                <w:lang w:val="en-US" w:eastAsia="zh-CN" w:bidi="en-US"/>
              </w:rPr>
              <w:t>移交相关部门处理，在处理决定后按要求进行公示。</w:t>
            </w:r>
          </w:p>
          <w:p>
            <w:pPr>
              <w:pStyle w:val="7"/>
              <w:keepNext w:val="0"/>
              <w:keepLines w:val="0"/>
              <w:pageBreakBefore w:val="0"/>
              <w:widowControl w:val="0"/>
              <w:numPr>
                <w:ilvl w:val="0"/>
                <w:numId w:val="0"/>
              </w:numPr>
              <w:tabs>
                <w:tab w:val="left" w:pos="1133"/>
                <w:tab w:val="left" w:pos="1134"/>
              </w:tabs>
              <w:kinsoku/>
              <w:wordWrap/>
              <w:overflowPunct/>
              <w:topLinePunct w:val="0"/>
              <w:autoSpaceDE w:val="0"/>
              <w:autoSpaceDN w:val="0"/>
              <w:bidi w:val="0"/>
              <w:adjustRightInd/>
              <w:snapToGrid/>
              <w:spacing w:before="0" w:after="0" w:line="280" w:lineRule="exact"/>
              <w:ind w:right="0" w:rightChars="0"/>
              <w:jc w:val="left"/>
              <w:textAlignment w:val="auto"/>
              <w:rPr>
                <w:rFonts w:hint="eastAsia" w:ascii="宋体" w:hAnsi="宋体" w:eastAsia="宋体" w:cs="宋体"/>
                <w:spacing w:val="-3"/>
                <w:sz w:val="22"/>
                <w:szCs w:val="22"/>
                <w:lang w:val="en-US" w:eastAsia="zh-CN" w:bidi="en-US"/>
              </w:rPr>
            </w:pP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6" w:hRule="atLeast"/>
        </w:trPr>
        <w:tc>
          <w:tcPr>
            <w:tcW w:w="964" w:type="pct"/>
            <w:vAlign w:val="center"/>
          </w:tcPr>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0" w:line="278" w:lineRule="auto"/>
              <w:ind w:left="0" w:leftChars="0" w:right="6" w:rightChars="0" w:firstLine="0" w:firstLine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结果运用</w:t>
            </w:r>
          </w:p>
        </w:tc>
        <w:tc>
          <w:tcPr>
            <w:tcW w:w="968" w:type="pct"/>
            <w:vAlign w:val="center"/>
          </w:tcPr>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 抽查检查结果运用</w:t>
            </w:r>
          </w:p>
        </w:tc>
        <w:tc>
          <w:tcPr>
            <w:tcW w:w="2406" w:type="pct"/>
            <w:vAlign w:val="center"/>
          </w:tcPr>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4.1.1 将“双随机、一公开”抽查检查结果录入省级平台，由平台自动推送</w:t>
            </w:r>
            <w:r>
              <w:rPr>
                <w:rFonts w:hint="eastAsia" w:cs="宋体"/>
                <w:spacing w:val="-3"/>
                <w:sz w:val="22"/>
                <w:szCs w:val="22"/>
                <w:lang w:val="en-US" w:eastAsia="zh-CN" w:bidi="en-US"/>
              </w:rPr>
              <w:t>至国家企业</w:t>
            </w:r>
            <w:r>
              <w:rPr>
                <w:rFonts w:hint="eastAsia" w:ascii="宋体" w:hAnsi="宋体" w:eastAsia="宋体" w:cs="宋体"/>
                <w:spacing w:val="-3"/>
                <w:sz w:val="22"/>
                <w:szCs w:val="22"/>
                <w:lang w:val="en-US" w:eastAsia="zh-CN" w:bidi="en-US"/>
              </w:rPr>
              <w:t>信用信息公示</w:t>
            </w:r>
            <w:r>
              <w:rPr>
                <w:rFonts w:hint="eastAsia" w:cs="宋体"/>
                <w:spacing w:val="-3"/>
                <w:sz w:val="22"/>
                <w:szCs w:val="22"/>
                <w:lang w:val="en-US" w:eastAsia="zh-CN" w:bidi="en-US"/>
              </w:rPr>
              <w:t>系统（湖南）</w:t>
            </w:r>
            <w:r>
              <w:rPr>
                <w:rFonts w:hint="eastAsia" w:ascii="宋体" w:hAnsi="宋体" w:eastAsia="宋体" w:cs="宋体"/>
                <w:spacing w:val="-3"/>
                <w:sz w:val="22"/>
                <w:szCs w:val="22"/>
                <w:lang w:val="en-US" w:eastAsia="zh-CN" w:bidi="en-US"/>
              </w:rPr>
              <w:t>， 实现抽查检查结果数据同步</w:t>
            </w:r>
            <w:r>
              <w:rPr>
                <w:rFonts w:hint="eastAsia" w:cs="宋体"/>
                <w:spacing w:val="-3"/>
                <w:sz w:val="22"/>
                <w:szCs w:val="22"/>
                <w:lang w:val="en-US" w:eastAsia="zh-CN" w:bidi="en-US"/>
              </w:rPr>
              <w:t>共享</w:t>
            </w:r>
            <w:r>
              <w:rPr>
                <w:rFonts w:hint="eastAsia" w:ascii="宋体" w:hAnsi="宋体" w:eastAsia="宋体" w:cs="宋体"/>
                <w:spacing w:val="-3"/>
                <w:sz w:val="22"/>
                <w:szCs w:val="22"/>
                <w:lang w:val="en-US" w:eastAsia="zh-CN" w:bidi="en-US"/>
              </w:rPr>
              <w:t>，将 “双随机、一公开”监管与个案处理、专项检查、风险监测等监管方式进行有机融合，实现政府部门监管方式之间的衔接。</w:t>
            </w:r>
          </w:p>
          <w:p>
            <w:pPr>
              <w:pStyle w:val="3"/>
              <w:keepNext w:val="0"/>
              <w:keepLines w:val="0"/>
              <w:pageBreakBefore w:val="0"/>
              <w:widowControl w:val="0"/>
              <w:kinsoku/>
              <w:wordWrap/>
              <w:overflowPunct/>
              <w:topLinePunct w:val="0"/>
              <w:autoSpaceDE w:val="0"/>
              <w:autoSpaceDN w:val="0"/>
              <w:bidi w:val="0"/>
              <w:adjustRightInd/>
              <w:snapToGrid/>
              <w:spacing w:before="0" w:line="276"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4.1.2 通过对检查结果数据监测发现的违法违规个案线索，应立即实施检查、处置，需要立案查处的， 按照行政处罚程序规定进行调查处理。</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4.1.3 通过省级平台各部门数据共享发现的普遍性问题和可能影响市场秩序的突出风险，可通过双随机抽查对所涉抽查事项开展专项检查，并根据实际情况调整随机抽查方式、频次，确定抽查比例。</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4.1.4 应根据工作需要，将抽査结果共享，作为检查对象信用风险分类的重要考量，实施守信联合激励、失信联合惩戒。</w:t>
            </w:r>
          </w:p>
          <w:p>
            <w:pPr>
              <w:pStyle w:val="3"/>
              <w:keepNext w:val="0"/>
              <w:keepLines w:val="0"/>
              <w:pageBreakBefore w:val="0"/>
              <w:widowControl w:val="0"/>
              <w:kinsoku/>
              <w:wordWrap/>
              <w:overflowPunct/>
              <w:topLinePunct w:val="0"/>
              <w:autoSpaceDE w:val="0"/>
              <w:autoSpaceDN w:val="0"/>
              <w:bidi w:val="0"/>
              <w:adjustRightInd/>
              <w:snapToGrid/>
              <w:spacing w:before="0"/>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4.1.5 应建立健全信用管理制度，实行信用风险分类分级动态监管。</w:t>
            </w:r>
          </w:p>
          <w:p>
            <w:pPr>
              <w:pStyle w:val="3"/>
              <w:keepNext w:val="0"/>
              <w:keepLines w:val="0"/>
              <w:pageBreakBefore w:val="0"/>
              <w:widowControl w:val="0"/>
              <w:kinsoku/>
              <w:wordWrap/>
              <w:overflowPunct/>
              <w:topLinePunct w:val="0"/>
              <w:autoSpaceDE w:val="0"/>
              <w:autoSpaceDN w:val="0"/>
              <w:bidi w:val="0"/>
              <w:adjustRightInd/>
              <w:snapToGrid/>
              <w:spacing w:before="0" w:line="276"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 xml:space="preserve">4.1.6 </w:t>
            </w:r>
            <w:bookmarkStart w:id="2" w:name="_GoBack"/>
            <w:bookmarkEnd w:id="2"/>
            <w:r>
              <w:rPr>
                <w:rFonts w:hint="eastAsia" w:ascii="宋体" w:hAnsi="宋体" w:eastAsia="宋体" w:cs="宋体"/>
                <w:spacing w:val="-3"/>
                <w:sz w:val="22"/>
                <w:szCs w:val="22"/>
                <w:lang w:val="en-US" w:eastAsia="zh-CN" w:bidi="en-US"/>
              </w:rPr>
              <w:t>部门应在涉及投融资、取得政府供应土地、进出口、出入境、注册公司、招投标、政府采购、表彰奖励、安全许可、生产经营许可、从业任职资格、资质审核、监督检查等工作中，将“双随机、一公开”抽查检查结果作为对检查对象信用评价的重要考量因素。</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b/>
                <w:bCs/>
                <w:w w:val="95"/>
                <w:sz w:val="32"/>
                <w:szCs w:val="32"/>
                <w:vertAlign w:val="baseline"/>
                <w:lang w:eastAsia="zh-CN"/>
              </w:rPr>
            </w:pPr>
            <w:r>
              <w:rPr>
                <w:rFonts w:hint="eastAsia" w:ascii="宋体" w:hAnsi="宋体" w:eastAsia="宋体" w:cs="宋体"/>
                <w:spacing w:val="-3"/>
                <w:sz w:val="22"/>
                <w:szCs w:val="22"/>
                <w:lang w:val="en-US" w:eastAsia="zh-CN" w:bidi="en-US"/>
              </w:rPr>
              <w:t>4.1.7 应强化抽查检查结果分析利用，运用互联网、大数据、人工智能等技术手段进行数据监测、分析和挖掘，提升企业信用风险预测预警和动态监测能力，及时防范区域性、系统性和行业性风险。</w:t>
            </w:r>
          </w:p>
        </w:tc>
        <w:tc>
          <w:tcPr>
            <w:tcW w:w="661" w:type="pct"/>
            <w:vAlign w:val="center"/>
          </w:tcPr>
          <w:p>
            <w:pPr>
              <w:ind w:left="0" w:leftChars="0" w:right="0" w:rightChars="0"/>
              <w:jc w:val="center"/>
              <w:rPr>
                <w:rFonts w:hint="eastAsia"/>
                <w:b/>
                <w:bCs/>
                <w:w w:val="95"/>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64"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类别标准</w:t>
            </w:r>
          </w:p>
        </w:tc>
        <w:tc>
          <w:tcPr>
            <w:tcW w:w="968" w:type="pct"/>
            <w:vAlign w:val="center"/>
          </w:tcPr>
          <w:p>
            <w:pPr>
              <w:ind w:left="0" w:leftChars="0" w:right="0" w:rightChars="0"/>
              <w:jc w:val="center"/>
              <w:rPr>
                <w:rFonts w:hint="default"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事项标准</w:t>
            </w:r>
          </w:p>
        </w:tc>
        <w:tc>
          <w:tcPr>
            <w:tcW w:w="2406"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内容实施标准</w:t>
            </w:r>
          </w:p>
        </w:tc>
        <w:tc>
          <w:tcPr>
            <w:tcW w:w="661" w:type="pct"/>
            <w:vAlign w:val="center"/>
          </w:tcPr>
          <w:p>
            <w:pPr>
              <w:ind w:left="0" w:leftChars="0" w:right="0" w:rightChars="0"/>
              <w:jc w:val="center"/>
              <w:rPr>
                <w:rFonts w:hint="eastAsia" w:ascii="宋体" w:hAnsi="宋体" w:eastAsia="宋体" w:cs="宋体"/>
                <w:b/>
                <w:bCs/>
                <w:w w:val="95"/>
                <w:sz w:val="44"/>
                <w:szCs w:val="44"/>
                <w:vertAlign w:val="baseline"/>
                <w:lang w:val="en-US" w:eastAsia="zh-CN" w:bidi="en-US"/>
              </w:rPr>
            </w:pPr>
            <w:r>
              <w:rPr>
                <w:rFonts w:hint="eastAsia"/>
                <w:b/>
                <w:bCs/>
                <w:w w:val="95"/>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4" w:hRule="atLeast"/>
        </w:trPr>
        <w:tc>
          <w:tcPr>
            <w:tcW w:w="964" w:type="pct"/>
            <w:vAlign w:val="center"/>
          </w:tcPr>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before="0" w:line="278" w:lineRule="auto"/>
              <w:ind w:left="0" w:leftChars="0" w:right="6" w:rightChars="0" w:firstLine="0" w:firstLine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结果衔接</w:t>
            </w:r>
          </w:p>
        </w:tc>
        <w:tc>
          <w:tcPr>
            <w:tcW w:w="968" w:type="pct"/>
            <w:vAlign w:val="center"/>
          </w:tcPr>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default"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5.1 抽查检查结果与风险防控、信用监管的衔接</w:t>
            </w:r>
          </w:p>
        </w:tc>
        <w:tc>
          <w:tcPr>
            <w:tcW w:w="2406" w:type="pct"/>
            <w:vAlign w:val="center"/>
          </w:tcPr>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5.1.1 加强社会信用体系建设，通过双随机抽查的方式进行的行政检查，发现的问题线索应一查到底、依法处</w:t>
            </w:r>
            <w:r>
              <w:rPr>
                <w:rFonts w:hint="eastAsia" w:cs="宋体"/>
                <w:spacing w:val="-3"/>
                <w:sz w:val="22"/>
                <w:szCs w:val="22"/>
                <w:lang w:val="en-US" w:eastAsia="zh-CN" w:bidi="en-US"/>
              </w:rPr>
              <w:t>理</w:t>
            </w:r>
            <w:r>
              <w:rPr>
                <w:rFonts w:hint="eastAsia" w:ascii="宋体" w:hAnsi="宋体" w:eastAsia="宋体" w:cs="宋体"/>
                <w:spacing w:val="-3"/>
                <w:sz w:val="22"/>
                <w:szCs w:val="22"/>
                <w:lang w:val="en-US" w:eastAsia="zh-CN" w:bidi="en-US"/>
              </w:rPr>
              <w:t>，并将结果推送至相应检查对象名下。</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5.1.2 建立双随机抽查结果部门间共享交换和互认机制，依托省级平台、全国信用监管平台等，实现抽查检查结果政府部门间互认，实现检查对象基本信息互通，各部门监管信息共享， 促进“双随机、一公开”监管与信用监管有效衔接，实施信用风险分类监管，针对突出问题和风险开展双随机抽查，提高监管精准性，形成对违法失信行为的长效制约。</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3"/>
                <w:sz w:val="22"/>
                <w:szCs w:val="22"/>
                <w:lang w:val="en-US" w:eastAsia="zh-CN" w:bidi="en-US"/>
              </w:rPr>
            </w:pPr>
            <w:r>
              <w:rPr>
                <w:rFonts w:hint="eastAsia" w:ascii="宋体" w:hAnsi="宋体" w:eastAsia="宋体" w:cs="宋体"/>
                <w:spacing w:val="-3"/>
                <w:sz w:val="22"/>
                <w:szCs w:val="22"/>
                <w:lang w:val="en-US" w:eastAsia="zh-CN" w:bidi="en-US"/>
              </w:rPr>
              <w:t>5.1.3 针对不同风险等级、信用水平的检查对象采取差异化分类监管措施，合理确定、动态调整“双随机、一公开”抽查比例、频次和被抽查概率，保证必要的抽查覆盖面和监管效果。</w:t>
            </w:r>
          </w:p>
          <w:p>
            <w:pPr>
              <w:pStyle w:val="3"/>
              <w:keepNext w:val="0"/>
              <w:keepLines w:val="0"/>
              <w:pageBreakBefore w:val="0"/>
              <w:widowControl w:val="0"/>
              <w:kinsoku/>
              <w:wordWrap/>
              <w:overflowPunct/>
              <w:topLinePunct w:val="0"/>
              <w:autoSpaceDE w:val="0"/>
              <w:autoSpaceDN w:val="0"/>
              <w:bidi w:val="0"/>
              <w:adjustRightInd/>
              <w:snapToGrid/>
              <w:spacing w:before="0" w:line="278" w:lineRule="auto"/>
              <w:ind w:right="6" w:rightChars="0"/>
              <w:jc w:val="both"/>
              <w:textAlignment w:val="auto"/>
              <w:rPr>
                <w:rFonts w:hint="eastAsia" w:ascii="宋体" w:hAnsi="宋体" w:eastAsia="宋体" w:cs="宋体"/>
                <w:spacing w:val="-8"/>
                <w:sz w:val="22"/>
                <w:szCs w:val="22"/>
                <w:lang w:val="en-US" w:eastAsia="zh-CN" w:bidi="en-US"/>
              </w:rPr>
            </w:pPr>
            <w:r>
              <w:rPr>
                <w:rFonts w:hint="eastAsia" w:ascii="宋体" w:hAnsi="宋体" w:eastAsia="宋体" w:cs="宋体"/>
                <w:spacing w:val="-3"/>
                <w:sz w:val="22"/>
                <w:szCs w:val="22"/>
                <w:lang w:val="en-US" w:eastAsia="zh-CN" w:bidi="en-US"/>
              </w:rPr>
              <w:t>5.1.4 通过以“双随机、一公开”为基本手段、以重点监管为补充、以信用监管为基础的新型监管机制， 加强信用约束，创新提升事中事后监管效能。</w:t>
            </w:r>
          </w:p>
        </w:tc>
        <w:tc>
          <w:tcPr>
            <w:tcW w:w="661" w:type="pct"/>
            <w:vAlign w:val="center"/>
          </w:tcPr>
          <w:p>
            <w:pPr>
              <w:ind w:left="0" w:leftChars="0" w:right="0" w:rightChars="0"/>
              <w:jc w:val="center"/>
              <w:rPr>
                <w:rFonts w:hint="eastAsia"/>
                <w:b/>
                <w:bCs/>
                <w:w w:val="95"/>
                <w:sz w:val="32"/>
                <w:szCs w:val="32"/>
                <w:vertAlign w:val="baseline"/>
                <w:lang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808D6"/>
    <w:multiLevelType w:val="singleLevel"/>
    <w:tmpl w:val="853808D6"/>
    <w:lvl w:ilvl="0" w:tentative="0">
      <w:start w:val="3"/>
      <w:numFmt w:val="decimal"/>
      <w:suff w:val="space"/>
      <w:lvlText w:val="%1."/>
      <w:lvlJc w:val="left"/>
    </w:lvl>
  </w:abstractNum>
  <w:abstractNum w:abstractNumId="1">
    <w:nsid w:val="7489E7B3"/>
    <w:multiLevelType w:val="singleLevel"/>
    <w:tmpl w:val="7489E7B3"/>
    <w:lvl w:ilvl="0" w:tentative="0">
      <w:start w:val="2"/>
      <w:numFmt w:val="decimal"/>
      <w:suff w:val="space"/>
      <w:lvlText w:val="%1."/>
      <w:lvlJc w:val="left"/>
    </w:lvl>
  </w:abstractNum>
  <w:abstractNum w:abstractNumId="2">
    <w:nsid w:val="790A27B9"/>
    <w:multiLevelType w:val="singleLevel"/>
    <w:tmpl w:val="790A27B9"/>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YjZkYWYyMGE0YmJhNzMyY2E0NjljOGIwZWE5ZTAifQ=="/>
  </w:docVars>
  <w:rsids>
    <w:rsidRoot w:val="00000000"/>
    <w:rsid w:val="042529B3"/>
    <w:rsid w:val="057C7B53"/>
    <w:rsid w:val="0E2D3866"/>
    <w:rsid w:val="0E5F5558"/>
    <w:rsid w:val="0E7B2A67"/>
    <w:rsid w:val="13C6290D"/>
    <w:rsid w:val="16AE07B1"/>
    <w:rsid w:val="25C22949"/>
    <w:rsid w:val="2C7273E8"/>
    <w:rsid w:val="2DB350D5"/>
    <w:rsid w:val="2E111E2B"/>
    <w:rsid w:val="312D7014"/>
    <w:rsid w:val="3FFA22A4"/>
    <w:rsid w:val="41530475"/>
    <w:rsid w:val="41845FFA"/>
    <w:rsid w:val="43C65CB6"/>
    <w:rsid w:val="44F9422E"/>
    <w:rsid w:val="45435142"/>
    <w:rsid w:val="49376D87"/>
    <w:rsid w:val="4C8D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55"/>
      <w:outlineLvl w:val="1"/>
    </w:pPr>
    <w:rPr>
      <w:rFonts w:ascii="宋体" w:hAnsi="宋体" w:eastAsia="宋体" w:cs="宋体"/>
      <w:sz w:val="32"/>
      <w:szCs w:val="32"/>
      <w:lang w:val="en-US" w:eastAsia="en-US" w:bidi="en-US"/>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en-US" w:eastAsia="en-US" w:bidi="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1250" w:hanging="427"/>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3547</Words>
  <Characters>3811</Characters>
  <Lines>0</Lines>
  <Paragraphs>0</Paragraphs>
  <TotalTime>7</TotalTime>
  <ScaleCrop>false</ScaleCrop>
  <LinksUpToDate>false</LinksUpToDate>
  <CharactersWithSpaces>3894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2022-11-21T07:51:00Z</dcterms:created>
  <dc:creator>Administrator</dc:creator>
  <cp:lastModifiedBy>hysjzhangyh</cp:lastModifiedBy>
  <cp:lastPrinted>2022-11-22T08:54:00Z</cp:lastPrinted>
  <dcterms:modified xsi:type="dcterms:W3CDTF">2022-11-23T08:19:12Z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79006213023F4F28A84E6D94E1691B46</vt:lpwstr>
  </property>
</Properties>
</file>