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EC5A0">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衡阳市祁东县2023-2025年政策性农业保险承保机构</w:t>
      </w:r>
    </w:p>
    <w:p w14:paraId="3BD26EEE">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宋体" w:hAnsi="宋体" w:eastAsia="宋体" w:cs="宋体"/>
          <w:sz w:val="24"/>
          <w:szCs w:val="24"/>
        </w:rPr>
      </w:pPr>
      <w:r>
        <w:rPr>
          <w:rFonts w:hint="eastAsia" w:ascii="宋体" w:hAnsi="宋体" w:eastAsia="宋体" w:cs="宋体"/>
          <w:b/>
          <w:bCs/>
          <w:color w:val="auto"/>
          <w:sz w:val="28"/>
          <w:szCs w:val="28"/>
          <w:lang w:val="en-US" w:eastAsia="zh-CN"/>
        </w:rPr>
        <w:t>公开竞争性遴选结果公告</w:t>
      </w:r>
    </w:p>
    <w:p w14:paraId="7195C112">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textAlignment w:val="auto"/>
        <w:rPr>
          <w:rFonts w:hint="eastAsia" w:ascii="宋体" w:hAnsi="宋体" w:eastAsia="宋体" w:cs="宋体"/>
          <w:sz w:val="24"/>
          <w:szCs w:val="24"/>
        </w:rPr>
      </w:pPr>
    </w:p>
    <w:p w14:paraId="753BB514">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sz w:val="24"/>
          <w:szCs w:val="24"/>
        </w:rPr>
        <w:t>受</w:t>
      </w:r>
      <w:r>
        <w:rPr>
          <w:rFonts w:hint="eastAsia" w:ascii="宋体" w:hAnsi="宋体" w:eastAsia="宋体" w:cs="宋体"/>
          <w:sz w:val="24"/>
          <w:szCs w:val="24"/>
          <w:lang w:eastAsia="zh-CN"/>
        </w:rPr>
        <w:t>衡阳市财政局</w:t>
      </w:r>
      <w:r>
        <w:rPr>
          <w:rFonts w:hint="eastAsia" w:ascii="宋体" w:hAnsi="宋体" w:eastAsia="宋体" w:cs="宋体"/>
          <w:sz w:val="24"/>
          <w:szCs w:val="24"/>
        </w:rPr>
        <w:t>委托，</w:t>
      </w:r>
      <w:r>
        <w:rPr>
          <w:rFonts w:hint="eastAsia" w:ascii="宋体" w:hAnsi="宋体" w:eastAsia="宋体" w:cs="宋体"/>
          <w:sz w:val="24"/>
          <w:szCs w:val="24"/>
          <w:lang w:eastAsia="zh-CN"/>
        </w:rPr>
        <w:t>湖南中泰项目管理有限公司</w:t>
      </w:r>
      <w:r>
        <w:rPr>
          <w:rFonts w:hint="eastAsia" w:ascii="宋体" w:hAnsi="宋体" w:eastAsia="宋体" w:cs="宋体"/>
          <w:sz w:val="24"/>
          <w:szCs w:val="24"/>
        </w:rPr>
        <w:t>对</w:t>
      </w:r>
      <w:r>
        <w:rPr>
          <w:rFonts w:hint="eastAsia" w:ascii="宋体" w:hAnsi="宋体" w:eastAsia="宋体" w:cs="宋体"/>
          <w:sz w:val="24"/>
          <w:szCs w:val="24"/>
          <w:lang w:eastAsia="zh-CN"/>
        </w:rPr>
        <w:t>祁东县2023-2025年政策性农业保险承保机构公开竞争性遴选</w:t>
      </w:r>
      <w:r>
        <w:rPr>
          <w:rFonts w:hint="eastAsia" w:ascii="宋体" w:hAnsi="宋体" w:eastAsia="宋体" w:cs="宋体"/>
          <w:sz w:val="24"/>
          <w:szCs w:val="24"/>
          <w:lang w:val="en-US" w:eastAsia="zh-CN"/>
        </w:rPr>
        <w:t>项目</w:t>
      </w:r>
      <w:r>
        <w:rPr>
          <w:rFonts w:hint="eastAsia" w:ascii="宋体" w:hAnsi="宋体" w:eastAsia="宋体" w:cs="宋体"/>
          <w:sz w:val="24"/>
          <w:szCs w:val="24"/>
        </w:rPr>
        <w:t>进行</w:t>
      </w:r>
      <w:r>
        <w:rPr>
          <w:rFonts w:hint="eastAsia" w:ascii="宋体" w:hAnsi="宋体" w:eastAsia="宋体" w:cs="宋体"/>
          <w:sz w:val="24"/>
          <w:szCs w:val="24"/>
          <w:lang w:val="en-US" w:eastAsia="zh-CN"/>
        </w:rPr>
        <w:t>了</w:t>
      </w:r>
      <w:r>
        <w:rPr>
          <w:rFonts w:hint="eastAsia" w:ascii="宋体" w:hAnsi="宋体" w:eastAsia="宋体" w:cs="宋体"/>
          <w:sz w:val="24"/>
          <w:szCs w:val="24"/>
        </w:rPr>
        <w:t>公开竞争性遴选，经评审委员会评审，现将</w:t>
      </w:r>
      <w:r>
        <w:rPr>
          <w:rFonts w:hint="eastAsia" w:ascii="宋体" w:hAnsi="宋体" w:eastAsia="宋体" w:cs="宋体"/>
          <w:sz w:val="24"/>
          <w:szCs w:val="24"/>
          <w:lang w:val="en-US" w:eastAsia="zh-CN"/>
        </w:rPr>
        <w:t>遴选结果</w:t>
      </w:r>
      <w:r>
        <w:rPr>
          <w:rFonts w:hint="eastAsia" w:ascii="宋体" w:hAnsi="宋体" w:eastAsia="宋体" w:cs="宋体"/>
          <w:sz w:val="24"/>
          <w:szCs w:val="24"/>
          <w:lang w:eastAsia="zh-CN"/>
        </w:rPr>
        <w:t>公告</w:t>
      </w:r>
      <w:r>
        <w:rPr>
          <w:rFonts w:hint="eastAsia" w:ascii="宋体" w:hAnsi="宋体" w:eastAsia="宋体" w:cs="宋体"/>
          <w:sz w:val="24"/>
          <w:szCs w:val="24"/>
        </w:rPr>
        <w:t>如下：</w:t>
      </w:r>
    </w:p>
    <w:p w14:paraId="358BDD28">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b/>
          <w:bCs/>
          <w:sz w:val="24"/>
          <w:szCs w:val="24"/>
        </w:rPr>
        <w:t>一、</w:t>
      </w:r>
      <w:r>
        <w:rPr>
          <w:rFonts w:hint="eastAsia" w:ascii="宋体" w:hAnsi="宋体" w:eastAsia="宋体" w:cs="宋体"/>
          <w:b/>
          <w:bCs/>
          <w:sz w:val="24"/>
          <w:szCs w:val="24"/>
          <w:lang w:val="en-US" w:eastAsia="zh-CN"/>
        </w:rPr>
        <w:t>遴选</w:t>
      </w:r>
      <w:r>
        <w:rPr>
          <w:rFonts w:hint="eastAsia" w:ascii="宋体" w:hAnsi="宋体" w:eastAsia="宋体" w:cs="宋体"/>
          <w:b/>
          <w:bCs/>
          <w:sz w:val="24"/>
          <w:szCs w:val="24"/>
        </w:rPr>
        <w:t>项目信息</w:t>
      </w:r>
    </w:p>
    <w:p w14:paraId="6BA09499">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479" w:leftChars="228" w:right="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1、项目名称:</w:t>
      </w:r>
      <w:r>
        <w:rPr>
          <w:rFonts w:hint="eastAsia" w:ascii="宋体" w:hAnsi="宋体" w:eastAsia="宋体" w:cs="宋体"/>
          <w:sz w:val="24"/>
          <w:szCs w:val="24"/>
          <w:lang w:eastAsia="zh-CN"/>
        </w:rPr>
        <w:t>祁东县2023-2025年政策性农业保险承保机构公开竞争性遴选</w:t>
      </w:r>
      <w:r>
        <w:rPr>
          <w:rFonts w:hint="eastAsia" w:ascii="宋体" w:hAnsi="宋体" w:eastAsia="宋体" w:cs="宋体"/>
          <w:sz w:val="24"/>
          <w:szCs w:val="24"/>
        </w:rPr>
        <w:t>2、委托代理编号：</w:t>
      </w:r>
      <w:r>
        <w:rPr>
          <w:rFonts w:hint="eastAsia" w:ascii="宋体" w:hAnsi="宋体" w:eastAsia="宋体" w:cs="宋体"/>
          <w:sz w:val="24"/>
          <w:szCs w:val="24"/>
          <w:lang w:val="en-US" w:eastAsia="zh-CN"/>
        </w:rPr>
        <w:t>ZTHY2022-140</w:t>
      </w:r>
    </w:p>
    <w:p w14:paraId="0569798C">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3、评审日期：2023年1月14日</w:t>
      </w:r>
    </w:p>
    <w:p w14:paraId="6A2259F9">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textAlignment w:val="auto"/>
        <w:rPr>
          <w:rFonts w:hint="default" w:ascii="宋体" w:hAnsi="宋体" w:eastAsia="宋体" w:cs="宋体"/>
          <w:sz w:val="24"/>
          <w:szCs w:val="24"/>
          <w:lang w:val="en-US" w:eastAsia="zh-CN"/>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w:t>
      </w:r>
      <w:r>
        <w:rPr>
          <w:rFonts w:hint="eastAsia" w:ascii="宋体" w:hAnsi="宋体" w:eastAsia="宋体" w:cs="宋体"/>
          <w:b/>
          <w:bCs/>
          <w:sz w:val="24"/>
          <w:szCs w:val="24"/>
          <w:lang w:val="en-US" w:eastAsia="zh-CN"/>
        </w:rPr>
        <w:t>遴选结果</w:t>
      </w:r>
    </w:p>
    <w:tbl>
      <w:tblPr>
        <w:tblStyle w:val="13"/>
        <w:tblW w:w="8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96"/>
        <w:gridCol w:w="5768"/>
      </w:tblGrid>
      <w:tr w14:paraId="5D43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6" w:hRule="atLeast"/>
          <w:jc w:val="center"/>
        </w:trPr>
        <w:tc>
          <w:tcPr>
            <w:tcW w:w="2496" w:type="dxa"/>
            <w:vAlign w:val="center"/>
          </w:tcPr>
          <w:p w14:paraId="7905A146">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right="0"/>
              <w:jc w:val="center"/>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中选单位排名</w:t>
            </w:r>
          </w:p>
        </w:tc>
        <w:tc>
          <w:tcPr>
            <w:tcW w:w="5768" w:type="dxa"/>
            <w:vAlign w:val="center"/>
          </w:tcPr>
          <w:p w14:paraId="3473E7E3">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right="0"/>
              <w:jc w:val="center"/>
              <w:textAlignment w:val="auto"/>
              <w:rPr>
                <w:rFonts w:hint="default"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中选单位名称</w:t>
            </w:r>
          </w:p>
        </w:tc>
      </w:tr>
      <w:tr w14:paraId="6B0D0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496" w:type="dxa"/>
            <w:vAlign w:val="center"/>
          </w:tcPr>
          <w:p w14:paraId="2B1F0B2D">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right="0"/>
              <w:jc w:val="center"/>
              <w:textAlignment w:val="auto"/>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第一名</w:t>
            </w:r>
          </w:p>
        </w:tc>
        <w:tc>
          <w:tcPr>
            <w:tcW w:w="5768" w:type="dxa"/>
            <w:vAlign w:val="center"/>
          </w:tcPr>
          <w:p w14:paraId="2D2D99F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right="0"/>
              <w:jc w:val="center"/>
              <w:textAlignment w:val="auto"/>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中国人民财产保险股份有限公司祁东支公司</w:t>
            </w:r>
          </w:p>
        </w:tc>
      </w:tr>
      <w:tr w14:paraId="48FEA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496" w:type="dxa"/>
            <w:vAlign w:val="center"/>
          </w:tcPr>
          <w:p w14:paraId="075F4E44">
            <w:pPr>
              <w:spacing w:line="360" w:lineRule="auto"/>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第二名</w:t>
            </w:r>
          </w:p>
        </w:tc>
        <w:tc>
          <w:tcPr>
            <w:tcW w:w="5768" w:type="dxa"/>
            <w:vAlign w:val="center"/>
          </w:tcPr>
          <w:p w14:paraId="059737FA">
            <w:pPr>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中华联合财产保险股份有限公司祁东县支公司</w:t>
            </w:r>
          </w:p>
        </w:tc>
      </w:tr>
      <w:tr w14:paraId="0B193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2496" w:type="dxa"/>
            <w:vAlign w:val="center"/>
          </w:tcPr>
          <w:p w14:paraId="3FC8B5A0">
            <w:pPr>
              <w:spacing w:line="360" w:lineRule="auto"/>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第三名</w:t>
            </w:r>
          </w:p>
        </w:tc>
        <w:tc>
          <w:tcPr>
            <w:tcW w:w="5768" w:type="dxa"/>
            <w:vAlign w:val="center"/>
          </w:tcPr>
          <w:p w14:paraId="51C3734A">
            <w:pPr>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中国人寿财产保险股份有限公司衡阳市祁东县支公司</w:t>
            </w:r>
          </w:p>
        </w:tc>
      </w:tr>
      <w:tr w14:paraId="042B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jc w:val="center"/>
        </w:trPr>
        <w:tc>
          <w:tcPr>
            <w:tcW w:w="2496" w:type="dxa"/>
            <w:vAlign w:val="center"/>
          </w:tcPr>
          <w:p w14:paraId="4257CDD6">
            <w:pPr>
              <w:spacing w:line="360" w:lineRule="auto"/>
              <w:jc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第四名</w:t>
            </w:r>
          </w:p>
        </w:tc>
        <w:tc>
          <w:tcPr>
            <w:tcW w:w="5768" w:type="dxa"/>
            <w:vAlign w:val="center"/>
          </w:tcPr>
          <w:p w14:paraId="52B37FF5">
            <w:pPr>
              <w:spacing w:line="360" w:lineRule="auto"/>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中国太平洋财产保险股份有限公司祁东支公司</w:t>
            </w:r>
          </w:p>
        </w:tc>
      </w:tr>
    </w:tbl>
    <w:p w14:paraId="6237CD3C">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textAlignment w:val="auto"/>
        <w:rPr>
          <w:rFonts w:hint="eastAsia" w:ascii="宋体" w:hAnsi="宋体" w:eastAsia="宋体" w:cs="宋体"/>
          <w:b/>
          <w:bCs/>
          <w:sz w:val="24"/>
          <w:szCs w:val="24"/>
          <w:lang w:val="en-US" w:eastAsia="zh-CN"/>
        </w:rPr>
      </w:pPr>
    </w:p>
    <w:p w14:paraId="0351E3B5">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、评审小组：</w:t>
      </w:r>
      <w:r>
        <w:rPr>
          <w:rFonts w:hint="default" w:ascii="宋体" w:hAnsi="宋体" w:eastAsia="宋体" w:cs="宋体"/>
          <w:kern w:val="2"/>
          <w:sz w:val="24"/>
          <w:szCs w:val="24"/>
          <w:lang w:val="en-US" w:eastAsia="zh-CN"/>
        </w:rPr>
        <w:t>阳霞</w:t>
      </w:r>
      <w:r>
        <w:rPr>
          <w:rFonts w:hint="eastAsia" w:ascii="宋体" w:hAnsi="宋体" w:eastAsia="宋体" w:cs="宋体"/>
          <w:kern w:val="2"/>
          <w:sz w:val="24"/>
          <w:szCs w:val="24"/>
          <w:lang w:val="en-US" w:eastAsia="zh-CN"/>
        </w:rPr>
        <w:t>、郭文波、李颖丽、刘育良、高飞燕</w:t>
      </w:r>
    </w:p>
    <w:p w14:paraId="26823A71">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eastAsia" w:ascii="宋体" w:hAnsi="宋体" w:eastAsia="宋体" w:cs="宋体"/>
          <w:b/>
          <w:bCs/>
          <w:sz w:val="24"/>
          <w:szCs w:val="24"/>
          <w:lang w:val="en-US" w:eastAsia="zh-CN"/>
        </w:rPr>
      </w:pPr>
    </w:p>
    <w:p w14:paraId="2E3A6E9C">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w:t>
      </w:r>
      <w:bookmarkStart w:id="0" w:name="_Toc12757"/>
      <w:r>
        <w:rPr>
          <w:rFonts w:hint="eastAsia" w:ascii="宋体" w:hAnsi="宋体" w:eastAsia="宋体" w:cs="宋体"/>
          <w:b/>
          <w:bCs/>
          <w:sz w:val="24"/>
          <w:szCs w:val="24"/>
          <w:lang w:val="en-US" w:eastAsia="zh-CN"/>
        </w:rPr>
        <w:t>监督</w:t>
      </w:r>
      <w:bookmarkEnd w:id="0"/>
    </w:p>
    <w:p w14:paraId="32747598">
      <w:pPr>
        <w:pStyle w:val="6"/>
        <w:spacing w:after="0" w:line="360" w:lineRule="auto"/>
        <w:ind w:firstLine="480" w:firstLineChars="200"/>
        <w:outlineLvl w:val="9"/>
        <w:rPr>
          <w:rFonts w:hint="eastAsia" w:ascii="宋体" w:hAnsi="宋体" w:eastAsia="宋体" w:cs="宋体"/>
          <w:kern w:val="0"/>
          <w:sz w:val="24"/>
          <w:szCs w:val="24"/>
          <w:lang w:val="en-US" w:eastAsia="zh-CN" w:bidi="ar"/>
        </w:rPr>
      </w:pPr>
      <w:bookmarkStart w:id="1" w:name="_Toc32750"/>
      <w:r>
        <w:rPr>
          <w:rFonts w:hint="eastAsia" w:ascii="宋体" w:hAnsi="宋体" w:eastAsia="宋体" w:cs="宋体"/>
          <w:kern w:val="0"/>
          <w:sz w:val="24"/>
          <w:szCs w:val="24"/>
          <w:lang w:val="en-US" w:eastAsia="zh-CN" w:bidi="ar"/>
        </w:rPr>
        <w:t>中共衡阳市纪委衡阳市监委驻市财政局纪检监察组对本次遴选工作全过程监督。</w:t>
      </w:r>
    </w:p>
    <w:p w14:paraId="7B5C8394">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eastAsia" w:ascii="宋体" w:hAnsi="宋体" w:eastAsia="宋体" w:cs="宋体"/>
          <w:b/>
          <w:bCs/>
          <w:sz w:val="24"/>
          <w:szCs w:val="24"/>
          <w:lang w:val="en-US" w:eastAsia="zh-CN"/>
        </w:rPr>
      </w:pPr>
    </w:p>
    <w:p w14:paraId="2DDF6FA7">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五、联系方式</w:t>
      </w:r>
      <w:bookmarkEnd w:id="1"/>
    </w:p>
    <w:p w14:paraId="77D35D80">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遴选人：衡阳市财政局</w:t>
      </w:r>
    </w:p>
    <w:p w14:paraId="6E32751F">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联系人：</w:t>
      </w:r>
      <w:r>
        <w:rPr>
          <w:rFonts w:hint="eastAsia" w:ascii="宋体" w:hAnsi="宋体" w:eastAsia="宋体" w:cs="宋体"/>
          <w:sz w:val="24"/>
          <w:szCs w:val="24"/>
          <w:lang w:val="en-US" w:eastAsia="zh-CN"/>
        </w:rPr>
        <w:t>阳霞</w:t>
      </w:r>
    </w:p>
    <w:p w14:paraId="3FE9CF46">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电  话：</w:t>
      </w:r>
      <w:r>
        <w:rPr>
          <w:rFonts w:hint="eastAsia" w:ascii="宋体" w:hAnsi="宋体" w:eastAsia="宋体" w:cs="宋体"/>
          <w:sz w:val="24"/>
          <w:szCs w:val="24"/>
          <w:lang w:val="en-US" w:eastAsia="zh-CN"/>
        </w:rPr>
        <w:t>18907348976</w:t>
      </w:r>
    </w:p>
    <w:p w14:paraId="624C8E72">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地  址：衡阳市解放大道</w:t>
      </w:r>
      <w:r>
        <w:rPr>
          <w:rFonts w:hint="eastAsia" w:ascii="宋体" w:hAnsi="宋体" w:eastAsia="宋体" w:cs="宋体"/>
          <w:sz w:val="24"/>
          <w:szCs w:val="24"/>
          <w:lang w:val="en-US" w:eastAsia="zh-CN"/>
        </w:rPr>
        <w:t>30号</w:t>
      </w:r>
    </w:p>
    <w:p w14:paraId="7D77BDF0">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eastAsia" w:ascii="宋体" w:hAnsi="宋体" w:eastAsia="宋体" w:cs="宋体"/>
          <w:sz w:val="24"/>
          <w:szCs w:val="24"/>
          <w:lang w:eastAsia="zh-CN"/>
        </w:rPr>
      </w:pPr>
    </w:p>
    <w:p w14:paraId="52D72F99">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代理机构：湖南中泰项目管理有限公司</w:t>
      </w:r>
    </w:p>
    <w:p w14:paraId="0803884D">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联系人：</w:t>
      </w:r>
      <w:r>
        <w:rPr>
          <w:rFonts w:hint="eastAsia" w:ascii="宋体" w:hAnsi="宋体" w:eastAsia="宋体" w:cs="宋体"/>
          <w:sz w:val="24"/>
          <w:szCs w:val="24"/>
          <w:lang w:val="en-US" w:eastAsia="zh-CN"/>
        </w:rPr>
        <w:t>蒋晓峰</w:t>
      </w:r>
    </w:p>
    <w:p w14:paraId="0EE96CB8">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eastAsia="zh-CN"/>
        </w:rPr>
        <w:t>电  话：</w:t>
      </w:r>
      <w:r>
        <w:rPr>
          <w:rFonts w:hint="eastAsia" w:ascii="宋体" w:hAnsi="宋体" w:eastAsia="宋体" w:cs="宋体"/>
          <w:sz w:val="24"/>
          <w:szCs w:val="24"/>
          <w:lang w:val="en-US" w:eastAsia="zh-CN"/>
        </w:rPr>
        <w:t>18175885050</w:t>
      </w:r>
    </w:p>
    <w:p w14:paraId="3A4CBF89">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地  址：</w:t>
      </w:r>
      <w:r>
        <w:rPr>
          <w:rFonts w:hint="eastAsia" w:ascii="宋体" w:hAnsi="宋体" w:eastAsia="宋体" w:cs="宋体"/>
          <w:sz w:val="24"/>
          <w:szCs w:val="24"/>
          <w:lang w:val="en-US" w:eastAsia="zh-CN"/>
        </w:rPr>
        <w:t>衡阳市白云路14号明星花苑二单元221室</w:t>
      </w:r>
    </w:p>
    <w:p w14:paraId="3F78DF14">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eastAsia" w:ascii="宋体" w:hAnsi="宋体" w:eastAsia="宋体" w:cs="宋体"/>
          <w:sz w:val="24"/>
          <w:szCs w:val="24"/>
          <w:lang w:val="en-US" w:eastAsia="zh-CN"/>
        </w:rPr>
      </w:pPr>
    </w:p>
    <w:p w14:paraId="0D3D1129">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公告期限为自发布之日起5个工作日。</w:t>
      </w:r>
    </w:p>
    <w:p w14:paraId="389A5717">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eastAsia" w:ascii="宋体" w:hAnsi="宋体" w:eastAsia="宋体" w:cs="宋体"/>
          <w:sz w:val="24"/>
          <w:szCs w:val="24"/>
          <w:lang w:val="en-US" w:eastAsia="zh-CN"/>
        </w:rPr>
      </w:pPr>
    </w:p>
    <w:p w14:paraId="131FD229">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附件：祁东县2023-2025年政策性农业保险承保机构公开竞争性遴选文件</w:t>
      </w:r>
    </w:p>
    <w:p w14:paraId="67829361">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right="0"/>
        <w:jc w:val="left"/>
        <w:textAlignment w:val="auto"/>
        <w:rPr>
          <w:rFonts w:hint="default" w:ascii="宋体" w:hAnsi="宋体" w:eastAsia="宋体" w:cs="宋体"/>
          <w:sz w:val="24"/>
          <w:szCs w:val="24"/>
          <w:lang w:val="en-US" w:eastAsia="zh-CN"/>
        </w:rPr>
        <w:sectPr>
          <w:pgSz w:w="11906" w:h="16838"/>
          <w:pgMar w:top="1440" w:right="1800" w:bottom="1440" w:left="1800" w:header="851" w:footer="992" w:gutter="0"/>
          <w:cols w:space="425" w:num="1"/>
          <w:docGrid w:type="lines" w:linePitch="312" w:charSpace="0"/>
        </w:sectPr>
      </w:pPr>
    </w:p>
    <w:p w14:paraId="4073D297">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eastAsia" w:ascii="宋体" w:hAnsi="宋体" w:eastAsia="宋体" w:cs="宋体"/>
          <w:sz w:val="24"/>
          <w:szCs w:val="24"/>
          <w:lang w:val="en-US" w:eastAsia="zh-CN"/>
        </w:rPr>
        <w:sectPr>
          <w:pgSz w:w="11906" w:h="16838"/>
          <w:pgMar w:top="1440" w:right="1800" w:bottom="1440" w:left="1800" w:header="851" w:footer="992" w:gutter="0"/>
          <w:cols w:space="425" w:num="1"/>
          <w:docGrid w:type="lines" w:linePitch="312" w:charSpace="0"/>
        </w:sectPr>
      </w:pPr>
    </w:p>
    <w:p w14:paraId="175B1C7E">
      <w:pPr>
        <w:pStyle w:val="7"/>
        <w:jc w:val="center"/>
        <w:outlineLvl w:val="9"/>
        <w:rPr>
          <w:rFonts w:hint="eastAsia" w:hAnsi="宋体" w:cs="宋体"/>
          <w:b/>
          <w:bCs/>
          <w:color w:val="000000"/>
          <w:sz w:val="52"/>
          <w:szCs w:val="52"/>
        </w:rPr>
      </w:pPr>
    </w:p>
    <w:p w14:paraId="2BBAA8E5">
      <w:pPr>
        <w:pStyle w:val="7"/>
        <w:jc w:val="center"/>
        <w:outlineLvl w:val="9"/>
        <w:rPr>
          <w:rFonts w:hint="eastAsia" w:hAnsi="宋体" w:cs="宋体"/>
          <w:b/>
          <w:bCs/>
          <w:color w:val="000000"/>
          <w:sz w:val="52"/>
          <w:szCs w:val="52"/>
        </w:rPr>
      </w:pPr>
    </w:p>
    <w:p w14:paraId="4BA83F7F">
      <w:pPr>
        <w:pStyle w:val="7"/>
        <w:jc w:val="center"/>
        <w:outlineLvl w:val="0"/>
        <w:rPr>
          <w:rFonts w:hint="eastAsia" w:hAnsi="宋体" w:cs="宋体"/>
          <w:b/>
          <w:bCs/>
          <w:color w:val="000000"/>
          <w:sz w:val="48"/>
          <w:szCs w:val="48"/>
          <w:highlight w:val="none"/>
          <w:u w:val="none"/>
        </w:rPr>
      </w:pPr>
      <w:r>
        <w:rPr>
          <w:rFonts w:hint="eastAsia" w:hAnsi="宋体" w:cs="宋体"/>
          <w:b/>
          <w:bCs/>
          <w:color w:val="000000"/>
          <w:sz w:val="48"/>
          <w:szCs w:val="48"/>
          <w:highlight w:val="none"/>
          <w:u w:val="none"/>
          <w:lang w:eastAsia="zh-CN"/>
        </w:rPr>
        <w:t>祁东县2023-2025年政策性农业保险承保机构公开竞争性遴选</w:t>
      </w:r>
    </w:p>
    <w:p w14:paraId="3AB55B8D">
      <w:pPr>
        <w:pStyle w:val="7"/>
        <w:jc w:val="center"/>
        <w:outlineLvl w:val="9"/>
        <w:rPr>
          <w:rFonts w:hint="eastAsia" w:ascii="宋体" w:hAnsi="宋体" w:cs="宋体"/>
          <w:highlight w:val="none"/>
          <w:u w:val="none"/>
        </w:rPr>
      </w:pPr>
    </w:p>
    <w:p w14:paraId="573650AB">
      <w:pPr>
        <w:pStyle w:val="7"/>
        <w:jc w:val="center"/>
        <w:outlineLvl w:val="9"/>
        <w:rPr>
          <w:rFonts w:hint="eastAsia" w:hAnsi="宋体" w:cs="宋体"/>
          <w:b/>
          <w:bCs/>
          <w:color w:val="000000"/>
          <w:sz w:val="30"/>
          <w:szCs w:val="30"/>
          <w:highlight w:val="none"/>
          <w:u w:val="none"/>
        </w:rPr>
      </w:pPr>
      <w:r>
        <w:rPr>
          <w:rFonts w:hint="eastAsia" w:ascii="宋体" w:hAnsi="宋体" w:cs="宋体"/>
          <w:sz w:val="30"/>
          <w:szCs w:val="30"/>
          <w:highlight w:val="none"/>
          <w:u w:val="none"/>
        </w:rPr>
        <w:t>委托代理编号：</w:t>
      </w:r>
      <w:r>
        <w:rPr>
          <w:rFonts w:hint="eastAsia" w:hAnsi="宋体" w:cs="宋体"/>
          <w:sz w:val="30"/>
          <w:szCs w:val="30"/>
          <w:highlight w:val="none"/>
          <w:u w:val="none"/>
          <w:lang w:val="en-US" w:eastAsia="zh-CN"/>
        </w:rPr>
        <w:t>ZTHY2022-140</w:t>
      </w:r>
    </w:p>
    <w:p w14:paraId="14540244">
      <w:pPr>
        <w:pStyle w:val="7"/>
        <w:jc w:val="center"/>
        <w:outlineLvl w:val="9"/>
        <w:rPr>
          <w:rFonts w:hint="eastAsia" w:hAnsi="宋体" w:cs="宋体"/>
          <w:b/>
          <w:bCs/>
          <w:color w:val="000000"/>
          <w:sz w:val="30"/>
          <w:szCs w:val="30"/>
          <w:highlight w:val="none"/>
          <w:u w:val="none"/>
        </w:rPr>
      </w:pPr>
    </w:p>
    <w:p w14:paraId="49A0F7DC">
      <w:pPr>
        <w:pStyle w:val="7"/>
        <w:spacing w:line="400" w:lineRule="exact"/>
        <w:jc w:val="center"/>
        <w:outlineLvl w:val="9"/>
        <w:rPr>
          <w:rFonts w:hint="eastAsia" w:hAnsi="宋体" w:cs="宋体"/>
          <w:b/>
          <w:bCs/>
          <w:color w:val="000000"/>
          <w:sz w:val="52"/>
          <w:szCs w:val="52"/>
        </w:rPr>
      </w:pPr>
    </w:p>
    <w:p w14:paraId="6BFB1C0E">
      <w:pPr>
        <w:pStyle w:val="7"/>
        <w:jc w:val="center"/>
        <w:outlineLvl w:val="9"/>
        <w:rPr>
          <w:rFonts w:hint="eastAsia" w:hAnsi="宋体" w:cs="宋体"/>
          <w:b/>
          <w:bCs/>
          <w:color w:val="000000"/>
          <w:sz w:val="52"/>
          <w:szCs w:val="52"/>
        </w:rPr>
      </w:pPr>
    </w:p>
    <w:p w14:paraId="4BB2F92F">
      <w:pPr>
        <w:pStyle w:val="7"/>
        <w:jc w:val="center"/>
        <w:outlineLvl w:val="9"/>
        <w:rPr>
          <w:rFonts w:hint="eastAsia" w:hAnsi="宋体" w:cs="宋体"/>
          <w:b/>
          <w:bCs/>
          <w:color w:val="000000"/>
          <w:sz w:val="52"/>
          <w:szCs w:val="52"/>
        </w:rPr>
      </w:pPr>
    </w:p>
    <w:p w14:paraId="7D8EE11D">
      <w:pPr>
        <w:pStyle w:val="7"/>
        <w:spacing w:line="400" w:lineRule="atLeast"/>
        <w:jc w:val="center"/>
        <w:outlineLvl w:val="9"/>
        <w:rPr>
          <w:rFonts w:hint="eastAsia" w:hAnsi="宋体" w:cs="宋体"/>
          <w:color w:val="000000"/>
          <w:sz w:val="84"/>
          <w:szCs w:val="84"/>
        </w:rPr>
      </w:pPr>
      <w:r>
        <w:rPr>
          <w:rFonts w:hint="eastAsia" w:hAnsi="宋体" w:cs="宋体"/>
          <w:color w:val="000000"/>
          <w:sz w:val="84"/>
          <w:szCs w:val="84"/>
        </w:rPr>
        <w:t>遴 选 文 件</w:t>
      </w:r>
    </w:p>
    <w:p w14:paraId="25D4DC5E">
      <w:pPr>
        <w:spacing w:line="360" w:lineRule="auto"/>
        <w:ind w:firstLine="1590" w:firstLineChars="495"/>
        <w:outlineLvl w:val="9"/>
        <w:rPr>
          <w:rFonts w:hint="eastAsia" w:ascii="宋体" w:hAnsi="宋体" w:cs="宋体"/>
          <w:b/>
          <w:bCs/>
          <w:color w:val="000000"/>
          <w:sz w:val="32"/>
          <w:szCs w:val="32"/>
        </w:rPr>
      </w:pPr>
    </w:p>
    <w:p w14:paraId="64185881">
      <w:pPr>
        <w:spacing w:line="360" w:lineRule="auto"/>
        <w:ind w:firstLine="1590" w:firstLineChars="495"/>
        <w:outlineLvl w:val="9"/>
        <w:rPr>
          <w:rFonts w:hint="eastAsia" w:ascii="宋体" w:hAnsi="宋体" w:cs="宋体"/>
          <w:b/>
          <w:bCs/>
          <w:color w:val="000000"/>
          <w:sz w:val="32"/>
          <w:szCs w:val="32"/>
        </w:rPr>
      </w:pPr>
    </w:p>
    <w:p w14:paraId="3E4C80AF">
      <w:pPr>
        <w:spacing w:line="360" w:lineRule="auto"/>
        <w:ind w:firstLine="1590" w:firstLineChars="495"/>
        <w:outlineLvl w:val="9"/>
        <w:rPr>
          <w:rFonts w:hint="eastAsia" w:ascii="宋体" w:hAnsi="宋体" w:cs="宋体"/>
          <w:b/>
          <w:bCs/>
          <w:color w:val="000000"/>
          <w:sz w:val="32"/>
          <w:szCs w:val="32"/>
        </w:rPr>
      </w:pPr>
    </w:p>
    <w:p w14:paraId="423CE3E0">
      <w:pPr>
        <w:spacing w:line="360" w:lineRule="auto"/>
        <w:ind w:firstLine="1590" w:firstLineChars="495"/>
        <w:outlineLvl w:val="9"/>
        <w:rPr>
          <w:rFonts w:hint="eastAsia" w:ascii="宋体" w:hAnsi="宋体" w:cs="宋体"/>
          <w:b/>
          <w:bCs/>
          <w:color w:val="000000"/>
          <w:sz w:val="32"/>
          <w:szCs w:val="32"/>
        </w:rPr>
      </w:pPr>
    </w:p>
    <w:p w14:paraId="119E0E23">
      <w:pPr>
        <w:spacing w:line="360" w:lineRule="auto"/>
        <w:ind w:firstLine="1606" w:firstLineChars="500"/>
        <w:outlineLvl w:val="0"/>
        <w:rPr>
          <w:rFonts w:hint="eastAsia" w:ascii="宋体" w:hAnsi="宋体" w:cs="宋体"/>
          <w:b/>
          <w:bCs/>
          <w:color w:val="000000"/>
          <w:sz w:val="32"/>
          <w:szCs w:val="32"/>
        </w:rPr>
      </w:pPr>
      <w:bookmarkStart w:id="2" w:name="_Toc2402"/>
      <w:r>
        <w:rPr>
          <w:rFonts w:hint="eastAsia" w:ascii="宋体" w:hAnsi="宋体" w:cs="宋体"/>
          <w:b/>
          <w:bCs/>
          <w:color w:val="000000"/>
          <w:sz w:val="32"/>
          <w:szCs w:val="32"/>
        </w:rPr>
        <w:t>遴 选 人：</w:t>
      </w:r>
      <w:r>
        <w:rPr>
          <w:rFonts w:hint="eastAsia" w:ascii="宋体" w:hAnsi="宋体" w:cs="宋体"/>
          <w:b/>
          <w:bCs/>
          <w:color w:val="000000"/>
          <w:sz w:val="32"/>
          <w:szCs w:val="32"/>
          <w:lang w:eastAsia="zh-CN"/>
        </w:rPr>
        <w:t>衡阳市财政局</w:t>
      </w:r>
      <w:bookmarkEnd w:id="2"/>
    </w:p>
    <w:p w14:paraId="3AD9BF91">
      <w:pPr>
        <w:spacing w:line="360" w:lineRule="auto"/>
        <w:ind w:firstLine="1606" w:firstLineChars="500"/>
        <w:jc w:val="both"/>
        <w:outlineLvl w:val="0"/>
        <w:rPr>
          <w:rFonts w:hint="eastAsia" w:ascii="宋体" w:hAnsi="宋体" w:eastAsia="宋体" w:cs="宋体"/>
          <w:b/>
          <w:bCs/>
          <w:color w:val="000000"/>
          <w:sz w:val="32"/>
          <w:szCs w:val="32"/>
          <w:lang w:eastAsia="zh-CN"/>
        </w:rPr>
      </w:pPr>
      <w:bookmarkStart w:id="3" w:name="_Toc17926"/>
      <w:r>
        <w:rPr>
          <w:rFonts w:hint="eastAsia" w:ascii="宋体" w:hAnsi="宋体" w:cs="宋体"/>
          <w:b/>
          <w:bCs/>
          <w:color w:val="000000"/>
          <w:sz w:val="32"/>
          <w:szCs w:val="32"/>
        </w:rPr>
        <w:t>代理机构：</w:t>
      </w:r>
      <w:r>
        <w:rPr>
          <w:rFonts w:hint="eastAsia" w:ascii="宋体" w:hAnsi="宋体" w:cs="宋体"/>
          <w:b/>
          <w:bCs/>
          <w:color w:val="000000"/>
          <w:sz w:val="32"/>
          <w:szCs w:val="32"/>
          <w:lang w:eastAsia="zh-CN"/>
        </w:rPr>
        <w:t>湖南中泰项目管理有限公司</w:t>
      </w:r>
      <w:bookmarkEnd w:id="3"/>
    </w:p>
    <w:p w14:paraId="577EE87D">
      <w:pPr>
        <w:spacing w:line="360" w:lineRule="auto"/>
        <w:jc w:val="center"/>
        <w:outlineLvl w:val="9"/>
        <w:rPr>
          <w:rFonts w:hint="eastAsia" w:ascii="宋体" w:hAnsi="宋体" w:eastAsia="宋体" w:cs="宋体"/>
          <w:b/>
          <w:bCs/>
          <w:color w:val="000000"/>
          <w:sz w:val="32"/>
          <w:szCs w:val="32"/>
          <w:lang w:eastAsia="zh-CN"/>
        </w:rPr>
      </w:pPr>
      <w:r>
        <w:rPr>
          <w:rFonts w:hint="eastAsia" w:ascii="宋体" w:hAnsi="宋体" w:eastAsia="宋体" w:cs="宋体"/>
          <w:b/>
          <w:bCs/>
          <w:color w:val="000000"/>
          <w:sz w:val="32"/>
          <w:szCs w:val="32"/>
          <w:lang w:eastAsia="zh-CN"/>
        </w:rPr>
        <mc:AlternateContent>
          <mc:Choice Requires="wps">
            <w:drawing>
              <wp:anchor distT="0" distB="0" distL="114300" distR="114300" simplePos="0" relativeHeight="251659264" behindDoc="0" locked="0" layoutInCell="1" allowOverlap="1">
                <wp:simplePos x="0" y="0"/>
                <wp:positionH relativeFrom="column">
                  <wp:posOffset>2540</wp:posOffset>
                </wp:positionH>
                <wp:positionV relativeFrom="paragraph">
                  <wp:posOffset>1022985</wp:posOffset>
                </wp:positionV>
                <wp:extent cx="5559425" cy="1905"/>
                <wp:effectExtent l="0" t="25400" r="3175" b="29845"/>
                <wp:wrapNone/>
                <wp:docPr id="19" name="直接箭头连接符 19"/>
                <wp:cNvGraphicFramePr/>
                <a:graphic xmlns:a="http://schemas.openxmlformats.org/drawingml/2006/main">
                  <a:graphicData uri="http://schemas.microsoft.com/office/word/2010/wordprocessingShape">
                    <wps:wsp>
                      <wps:cNvCnPr/>
                      <wps:spPr>
                        <a:xfrm>
                          <a:off x="0" y="0"/>
                          <a:ext cx="5559425" cy="1905"/>
                        </a:xfrm>
                        <a:prstGeom prst="straightConnector1">
                          <a:avLst/>
                        </a:prstGeom>
                        <a:ln w="50800" cap="flat" cmpd="thickThin">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2pt;margin-top:80.55pt;height:0.15pt;width:437.75pt;z-index:251659264;mso-width-relative:page;mso-height-relative:page;" filled="f" stroked="t" coordsize="21600,21600" o:gfxdata="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LSPh0XVAAAACAEAAA8AAAAAAAAAAQAgAAAAIgAAAGRycy9k&#10;b3ducmV2LnhtbFBLAQIUABQAAAAIAIdO4kBzclEYBQIAAPgDAAAOAAAAAAAAAAEAIAAAACQBAABk&#10;cnMvZTJvRG9jLnhtbFBLBQYAAAAABgAGAFkBAACbBQAAAAA=&#10;">
                <v:fill on="f" focussize="0,0"/>
                <v:stroke weight="4pt" color="#000000" linestyle="thickThin" joinstyle="round"/>
                <v:imagedata o:title=""/>
                <o:lock v:ext="edit" aspectratio="f"/>
              </v:shape>
            </w:pict>
          </mc:Fallback>
        </mc:AlternateContent>
      </w:r>
      <w:r>
        <w:rPr>
          <w:rFonts w:hint="eastAsia" w:ascii="宋体" w:hAnsi="宋体" w:eastAsia="宋体" w:cs="宋体"/>
          <w:b/>
          <w:bCs/>
          <w:color w:val="000000"/>
          <w:sz w:val="32"/>
          <w:szCs w:val="32"/>
          <w:lang w:eastAsia="zh-CN"/>
        </w:rPr>
        <w:t>二零二二年</w:t>
      </w:r>
      <w:r>
        <w:rPr>
          <w:rFonts w:hint="eastAsia" w:ascii="宋体" w:hAnsi="宋体" w:eastAsia="宋体" w:cs="宋体"/>
          <w:b/>
          <w:bCs/>
          <w:color w:val="000000"/>
          <w:sz w:val="32"/>
          <w:szCs w:val="32"/>
          <w:lang w:val="en-US" w:eastAsia="zh-CN"/>
        </w:rPr>
        <w:t>十二</w:t>
      </w:r>
      <w:r>
        <w:rPr>
          <w:rFonts w:hint="eastAsia" w:ascii="宋体" w:hAnsi="宋体" w:eastAsia="宋体" w:cs="宋体"/>
          <w:b/>
          <w:bCs/>
          <w:color w:val="000000"/>
          <w:sz w:val="32"/>
          <w:szCs w:val="32"/>
          <w:lang w:eastAsia="zh-CN"/>
        </w:rPr>
        <w:t>月</w:t>
      </w:r>
    </w:p>
    <w:p w14:paraId="40AACAE5">
      <w:pPr>
        <w:pStyle w:val="2"/>
        <w:rPr>
          <w:rFonts w:hint="eastAsia"/>
        </w:rPr>
        <w:sectPr>
          <w:headerReference r:id="rId5" w:type="first"/>
          <w:footerReference r:id="rId6" w:type="first"/>
          <w:headerReference r:id="rId3" w:type="default"/>
          <w:headerReference r:id="rId4" w:type="even"/>
          <w:pgSz w:w="11906" w:h="16838"/>
          <w:pgMar w:top="1440" w:right="1474" w:bottom="1440" w:left="1588" w:header="851" w:footer="992" w:gutter="0"/>
          <w:pgNumType w:start="1"/>
          <w:cols w:space="720" w:num="1"/>
          <w:titlePg/>
          <w:docGrid w:type="lines" w:linePitch="312" w:charSpace="0"/>
        </w:sectPr>
      </w:pPr>
    </w:p>
    <w:p w14:paraId="5BD52B69">
      <w:pPr>
        <w:spacing w:line="360" w:lineRule="auto"/>
        <w:jc w:val="center"/>
        <w:outlineLvl w:val="9"/>
        <w:rPr>
          <w:rFonts w:hint="eastAsia" w:ascii="宋体" w:hAnsi="宋体" w:cs="宋体"/>
          <w:b/>
          <w:bCs/>
          <w:color w:val="000000"/>
          <w:sz w:val="44"/>
          <w:szCs w:val="44"/>
        </w:rPr>
      </w:pPr>
      <w:r>
        <w:rPr>
          <w:rFonts w:hint="eastAsia" w:ascii="宋体" w:hAnsi="宋体" w:cs="宋体"/>
          <w:b/>
          <w:bCs/>
          <w:color w:val="000000"/>
          <w:sz w:val="44"/>
          <w:szCs w:val="44"/>
        </w:rPr>
        <w:t>目 录</w:t>
      </w:r>
    </w:p>
    <w:p w14:paraId="3DC977BC">
      <w:pPr>
        <w:pStyle w:val="15"/>
        <w:keepNext w:val="0"/>
        <w:keepLines w:val="0"/>
        <w:pageBreakBefore w:val="0"/>
        <w:widowControl/>
        <w:tabs>
          <w:tab w:val="right" w:leader="dot" w:pos="8844"/>
        </w:tabs>
        <w:kinsoku/>
        <w:wordWrap/>
        <w:overflowPunct/>
        <w:topLinePunct w:val="0"/>
        <w:autoSpaceDE/>
        <w:autoSpaceDN/>
        <w:bidi w:val="0"/>
        <w:adjustRightInd/>
        <w:snapToGrid/>
        <w:spacing w:line="480" w:lineRule="auto"/>
        <w:ind w:leftChars="0"/>
        <w:textAlignment w:val="auto"/>
        <w:rPr>
          <w:b/>
          <w:sz w:val="24"/>
          <w:szCs w:val="24"/>
        </w:rPr>
      </w:pPr>
      <w:r>
        <w:rPr>
          <w:sz w:val="24"/>
          <w:szCs w:val="24"/>
        </w:rPr>
        <w:fldChar w:fldCharType="begin"/>
      </w:r>
      <w:r>
        <w:rPr>
          <w:sz w:val="24"/>
          <w:szCs w:val="24"/>
        </w:rPr>
        <w:instrText xml:space="preserve">TOC \o "1-2" \h \u </w:instrText>
      </w:r>
      <w:r>
        <w:rPr>
          <w:sz w:val="24"/>
          <w:szCs w:val="24"/>
        </w:rPr>
        <w:fldChar w:fldCharType="separate"/>
      </w:r>
      <w:r>
        <w:rPr>
          <w:b/>
          <w:sz w:val="24"/>
          <w:szCs w:val="24"/>
        </w:rPr>
        <w:fldChar w:fldCharType="begin"/>
      </w:r>
      <w:r>
        <w:rPr>
          <w:b/>
          <w:sz w:val="24"/>
          <w:szCs w:val="24"/>
        </w:rPr>
        <w:instrText xml:space="preserve"> HYPERLINK \l _Toc16702 </w:instrText>
      </w:r>
      <w:r>
        <w:rPr>
          <w:b/>
          <w:sz w:val="24"/>
          <w:szCs w:val="24"/>
        </w:rPr>
        <w:fldChar w:fldCharType="separate"/>
      </w:r>
      <w:r>
        <w:rPr>
          <w:rFonts w:hint="eastAsia" w:ascii="宋体" w:hAnsi="宋体" w:cs="宋体"/>
          <w:b/>
          <w:bCs/>
          <w:sz w:val="24"/>
          <w:szCs w:val="24"/>
        </w:rPr>
        <w:t>第一章 遴选公告</w:t>
      </w:r>
      <w:r>
        <w:rPr>
          <w:b/>
          <w:sz w:val="24"/>
          <w:szCs w:val="24"/>
        </w:rPr>
        <w:tab/>
      </w:r>
      <w:r>
        <w:rPr>
          <w:b/>
          <w:sz w:val="24"/>
          <w:szCs w:val="24"/>
        </w:rPr>
        <w:fldChar w:fldCharType="begin"/>
      </w:r>
      <w:r>
        <w:rPr>
          <w:b/>
          <w:sz w:val="24"/>
          <w:szCs w:val="24"/>
        </w:rPr>
        <w:instrText xml:space="preserve"> PAGEREF _Toc16702 \h </w:instrText>
      </w:r>
      <w:r>
        <w:rPr>
          <w:b/>
          <w:sz w:val="24"/>
          <w:szCs w:val="24"/>
        </w:rPr>
        <w:fldChar w:fldCharType="separate"/>
      </w:r>
      <w:r>
        <w:rPr>
          <w:b/>
          <w:sz w:val="24"/>
          <w:szCs w:val="24"/>
        </w:rPr>
        <w:t>2</w:t>
      </w:r>
      <w:r>
        <w:rPr>
          <w:b/>
          <w:sz w:val="24"/>
          <w:szCs w:val="24"/>
        </w:rPr>
        <w:fldChar w:fldCharType="end"/>
      </w:r>
      <w:r>
        <w:rPr>
          <w:b/>
          <w:sz w:val="24"/>
          <w:szCs w:val="24"/>
        </w:rPr>
        <w:fldChar w:fldCharType="end"/>
      </w:r>
    </w:p>
    <w:p w14:paraId="30EC6C21">
      <w:pPr>
        <w:pStyle w:val="15"/>
        <w:keepNext w:val="0"/>
        <w:keepLines w:val="0"/>
        <w:pageBreakBefore w:val="0"/>
        <w:widowControl/>
        <w:tabs>
          <w:tab w:val="right" w:leader="dot" w:pos="8844"/>
        </w:tabs>
        <w:kinsoku/>
        <w:wordWrap/>
        <w:overflowPunct/>
        <w:topLinePunct w:val="0"/>
        <w:autoSpaceDE/>
        <w:autoSpaceDN/>
        <w:bidi w:val="0"/>
        <w:adjustRightInd/>
        <w:snapToGrid/>
        <w:spacing w:line="480" w:lineRule="auto"/>
        <w:ind w:leftChars="0"/>
        <w:textAlignment w:val="auto"/>
        <w:rPr>
          <w:b/>
          <w:sz w:val="24"/>
          <w:szCs w:val="24"/>
        </w:rPr>
      </w:pPr>
      <w:r>
        <w:rPr>
          <w:b/>
          <w:sz w:val="24"/>
          <w:szCs w:val="24"/>
        </w:rPr>
        <w:fldChar w:fldCharType="begin"/>
      </w:r>
      <w:r>
        <w:rPr>
          <w:b/>
          <w:sz w:val="24"/>
          <w:szCs w:val="24"/>
        </w:rPr>
        <w:instrText xml:space="preserve"> HYPERLINK \l _Toc19773 </w:instrText>
      </w:r>
      <w:r>
        <w:rPr>
          <w:b/>
          <w:sz w:val="24"/>
          <w:szCs w:val="24"/>
        </w:rPr>
        <w:fldChar w:fldCharType="separate"/>
      </w:r>
      <w:r>
        <w:rPr>
          <w:rFonts w:hint="eastAsia" w:ascii="宋体" w:hAnsi="宋体" w:cs="宋体"/>
          <w:b/>
          <w:bCs/>
          <w:sz w:val="24"/>
          <w:szCs w:val="24"/>
        </w:rPr>
        <w:t>第二章 申请人须知</w:t>
      </w:r>
      <w:r>
        <w:rPr>
          <w:b/>
          <w:sz w:val="24"/>
          <w:szCs w:val="24"/>
        </w:rPr>
        <w:tab/>
      </w:r>
      <w:r>
        <w:rPr>
          <w:b/>
          <w:sz w:val="24"/>
          <w:szCs w:val="24"/>
        </w:rPr>
        <w:fldChar w:fldCharType="begin"/>
      </w:r>
      <w:r>
        <w:rPr>
          <w:b/>
          <w:sz w:val="24"/>
          <w:szCs w:val="24"/>
        </w:rPr>
        <w:instrText xml:space="preserve"> PAGEREF _Toc19773 \h </w:instrText>
      </w:r>
      <w:r>
        <w:rPr>
          <w:b/>
          <w:sz w:val="24"/>
          <w:szCs w:val="24"/>
        </w:rPr>
        <w:fldChar w:fldCharType="separate"/>
      </w:r>
      <w:r>
        <w:rPr>
          <w:b/>
          <w:sz w:val="24"/>
          <w:szCs w:val="24"/>
        </w:rPr>
        <w:t>6</w:t>
      </w:r>
      <w:r>
        <w:rPr>
          <w:b/>
          <w:sz w:val="24"/>
          <w:szCs w:val="24"/>
        </w:rPr>
        <w:fldChar w:fldCharType="end"/>
      </w:r>
      <w:r>
        <w:rPr>
          <w:b/>
          <w:sz w:val="24"/>
          <w:szCs w:val="24"/>
        </w:rPr>
        <w:fldChar w:fldCharType="end"/>
      </w:r>
    </w:p>
    <w:p w14:paraId="71A0006D">
      <w:pPr>
        <w:pStyle w:val="16"/>
        <w:keepNext w:val="0"/>
        <w:keepLines w:val="0"/>
        <w:pageBreakBefore w:val="0"/>
        <w:widowControl/>
        <w:tabs>
          <w:tab w:val="right" w:leader="dot" w:pos="8844"/>
        </w:tabs>
        <w:kinsoku/>
        <w:wordWrap/>
        <w:overflowPunct/>
        <w:topLinePunct w:val="0"/>
        <w:autoSpaceDE/>
        <w:autoSpaceDN/>
        <w:bidi w:val="0"/>
        <w:adjustRightInd/>
        <w:snapToGrid/>
        <w:spacing w:line="480" w:lineRule="auto"/>
        <w:ind w:leftChars="0" w:firstLine="480" w:firstLineChars="200"/>
        <w:textAlignment w:val="auto"/>
        <w:rPr>
          <w:sz w:val="24"/>
          <w:szCs w:val="24"/>
        </w:rPr>
      </w:pPr>
      <w:r>
        <w:rPr>
          <w:sz w:val="24"/>
          <w:szCs w:val="24"/>
        </w:rPr>
        <w:fldChar w:fldCharType="begin"/>
      </w:r>
      <w:r>
        <w:rPr>
          <w:sz w:val="24"/>
          <w:szCs w:val="24"/>
        </w:rPr>
        <w:instrText xml:space="preserve"> HYPERLINK \l _Toc28592 </w:instrText>
      </w:r>
      <w:r>
        <w:rPr>
          <w:sz w:val="24"/>
          <w:szCs w:val="24"/>
        </w:rPr>
        <w:fldChar w:fldCharType="separate"/>
      </w:r>
      <w:r>
        <w:rPr>
          <w:rFonts w:hint="eastAsia" w:ascii="宋体" w:hAnsi="宋体" w:cs="宋体"/>
          <w:bCs/>
          <w:sz w:val="24"/>
          <w:szCs w:val="24"/>
        </w:rPr>
        <w:t>申请人</w:t>
      </w:r>
      <w:r>
        <w:rPr>
          <w:rFonts w:hint="eastAsia" w:ascii="宋体" w:hAnsi="宋体" w:cs="宋体"/>
          <w:bCs/>
          <w:sz w:val="24"/>
          <w:szCs w:val="24"/>
          <w:lang w:eastAsia="zh-CN"/>
        </w:rPr>
        <w:t>须知</w:t>
      </w:r>
      <w:r>
        <w:rPr>
          <w:rFonts w:hint="eastAsia" w:ascii="宋体" w:hAnsi="宋体" w:cs="宋体"/>
          <w:bCs/>
          <w:sz w:val="24"/>
          <w:szCs w:val="24"/>
        </w:rPr>
        <w:t>前附表</w:t>
      </w:r>
      <w:r>
        <w:rPr>
          <w:sz w:val="24"/>
          <w:szCs w:val="24"/>
        </w:rPr>
        <w:tab/>
      </w:r>
      <w:r>
        <w:rPr>
          <w:sz w:val="24"/>
          <w:szCs w:val="24"/>
        </w:rPr>
        <w:fldChar w:fldCharType="begin"/>
      </w:r>
      <w:r>
        <w:rPr>
          <w:sz w:val="24"/>
          <w:szCs w:val="24"/>
        </w:rPr>
        <w:instrText xml:space="preserve"> PAGEREF _Toc28592 \h </w:instrText>
      </w:r>
      <w:r>
        <w:rPr>
          <w:sz w:val="24"/>
          <w:szCs w:val="24"/>
        </w:rPr>
        <w:fldChar w:fldCharType="separate"/>
      </w:r>
      <w:r>
        <w:rPr>
          <w:sz w:val="24"/>
          <w:szCs w:val="24"/>
        </w:rPr>
        <w:t>6</w:t>
      </w:r>
      <w:r>
        <w:rPr>
          <w:sz w:val="24"/>
          <w:szCs w:val="24"/>
        </w:rPr>
        <w:fldChar w:fldCharType="end"/>
      </w:r>
      <w:r>
        <w:rPr>
          <w:sz w:val="24"/>
          <w:szCs w:val="24"/>
        </w:rPr>
        <w:fldChar w:fldCharType="end"/>
      </w:r>
    </w:p>
    <w:p w14:paraId="5E1F9571">
      <w:pPr>
        <w:pStyle w:val="16"/>
        <w:keepNext w:val="0"/>
        <w:keepLines w:val="0"/>
        <w:pageBreakBefore w:val="0"/>
        <w:widowControl/>
        <w:tabs>
          <w:tab w:val="right" w:leader="dot" w:pos="8844"/>
        </w:tabs>
        <w:kinsoku/>
        <w:wordWrap/>
        <w:overflowPunct/>
        <w:topLinePunct w:val="0"/>
        <w:autoSpaceDE/>
        <w:autoSpaceDN/>
        <w:bidi w:val="0"/>
        <w:adjustRightInd/>
        <w:snapToGrid/>
        <w:spacing w:line="480" w:lineRule="auto"/>
        <w:ind w:leftChars="0" w:firstLine="480" w:firstLineChars="200"/>
        <w:textAlignment w:val="auto"/>
        <w:rPr>
          <w:sz w:val="24"/>
          <w:szCs w:val="24"/>
        </w:rPr>
      </w:pPr>
      <w:r>
        <w:rPr>
          <w:sz w:val="24"/>
          <w:szCs w:val="24"/>
        </w:rPr>
        <w:fldChar w:fldCharType="begin"/>
      </w:r>
      <w:r>
        <w:rPr>
          <w:sz w:val="24"/>
          <w:szCs w:val="24"/>
        </w:rPr>
        <w:instrText xml:space="preserve"> HYPERLINK \l _Toc5541 </w:instrText>
      </w:r>
      <w:r>
        <w:rPr>
          <w:sz w:val="24"/>
          <w:szCs w:val="24"/>
        </w:rPr>
        <w:fldChar w:fldCharType="separate"/>
      </w:r>
      <w:r>
        <w:rPr>
          <w:rFonts w:hint="eastAsia" w:ascii="宋体" w:hAnsi="宋体" w:cs="宋体"/>
          <w:bCs/>
          <w:sz w:val="24"/>
          <w:szCs w:val="24"/>
        </w:rPr>
        <w:t>一、总则</w:t>
      </w:r>
      <w:r>
        <w:rPr>
          <w:sz w:val="24"/>
          <w:szCs w:val="24"/>
        </w:rPr>
        <w:tab/>
      </w:r>
      <w:r>
        <w:rPr>
          <w:sz w:val="24"/>
          <w:szCs w:val="24"/>
        </w:rPr>
        <w:fldChar w:fldCharType="begin"/>
      </w:r>
      <w:r>
        <w:rPr>
          <w:sz w:val="24"/>
          <w:szCs w:val="24"/>
        </w:rPr>
        <w:instrText xml:space="preserve"> PAGEREF _Toc5541 \h </w:instrText>
      </w:r>
      <w:r>
        <w:rPr>
          <w:sz w:val="24"/>
          <w:szCs w:val="24"/>
        </w:rPr>
        <w:fldChar w:fldCharType="separate"/>
      </w:r>
      <w:r>
        <w:rPr>
          <w:sz w:val="24"/>
          <w:szCs w:val="24"/>
        </w:rPr>
        <w:t>8</w:t>
      </w:r>
      <w:r>
        <w:rPr>
          <w:sz w:val="24"/>
          <w:szCs w:val="24"/>
        </w:rPr>
        <w:fldChar w:fldCharType="end"/>
      </w:r>
      <w:r>
        <w:rPr>
          <w:sz w:val="24"/>
          <w:szCs w:val="24"/>
        </w:rPr>
        <w:fldChar w:fldCharType="end"/>
      </w:r>
    </w:p>
    <w:p w14:paraId="4ABEA013">
      <w:pPr>
        <w:pStyle w:val="16"/>
        <w:keepNext w:val="0"/>
        <w:keepLines w:val="0"/>
        <w:pageBreakBefore w:val="0"/>
        <w:widowControl/>
        <w:tabs>
          <w:tab w:val="right" w:leader="dot" w:pos="8844"/>
        </w:tabs>
        <w:kinsoku/>
        <w:wordWrap/>
        <w:overflowPunct/>
        <w:topLinePunct w:val="0"/>
        <w:autoSpaceDE/>
        <w:autoSpaceDN/>
        <w:bidi w:val="0"/>
        <w:adjustRightInd/>
        <w:snapToGrid/>
        <w:spacing w:line="480" w:lineRule="auto"/>
        <w:ind w:leftChars="0" w:firstLine="480" w:firstLineChars="200"/>
        <w:textAlignment w:val="auto"/>
        <w:rPr>
          <w:sz w:val="24"/>
          <w:szCs w:val="24"/>
        </w:rPr>
      </w:pPr>
      <w:r>
        <w:rPr>
          <w:sz w:val="24"/>
          <w:szCs w:val="24"/>
        </w:rPr>
        <w:fldChar w:fldCharType="begin"/>
      </w:r>
      <w:r>
        <w:rPr>
          <w:sz w:val="24"/>
          <w:szCs w:val="24"/>
        </w:rPr>
        <w:instrText xml:space="preserve"> HYPERLINK \l _Toc13961 </w:instrText>
      </w:r>
      <w:r>
        <w:rPr>
          <w:sz w:val="24"/>
          <w:szCs w:val="24"/>
        </w:rPr>
        <w:fldChar w:fldCharType="separate"/>
      </w:r>
      <w:r>
        <w:rPr>
          <w:rFonts w:hint="eastAsia" w:ascii="宋体" w:hAnsi="宋体" w:cs="宋体"/>
          <w:bCs/>
          <w:sz w:val="24"/>
          <w:szCs w:val="24"/>
        </w:rPr>
        <w:t>二、遴选文件</w:t>
      </w:r>
      <w:r>
        <w:rPr>
          <w:sz w:val="24"/>
          <w:szCs w:val="24"/>
        </w:rPr>
        <w:tab/>
      </w:r>
      <w:r>
        <w:rPr>
          <w:sz w:val="24"/>
          <w:szCs w:val="24"/>
        </w:rPr>
        <w:fldChar w:fldCharType="begin"/>
      </w:r>
      <w:r>
        <w:rPr>
          <w:sz w:val="24"/>
          <w:szCs w:val="24"/>
        </w:rPr>
        <w:instrText xml:space="preserve"> PAGEREF _Toc13961 \h </w:instrText>
      </w:r>
      <w:r>
        <w:rPr>
          <w:sz w:val="24"/>
          <w:szCs w:val="24"/>
        </w:rPr>
        <w:fldChar w:fldCharType="separate"/>
      </w:r>
      <w:r>
        <w:rPr>
          <w:sz w:val="24"/>
          <w:szCs w:val="24"/>
        </w:rPr>
        <w:t>8</w:t>
      </w:r>
      <w:r>
        <w:rPr>
          <w:sz w:val="24"/>
          <w:szCs w:val="24"/>
        </w:rPr>
        <w:fldChar w:fldCharType="end"/>
      </w:r>
      <w:r>
        <w:rPr>
          <w:sz w:val="24"/>
          <w:szCs w:val="24"/>
        </w:rPr>
        <w:fldChar w:fldCharType="end"/>
      </w:r>
    </w:p>
    <w:p w14:paraId="326A4E7F">
      <w:pPr>
        <w:pStyle w:val="16"/>
        <w:keepNext w:val="0"/>
        <w:keepLines w:val="0"/>
        <w:pageBreakBefore w:val="0"/>
        <w:widowControl/>
        <w:tabs>
          <w:tab w:val="right" w:leader="dot" w:pos="8844"/>
        </w:tabs>
        <w:kinsoku/>
        <w:wordWrap/>
        <w:overflowPunct/>
        <w:topLinePunct w:val="0"/>
        <w:autoSpaceDE/>
        <w:autoSpaceDN/>
        <w:bidi w:val="0"/>
        <w:adjustRightInd/>
        <w:snapToGrid/>
        <w:spacing w:line="480" w:lineRule="auto"/>
        <w:ind w:leftChars="0" w:firstLine="480" w:firstLineChars="200"/>
        <w:textAlignment w:val="auto"/>
        <w:rPr>
          <w:sz w:val="24"/>
          <w:szCs w:val="24"/>
        </w:rPr>
      </w:pPr>
      <w:r>
        <w:rPr>
          <w:sz w:val="24"/>
          <w:szCs w:val="24"/>
        </w:rPr>
        <w:fldChar w:fldCharType="begin"/>
      </w:r>
      <w:r>
        <w:rPr>
          <w:sz w:val="24"/>
          <w:szCs w:val="24"/>
        </w:rPr>
        <w:instrText xml:space="preserve"> HYPERLINK \l _Toc11139 </w:instrText>
      </w:r>
      <w:r>
        <w:rPr>
          <w:sz w:val="24"/>
          <w:szCs w:val="24"/>
        </w:rPr>
        <w:fldChar w:fldCharType="separate"/>
      </w:r>
      <w:r>
        <w:rPr>
          <w:rFonts w:hint="eastAsia" w:ascii="宋体" w:hAnsi="宋体" w:cs="宋体"/>
          <w:bCs/>
          <w:sz w:val="24"/>
          <w:szCs w:val="24"/>
        </w:rPr>
        <w:t>三、申请文件的编制</w:t>
      </w:r>
      <w:r>
        <w:rPr>
          <w:sz w:val="24"/>
          <w:szCs w:val="24"/>
        </w:rPr>
        <w:tab/>
      </w:r>
      <w:r>
        <w:rPr>
          <w:sz w:val="24"/>
          <w:szCs w:val="24"/>
        </w:rPr>
        <w:fldChar w:fldCharType="begin"/>
      </w:r>
      <w:r>
        <w:rPr>
          <w:sz w:val="24"/>
          <w:szCs w:val="24"/>
        </w:rPr>
        <w:instrText xml:space="preserve"> PAGEREF _Toc11139 \h </w:instrText>
      </w:r>
      <w:r>
        <w:rPr>
          <w:sz w:val="24"/>
          <w:szCs w:val="24"/>
        </w:rPr>
        <w:fldChar w:fldCharType="separate"/>
      </w:r>
      <w:r>
        <w:rPr>
          <w:sz w:val="24"/>
          <w:szCs w:val="24"/>
        </w:rPr>
        <w:t>9</w:t>
      </w:r>
      <w:r>
        <w:rPr>
          <w:sz w:val="24"/>
          <w:szCs w:val="24"/>
        </w:rPr>
        <w:fldChar w:fldCharType="end"/>
      </w:r>
      <w:r>
        <w:rPr>
          <w:sz w:val="24"/>
          <w:szCs w:val="24"/>
        </w:rPr>
        <w:fldChar w:fldCharType="end"/>
      </w:r>
    </w:p>
    <w:p w14:paraId="6AC53E83">
      <w:pPr>
        <w:pStyle w:val="16"/>
        <w:keepNext w:val="0"/>
        <w:keepLines w:val="0"/>
        <w:pageBreakBefore w:val="0"/>
        <w:widowControl/>
        <w:tabs>
          <w:tab w:val="right" w:leader="dot" w:pos="8844"/>
        </w:tabs>
        <w:kinsoku/>
        <w:wordWrap/>
        <w:overflowPunct/>
        <w:topLinePunct w:val="0"/>
        <w:autoSpaceDE/>
        <w:autoSpaceDN/>
        <w:bidi w:val="0"/>
        <w:adjustRightInd/>
        <w:snapToGrid/>
        <w:spacing w:line="480" w:lineRule="auto"/>
        <w:ind w:leftChars="0" w:firstLine="480" w:firstLineChars="200"/>
        <w:textAlignment w:val="auto"/>
        <w:rPr>
          <w:sz w:val="24"/>
          <w:szCs w:val="24"/>
        </w:rPr>
      </w:pPr>
      <w:r>
        <w:rPr>
          <w:sz w:val="24"/>
          <w:szCs w:val="24"/>
        </w:rPr>
        <w:fldChar w:fldCharType="begin"/>
      </w:r>
      <w:r>
        <w:rPr>
          <w:sz w:val="24"/>
          <w:szCs w:val="24"/>
        </w:rPr>
        <w:instrText xml:space="preserve"> HYPERLINK \l _Toc21971 </w:instrText>
      </w:r>
      <w:r>
        <w:rPr>
          <w:sz w:val="24"/>
          <w:szCs w:val="24"/>
        </w:rPr>
        <w:fldChar w:fldCharType="separate"/>
      </w:r>
      <w:r>
        <w:rPr>
          <w:rFonts w:hint="eastAsia" w:ascii="宋体" w:hAnsi="宋体" w:cs="宋体"/>
          <w:bCs/>
          <w:sz w:val="24"/>
          <w:szCs w:val="24"/>
        </w:rPr>
        <w:t>四、申请文件的递交</w:t>
      </w:r>
      <w:r>
        <w:rPr>
          <w:sz w:val="24"/>
          <w:szCs w:val="24"/>
        </w:rPr>
        <w:tab/>
      </w:r>
      <w:r>
        <w:rPr>
          <w:sz w:val="24"/>
          <w:szCs w:val="24"/>
        </w:rPr>
        <w:fldChar w:fldCharType="begin"/>
      </w:r>
      <w:r>
        <w:rPr>
          <w:sz w:val="24"/>
          <w:szCs w:val="24"/>
        </w:rPr>
        <w:instrText xml:space="preserve"> PAGEREF _Toc21971 \h </w:instrText>
      </w:r>
      <w:r>
        <w:rPr>
          <w:sz w:val="24"/>
          <w:szCs w:val="24"/>
        </w:rPr>
        <w:fldChar w:fldCharType="separate"/>
      </w:r>
      <w:r>
        <w:rPr>
          <w:sz w:val="24"/>
          <w:szCs w:val="24"/>
        </w:rPr>
        <w:t>9</w:t>
      </w:r>
      <w:r>
        <w:rPr>
          <w:sz w:val="24"/>
          <w:szCs w:val="24"/>
        </w:rPr>
        <w:fldChar w:fldCharType="end"/>
      </w:r>
      <w:r>
        <w:rPr>
          <w:sz w:val="24"/>
          <w:szCs w:val="24"/>
        </w:rPr>
        <w:fldChar w:fldCharType="end"/>
      </w:r>
    </w:p>
    <w:p w14:paraId="738A4493">
      <w:pPr>
        <w:pStyle w:val="16"/>
        <w:keepNext w:val="0"/>
        <w:keepLines w:val="0"/>
        <w:pageBreakBefore w:val="0"/>
        <w:widowControl/>
        <w:tabs>
          <w:tab w:val="right" w:leader="dot" w:pos="8844"/>
        </w:tabs>
        <w:kinsoku/>
        <w:wordWrap/>
        <w:overflowPunct/>
        <w:topLinePunct w:val="0"/>
        <w:autoSpaceDE/>
        <w:autoSpaceDN/>
        <w:bidi w:val="0"/>
        <w:adjustRightInd/>
        <w:snapToGrid/>
        <w:spacing w:line="480" w:lineRule="auto"/>
        <w:ind w:leftChars="0" w:firstLine="480" w:firstLineChars="200"/>
        <w:textAlignment w:val="auto"/>
        <w:rPr>
          <w:sz w:val="24"/>
          <w:szCs w:val="24"/>
        </w:rPr>
      </w:pPr>
      <w:r>
        <w:rPr>
          <w:sz w:val="24"/>
          <w:szCs w:val="24"/>
        </w:rPr>
        <w:fldChar w:fldCharType="begin"/>
      </w:r>
      <w:r>
        <w:rPr>
          <w:sz w:val="24"/>
          <w:szCs w:val="24"/>
        </w:rPr>
        <w:instrText xml:space="preserve"> HYPERLINK \l _Toc19099 </w:instrText>
      </w:r>
      <w:r>
        <w:rPr>
          <w:sz w:val="24"/>
          <w:szCs w:val="24"/>
        </w:rPr>
        <w:fldChar w:fldCharType="separate"/>
      </w:r>
      <w:r>
        <w:rPr>
          <w:rFonts w:hint="eastAsia" w:ascii="宋体" w:hAnsi="宋体" w:cs="宋体"/>
          <w:bCs/>
          <w:sz w:val="24"/>
          <w:szCs w:val="24"/>
        </w:rPr>
        <w:t>五、评审</w:t>
      </w:r>
      <w:r>
        <w:rPr>
          <w:sz w:val="24"/>
          <w:szCs w:val="24"/>
        </w:rPr>
        <w:tab/>
      </w:r>
      <w:r>
        <w:rPr>
          <w:sz w:val="24"/>
          <w:szCs w:val="24"/>
        </w:rPr>
        <w:fldChar w:fldCharType="begin"/>
      </w:r>
      <w:r>
        <w:rPr>
          <w:sz w:val="24"/>
          <w:szCs w:val="24"/>
        </w:rPr>
        <w:instrText xml:space="preserve"> PAGEREF _Toc19099 \h </w:instrText>
      </w:r>
      <w:r>
        <w:rPr>
          <w:sz w:val="24"/>
          <w:szCs w:val="24"/>
        </w:rPr>
        <w:fldChar w:fldCharType="separate"/>
      </w:r>
      <w:r>
        <w:rPr>
          <w:sz w:val="24"/>
          <w:szCs w:val="24"/>
        </w:rPr>
        <w:t>10</w:t>
      </w:r>
      <w:r>
        <w:rPr>
          <w:sz w:val="24"/>
          <w:szCs w:val="24"/>
        </w:rPr>
        <w:fldChar w:fldCharType="end"/>
      </w:r>
      <w:r>
        <w:rPr>
          <w:sz w:val="24"/>
          <w:szCs w:val="24"/>
        </w:rPr>
        <w:fldChar w:fldCharType="end"/>
      </w:r>
    </w:p>
    <w:p w14:paraId="08564EB2">
      <w:pPr>
        <w:pStyle w:val="16"/>
        <w:keepNext w:val="0"/>
        <w:keepLines w:val="0"/>
        <w:pageBreakBefore w:val="0"/>
        <w:widowControl/>
        <w:tabs>
          <w:tab w:val="right" w:leader="dot" w:pos="8844"/>
        </w:tabs>
        <w:kinsoku/>
        <w:wordWrap/>
        <w:overflowPunct/>
        <w:topLinePunct w:val="0"/>
        <w:autoSpaceDE/>
        <w:autoSpaceDN/>
        <w:bidi w:val="0"/>
        <w:adjustRightInd/>
        <w:snapToGrid/>
        <w:spacing w:line="480" w:lineRule="auto"/>
        <w:ind w:leftChars="0" w:firstLine="480" w:firstLineChars="200"/>
        <w:textAlignment w:val="auto"/>
        <w:rPr>
          <w:sz w:val="24"/>
          <w:szCs w:val="24"/>
        </w:rPr>
      </w:pPr>
      <w:r>
        <w:rPr>
          <w:sz w:val="24"/>
          <w:szCs w:val="24"/>
        </w:rPr>
        <w:fldChar w:fldCharType="begin"/>
      </w:r>
      <w:r>
        <w:rPr>
          <w:sz w:val="24"/>
          <w:szCs w:val="24"/>
        </w:rPr>
        <w:instrText xml:space="preserve"> HYPERLINK \l _Toc8906 </w:instrText>
      </w:r>
      <w:r>
        <w:rPr>
          <w:sz w:val="24"/>
          <w:szCs w:val="24"/>
        </w:rPr>
        <w:fldChar w:fldCharType="separate"/>
      </w:r>
      <w:r>
        <w:rPr>
          <w:rFonts w:hint="eastAsia" w:ascii="宋体" w:hAnsi="宋体" w:cs="宋体"/>
          <w:bCs/>
          <w:sz w:val="24"/>
          <w:szCs w:val="24"/>
        </w:rPr>
        <w:t>六、合同及其他</w:t>
      </w:r>
      <w:r>
        <w:rPr>
          <w:sz w:val="24"/>
          <w:szCs w:val="24"/>
        </w:rPr>
        <w:tab/>
      </w:r>
      <w:r>
        <w:rPr>
          <w:sz w:val="24"/>
          <w:szCs w:val="24"/>
        </w:rPr>
        <w:fldChar w:fldCharType="begin"/>
      </w:r>
      <w:r>
        <w:rPr>
          <w:sz w:val="24"/>
          <w:szCs w:val="24"/>
        </w:rPr>
        <w:instrText xml:space="preserve"> PAGEREF _Toc8906 \h </w:instrText>
      </w:r>
      <w:r>
        <w:rPr>
          <w:sz w:val="24"/>
          <w:szCs w:val="24"/>
        </w:rPr>
        <w:fldChar w:fldCharType="separate"/>
      </w:r>
      <w:r>
        <w:rPr>
          <w:sz w:val="24"/>
          <w:szCs w:val="24"/>
        </w:rPr>
        <w:t>11</w:t>
      </w:r>
      <w:r>
        <w:rPr>
          <w:sz w:val="24"/>
          <w:szCs w:val="24"/>
        </w:rPr>
        <w:fldChar w:fldCharType="end"/>
      </w:r>
      <w:r>
        <w:rPr>
          <w:sz w:val="24"/>
          <w:szCs w:val="24"/>
        </w:rPr>
        <w:fldChar w:fldCharType="end"/>
      </w:r>
    </w:p>
    <w:p w14:paraId="21CC0E68">
      <w:pPr>
        <w:pStyle w:val="15"/>
        <w:keepNext w:val="0"/>
        <w:keepLines w:val="0"/>
        <w:pageBreakBefore w:val="0"/>
        <w:widowControl/>
        <w:tabs>
          <w:tab w:val="right" w:leader="dot" w:pos="8844"/>
        </w:tabs>
        <w:kinsoku/>
        <w:wordWrap/>
        <w:overflowPunct/>
        <w:topLinePunct w:val="0"/>
        <w:autoSpaceDE/>
        <w:autoSpaceDN/>
        <w:bidi w:val="0"/>
        <w:adjustRightInd/>
        <w:snapToGrid/>
        <w:spacing w:line="480" w:lineRule="auto"/>
        <w:ind w:leftChars="0"/>
        <w:textAlignment w:val="auto"/>
        <w:rPr>
          <w:b/>
          <w:sz w:val="24"/>
          <w:szCs w:val="24"/>
        </w:rPr>
      </w:pPr>
      <w:r>
        <w:rPr>
          <w:b/>
          <w:sz w:val="24"/>
          <w:szCs w:val="24"/>
        </w:rPr>
        <w:fldChar w:fldCharType="begin"/>
      </w:r>
      <w:r>
        <w:rPr>
          <w:b/>
          <w:sz w:val="24"/>
          <w:szCs w:val="24"/>
        </w:rPr>
        <w:instrText xml:space="preserve"> HYPERLINK \l _Toc410 </w:instrText>
      </w:r>
      <w:r>
        <w:rPr>
          <w:b/>
          <w:sz w:val="24"/>
          <w:szCs w:val="24"/>
        </w:rPr>
        <w:fldChar w:fldCharType="separate"/>
      </w:r>
      <w:r>
        <w:rPr>
          <w:rFonts w:hint="eastAsia" w:ascii="宋体" w:hAnsi="宋体" w:cs="宋体"/>
          <w:b/>
          <w:bCs/>
          <w:sz w:val="24"/>
          <w:szCs w:val="24"/>
        </w:rPr>
        <w:t>第三章 合同协议书</w:t>
      </w:r>
      <w:r>
        <w:rPr>
          <w:b/>
          <w:sz w:val="24"/>
          <w:szCs w:val="24"/>
        </w:rPr>
        <w:tab/>
      </w:r>
      <w:r>
        <w:rPr>
          <w:b/>
          <w:sz w:val="24"/>
          <w:szCs w:val="24"/>
        </w:rPr>
        <w:fldChar w:fldCharType="begin"/>
      </w:r>
      <w:r>
        <w:rPr>
          <w:b/>
          <w:sz w:val="24"/>
          <w:szCs w:val="24"/>
        </w:rPr>
        <w:instrText xml:space="preserve"> PAGEREF _Toc410 \h </w:instrText>
      </w:r>
      <w:r>
        <w:rPr>
          <w:b/>
          <w:sz w:val="24"/>
          <w:szCs w:val="24"/>
        </w:rPr>
        <w:fldChar w:fldCharType="separate"/>
      </w:r>
      <w:r>
        <w:rPr>
          <w:b/>
          <w:sz w:val="24"/>
          <w:szCs w:val="24"/>
        </w:rPr>
        <w:t>12</w:t>
      </w:r>
      <w:r>
        <w:rPr>
          <w:b/>
          <w:sz w:val="24"/>
          <w:szCs w:val="24"/>
        </w:rPr>
        <w:fldChar w:fldCharType="end"/>
      </w:r>
      <w:r>
        <w:rPr>
          <w:b/>
          <w:sz w:val="24"/>
          <w:szCs w:val="24"/>
        </w:rPr>
        <w:fldChar w:fldCharType="end"/>
      </w:r>
    </w:p>
    <w:p w14:paraId="1E3205F0">
      <w:pPr>
        <w:pStyle w:val="15"/>
        <w:keepNext w:val="0"/>
        <w:keepLines w:val="0"/>
        <w:pageBreakBefore w:val="0"/>
        <w:widowControl/>
        <w:tabs>
          <w:tab w:val="right" w:leader="dot" w:pos="8844"/>
        </w:tabs>
        <w:kinsoku/>
        <w:wordWrap/>
        <w:overflowPunct/>
        <w:topLinePunct w:val="0"/>
        <w:autoSpaceDE/>
        <w:autoSpaceDN/>
        <w:bidi w:val="0"/>
        <w:adjustRightInd/>
        <w:snapToGrid/>
        <w:spacing w:line="480" w:lineRule="auto"/>
        <w:ind w:leftChars="0"/>
        <w:textAlignment w:val="auto"/>
        <w:rPr>
          <w:b/>
          <w:sz w:val="24"/>
          <w:szCs w:val="24"/>
        </w:rPr>
      </w:pPr>
      <w:r>
        <w:rPr>
          <w:b/>
          <w:sz w:val="24"/>
          <w:szCs w:val="24"/>
        </w:rPr>
        <w:fldChar w:fldCharType="begin"/>
      </w:r>
      <w:r>
        <w:rPr>
          <w:b/>
          <w:sz w:val="24"/>
          <w:szCs w:val="24"/>
        </w:rPr>
        <w:instrText xml:space="preserve"> HYPERLINK \l _Toc31991 </w:instrText>
      </w:r>
      <w:r>
        <w:rPr>
          <w:b/>
          <w:sz w:val="24"/>
          <w:szCs w:val="24"/>
        </w:rPr>
        <w:fldChar w:fldCharType="separate"/>
      </w:r>
      <w:r>
        <w:rPr>
          <w:rFonts w:hint="eastAsia" w:ascii="宋体" w:hAnsi="宋体" w:cs="宋体"/>
          <w:b/>
          <w:bCs/>
          <w:sz w:val="24"/>
          <w:szCs w:val="24"/>
        </w:rPr>
        <w:t>第四章 遴选规则</w:t>
      </w:r>
      <w:r>
        <w:rPr>
          <w:b/>
          <w:sz w:val="24"/>
          <w:szCs w:val="24"/>
        </w:rPr>
        <w:tab/>
      </w:r>
      <w:r>
        <w:rPr>
          <w:b/>
          <w:sz w:val="24"/>
          <w:szCs w:val="24"/>
        </w:rPr>
        <w:fldChar w:fldCharType="begin"/>
      </w:r>
      <w:r>
        <w:rPr>
          <w:b/>
          <w:sz w:val="24"/>
          <w:szCs w:val="24"/>
        </w:rPr>
        <w:instrText xml:space="preserve"> PAGEREF _Toc31991 \h </w:instrText>
      </w:r>
      <w:r>
        <w:rPr>
          <w:b/>
          <w:sz w:val="24"/>
          <w:szCs w:val="24"/>
        </w:rPr>
        <w:fldChar w:fldCharType="separate"/>
      </w:r>
      <w:r>
        <w:rPr>
          <w:b/>
          <w:sz w:val="24"/>
          <w:szCs w:val="24"/>
        </w:rPr>
        <w:t>14</w:t>
      </w:r>
      <w:r>
        <w:rPr>
          <w:b/>
          <w:sz w:val="24"/>
          <w:szCs w:val="24"/>
        </w:rPr>
        <w:fldChar w:fldCharType="end"/>
      </w:r>
      <w:r>
        <w:rPr>
          <w:b/>
          <w:sz w:val="24"/>
          <w:szCs w:val="24"/>
        </w:rPr>
        <w:fldChar w:fldCharType="end"/>
      </w:r>
    </w:p>
    <w:p w14:paraId="670C4B21">
      <w:pPr>
        <w:pStyle w:val="15"/>
        <w:keepNext w:val="0"/>
        <w:keepLines w:val="0"/>
        <w:pageBreakBefore w:val="0"/>
        <w:widowControl/>
        <w:tabs>
          <w:tab w:val="right" w:leader="dot" w:pos="8844"/>
        </w:tabs>
        <w:kinsoku/>
        <w:wordWrap/>
        <w:overflowPunct/>
        <w:topLinePunct w:val="0"/>
        <w:autoSpaceDE/>
        <w:autoSpaceDN/>
        <w:bidi w:val="0"/>
        <w:adjustRightInd/>
        <w:snapToGrid/>
        <w:spacing w:line="480" w:lineRule="auto"/>
        <w:ind w:leftChars="0"/>
        <w:textAlignment w:val="auto"/>
        <w:rPr>
          <w:b/>
          <w:sz w:val="24"/>
          <w:szCs w:val="24"/>
        </w:rPr>
      </w:pPr>
      <w:r>
        <w:rPr>
          <w:b/>
          <w:sz w:val="24"/>
          <w:szCs w:val="24"/>
        </w:rPr>
        <w:fldChar w:fldCharType="begin"/>
      </w:r>
      <w:r>
        <w:rPr>
          <w:b/>
          <w:sz w:val="24"/>
          <w:szCs w:val="24"/>
        </w:rPr>
        <w:instrText xml:space="preserve"> HYPERLINK \l _Toc3887 </w:instrText>
      </w:r>
      <w:r>
        <w:rPr>
          <w:b/>
          <w:sz w:val="24"/>
          <w:szCs w:val="24"/>
        </w:rPr>
        <w:fldChar w:fldCharType="separate"/>
      </w:r>
      <w:r>
        <w:rPr>
          <w:rFonts w:hint="eastAsia" w:ascii="宋体" w:hAnsi="宋体" w:cs="宋体"/>
          <w:b/>
          <w:bCs/>
          <w:sz w:val="24"/>
          <w:szCs w:val="24"/>
        </w:rPr>
        <w:t xml:space="preserve">第五章 </w:t>
      </w:r>
      <w:r>
        <w:rPr>
          <w:rFonts w:hint="eastAsia" w:ascii="宋体" w:hAnsi="宋体" w:cs="宋体"/>
          <w:b/>
          <w:bCs/>
          <w:sz w:val="24"/>
          <w:szCs w:val="24"/>
          <w:lang w:eastAsia="zh-CN"/>
        </w:rPr>
        <w:t>申请</w:t>
      </w:r>
      <w:r>
        <w:rPr>
          <w:rFonts w:hint="eastAsia" w:ascii="宋体" w:hAnsi="宋体" w:cs="宋体"/>
          <w:b/>
          <w:bCs/>
          <w:sz w:val="24"/>
          <w:szCs w:val="24"/>
        </w:rPr>
        <w:t>文件的组成</w:t>
      </w:r>
      <w:r>
        <w:rPr>
          <w:b/>
          <w:sz w:val="24"/>
          <w:szCs w:val="24"/>
        </w:rPr>
        <w:tab/>
      </w:r>
      <w:r>
        <w:rPr>
          <w:b/>
          <w:sz w:val="24"/>
          <w:szCs w:val="24"/>
        </w:rPr>
        <w:fldChar w:fldCharType="begin"/>
      </w:r>
      <w:r>
        <w:rPr>
          <w:b/>
          <w:sz w:val="24"/>
          <w:szCs w:val="24"/>
        </w:rPr>
        <w:instrText xml:space="preserve"> PAGEREF _Toc3887 \h </w:instrText>
      </w:r>
      <w:r>
        <w:rPr>
          <w:b/>
          <w:sz w:val="24"/>
          <w:szCs w:val="24"/>
        </w:rPr>
        <w:fldChar w:fldCharType="separate"/>
      </w:r>
      <w:r>
        <w:rPr>
          <w:b/>
          <w:sz w:val="24"/>
          <w:szCs w:val="24"/>
        </w:rPr>
        <w:t>15</w:t>
      </w:r>
      <w:r>
        <w:rPr>
          <w:b/>
          <w:sz w:val="24"/>
          <w:szCs w:val="24"/>
        </w:rPr>
        <w:fldChar w:fldCharType="end"/>
      </w:r>
      <w:r>
        <w:rPr>
          <w:b/>
          <w:sz w:val="24"/>
          <w:szCs w:val="24"/>
        </w:rPr>
        <w:fldChar w:fldCharType="end"/>
      </w:r>
    </w:p>
    <w:p w14:paraId="625EB9F0">
      <w:pPr>
        <w:pStyle w:val="15"/>
        <w:keepNext w:val="0"/>
        <w:keepLines w:val="0"/>
        <w:pageBreakBefore w:val="0"/>
        <w:widowControl/>
        <w:tabs>
          <w:tab w:val="right" w:leader="dot" w:pos="8844"/>
        </w:tabs>
        <w:kinsoku/>
        <w:wordWrap/>
        <w:overflowPunct/>
        <w:topLinePunct w:val="0"/>
        <w:autoSpaceDE/>
        <w:autoSpaceDN/>
        <w:bidi w:val="0"/>
        <w:adjustRightInd/>
        <w:snapToGrid/>
        <w:spacing w:line="480" w:lineRule="auto"/>
        <w:ind w:leftChars="0"/>
        <w:textAlignment w:val="auto"/>
        <w:rPr>
          <w:b/>
          <w:sz w:val="24"/>
          <w:szCs w:val="24"/>
        </w:rPr>
      </w:pPr>
      <w:r>
        <w:rPr>
          <w:b/>
          <w:sz w:val="24"/>
          <w:szCs w:val="24"/>
        </w:rPr>
        <w:fldChar w:fldCharType="begin"/>
      </w:r>
      <w:r>
        <w:rPr>
          <w:b/>
          <w:sz w:val="24"/>
          <w:szCs w:val="24"/>
        </w:rPr>
        <w:instrText xml:space="preserve"> HYPERLINK \l _Toc21534 </w:instrText>
      </w:r>
      <w:r>
        <w:rPr>
          <w:b/>
          <w:sz w:val="24"/>
          <w:szCs w:val="24"/>
        </w:rPr>
        <w:fldChar w:fldCharType="separate"/>
      </w:r>
      <w:r>
        <w:rPr>
          <w:rFonts w:hint="eastAsia" w:hAnsi="宋体" w:cs="宋体"/>
          <w:b/>
          <w:bCs/>
          <w:sz w:val="24"/>
          <w:szCs w:val="24"/>
          <w:highlight w:val="none"/>
        </w:rPr>
        <w:t>第六章 评审方法及标准</w:t>
      </w:r>
      <w:r>
        <w:rPr>
          <w:b/>
          <w:sz w:val="24"/>
          <w:szCs w:val="24"/>
        </w:rPr>
        <w:tab/>
      </w:r>
      <w:r>
        <w:rPr>
          <w:b/>
          <w:sz w:val="24"/>
          <w:szCs w:val="24"/>
        </w:rPr>
        <w:fldChar w:fldCharType="begin"/>
      </w:r>
      <w:r>
        <w:rPr>
          <w:b/>
          <w:sz w:val="24"/>
          <w:szCs w:val="24"/>
        </w:rPr>
        <w:instrText xml:space="preserve"> PAGEREF _Toc21534 \h </w:instrText>
      </w:r>
      <w:r>
        <w:rPr>
          <w:b/>
          <w:sz w:val="24"/>
          <w:szCs w:val="24"/>
        </w:rPr>
        <w:fldChar w:fldCharType="separate"/>
      </w:r>
      <w:r>
        <w:rPr>
          <w:b/>
          <w:sz w:val="24"/>
          <w:szCs w:val="24"/>
        </w:rPr>
        <w:t>29</w:t>
      </w:r>
      <w:r>
        <w:rPr>
          <w:b/>
          <w:sz w:val="24"/>
          <w:szCs w:val="24"/>
        </w:rPr>
        <w:fldChar w:fldCharType="end"/>
      </w:r>
      <w:r>
        <w:rPr>
          <w:b/>
          <w:sz w:val="24"/>
          <w:szCs w:val="24"/>
        </w:rPr>
        <w:fldChar w:fldCharType="end"/>
      </w:r>
    </w:p>
    <w:p w14:paraId="6A245690">
      <w:pPr>
        <w:keepNext w:val="0"/>
        <w:keepLines w:val="0"/>
        <w:pageBreakBefore w:val="0"/>
        <w:widowControl/>
        <w:kinsoku/>
        <w:wordWrap/>
        <w:overflowPunct/>
        <w:topLinePunct w:val="0"/>
        <w:autoSpaceDE/>
        <w:autoSpaceDN/>
        <w:bidi w:val="0"/>
        <w:adjustRightInd/>
        <w:snapToGrid/>
        <w:spacing w:line="480" w:lineRule="auto"/>
        <w:ind w:leftChars="0"/>
        <w:textAlignment w:val="auto"/>
      </w:pPr>
      <w:r>
        <w:rPr>
          <w:b/>
          <w:sz w:val="24"/>
          <w:szCs w:val="24"/>
        </w:rPr>
        <w:fldChar w:fldCharType="end"/>
      </w:r>
    </w:p>
    <w:p w14:paraId="389483D5">
      <w:pPr>
        <w:widowControl/>
        <w:shd w:val="clear" w:color="auto" w:fill="FFFFFF"/>
        <w:jc w:val="center"/>
        <w:outlineLvl w:val="0"/>
        <w:rPr>
          <w:rFonts w:hint="eastAsia" w:ascii="宋体" w:hAnsi="宋体" w:cs="宋体"/>
          <w:b/>
          <w:bCs/>
          <w:color w:val="000000"/>
          <w:sz w:val="32"/>
          <w:szCs w:val="32"/>
        </w:rPr>
      </w:pPr>
      <w:r>
        <w:rPr>
          <w:rFonts w:hint="eastAsia" w:ascii="宋体" w:hAnsi="宋体" w:cs="宋体"/>
          <w:b/>
          <w:bCs/>
          <w:color w:val="000000"/>
          <w:sz w:val="32"/>
          <w:szCs w:val="32"/>
        </w:rPr>
        <w:br w:type="page"/>
      </w:r>
      <w:bookmarkStart w:id="4" w:name="_Toc16702"/>
      <w:r>
        <w:rPr>
          <w:rFonts w:hint="eastAsia" w:ascii="宋体" w:hAnsi="宋体" w:cs="宋体"/>
          <w:b/>
          <w:bCs/>
          <w:color w:val="000000"/>
          <w:sz w:val="32"/>
          <w:szCs w:val="32"/>
        </w:rPr>
        <w:t>第一章 遴选公告</w:t>
      </w:r>
      <w:bookmarkEnd w:id="4"/>
    </w:p>
    <w:p w14:paraId="332D0113">
      <w:pPr>
        <w:tabs>
          <w:tab w:val="left" w:pos="360"/>
        </w:tabs>
        <w:spacing w:line="120" w:lineRule="exact"/>
        <w:ind w:firstLine="420" w:firstLineChars="200"/>
        <w:outlineLvl w:val="9"/>
        <w:rPr>
          <w:rFonts w:hint="eastAsia" w:ascii="宋体" w:hAnsi="宋体" w:cs="宋体"/>
          <w:kern w:val="0"/>
          <w:szCs w:val="21"/>
        </w:rPr>
      </w:pPr>
    </w:p>
    <w:p w14:paraId="40518A11">
      <w:pPr>
        <w:pStyle w:val="6"/>
        <w:widowControl/>
        <w:spacing w:after="0" w:line="440" w:lineRule="exact"/>
        <w:ind w:firstLine="420" w:firstLineChars="200"/>
        <w:jc w:val="left"/>
        <w:outlineLvl w:val="9"/>
        <w:rPr>
          <w:rFonts w:hint="eastAsia" w:ascii="宋体" w:hAnsi="宋体" w:cs="宋体"/>
          <w:szCs w:val="21"/>
          <w:highlight w:val="none"/>
          <w:u w:val="none"/>
        </w:rPr>
      </w:pPr>
      <w:bookmarkStart w:id="5" w:name="_Hlt19243256"/>
      <w:bookmarkEnd w:id="5"/>
      <w:bookmarkStart w:id="6" w:name="_Hlt3982676"/>
      <w:bookmarkEnd w:id="6"/>
      <w:bookmarkStart w:id="7" w:name="_Hlt2226139"/>
      <w:bookmarkEnd w:id="7"/>
      <w:r>
        <w:rPr>
          <w:rFonts w:hint="eastAsia" w:ascii="宋体" w:hAnsi="宋体" w:cs="宋体"/>
          <w:szCs w:val="21"/>
          <w:lang w:eastAsia="zh-CN"/>
        </w:rPr>
        <w:t>湖南中泰项目管理有限公司</w:t>
      </w:r>
      <w:r>
        <w:rPr>
          <w:rFonts w:hint="eastAsia" w:ascii="宋体" w:hAnsi="宋体" w:cs="宋体"/>
          <w:szCs w:val="21"/>
        </w:rPr>
        <w:t>受</w:t>
      </w:r>
      <w:r>
        <w:rPr>
          <w:rFonts w:hint="eastAsia" w:ascii="宋体" w:hAnsi="宋体" w:cs="宋体"/>
          <w:szCs w:val="21"/>
          <w:lang w:eastAsia="zh-CN"/>
        </w:rPr>
        <w:t>衡阳市财政局</w:t>
      </w:r>
      <w:r>
        <w:rPr>
          <w:rFonts w:hint="eastAsia" w:ascii="宋体" w:hAnsi="宋体" w:cs="宋体"/>
          <w:szCs w:val="21"/>
        </w:rPr>
        <w:t>委托，按照湖南省财政厅</w:t>
      </w:r>
      <w:r>
        <w:rPr>
          <w:rFonts w:hint="eastAsia" w:ascii="宋体" w:hAnsi="宋体" w:cs="宋体"/>
          <w:szCs w:val="21"/>
          <w:lang w:eastAsia="zh-CN"/>
        </w:rPr>
        <w:t>、湖南省农业农村厅</w:t>
      </w:r>
      <w:r>
        <w:rPr>
          <w:rFonts w:hint="eastAsia" w:ascii="宋体" w:hAnsi="宋体" w:cs="宋体"/>
          <w:szCs w:val="21"/>
        </w:rPr>
        <w:t>(湘财金[2022]64号)文件要求，现将公开竞争</w:t>
      </w:r>
      <w:r>
        <w:rPr>
          <w:rFonts w:hint="eastAsia" w:ascii="宋体" w:hAnsi="宋体" w:cs="宋体"/>
          <w:szCs w:val="21"/>
          <w:highlight w:val="none"/>
          <w:u w:val="none"/>
        </w:rPr>
        <w:t>性遴选</w:t>
      </w:r>
      <w:r>
        <w:rPr>
          <w:rFonts w:hint="eastAsia" w:ascii="宋体" w:hAnsi="宋体" w:cs="宋体"/>
          <w:szCs w:val="21"/>
          <w:highlight w:val="none"/>
          <w:u w:val="none"/>
          <w:lang w:eastAsia="zh-CN"/>
        </w:rPr>
        <w:t>祁东县</w:t>
      </w:r>
      <w:r>
        <w:rPr>
          <w:rFonts w:hint="eastAsia" w:ascii="宋体" w:hAnsi="宋体" w:cs="宋体"/>
          <w:szCs w:val="21"/>
          <w:highlight w:val="none"/>
          <w:u w:val="none"/>
          <w:lang w:val="en-US" w:eastAsia="zh-CN"/>
        </w:rPr>
        <w:t>2023-2025年</w:t>
      </w:r>
      <w:r>
        <w:rPr>
          <w:rFonts w:hint="eastAsia" w:ascii="宋体" w:hAnsi="宋体" w:cs="宋体"/>
          <w:szCs w:val="21"/>
          <w:highlight w:val="none"/>
          <w:u w:val="none"/>
        </w:rPr>
        <w:t>政策性农业保险承保机构的相关事项公告如下:</w:t>
      </w:r>
    </w:p>
    <w:p w14:paraId="0748C1A4">
      <w:pPr>
        <w:pStyle w:val="6"/>
        <w:widowControl/>
        <w:spacing w:after="0" w:line="440" w:lineRule="exact"/>
        <w:jc w:val="left"/>
        <w:outlineLvl w:val="1"/>
        <w:rPr>
          <w:rFonts w:hint="eastAsia" w:ascii="宋体" w:hAnsi="宋体" w:cs="宋体"/>
          <w:b/>
          <w:bCs/>
          <w:sz w:val="24"/>
          <w:highlight w:val="none"/>
          <w:u w:val="none"/>
        </w:rPr>
      </w:pPr>
      <w:bookmarkStart w:id="8" w:name="_Toc31517"/>
      <w:r>
        <w:rPr>
          <w:rFonts w:hint="eastAsia" w:ascii="宋体" w:hAnsi="宋体" w:cs="宋体"/>
          <w:b/>
          <w:bCs/>
          <w:sz w:val="24"/>
          <w:highlight w:val="none"/>
          <w:u w:val="none"/>
        </w:rPr>
        <w:t>一、项目概况</w:t>
      </w:r>
      <w:bookmarkEnd w:id="8"/>
    </w:p>
    <w:p w14:paraId="23F97C64">
      <w:pPr>
        <w:pStyle w:val="6"/>
        <w:widowControl/>
        <w:spacing w:after="0" w:line="440" w:lineRule="exact"/>
        <w:ind w:firstLine="420" w:firstLineChars="200"/>
        <w:jc w:val="left"/>
        <w:outlineLvl w:val="9"/>
        <w:rPr>
          <w:rFonts w:hint="eastAsia" w:ascii="宋体" w:hAnsi="宋体" w:cs="宋体"/>
          <w:szCs w:val="21"/>
          <w:highlight w:val="none"/>
          <w:u w:val="none"/>
          <w:lang w:eastAsia="zh-CN"/>
        </w:rPr>
      </w:pPr>
      <w:r>
        <w:rPr>
          <w:rFonts w:hint="eastAsia" w:ascii="宋体" w:hAnsi="宋体" w:cs="宋体"/>
          <w:szCs w:val="21"/>
          <w:highlight w:val="none"/>
          <w:u w:val="none"/>
          <w:lang w:val="en-US" w:eastAsia="zh-CN"/>
        </w:rPr>
        <w:t>1、</w:t>
      </w:r>
      <w:r>
        <w:rPr>
          <w:rFonts w:hint="eastAsia" w:ascii="宋体" w:hAnsi="宋体" w:cs="宋体"/>
          <w:szCs w:val="21"/>
          <w:highlight w:val="none"/>
          <w:u w:val="none"/>
          <w:lang w:eastAsia="zh-CN"/>
        </w:rPr>
        <w:t>项目名称：祁东县2023-2025年政策性农业保险承保机构公开竞争性遴选</w:t>
      </w:r>
    </w:p>
    <w:p w14:paraId="4E54F2F2">
      <w:pPr>
        <w:pStyle w:val="6"/>
        <w:widowControl/>
        <w:spacing w:after="0" w:line="440" w:lineRule="exact"/>
        <w:ind w:firstLine="420" w:firstLineChars="200"/>
        <w:jc w:val="left"/>
        <w:outlineLvl w:val="9"/>
        <w:rPr>
          <w:rFonts w:hint="eastAsia" w:ascii="宋体" w:hAnsi="宋体" w:cs="宋体"/>
          <w:szCs w:val="21"/>
          <w:highlight w:val="none"/>
          <w:u w:val="none"/>
          <w:lang w:val="en-US" w:eastAsia="zh-CN"/>
        </w:rPr>
      </w:pPr>
      <w:r>
        <w:rPr>
          <w:rFonts w:hint="eastAsia" w:ascii="宋体" w:hAnsi="宋体" w:cs="宋体"/>
          <w:szCs w:val="21"/>
          <w:highlight w:val="none"/>
          <w:u w:val="none"/>
          <w:lang w:val="en-US" w:eastAsia="zh-CN"/>
        </w:rPr>
        <w:t>2、</w:t>
      </w:r>
      <w:r>
        <w:rPr>
          <w:rFonts w:hint="eastAsia" w:ascii="宋体" w:hAnsi="宋体" w:cs="宋体"/>
          <w:szCs w:val="21"/>
          <w:highlight w:val="none"/>
          <w:u w:val="none"/>
          <w:lang w:eastAsia="zh-CN"/>
        </w:rPr>
        <w:t>委托代理编号</w:t>
      </w:r>
      <w:r>
        <w:rPr>
          <w:rFonts w:hint="eastAsia" w:ascii="宋体" w:hAnsi="宋体" w:cs="宋体"/>
          <w:szCs w:val="21"/>
          <w:highlight w:val="none"/>
          <w:u w:val="none"/>
          <w:lang w:val="en-US" w:eastAsia="zh-CN"/>
        </w:rPr>
        <w:t>：ZTHY2022-140</w:t>
      </w:r>
    </w:p>
    <w:p w14:paraId="2590F534">
      <w:pPr>
        <w:pStyle w:val="6"/>
        <w:widowControl/>
        <w:spacing w:after="0" w:line="440" w:lineRule="exact"/>
        <w:ind w:firstLine="420" w:firstLineChars="200"/>
        <w:jc w:val="left"/>
        <w:outlineLvl w:val="9"/>
        <w:rPr>
          <w:rFonts w:hint="eastAsia" w:ascii="宋体" w:hAnsi="宋体" w:cs="宋体"/>
          <w:szCs w:val="21"/>
          <w:highlight w:val="none"/>
          <w:u w:val="none"/>
          <w:lang w:eastAsia="zh-CN"/>
        </w:rPr>
      </w:pPr>
      <w:r>
        <w:rPr>
          <w:rFonts w:hint="eastAsia" w:ascii="宋体" w:hAnsi="宋体" w:cs="宋体"/>
          <w:szCs w:val="21"/>
          <w:highlight w:val="none"/>
          <w:u w:val="none"/>
          <w:lang w:val="en-US" w:eastAsia="zh-CN"/>
        </w:rPr>
        <w:t>3、</w:t>
      </w:r>
      <w:r>
        <w:rPr>
          <w:rFonts w:hint="eastAsia" w:ascii="宋体" w:hAnsi="宋体" w:cs="宋体"/>
          <w:szCs w:val="21"/>
          <w:highlight w:val="none"/>
          <w:u w:val="none"/>
          <w:lang w:eastAsia="zh-CN"/>
        </w:rPr>
        <w:t>遴选方式：公开竞争性遴选</w:t>
      </w:r>
    </w:p>
    <w:p w14:paraId="1793595E">
      <w:pPr>
        <w:pStyle w:val="6"/>
        <w:widowControl/>
        <w:numPr>
          <w:ilvl w:val="0"/>
          <w:numId w:val="0"/>
        </w:numPr>
        <w:spacing w:after="0" w:line="440" w:lineRule="exact"/>
        <w:ind w:firstLine="420" w:firstLineChars="200"/>
        <w:jc w:val="left"/>
        <w:outlineLvl w:val="9"/>
        <w:rPr>
          <w:rFonts w:hint="eastAsia" w:ascii="宋体" w:hAnsi="宋体" w:cs="宋体"/>
          <w:color w:val="000000"/>
          <w:szCs w:val="21"/>
        </w:rPr>
      </w:pPr>
      <w:r>
        <w:rPr>
          <w:rFonts w:hint="eastAsia" w:ascii="宋体" w:hAnsi="宋体" w:cs="宋体"/>
          <w:color w:val="000000"/>
          <w:szCs w:val="21"/>
          <w:lang w:val="en-US" w:eastAsia="zh-CN"/>
        </w:rPr>
        <w:t>4、</w:t>
      </w:r>
      <w:r>
        <w:rPr>
          <w:rFonts w:hint="eastAsia" w:ascii="宋体" w:hAnsi="宋体" w:cs="宋体"/>
          <w:color w:val="000000"/>
          <w:szCs w:val="21"/>
        </w:rPr>
        <w:t>遴选</w:t>
      </w:r>
      <w:r>
        <w:rPr>
          <w:rFonts w:hint="eastAsia" w:ascii="宋体" w:hAnsi="宋体" w:cs="宋体"/>
          <w:color w:val="000000"/>
          <w:szCs w:val="21"/>
          <w:lang w:eastAsia="zh-CN"/>
        </w:rPr>
        <w:t>对象</w:t>
      </w:r>
      <w:r>
        <w:rPr>
          <w:rFonts w:hint="eastAsia" w:ascii="宋体" w:hAnsi="宋体" w:cs="宋体"/>
          <w:color w:val="000000"/>
          <w:szCs w:val="21"/>
        </w:rPr>
        <w:t>：保险公司</w:t>
      </w:r>
      <w:r>
        <w:rPr>
          <w:rFonts w:hint="eastAsia" w:ascii="宋体" w:hAnsi="宋体" w:cs="宋体"/>
          <w:color w:val="000000"/>
          <w:szCs w:val="21"/>
          <w:lang w:eastAsia="zh-CN"/>
        </w:rPr>
        <w:t>县级</w:t>
      </w:r>
      <w:r>
        <w:rPr>
          <w:rFonts w:hint="eastAsia" w:ascii="宋体" w:hAnsi="宋体" w:cs="宋体"/>
          <w:color w:val="000000"/>
          <w:szCs w:val="21"/>
        </w:rPr>
        <w:t>分支机构。</w:t>
      </w:r>
    </w:p>
    <w:p w14:paraId="5E9DA1D0">
      <w:pPr>
        <w:pStyle w:val="6"/>
        <w:widowControl/>
        <w:numPr>
          <w:ilvl w:val="0"/>
          <w:numId w:val="0"/>
        </w:numPr>
        <w:spacing w:after="0" w:line="440" w:lineRule="exact"/>
        <w:ind w:firstLine="420" w:firstLineChars="200"/>
        <w:jc w:val="left"/>
        <w:outlineLvl w:val="9"/>
        <w:rPr>
          <w:rFonts w:hint="eastAsia" w:ascii="宋体" w:hAnsi="宋体" w:cs="宋体"/>
          <w:color w:val="auto"/>
          <w:highlight w:val="none"/>
          <w:u w:val="none"/>
          <w:lang w:val="en-US" w:eastAsia="zh-CN"/>
        </w:rPr>
      </w:pP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lang w:eastAsia="zh-CN"/>
        </w:rPr>
        <w:t>遴选</w:t>
      </w:r>
      <w:r>
        <w:rPr>
          <w:rFonts w:hint="eastAsia" w:ascii="宋体" w:hAnsi="宋体" w:cs="宋体"/>
          <w:color w:val="000000"/>
          <w:szCs w:val="21"/>
          <w:highlight w:val="none"/>
          <w:lang w:val="en-US" w:eastAsia="zh-CN"/>
        </w:rPr>
        <w:t>数量</w:t>
      </w:r>
      <w:r>
        <w:rPr>
          <w:rFonts w:hint="eastAsia" w:ascii="宋体" w:hAnsi="宋体" w:cs="宋体"/>
          <w:color w:val="000000"/>
          <w:szCs w:val="21"/>
          <w:highlight w:val="none"/>
          <w:u w:val="none"/>
          <w:lang w:val="en-US" w:eastAsia="zh-CN"/>
        </w:rPr>
        <w:t>：</w:t>
      </w:r>
      <w:r>
        <w:rPr>
          <w:rFonts w:hint="eastAsia" w:ascii="宋体" w:hAnsi="宋体" w:cs="宋体"/>
          <w:color w:val="auto"/>
          <w:highlight w:val="none"/>
          <w:u w:val="none"/>
          <w:lang w:val="en-US" w:eastAsia="zh-CN"/>
        </w:rPr>
        <w:t>4家。</w:t>
      </w:r>
    </w:p>
    <w:p w14:paraId="68E66349">
      <w:pPr>
        <w:pStyle w:val="6"/>
        <w:widowControl/>
        <w:numPr>
          <w:ilvl w:val="0"/>
          <w:numId w:val="0"/>
        </w:numPr>
        <w:spacing w:after="0" w:line="440" w:lineRule="exact"/>
        <w:ind w:firstLine="420" w:firstLineChars="200"/>
        <w:jc w:val="left"/>
        <w:outlineLvl w:val="9"/>
        <w:rPr>
          <w:rFonts w:hint="eastAsia" w:ascii="宋体" w:hAnsi="宋体" w:cs="宋体"/>
          <w:color w:val="000000"/>
          <w:highlight w:val="none"/>
          <w:u w:val="none"/>
          <w:lang w:val="en-US" w:eastAsia="zh-CN"/>
        </w:rPr>
      </w:pPr>
      <w:r>
        <w:rPr>
          <w:rFonts w:hint="eastAsia" w:ascii="宋体" w:hAnsi="宋体" w:cs="宋体"/>
          <w:color w:val="000000"/>
          <w:highlight w:val="none"/>
          <w:u w:val="none"/>
          <w:lang w:val="en-US" w:eastAsia="zh-CN"/>
        </w:rPr>
        <w:t>6、遴选区域：祁东县。</w:t>
      </w:r>
    </w:p>
    <w:p w14:paraId="24E79A9A">
      <w:pPr>
        <w:pStyle w:val="6"/>
        <w:widowControl/>
        <w:numPr>
          <w:ilvl w:val="0"/>
          <w:numId w:val="0"/>
        </w:numPr>
        <w:spacing w:after="0" w:line="440" w:lineRule="exact"/>
        <w:ind w:firstLine="420" w:firstLineChars="200"/>
        <w:jc w:val="left"/>
        <w:outlineLvl w:val="9"/>
        <w:rPr>
          <w:rFonts w:hint="eastAsia" w:ascii="宋体" w:hAnsi="宋体" w:cs="宋体"/>
          <w:color w:val="000000"/>
          <w:lang w:val="en-US" w:eastAsia="zh-CN"/>
        </w:rPr>
      </w:pPr>
      <w:r>
        <w:rPr>
          <w:rFonts w:hint="eastAsia" w:ascii="宋体" w:hAnsi="宋体" w:cs="宋体"/>
          <w:color w:val="000000"/>
          <w:highlight w:val="none"/>
          <w:u w:val="none"/>
          <w:lang w:val="en-US" w:eastAsia="zh-CN"/>
        </w:rPr>
        <w:t>7、分包情况：8个标包，如</w:t>
      </w:r>
      <w:r>
        <w:rPr>
          <w:rFonts w:hint="eastAsia" w:ascii="宋体" w:hAnsi="宋体" w:cs="宋体"/>
          <w:color w:val="000000"/>
          <w:lang w:val="en-US" w:eastAsia="zh-CN"/>
        </w:rPr>
        <w:t>下：</w:t>
      </w:r>
    </w:p>
    <w:tbl>
      <w:tblPr>
        <w:tblStyle w:val="13"/>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2"/>
        <w:gridCol w:w="1579"/>
        <w:gridCol w:w="1938"/>
        <w:gridCol w:w="1811"/>
        <w:gridCol w:w="1815"/>
      </w:tblGrid>
      <w:tr w14:paraId="3EF4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pct"/>
            <w:noWrap w:val="0"/>
            <w:vAlign w:val="center"/>
          </w:tcPr>
          <w:p w14:paraId="2F765E09">
            <w:pPr>
              <w:spacing w:line="36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品种分包</w:t>
            </w:r>
          </w:p>
        </w:tc>
        <w:tc>
          <w:tcPr>
            <w:tcW w:w="872" w:type="pct"/>
            <w:noWrap w:val="0"/>
            <w:vAlign w:val="center"/>
          </w:tcPr>
          <w:p w14:paraId="6F937123">
            <w:pPr>
              <w:spacing w:line="36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分包比例</w:t>
            </w:r>
          </w:p>
        </w:tc>
        <w:tc>
          <w:tcPr>
            <w:tcW w:w="1070" w:type="pct"/>
            <w:noWrap w:val="0"/>
            <w:vAlign w:val="center"/>
          </w:tcPr>
          <w:p w14:paraId="0F585BD8">
            <w:pPr>
              <w:spacing w:line="36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各险种分包规模（万元）</w:t>
            </w:r>
          </w:p>
        </w:tc>
        <w:tc>
          <w:tcPr>
            <w:tcW w:w="1000" w:type="pct"/>
            <w:noWrap w:val="0"/>
            <w:vAlign w:val="center"/>
          </w:tcPr>
          <w:p w14:paraId="4E543794">
            <w:pPr>
              <w:spacing w:line="36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分包</w:t>
            </w:r>
            <w:r>
              <w:rPr>
                <w:rFonts w:hint="eastAsia" w:ascii="宋体" w:hAnsi="宋体" w:eastAsia="宋体" w:cs="宋体"/>
                <w:sz w:val="21"/>
                <w:szCs w:val="21"/>
                <w:vertAlign w:val="baseline"/>
                <w:lang w:val="en-US" w:eastAsia="zh-CN"/>
              </w:rPr>
              <w:t>预计</w:t>
            </w:r>
            <w:r>
              <w:rPr>
                <w:rFonts w:hint="eastAsia" w:ascii="宋体" w:hAnsi="宋体" w:eastAsia="宋体" w:cs="宋体"/>
                <w:sz w:val="21"/>
                <w:szCs w:val="21"/>
                <w:vertAlign w:val="baseline"/>
                <w:lang w:eastAsia="zh-CN"/>
              </w:rPr>
              <w:t>保费份额（万元）</w:t>
            </w:r>
          </w:p>
        </w:tc>
        <w:tc>
          <w:tcPr>
            <w:tcW w:w="1000" w:type="pct"/>
            <w:noWrap w:val="0"/>
            <w:vAlign w:val="center"/>
          </w:tcPr>
          <w:p w14:paraId="21B028DE">
            <w:pPr>
              <w:spacing w:line="36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标包号</w:t>
            </w:r>
          </w:p>
        </w:tc>
      </w:tr>
      <w:tr w14:paraId="5E0AD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pct"/>
            <w:noWrap w:val="0"/>
            <w:vAlign w:val="center"/>
          </w:tcPr>
          <w:p w14:paraId="5F7023F7">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A1、水稻</w:t>
            </w:r>
          </w:p>
        </w:tc>
        <w:tc>
          <w:tcPr>
            <w:tcW w:w="872" w:type="pct"/>
            <w:noWrap w:val="0"/>
            <w:vAlign w:val="center"/>
          </w:tcPr>
          <w:p w14:paraId="35BE4B18">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56.88%</w:t>
            </w:r>
          </w:p>
        </w:tc>
        <w:tc>
          <w:tcPr>
            <w:tcW w:w="1070" w:type="pct"/>
            <w:noWrap w:val="0"/>
            <w:vAlign w:val="center"/>
          </w:tcPr>
          <w:p w14:paraId="25933E47">
            <w:pPr>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1827.12</w:t>
            </w:r>
          </w:p>
        </w:tc>
        <w:tc>
          <w:tcPr>
            <w:tcW w:w="1000" w:type="pct"/>
            <w:noWrap w:val="0"/>
            <w:vAlign w:val="center"/>
          </w:tcPr>
          <w:p w14:paraId="6283BD6D">
            <w:pPr>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1904.35</w:t>
            </w:r>
          </w:p>
        </w:tc>
        <w:tc>
          <w:tcPr>
            <w:tcW w:w="1000" w:type="pct"/>
            <w:noWrap w:val="0"/>
            <w:vAlign w:val="center"/>
          </w:tcPr>
          <w:p w14:paraId="39515E70">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A1（第一包）</w:t>
            </w:r>
          </w:p>
        </w:tc>
      </w:tr>
      <w:tr w14:paraId="26651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pct"/>
            <w:noWrap w:val="0"/>
            <w:vAlign w:val="center"/>
          </w:tcPr>
          <w:p w14:paraId="5475A802">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A2、水稻</w:t>
            </w:r>
          </w:p>
        </w:tc>
        <w:tc>
          <w:tcPr>
            <w:tcW w:w="872" w:type="pct"/>
            <w:noWrap w:val="0"/>
            <w:vAlign w:val="center"/>
          </w:tcPr>
          <w:p w14:paraId="33E740C6">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29.97%</w:t>
            </w:r>
          </w:p>
        </w:tc>
        <w:tc>
          <w:tcPr>
            <w:tcW w:w="1070" w:type="pct"/>
            <w:noWrap w:val="0"/>
            <w:vAlign w:val="center"/>
          </w:tcPr>
          <w:p w14:paraId="6338F0AD">
            <w:pPr>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962.49</w:t>
            </w:r>
          </w:p>
        </w:tc>
        <w:tc>
          <w:tcPr>
            <w:tcW w:w="1000" w:type="pct"/>
            <w:noWrap w:val="0"/>
            <w:vAlign w:val="center"/>
          </w:tcPr>
          <w:p w14:paraId="3F3CA001">
            <w:pPr>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1009.04</w:t>
            </w:r>
          </w:p>
        </w:tc>
        <w:tc>
          <w:tcPr>
            <w:tcW w:w="1000" w:type="pct"/>
            <w:noWrap w:val="0"/>
            <w:vAlign w:val="center"/>
          </w:tcPr>
          <w:p w14:paraId="0857D1BC">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A2（第二包）</w:t>
            </w:r>
          </w:p>
        </w:tc>
      </w:tr>
      <w:tr w14:paraId="5823A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pct"/>
            <w:noWrap w:val="0"/>
            <w:vAlign w:val="center"/>
          </w:tcPr>
          <w:p w14:paraId="0209CD56">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A3、水稻</w:t>
            </w:r>
          </w:p>
        </w:tc>
        <w:tc>
          <w:tcPr>
            <w:tcW w:w="872" w:type="pct"/>
            <w:noWrap w:val="0"/>
            <w:vAlign w:val="center"/>
          </w:tcPr>
          <w:p w14:paraId="561A22A3">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13.15%</w:t>
            </w:r>
          </w:p>
        </w:tc>
        <w:tc>
          <w:tcPr>
            <w:tcW w:w="1070" w:type="pct"/>
            <w:noWrap w:val="0"/>
            <w:vAlign w:val="center"/>
          </w:tcPr>
          <w:p w14:paraId="06765D88">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422.42</w:t>
            </w:r>
          </w:p>
        </w:tc>
        <w:tc>
          <w:tcPr>
            <w:tcW w:w="1000" w:type="pct"/>
            <w:noWrap w:val="0"/>
            <w:vAlign w:val="center"/>
          </w:tcPr>
          <w:p w14:paraId="3A32909B">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446.65</w:t>
            </w:r>
          </w:p>
        </w:tc>
        <w:tc>
          <w:tcPr>
            <w:tcW w:w="1000" w:type="pct"/>
            <w:noWrap w:val="0"/>
            <w:vAlign w:val="center"/>
          </w:tcPr>
          <w:p w14:paraId="0010864F">
            <w:pPr>
              <w:spacing w:line="360" w:lineRule="auto"/>
              <w:jc w:val="center"/>
              <w:rPr>
                <w:rFonts w:hint="eastAsia" w:ascii="宋体" w:hAnsi="宋体" w:eastAsia="宋体" w:cs="宋体"/>
                <w:sz w:val="21"/>
                <w:szCs w:val="21"/>
                <w:vertAlign w:val="baseline"/>
                <w:lang w:val="en-US"/>
              </w:rPr>
            </w:pPr>
            <w:r>
              <w:rPr>
                <w:rFonts w:hint="eastAsia" w:ascii="宋体" w:hAnsi="宋体" w:eastAsia="宋体" w:cs="宋体"/>
                <w:sz w:val="21"/>
                <w:szCs w:val="21"/>
                <w:vertAlign w:val="baseline"/>
                <w:lang w:val="en-US" w:eastAsia="zh-CN"/>
              </w:rPr>
              <w:t>A3（第三包）</w:t>
            </w:r>
          </w:p>
        </w:tc>
      </w:tr>
      <w:tr w14:paraId="76C2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pct"/>
            <w:noWrap w:val="0"/>
            <w:vAlign w:val="center"/>
          </w:tcPr>
          <w:p w14:paraId="670E551C">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A1、油菜</w:t>
            </w:r>
          </w:p>
        </w:tc>
        <w:tc>
          <w:tcPr>
            <w:tcW w:w="872" w:type="pct"/>
            <w:noWrap w:val="0"/>
            <w:vAlign w:val="center"/>
          </w:tcPr>
          <w:p w14:paraId="1378D3E1">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52.18%</w:t>
            </w:r>
          </w:p>
        </w:tc>
        <w:tc>
          <w:tcPr>
            <w:tcW w:w="1070" w:type="pct"/>
            <w:noWrap w:val="0"/>
            <w:vAlign w:val="center"/>
          </w:tcPr>
          <w:p w14:paraId="205A2AE4">
            <w:pPr>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77.23</w:t>
            </w:r>
          </w:p>
        </w:tc>
        <w:tc>
          <w:tcPr>
            <w:tcW w:w="1000" w:type="pct"/>
            <w:noWrap w:val="0"/>
            <w:vAlign w:val="center"/>
          </w:tcPr>
          <w:p w14:paraId="17E6BA7F">
            <w:pPr>
              <w:spacing w:line="360" w:lineRule="auto"/>
              <w:jc w:val="center"/>
              <w:rPr>
                <w:rFonts w:hint="eastAsia" w:ascii="宋体" w:hAnsi="宋体" w:eastAsia="宋体" w:cs="宋体"/>
                <w:sz w:val="21"/>
                <w:szCs w:val="21"/>
                <w:vertAlign w:val="baseline"/>
              </w:rPr>
            </w:pPr>
          </w:p>
        </w:tc>
        <w:tc>
          <w:tcPr>
            <w:tcW w:w="1000" w:type="pct"/>
            <w:noWrap w:val="0"/>
            <w:vAlign w:val="center"/>
          </w:tcPr>
          <w:p w14:paraId="4720344D">
            <w:pPr>
              <w:spacing w:line="360" w:lineRule="auto"/>
              <w:jc w:val="center"/>
              <w:rPr>
                <w:rFonts w:hint="eastAsia" w:ascii="宋体" w:hAnsi="宋体" w:eastAsia="宋体" w:cs="宋体"/>
                <w:sz w:val="21"/>
                <w:szCs w:val="21"/>
                <w:vertAlign w:val="baseline"/>
              </w:rPr>
            </w:pPr>
          </w:p>
        </w:tc>
      </w:tr>
      <w:tr w14:paraId="0F5FB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pct"/>
            <w:noWrap w:val="0"/>
            <w:vAlign w:val="center"/>
          </w:tcPr>
          <w:p w14:paraId="02A4D069">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A2、油菜</w:t>
            </w:r>
          </w:p>
        </w:tc>
        <w:tc>
          <w:tcPr>
            <w:tcW w:w="872" w:type="pct"/>
            <w:noWrap w:val="0"/>
            <w:vAlign w:val="center"/>
          </w:tcPr>
          <w:p w14:paraId="3FE8C635">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31.45%</w:t>
            </w:r>
          </w:p>
        </w:tc>
        <w:tc>
          <w:tcPr>
            <w:tcW w:w="1070" w:type="pct"/>
            <w:noWrap w:val="0"/>
            <w:vAlign w:val="center"/>
          </w:tcPr>
          <w:p w14:paraId="42DAAECC">
            <w:pPr>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46.55</w:t>
            </w:r>
          </w:p>
        </w:tc>
        <w:tc>
          <w:tcPr>
            <w:tcW w:w="1000" w:type="pct"/>
            <w:noWrap w:val="0"/>
            <w:vAlign w:val="center"/>
          </w:tcPr>
          <w:p w14:paraId="494074C7">
            <w:pPr>
              <w:spacing w:line="360" w:lineRule="auto"/>
              <w:jc w:val="center"/>
              <w:rPr>
                <w:rFonts w:hint="eastAsia" w:ascii="宋体" w:hAnsi="宋体" w:eastAsia="宋体" w:cs="宋体"/>
                <w:sz w:val="21"/>
                <w:szCs w:val="21"/>
                <w:vertAlign w:val="baseline"/>
              </w:rPr>
            </w:pPr>
          </w:p>
        </w:tc>
        <w:tc>
          <w:tcPr>
            <w:tcW w:w="1000" w:type="pct"/>
            <w:noWrap w:val="0"/>
            <w:vAlign w:val="center"/>
          </w:tcPr>
          <w:p w14:paraId="36BF1158">
            <w:pPr>
              <w:spacing w:line="360" w:lineRule="auto"/>
              <w:jc w:val="center"/>
              <w:rPr>
                <w:rFonts w:hint="eastAsia" w:ascii="宋体" w:hAnsi="宋体" w:eastAsia="宋体" w:cs="宋体"/>
                <w:sz w:val="21"/>
                <w:szCs w:val="21"/>
                <w:vertAlign w:val="baseline"/>
              </w:rPr>
            </w:pPr>
          </w:p>
        </w:tc>
      </w:tr>
      <w:tr w14:paraId="2C8CE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pct"/>
            <w:noWrap w:val="0"/>
            <w:vAlign w:val="center"/>
          </w:tcPr>
          <w:p w14:paraId="0A038C99">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A3、油菜</w:t>
            </w:r>
          </w:p>
        </w:tc>
        <w:tc>
          <w:tcPr>
            <w:tcW w:w="872" w:type="pct"/>
            <w:noWrap w:val="0"/>
            <w:vAlign w:val="center"/>
          </w:tcPr>
          <w:p w14:paraId="73340206">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16.37%</w:t>
            </w:r>
          </w:p>
        </w:tc>
        <w:tc>
          <w:tcPr>
            <w:tcW w:w="1070" w:type="pct"/>
            <w:noWrap w:val="0"/>
            <w:vAlign w:val="center"/>
          </w:tcPr>
          <w:p w14:paraId="64263EE4">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24.23</w:t>
            </w:r>
          </w:p>
        </w:tc>
        <w:tc>
          <w:tcPr>
            <w:tcW w:w="1000" w:type="pct"/>
            <w:noWrap w:val="0"/>
            <w:vAlign w:val="center"/>
          </w:tcPr>
          <w:p w14:paraId="4456F15F">
            <w:pPr>
              <w:spacing w:line="360" w:lineRule="auto"/>
              <w:jc w:val="center"/>
              <w:rPr>
                <w:rFonts w:hint="eastAsia" w:ascii="宋体" w:hAnsi="宋体" w:eastAsia="宋体" w:cs="宋体"/>
                <w:sz w:val="21"/>
                <w:szCs w:val="21"/>
                <w:vertAlign w:val="baseline"/>
              </w:rPr>
            </w:pPr>
          </w:p>
        </w:tc>
        <w:tc>
          <w:tcPr>
            <w:tcW w:w="1000" w:type="pct"/>
            <w:noWrap w:val="0"/>
            <w:vAlign w:val="center"/>
          </w:tcPr>
          <w:p w14:paraId="15AA0E80">
            <w:pPr>
              <w:spacing w:line="360" w:lineRule="auto"/>
              <w:jc w:val="center"/>
              <w:rPr>
                <w:rFonts w:hint="eastAsia" w:ascii="宋体" w:hAnsi="宋体" w:eastAsia="宋体" w:cs="宋体"/>
                <w:sz w:val="21"/>
                <w:szCs w:val="21"/>
                <w:vertAlign w:val="baseline"/>
              </w:rPr>
            </w:pPr>
          </w:p>
        </w:tc>
      </w:tr>
      <w:tr w14:paraId="1CB4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pct"/>
            <w:noWrap w:val="0"/>
            <w:vAlign w:val="center"/>
          </w:tcPr>
          <w:p w14:paraId="33882F52">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B1、能繁母猪</w:t>
            </w:r>
          </w:p>
        </w:tc>
        <w:tc>
          <w:tcPr>
            <w:tcW w:w="872" w:type="pct"/>
            <w:noWrap w:val="0"/>
            <w:vAlign w:val="center"/>
          </w:tcPr>
          <w:p w14:paraId="1C1290ED">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81.11%</w:t>
            </w:r>
          </w:p>
        </w:tc>
        <w:tc>
          <w:tcPr>
            <w:tcW w:w="1070" w:type="pct"/>
            <w:noWrap w:val="0"/>
            <w:vAlign w:val="center"/>
          </w:tcPr>
          <w:p w14:paraId="37E2E561">
            <w:pPr>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240.1</w:t>
            </w:r>
          </w:p>
        </w:tc>
        <w:tc>
          <w:tcPr>
            <w:tcW w:w="1000" w:type="pct"/>
            <w:noWrap w:val="0"/>
            <w:vAlign w:val="center"/>
          </w:tcPr>
          <w:p w14:paraId="028F9E1E">
            <w:pPr>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2291.78</w:t>
            </w:r>
          </w:p>
        </w:tc>
        <w:tc>
          <w:tcPr>
            <w:tcW w:w="1000" w:type="pct"/>
            <w:noWrap w:val="0"/>
            <w:vAlign w:val="center"/>
          </w:tcPr>
          <w:p w14:paraId="107DE81E">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B1（第四包）</w:t>
            </w:r>
          </w:p>
        </w:tc>
      </w:tr>
      <w:tr w14:paraId="0CACA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pct"/>
            <w:noWrap w:val="0"/>
            <w:vAlign w:val="center"/>
          </w:tcPr>
          <w:p w14:paraId="12443B6B">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B2、能繁母猪</w:t>
            </w:r>
          </w:p>
        </w:tc>
        <w:tc>
          <w:tcPr>
            <w:tcW w:w="872" w:type="pct"/>
            <w:noWrap w:val="0"/>
            <w:vAlign w:val="center"/>
          </w:tcPr>
          <w:p w14:paraId="0E019E4E">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7.95%</w:t>
            </w:r>
          </w:p>
        </w:tc>
        <w:tc>
          <w:tcPr>
            <w:tcW w:w="1070" w:type="pct"/>
            <w:noWrap w:val="0"/>
            <w:vAlign w:val="center"/>
          </w:tcPr>
          <w:p w14:paraId="6E94E311">
            <w:pPr>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23.52</w:t>
            </w:r>
          </w:p>
        </w:tc>
        <w:tc>
          <w:tcPr>
            <w:tcW w:w="1000" w:type="pct"/>
            <w:noWrap w:val="0"/>
            <w:vAlign w:val="center"/>
          </w:tcPr>
          <w:p w14:paraId="5EB27F5B">
            <w:pPr>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289.2</w:t>
            </w:r>
          </w:p>
        </w:tc>
        <w:tc>
          <w:tcPr>
            <w:tcW w:w="1000" w:type="pct"/>
            <w:noWrap w:val="0"/>
            <w:vAlign w:val="center"/>
          </w:tcPr>
          <w:p w14:paraId="647AB1A7">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B2（第五包）</w:t>
            </w:r>
          </w:p>
        </w:tc>
      </w:tr>
      <w:tr w14:paraId="7084E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pct"/>
            <w:noWrap w:val="0"/>
            <w:vAlign w:val="center"/>
          </w:tcPr>
          <w:p w14:paraId="2F4749CD">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B3、能繁母猪</w:t>
            </w:r>
          </w:p>
        </w:tc>
        <w:tc>
          <w:tcPr>
            <w:tcW w:w="872" w:type="pct"/>
            <w:noWrap w:val="0"/>
            <w:vAlign w:val="center"/>
          </w:tcPr>
          <w:p w14:paraId="507BEE78">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10.94%</w:t>
            </w:r>
          </w:p>
        </w:tc>
        <w:tc>
          <w:tcPr>
            <w:tcW w:w="1070" w:type="pct"/>
            <w:noWrap w:val="0"/>
            <w:vAlign w:val="center"/>
          </w:tcPr>
          <w:p w14:paraId="2D3C08D0">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32.38</w:t>
            </w:r>
          </w:p>
        </w:tc>
        <w:tc>
          <w:tcPr>
            <w:tcW w:w="1000" w:type="pct"/>
            <w:noWrap w:val="0"/>
            <w:vAlign w:val="center"/>
          </w:tcPr>
          <w:p w14:paraId="690B17DD">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283.02</w:t>
            </w:r>
          </w:p>
        </w:tc>
        <w:tc>
          <w:tcPr>
            <w:tcW w:w="1000" w:type="pct"/>
            <w:noWrap w:val="0"/>
            <w:vAlign w:val="center"/>
          </w:tcPr>
          <w:p w14:paraId="650F8093">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B3（第六包）</w:t>
            </w:r>
          </w:p>
        </w:tc>
      </w:tr>
      <w:tr w14:paraId="6E59B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pct"/>
            <w:noWrap w:val="0"/>
            <w:vAlign w:val="center"/>
          </w:tcPr>
          <w:p w14:paraId="4F2CBA65">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B1、育肥猪</w:t>
            </w:r>
          </w:p>
        </w:tc>
        <w:tc>
          <w:tcPr>
            <w:tcW w:w="872" w:type="pct"/>
            <w:noWrap w:val="0"/>
            <w:vAlign w:val="center"/>
          </w:tcPr>
          <w:p w14:paraId="43322604">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79.89%</w:t>
            </w:r>
          </w:p>
        </w:tc>
        <w:tc>
          <w:tcPr>
            <w:tcW w:w="1070" w:type="pct"/>
            <w:noWrap w:val="0"/>
            <w:vAlign w:val="center"/>
          </w:tcPr>
          <w:p w14:paraId="4BCF9F4A">
            <w:pPr>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2051.68</w:t>
            </w:r>
          </w:p>
        </w:tc>
        <w:tc>
          <w:tcPr>
            <w:tcW w:w="1000" w:type="pct"/>
            <w:noWrap w:val="0"/>
            <w:vAlign w:val="center"/>
          </w:tcPr>
          <w:p w14:paraId="3E3B87BC">
            <w:pPr>
              <w:spacing w:line="360" w:lineRule="auto"/>
              <w:jc w:val="center"/>
              <w:rPr>
                <w:rFonts w:hint="eastAsia" w:ascii="宋体" w:hAnsi="宋体" w:eastAsia="宋体" w:cs="宋体"/>
                <w:sz w:val="21"/>
                <w:szCs w:val="21"/>
                <w:vertAlign w:val="baseline"/>
              </w:rPr>
            </w:pPr>
          </w:p>
        </w:tc>
        <w:tc>
          <w:tcPr>
            <w:tcW w:w="1000" w:type="pct"/>
            <w:noWrap w:val="0"/>
            <w:vAlign w:val="center"/>
          </w:tcPr>
          <w:p w14:paraId="746A5714">
            <w:pPr>
              <w:spacing w:line="360" w:lineRule="auto"/>
              <w:jc w:val="center"/>
              <w:rPr>
                <w:rFonts w:hint="eastAsia" w:ascii="宋体" w:hAnsi="宋体" w:eastAsia="宋体" w:cs="宋体"/>
                <w:sz w:val="21"/>
                <w:szCs w:val="21"/>
                <w:vertAlign w:val="baseline"/>
              </w:rPr>
            </w:pPr>
          </w:p>
        </w:tc>
      </w:tr>
      <w:tr w14:paraId="561DC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pct"/>
            <w:noWrap w:val="0"/>
            <w:vAlign w:val="center"/>
          </w:tcPr>
          <w:p w14:paraId="3CDA28D7">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B2、育肥猪</w:t>
            </w:r>
          </w:p>
        </w:tc>
        <w:tc>
          <w:tcPr>
            <w:tcW w:w="872" w:type="pct"/>
            <w:noWrap w:val="0"/>
            <w:vAlign w:val="center"/>
          </w:tcPr>
          <w:p w14:paraId="05A93DB2">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10.35%</w:t>
            </w:r>
          </w:p>
        </w:tc>
        <w:tc>
          <w:tcPr>
            <w:tcW w:w="1070" w:type="pct"/>
            <w:noWrap w:val="0"/>
            <w:vAlign w:val="center"/>
          </w:tcPr>
          <w:p w14:paraId="191371F8">
            <w:pPr>
              <w:spacing w:line="36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265.68</w:t>
            </w:r>
          </w:p>
        </w:tc>
        <w:tc>
          <w:tcPr>
            <w:tcW w:w="1000" w:type="pct"/>
            <w:noWrap w:val="0"/>
            <w:vAlign w:val="center"/>
          </w:tcPr>
          <w:p w14:paraId="041C2D16">
            <w:pPr>
              <w:spacing w:line="360" w:lineRule="auto"/>
              <w:jc w:val="center"/>
              <w:rPr>
                <w:rFonts w:hint="eastAsia" w:ascii="宋体" w:hAnsi="宋体" w:eastAsia="宋体" w:cs="宋体"/>
                <w:sz w:val="21"/>
                <w:szCs w:val="21"/>
                <w:vertAlign w:val="baseline"/>
              </w:rPr>
            </w:pPr>
          </w:p>
        </w:tc>
        <w:tc>
          <w:tcPr>
            <w:tcW w:w="1000" w:type="pct"/>
            <w:noWrap w:val="0"/>
            <w:vAlign w:val="center"/>
          </w:tcPr>
          <w:p w14:paraId="3DAAE766">
            <w:pPr>
              <w:spacing w:line="360" w:lineRule="auto"/>
              <w:jc w:val="center"/>
              <w:rPr>
                <w:rFonts w:hint="eastAsia" w:ascii="宋体" w:hAnsi="宋体" w:eastAsia="宋体" w:cs="宋体"/>
                <w:sz w:val="21"/>
                <w:szCs w:val="21"/>
                <w:vertAlign w:val="baseline"/>
              </w:rPr>
            </w:pPr>
          </w:p>
        </w:tc>
      </w:tr>
      <w:tr w14:paraId="62500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pct"/>
            <w:noWrap w:val="0"/>
            <w:vAlign w:val="center"/>
          </w:tcPr>
          <w:p w14:paraId="183A1376">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B3、育肥猪</w:t>
            </w:r>
          </w:p>
        </w:tc>
        <w:tc>
          <w:tcPr>
            <w:tcW w:w="872" w:type="pct"/>
            <w:noWrap w:val="0"/>
            <w:vAlign w:val="center"/>
          </w:tcPr>
          <w:p w14:paraId="28D9CFA7">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9.76%</w:t>
            </w:r>
          </w:p>
        </w:tc>
        <w:tc>
          <w:tcPr>
            <w:tcW w:w="1070" w:type="pct"/>
            <w:noWrap w:val="0"/>
            <w:vAlign w:val="center"/>
          </w:tcPr>
          <w:p w14:paraId="10DF0CFA">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250.64</w:t>
            </w:r>
          </w:p>
        </w:tc>
        <w:tc>
          <w:tcPr>
            <w:tcW w:w="1000" w:type="pct"/>
            <w:noWrap w:val="0"/>
            <w:vAlign w:val="center"/>
          </w:tcPr>
          <w:p w14:paraId="0BC6E7A1">
            <w:pPr>
              <w:spacing w:line="360" w:lineRule="auto"/>
              <w:jc w:val="center"/>
              <w:rPr>
                <w:rFonts w:hint="eastAsia" w:ascii="宋体" w:hAnsi="宋体" w:eastAsia="宋体" w:cs="宋体"/>
                <w:sz w:val="21"/>
                <w:szCs w:val="21"/>
                <w:vertAlign w:val="baseline"/>
              </w:rPr>
            </w:pPr>
          </w:p>
        </w:tc>
        <w:tc>
          <w:tcPr>
            <w:tcW w:w="1000" w:type="pct"/>
            <w:noWrap w:val="0"/>
            <w:vAlign w:val="center"/>
          </w:tcPr>
          <w:p w14:paraId="5C8A2403">
            <w:pPr>
              <w:spacing w:line="360" w:lineRule="auto"/>
              <w:jc w:val="center"/>
              <w:rPr>
                <w:rFonts w:hint="eastAsia" w:ascii="宋体" w:hAnsi="宋体" w:eastAsia="宋体" w:cs="宋体"/>
                <w:sz w:val="21"/>
                <w:szCs w:val="21"/>
                <w:vertAlign w:val="baseline"/>
              </w:rPr>
            </w:pPr>
          </w:p>
        </w:tc>
      </w:tr>
      <w:tr w14:paraId="15935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pct"/>
            <w:noWrap w:val="0"/>
            <w:vAlign w:val="center"/>
          </w:tcPr>
          <w:p w14:paraId="1BE077F0">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C、公益林</w:t>
            </w:r>
          </w:p>
        </w:tc>
        <w:tc>
          <w:tcPr>
            <w:tcW w:w="872" w:type="pct"/>
            <w:noWrap w:val="0"/>
            <w:vAlign w:val="center"/>
          </w:tcPr>
          <w:p w14:paraId="100EEDAF">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100.00%</w:t>
            </w:r>
          </w:p>
        </w:tc>
        <w:tc>
          <w:tcPr>
            <w:tcW w:w="1070" w:type="pct"/>
            <w:noWrap w:val="0"/>
            <w:vAlign w:val="center"/>
          </w:tcPr>
          <w:p w14:paraId="392BF4A7">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59.61</w:t>
            </w:r>
          </w:p>
        </w:tc>
        <w:tc>
          <w:tcPr>
            <w:tcW w:w="1000" w:type="pct"/>
            <w:noWrap w:val="0"/>
            <w:vAlign w:val="center"/>
          </w:tcPr>
          <w:p w14:paraId="419DA45B">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60.98</w:t>
            </w:r>
          </w:p>
        </w:tc>
        <w:tc>
          <w:tcPr>
            <w:tcW w:w="1000" w:type="pct"/>
            <w:noWrap w:val="0"/>
            <w:vAlign w:val="center"/>
          </w:tcPr>
          <w:p w14:paraId="40B14BD6">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C（第七包）</w:t>
            </w:r>
          </w:p>
        </w:tc>
      </w:tr>
      <w:tr w14:paraId="08F9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pct"/>
            <w:noWrap w:val="0"/>
            <w:vAlign w:val="center"/>
          </w:tcPr>
          <w:p w14:paraId="08F05786">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C、商品林</w:t>
            </w:r>
          </w:p>
        </w:tc>
        <w:tc>
          <w:tcPr>
            <w:tcW w:w="872" w:type="pct"/>
            <w:noWrap w:val="0"/>
            <w:vAlign w:val="center"/>
          </w:tcPr>
          <w:p w14:paraId="67A1B996">
            <w:pPr>
              <w:spacing w:line="360" w:lineRule="auto"/>
              <w:jc w:val="center"/>
              <w:rPr>
                <w:rFonts w:hint="eastAsia" w:ascii="宋体" w:hAnsi="宋体" w:eastAsia="宋体" w:cs="宋体"/>
                <w:sz w:val="21"/>
                <w:szCs w:val="21"/>
                <w:vertAlign w:val="baseline"/>
              </w:rPr>
            </w:pPr>
            <w:r>
              <w:rPr>
                <w:rFonts w:hint="eastAsia" w:ascii="宋体" w:hAnsi="宋体" w:eastAsia="宋体" w:cs="宋体"/>
                <w:sz w:val="21"/>
                <w:szCs w:val="21"/>
                <w:vertAlign w:val="baseline"/>
                <w:lang w:val="en-US" w:eastAsia="zh-CN"/>
              </w:rPr>
              <w:t>100.00%</w:t>
            </w:r>
          </w:p>
        </w:tc>
        <w:tc>
          <w:tcPr>
            <w:tcW w:w="1070" w:type="pct"/>
            <w:noWrap w:val="0"/>
            <w:vAlign w:val="center"/>
          </w:tcPr>
          <w:p w14:paraId="569CC7BB">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1.36</w:t>
            </w:r>
          </w:p>
        </w:tc>
        <w:tc>
          <w:tcPr>
            <w:tcW w:w="1000" w:type="pct"/>
            <w:noWrap w:val="0"/>
            <w:vAlign w:val="center"/>
          </w:tcPr>
          <w:p w14:paraId="7AD9CB54">
            <w:pPr>
              <w:spacing w:line="360" w:lineRule="auto"/>
              <w:jc w:val="center"/>
              <w:rPr>
                <w:rFonts w:hint="eastAsia" w:ascii="宋体" w:hAnsi="宋体" w:eastAsia="宋体" w:cs="宋体"/>
                <w:sz w:val="21"/>
                <w:szCs w:val="21"/>
                <w:vertAlign w:val="baseline"/>
              </w:rPr>
            </w:pPr>
          </w:p>
        </w:tc>
        <w:tc>
          <w:tcPr>
            <w:tcW w:w="1000" w:type="pct"/>
            <w:noWrap w:val="0"/>
            <w:vAlign w:val="center"/>
          </w:tcPr>
          <w:p w14:paraId="4DD6C033">
            <w:pPr>
              <w:spacing w:line="360" w:lineRule="auto"/>
              <w:jc w:val="center"/>
              <w:rPr>
                <w:rFonts w:hint="eastAsia" w:ascii="宋体" w:hAnsi="宋体" w:eastAsia="宋体" w:cs="宋体"/>
                <w:sz w:val="21"/>
                <w:szCs w:val="21"/>
                <w:vertAlign w:val="baseline"/>
              </w:rPr>
            </w:pPr>
          </w:p>
        </w:tc>
      </w:tr>
      <w:tr w14:paraId="38FE8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pct"/>
            <w:noWrap w:val="0"/>
            <w:vAlign w:val="center"/>
          </w:tcPr>
          <w:p w14:paraId="61B0F834">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D、玉米</w:t>
            </w:r>
          </w:p>
        </w:tc>
        <w:tc>
          <w:tcPr>
            <w:tcW w:w="872" w:type="pct"/>
            <w:noWrap w:val="0"/>
            <w:vAlign w:val="center"/>
          </w:tcPr>
          <w:p w14:paraId="17A8D59C">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100.00%</w:t>
            </w:r>
          </w:p>
        </w:tc>
        <w:tc>
          <w:tcPr>
            <w:tcW w:w="1070" w:type="pct"/>
            <w:noWrap w:val="0"/>
            <w:vAlign w:val="center"/>
          </w:tcPr>
          <w:p w14:paraId="50660DED">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64.00</w:t>
            </w:r>
          </w:p>
        </w:tc>
        <w:tc>
          <w:tcPr>
            <w:tcW w:w="1000" w:type="pct"/>
            <w:noWrap w:val="0"/>
            <w:vAlign w:val="center"/>
          </w:tcPr>
          <w:p w14:paraId="758B4306">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64.00</w:t>
            </w:r>
          </w:p>
        </w:tc>
        <w:tc>
          <w:tcPr>
            <w:tcW w:w="1000" w:type="pct"/>
            <w:noWrap w:val="0"/>
            <w:vAlign w:val="center"/>
          </w:tcPr>
          <w:p w14:paraId="0063D06D">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D（第八包）</w:t>
            </w:r>
          </w:p>
        </w:tc>
      </w:tr>
      <w:tr w14:paraId="2BE3A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pct"/>
            <w:noWrap w:val="0"/>
            <w:vAlign w:val="center"/>
          </w:tcPr>
          <w:p w14:paraId="6CCED2C4">
            <w:pPr>
              <w:spacing w:line="36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合计</w:t>
            </w:r>
          </w:p>
        </w:tc>
        <w:tc>
          <w:tcPr>
            <w:tcW w:w="872" w:type="pct"/>
            <w:noWrap w:val="0"/>
            <w:vAlign w:val="center"/>
          </w:tcPr>
          <w:p w14:paraId="4AE691AC">
            <w:pPr>
              <w:spacing w:line="360" w:lineRule="auto"/>
              <w:jc w:val="center"/>
              <w:rPr>
                <w:rFonts w:hint="eastAsia" w:ascii="宋体" w:hAnsi="宋体" w:eastAsia="宋体" w:cs="宋体"/>
                <w:sz w:val="21"/>
                <w:szCs w:val="21"/>
                <w:vertAlign w:val="baseline"/>
              </w:rPr>
            </w:pPr>
          </w:p>
        </w:tc>
        <w:tc>
          <w:tcPr>
            <w:tcW w:w="1070" w:type="pct"/>
            <w:noWrap w:val="0"/>
            <w:vAlign w:val="center"/>
          </w:tcPr>
          <w:p w14:paraId="7C694240">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6349.02</w:t>
            </w:r>
          </w:p>
        </w:tc>
        <w:tc>
          <w:tcPr>
            <w:tcW w:w="1000" w:type="pct"/>
            <w:noWrap w:val="0"/>
            <w:vAlign w:val="center"/>
          </w:tcPr>
          <w:p w14:paraId="191914C6">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6349.02</w:t>
            </w:r>
          </w:p>
        </w:tc>
        <w:tc>
          <w:tcPr>
            <w:tcW w:w="1000" w:type="pct"/>
            <w:noWrap w:val="0"/>
            <w:vAlign w:val="center"/>
          </w:tcPr>
          <w:p w14:paraId="0195154E">
            <w:pPr>
              <w:spacing w:line="360" w:lineRule="auto"/>
              <w:jc w:val="center"/>
              <w:rPr>
                <w:rFonts w:hint="eastAsia" w:ascii="宋体" w:hAnsi="宋体" w:eastAsia="宋体" w:cs="宋体"/>
                <w:sz w:val="21"/>
                <w:szCs w:val="21"/>
                <w:vertAlign w:val="baseline"/>
              </w:rPr>
            </w:pPr>
          </w:p>
        </w:tc>
      </w:tr>
      <w:tr w14:paraId="03FD9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pct"/>
            <w:noWrap w:val="0"/>
            <w:vAlign w:val="center"/>
          </w:tcPr>
          <w:p w14:paraId="38AB0646">
            <w:pPr>
              <w:spacing w:line="360" w:lineRule="auto"/>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标包号</w:t>
            </w:r>
          </w:p>
        </w:tc>
        <w:tc>
          <w:tcPr>
            <w:tcW w:w="3943" w:type="pct"/>
            <w:gridSpan w:val="4"/>
            <w:noWrap w:val="0"/>
            <w:vAlign w:val="center"/>
          </w:tcPr>
          <w:p w14:paraId="1F553FFD">
            <w:pPr>
              <w:spacing w:line="360" w:lineRule="auto"/>
              <w:jc w:val="center"/>
              <w:rPr>
                <w:rFonts w:hint="eastAsia" w:ascii="宋体" w:hAnsi="宋体" w:eastAsia="宋体" w:cs="宋体"/>
                <w:b/>
                <w:bCs/>
                <w:sz w:val="21"/>
                <w:szCs w:val="21"/>
                <w:vertAlign w:val="baseline"/>
                <w:lang w:eastAsia="zh-CN"/>
              </w:rPr>
            </w:pPr>
            <w:r>
              <w:rPr>
                <w:rFonts w:hint="eastAsia" w:ascii="宋体" w:hAnsi="宋体" w:eastAsia="宋体" w:cs="宋体"/>
                <w:b/>
                <w:bCs/>
                <w:sz w:val="21"/>
                <w:szCs w:val="21"/>
                <w:vertAlign w:val="baseline"/>
                <w:lang w:eastAsia="zh-CN"/>
              </w:rPr>
              <w:t>区域乡镇（街道）</w:t>
            </w:r>
          </w:p>
        </w:tc>
      </w:tr>
      <w:tr w14:paraId="6E247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pct"/>
            <w:noWrap w:val="0"/>
            <w:vAlign w:val="center"/>
          </w:tcPr>
          <w:p w14:paraId="170922F8">
            <w:pPr>
              <w:spacing w:line="36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A1</w:t>
            </w:r>
          </w:p>
        </w:tc>
        <w:tc>
          <w:tcPr>
            <w:tcW w:w="3943" w:type="pct"/>
            <w:gridSpan w:val="4"/>
            <w:noWrap w:val="0"/>
            <w:vAlign w:val="center"/>
          </w:tcPr>
          <w:p w14:paraId="47107F30">
            <w:pPr>
              <w:spacing w:line="36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除A2A3以外的其他1</w:t>
            </w:r>
            <w:r>
              <w:rPr>
                <w:rFonts w:hint="eastAsia" w:ascii="宋体" w:hAnsi="宋体" w:eastAsia="宋体" w:cs="宋体"/>
                <w:sz w:val="21"/>
                <w:szCs w:val="21"/>
                <w:vertAlign w:val="baseline"/>
                <w:lang w:val="en-US" w:eastAsia="zh-CN"/>
              </w:rPr>
              <w:t>4</w:t>
            </w:r>
            <w:r>
              <w:rPr>
                <w:rFonts w:hint="eastAsia" w:ascii="宋体" w:hAnsi="宋体" w:eastAsia="宋体" w:cs="宋体"/>
                <w:sz w:val="21"/>
                <w:szCs w:val="21"/>
                <w:vertAlign w:val="baseline"/>
                <w:lang w:eastAsia="zh-CN"/>
              </w:rPr>
              <w:t>个乡镇（街道）的水稻和油菜</w:t>
            </w:r>
          </w:p>
        </w:tc>
      </w:tr>
      <w:tr w14:paraId="55D13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pct"/>
            <w:noWrap w:val="0"/>
            <w:vAlign w:val="center"/>
          </w:tcPr>
          <w:p w14:paraId="06F92BC7">
            <w:pPr>
              <w:spacing w:line="36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A2</w:t>
            </w:r>
          </w:p>
        </w:tc>
        <w:tc>
          <w:tcPr>
            <w:tcW w:w="3943" w:type="pct"/>
            <w:gridSpan w:val="4"/>
            <w:noWrap w:val="0"/>
            <w:vAlign w:val="center"/>
          </w:tcPr>
          <w:p w14:paraId="2B5805B1">
            <w:pPr>
              <w:spacing w:line="36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河洲镇、粮市镇、归阳镇、金桥镇、过水坪镇、白鹤街道、洪桥街道等</w:t>
            </w:r>
            <w:r>
              <w:rPr>
                <w:rFonts w:hint="eastAsia" w:ascii="宋体" w:hAnsi="宋体" w:eastAsia="宋体" w:cs="宋体"/>
                <w:sz w:val="21"/>
                <w:szCs w:val="21"/>
                <w:vertAlign w:val="baseline"/>
                <w:lang w:val="en-US" w:eastAsia="zh-CN"/>
              </w:rPr>
              <w:t>7</w:t>
            </w:r>
            <w:r>
              <w:rPr>
                <w:rFonts w:hint="eastAsia" w:ascii="宋体" w:hAnsi="宋体" w:eastAsia="宋体" w:cs="宋体"/>
                <w:sz w:val="21"/>
                <w:szCs w:val="21"/>
                <w:vertAlign w:val="baseline"/>
                <w:lang w:eastAsia="zh-CN"/>
              </w:rPr>
              <w:t>个乡镇的水稻和油菜</w:t>
            </w:r>
          </w:p>
        </w:tc>
      </w:tr>
      <w:tr w14:paraId="7C452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pct"/>
            <w:noWrap w:val="0"/>
            <w:vAlign w:val="center"/>
          </w:tcPr>
          <w:p w14:paraId="3D3C5183">
            <w:pPr>
              <w:spacing w:line="36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A3</w:t>
            </w:r>
          </w:p>
        </w:tc>
        <w:tc>
          <w:tcPr>
            <w:tcW w:w="3943" w:type="pct"/>
            <w:gridSpan w:val="4"/>
            <w:noWrap w:val="0"/>
            <w:vAlign w:val="center"/>
          </w:tcPr>
          <w:p w14:paraId="6B349FAA">
            <w:pPr>
              <w:spacing w:line="36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太和堂镇、砖塘镇、城连墟乡3个乡镇的水稻和油菜</w:t>
            </w:r>
          </w:p>
        </w:tc>
      </w:tr>
      <w:tr w14:paraId="70BA8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pct"/>
            <w:noWrap w:val="0"/>
            <w:vAlign w:val="center"/>
          </w:tcPr>
          <w:p w14:paraId="4B18DEBA">
            <w:pPr>
              <w:spacing w:line="360" w:lineRule="auto"/>
              <w:jc w:val="center"/>
              <w:rPr>
                <w:rFonts w:hint="eastAsia" w:ascii="宋体" w:hAnsi="宋体" w:eastAsia="宋体" w:cs="宋体"/>
                <w:kern w:val="2"/>
                <w:sz w:val="21"/>
                <w:szCs w:val="21"/>
                <w:vertAlign w:val="baseline"/>
                <w:lang w:val="en-US" w:eastAsia="zh-CN" w:bidi="ar-SA"/>
              </w:rPr>
            </w:pPr>
            <w:r>
              <w:rPr>
                <w:rFonts w:hint="eastAsia" w:ascii="宋体" w:hAnsi="宋体" w:eastAsia="宋体" w:cs="宋体"/>
                <w:sz w:val="21"/>
                <w:szCs w:val="21"/>
                <w:vertAlign w:val="baseline"/>
                <w:lang w:val="en-US" w:eastAsia="zh-CN"/>
              </w:rPr>
              <w:t>B1</w:t>
            </w:r>
          </w:p>
        </w:tc>
        <w:tc>
          <w:tcPr>
            <w:tcW w:w="3943" w:type="pct"/>
            <w:gridSpan w:val="4"/>
            <w:noWrap w:val="0"/>
            <w:vAlign w:val="center"/>
          </w:tcPr>
          <w:p w14:paraId="681ECA30">
            <w:pPr>
              <w:spacing w:line="36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除B2B3以外的其他1</w:t>
            </w:r>
            <w:r>
              <w:rPr>
                <w:rFonts w:hint="eastAsia" w:ascii="宋体" w:hAnsi="宋体" w:eastAsia="宋体" w:cs="宋体"/>
                <w:sz w:val="21"/>
                <w:szCs w:val="21"/>
                <w:vertAlign w:val="baseline"/>
                <w:lang w:val="en-US" w:eastAsia="zh-CN"/>
              </w:rPr>
              <w:t>6</w:t>
            </w:r>
            <w:r>
              <w:rPr>
                <w:rFonts w:hint="eastAsia" w:ascii="宋体" w:hAnsi="宋体" w:eastAsia="宋体" w:cs="宋体"/>
                <w:sz w:val="21"/>
                <w:szCs w:val="21"/>
                <w:vertAlign w:val="baseline"/>
                <w:lang w:eastAsia="zh-CN"/>
              </w:rPr>
              <w:t>个乡镇的能繁母猪和育肥猪</w:t>
            </w:r>
          </w:p>
        </w:tc>
      </w:tr>
      <w:tr w14:paraId="1186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pct"/>
            <w:noWrap w:val="0"/>
            <w:vAlign w:val="center"/>
          </w:tcPr>
          <w:p w14:paraId="339E82D8">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B2</w:t>
            </w:r>
          </w:p>
        </w:tc>
        <w:tc>
          <w:tcPr>
            <w:tcW w:w="3943" w:type="pct"/>
            <w:gridSpan w:val="4"/>
            <w:noWrap w:val="0"/>
            <w:vAlign w:val="center"/>
          </w:tcPr>
          <w:p w14:paraId="630363E0">
            <w:pPr>
              <w:spacing w:line="36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val="en-US" w:eastAsia="zh-CN"/>
              </w:rPr>
              <w:t>粮市</w:t>
            </w:r>
            <w:r>
              <w:rPr>
                <w:rFonts w:hint="eastAsia" w:ascii="宋体" w:hAnsi="宋体" w:eastAsia="宋体" w:cs="宋体"/>
                <w:sz w:val="21"/>
                <w:szCs w:val="21"/>
                <w:vertAlign w:val="baseline"/>
                <w:lang w:eastAsia="zh-CN"/>
              </w:rPr>
              <w:t>镇、白鹤街道、洪桥街道、</w:t>
            </w:r>
            <w:r>
              <w:rPr>
                <w:rFonts w:hint="eastAsia" w:ascii="宋体" w:hAnsi="宋体" w:eastAsia="宋体" w:cs="宋体"/>
                <w:sz w:val="21"/>
                <w:szCs w:val="21"/>
                <w:vertAlign w:val="baseline"/>
                <w:lang w:val="en-US" w:eastAsia="zh-CN"/>
              </w:rPr>
              <w:t>官家嘴镇</w:t>
            </w:r>
            <w:r>
              <w:rPr>
                <w:rFonts w:hint="eastAsia" w:ascii="宋体" w:hAnsi="宋体" w:eastAsia="宋体" w:cs="宋体"/>
                <w:sz w:val="21"/>
                <w:szCs w:val="21"/>
                <w:vertAlign w:val="baseline"/>
                <w:lang w:eastAsia="zh-CN"/>
              </w:rPr>
              <w:t>和</w:t>
            </w:r>
            <w:r>
              <w:rPr>
                <w:rFonts w:hint="eastAsia" w:ascii="宋体" w:hAnsi="宋体" w:eastAsia="宋体" w:cs="宋体"/>
                <w:sz w:val="21"/>
                <w:szCs w:val="21"/>
                <w:vertAlign w:val="baseline"/>
                <w:lang w:val="en-US" w:eastAsia="zh-CN"/>
              </w:rPr>
              <w:t>太和堂</w:t>
            </w:r>
            <w:r>
              <w:rPr>
                <w:rFonts w:hint="eastAsia" w:ascii="宋体" w:hAnsi="宋体" w:eastAsia="宋体" w:cs="宋体"/>
                <w:sz w:val="21"/>
                <w:szCs w:val="21"/>
                <w:vertAlign w:val="baseline"/>
                <w:lang w:eastAsia="zh-CN"/>
              </w:rPr>
              <w:t>镇</w:t>
            </w:r>
            <w:r>
              <w:rPr>
                <w:rFonts w:hint="eastAsia" w:ascii="宋体" w:hAnsi="宋体" w:eastAsia="宋体" w:cs="宋体"/>
                <w:sz w:val="21"/>
                <w:szCs w:val="21"/>
                <w:vertAlign w:val="baseline"/>
                <w:lang w:val="en-US" w:eastAsia="zh-CN"/>
              </w:rPr>
              <w:t>5</w:t>
            </w:r>
            <w:r>
              <w:rPr>
                <w:rFonts w:hint="eastAsia" w:ascii="宋体" w:hAnsi="宋体" w:eastAsia="宋体" w:cs="宋体"/>
                <w:sz w:val="21"/>
                <w:szCs w:val="21"/>
                <w:vertAlign w:val="baseline"/>
                <w:lang w:eastAsia="zh-CN"/>
              </w:rPr>
              <w:t>个乡镇（街道）的能繁母猪和育肥猪</w:t>
            </w:r>
          </w:p>
        </w:tc>
      </w:tr>
      <w:tr w14:paraId="3D804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pct"/>
            <w:noWrap w:val="0"/>
            <w:vAlign w:val="center"/>
          </w:tcPr>
          <w:p w14:paraId="3B735B77">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B3</w:t>
            </w:r>
          </w:p>
        </w:tc>
        <w:tc>
          <w:tcPr>
            <w:tcW w:w="3943" w:type="pct"/>
            <w:gridSpan w:val="4"/>
            <w:noWrap w:val="0"/>
            <w:vAlign w:val="center"/>
          </w:tcPr>
          <w:p w14:paraId="0E98DA94">
            <w:pPr>
              <w:spacing w:line="36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玉合街道、永昌街道和双桥镇3个乡镇（街道）的能繁母猪和育肥猪</w:t>
            </w:r>
          </w:p>
        </w:tc>
      </w:tr>
      <w:tr w14:paraId="52A0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pct"/>
            <w:noWrap w:val="0"/>
            <w:vAlign w:val="center"/>
          </w:tcPr>
          <w:p w14:paraId="562B06BB">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C</w:t>
            </w:r>
          </w:p>
        </w:tc>
        <w:tc>
          <w:tcPr>
            <w:tcW w:w="3943" w:type="pct"/>
            <w:gridSpan w:val="4"/>
            <w:noWrap w:val="0"/>
            <w:vAlign w:val="center"/>
          </w:tcPr>
          <w:p w14:paraId="71EEC532">
            <w:pPr>
              <w:spacing w:line="36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全县公益林和商品林</w:t>
            </w:r>
          </w:p>
        </w:tc>
      </w:tr>
      <w:tr w14:paraId="05A4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6" w:type="pct"/>
            <w:noWrap w:val="0"/>
            <w:vAlign w:val="center"/>
          </w:tcPr>
          <w:p w14:paraId="5675436B">
            <w:pPr>
              <w:spacing w:line="36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D</w:t>
            </w:r>
          </w:p>
        </w:tc>
        <w:tc>
          <w:tcPr>
            <w:tcW w:w="3943" w:type="pct"/>
            <w:gridSpan w:val="4"/>
            <w:noWrap w:val="0"/>
            <w:vAlign w:val="center"/>
          </w:tcPr>
          <w:p w14:paraId="0B2827FD">
            <w:pPr>
              <w:spacing w:line="36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全县玉米</w:t>
            </w:r>
          </w:p>
        </w:tc>
      </w:tr>
      <w:tr w14:paraId="38651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0"/>
            <w:vAlign w:val="center"/>
          </w:tcPr>
          <w:p w14:paraId="4E1CB09F">
            <w:pPr>
              <w:spacing w:line="360" w:lineRule="auto"/>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说明：此次分标包保费配额是以我县2022年实际参保的各险种总保费规模为基数，实际到各乡镇（街道）的规模可能会稍有调整。2023-2025年每年实际承保规模以湖南省财政厅下达我县农业保险承保规模为准，如遇政策变化则按比例进行调整，原则上同一险种同增同减。</w:t>
            </w:r>
          </w:p>
        </w:tc>
      </w:tr>
    </w:tbl>
    <w:p w14:paraId="1455EEAB">
      <w:pPr>
        <w:pStyle w:val="6"/>
        <w:widowControl/>
        <w:numPr>
          <w:ilvl w:val="0"/>
          <w:numId w:val="0"/>
        </w:numPr>
        <w:spacing w:after="0" w:line="440" w:lineRule="exact"/>
        <w:ind w:firstLine="420" w:firstLineChars="200"/>
        <w:jc w:val="left"/>
        <w:outlineLvl w:val="9"/>
        <w:rPr>
          <w:rFonts w:hint="default" w:ascii="宋体" w:hAnsi="宋体" w:cs="宋体"/>
          <w:color w:val="FF0000"/>
          <w:highlight w:val="yellow"/>
          <w:u w:val="single"/>
          <w:lang w:val="en-US" w:eastAsia="zh-CN"/>
        </w:rPr>
      </w:pPr>
      <w:r>
        <w:rPr>
          <w:rFonts w:hint="default" w:ascii="宋体" w:hAnsi="宋体" w:cs="宋体"/>
          <w:color w:val="000000"/>
          <w:lang w:val="en-US" w:eastAsia="zh-CN"/>
        </w:rPr>
        <w:t>选包规则：中选机构根据排名先后依次选择标包，每个机构只能选2个标包。其中，第一名和第二名不得同时选择由同1个品种大类拆分的另2个标包，且不能同时选每个品种大类的最大包；第三名和第四名只能从水稻油菜或能繁母猪育肥猪大类中选一个标包，再从玉米或森林保险中选一个标包。</w:t>
      </w:r>
    </w:p>
    <w:p w14:paraId="35AF4E58">
      <w:pPr>
        <w:spacing w:line="480" w:lineRule="atLeast"/>
        <w:outlineLvl w:val="1"/>
        <w:rPr>
          <w:rFonts w:hint="eastAsia" w:ascii="宋体" w:hAnsi="宋体" w:cs="宋体"/>
          <w:b/>
          <w:bCs/>
          <w:kern w:val="2"/>
          <w:sz w:val="24"/>
          <w:szCs w:val="24"/>
          <w:lang w:val="en-US" w:eastAsia="zh-CN" w:bidi="ar-SA"/>
        </w:rPr>
      </w:pPr>
      <w:bookmarkStart w:id="9" w:name="_Toc19996"/>
      <w:r>
        <w:rPr>
          <w:rFonts w:hint="eastAsia" w:ascii="宋体" w:hAnsi="宋体" w:cs="宋体"/>
          <w:b/>
          <w:bCs/>
          <w:kern w:val="2"/>
          <w:sz w:val="24"/>
          <w:szCs w:val="24"/>
          <w:lang w:val="en-US" w:eastAsia="zh-CN" w:bidi="ar-SA"/>
        </w:rPr>
        <w:t>二、承保机构资格要求：</w:t>
      </w:r>
      <w:bookmarkEnd w:id="9"/>
    </w:p>
    <w:p w14:paraId="698E77EF">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申请参加遴选的承保机构需满足以下基本条件：</w:t>
      </w:r>
    </w:p>
    <w:p w14:paraId="596FEF5E">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1、申请人的省级公司必须在湖南银保监局公布的符合农业保险业务经营条件的保险公司目录范围内。</w:t>
      </w:r>
    </w:p>
    <w:p w14:paraId="32669467">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2、具有完善的农业保险大灾风险分散机制。</w:t>
      </w:r>
    </w:p>
    <w:p w14:paraId="17D07D8F">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3、具有完善的基层服务网络。</w:t>
      </w:r>
    </w:p>
    <w:p w14:paraId="570FA989">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4、信息化建设满足业务管理要求，能够按要求与中国农业再保险股份有限公司(以下简称中国农再)约定分保业务信息系统进行对接；能够按要求与湖南省农业保险综合管理平台系统对接。</w:t>
      </w:r>
    </w:p>
    <w:p w14:paraId="615E081B">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5、参加农业保险再保险体系改革试点，承保机构总公司已与中国农再签署当期有效的《政策性农业保险再保险标准协议》,双方可协商对有关条款进行调整。</w:t>
      </w:r>
    </w:p>
    <w:p w14:paraId="69810B94">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6、对于在财金〔2020〕128号文件印发后开业的承保机构，总公司开业时间需在5年以上(含),存在重组、更名或新设主体依法受让相关业务的，可以原主体开业时间为准。</w:t>
      </w:r>
    </w:p>
    <w:p w14:paraId="144A9F9D">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7、在遴选区域具有经银保监部门批准设立的下属分支机构，持有省级分公司出具的针对本区域遴选的授权文件。</w:t>
      </w:r>
    </w:p>
    <w:p w14:paraId="730F8C34">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8、财政部门规定的其他条件。</w:t>
      </w:r>
    </w:p>
    <w:p w14:paraId="0D1F13FF">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存在以下情况的保险机构不得参加遴选：</w:t>
      </w:r>
    </w:p>
    <w:p w14:paraId="4298728F">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1、以联合体(共保体)形式或委托其他保险机构、中介机构代为办理的。</w:t>
      </w:r>
    </w:p>
    <w:p w14:paraId="5A0D585F">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2、以销售网点、“三农”保险服务网点等非市县级分支机构申请的，区级分支机构申请市州本级及所辖区遴选的，市级及以上分支机构申请省直管县市遴选的。</w:t>
      </w:r>
    </w:p>
    <w:p w14:paraId="28584D3F">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3、在参选地区农业保险业务违法违规被财政部门或监管部门处罚且尚在处罚期的，以及因农业保险绩效评价取消财政补贴资格期内的。</w:t>
      </w:r>
    </w:p>
    <w:p w14:paraId="2D333651">
      <w:pPr>
        <w:pStyle w:val="6"/>
        <w:spacing w:after="0" w:line="440" w:lineRule="exact"/>
        <w:outlineLvl w:val="1"/>
        <w:rPr>
          <w:rFonts w:hint="eastAsia" w:ascii="宋体" w:hAnsi="宋体" w:cs="宋体"/>
          <w:b/>
          <w:bCs/>
          <w:sz w:val="24"/>
          <w:szCs w:val="32"/>
        </w:rPr>
      </w:pPr>
      <w:bookmarkStart w:id="10" w:name="_Toc2492"/>
      <w:r>
        <w:rPr>
          <w:rFonts w:hint="eastAsia" w:ascii="宋体" w:hAnsi="宋体" w:cs="宋体"/>
          <w:b/>
          <w:bCs/>
          <w:sz w:val="24"/>
          <w:szCs w:val="32"/>
        </w:rPr>
        <w:t>三、发布媒体</w:t>
      </w:r>
      <w:bookmarkEnd w:id="10"/>
    </w:p>
    <w:p w14:paraId="5DB8F732">
      <w:pPr>
        <w:pStyle w:val="6"/>
        <w:spacing w:after="0" w:line="440" w:lineRule="exact"/>
        <w:ind w:firstLine="420" w:firstLineChars="200"/>
        <w:outlineLvl w:val="9"/>
        <w:rPr>
          <w:rFonts w:hint="eastAsia" w:ascii="宋体" w:hAnsi="宋体" w:cs="宋体"/>
        </w:rPr>
      </w:pPr>
      <w:r>
        <w:rPr>
          <w:rFonts w:hint="eastAsia" w:ascii="宋体" w:hAnsi="宋体" w:cs="宋体"/>
          <w:lang w:eastAsia="zh-CN"/>
        </w:rPr>
        <w:t>衡阳市财政局</w:t>
      </w:r>
      <w:r>
        <w:rPr>
          <w:rFonts w:hint="eastAsia" w:ascii="宋体" w:hAnsi="宋体" w:cs="宋体"/>
        </w:rPr>
        <w:t>门户网站为本次遴选发布媒体。</w:t>
      </w:r>
    </w:p>
    <w:p w14:paraId="7E383F6F">
      <w:pPr>
        <w:spacing w:line="480" w:lineRule="atLeast"/>
        <w:outlineLvl w:val="1"/>
        <w:rPr>
          <w:rFonts w:ascii="宋体" w:hAnsi="宋体"/>
          <w:sz w:val="24"/>
          <w:szCs w:val="24"/>
        </w:rPr>
      </w:pPr>
      <w:bookmarkStart w:id="11" w:name="_Toc21935"/>
      <w:r>
        <w:rPr>
          <w:rFonts w:hint="eastAsia" w:ascii="宋体" w:hAnsi="宋体" w:cs="宋体"/>
          <w:b/>
          <w:bCs/>
          <w:kern w:val="2"/>
          <w:sz w:val="24"/>
          <w:szCs w:val="32"/>
          <w:lang w:val="en-US" w:eastAsia="zh-CN" w:bidi="ar-SA"/>
        </w:rPr>
        <w:t>四、获取遴选文件的时间、地点、方式及遴选文件售价：</w:t>
      </w:r>
      <w:bookmarkEnd w:id="11"/>
    </w:p>
    <w:p w14:paraId="1B2B7DB8">
      <w:pPr>
        <w:pStyle w:val="6"/>
        <w:spacing w:after="0" w:line="440" w:lineRule="exact"/>
        <w:ind w:firstLine="420" w:firstLineChars="200"/>
        <w:outlineLvl w:val="9"/>
        <w:rPr>
          <w:rFonts w:hint="eastAsia" w:ascii="宋体" w:hAnsi="宋体" w:cs="宋体"/>
        </w:rPr>
      </w:pPr>
      <w:r>
        <w:rPr>
          <w:rFonts w:hint="eastAsia" w:ascii="宋体" w:hAnsi="宋体" w:cs="宋体"/>
        </w:rPr>
        <w:t>（1）凡有意参加遴选者，请</w:t>
      </w:r>
      <w:r>
        <w:rPr>
          <w:rFonts w:hint="eastAsia" w:ascii="宋体" w:hAnsi="宋体" w:cs="宋体"/>
          <w:lang w:val="en-US" w:eastAsia="zh-CN"/>
        </w:rPr>
        <w:t>参与遴选承保机构公司负责人</w:t>
      </w:r>
      <w:r>
        <w:rPr>
          <w:rFonts w:hint="eastAsia" w:ascii="宋体" w:hAnsi="宋体" w:cs="宋体"/>
        </w:rPr>
        <w:t>或其授权委托</w:t>
      </w:r>
      <w:r>
        <w:rPr>
          <w:rFonts w:hint="eastAsia" w:ascii="宋体" w:hAnsi="宋体" w:cs="宋体"/>
          <w:color w:val="auto"/>
        </w:rPr>
        <w:t>的代理人于</w:t>
      </w:r>
      <w:r>
        <w:rPr>
          <w:rFonts w:hint="eastAsia" w:ascii="宋体" w:hAnsi="宋体" w:cs="宋体"/>
          <w:color w:val="auto"/>
          <w:u w:val="single"/>
          <w:lang w:eastAsia="zh-CN"/>
        </w:rPr>
        <w:t>2023年</w:t>
      </w:r>
      <w:r>
        <w:rPr>
          <w:rFonts w:hint="eastAsia" w:ascii="宋体" w:hAnsi="宋体" w:cs="宋体"/>
          <w:color w:val="auto"/>
          <w:u w:val="single"/>
          <w:lang w:val="en-US" w:eastAsia="zh-CN"/>
        </w:rPr>
        <w:t>1</w:t>
      </w:r>
      <w:r>
        <w:rPr>
          <w:rFonts w:hint="eastAsia" w:ascii="宋体" w:hAnsi="宋体" w:cs="宋体"/>
          <w:color w:val="auto"/>
          <w:u w:val="single"/>
        </w:rPr>
        <w:t>月</w:t>
      </w:r>
      <w:r>
        <w:rPr>
          <w:rFonts w:hint="eastAsia" w:ascii="宋体" w:hAnsi="宋体" w:cs="宋体"/>
          <w:color w:val="auto"/>
          <w:u w:val="single"/>
          <w:lang w:val="en-US" w:eastAsia="zh-CN"/>
        </w:rPr>
        <w:t>5</w:t>
      </w:r>
      <w:r>
        <w:rPr>
          <w:rFonts w:hint="eastAsia" w:ascii="宋体" w:hAnsi="宋体" w:cs="宋体"/>
          <w:color w:val="auto"/>
          <w:u w:val="single"/>
        </w:rPr>
        <w:t>日至</w:t>
      </w:r>
      <w:r>
        <w:rPr>
          <w:rFonts w:hint="eastAsia" w:ascii="宋体" w:hAnsi="宋体" w:cs="宋体"/>
          <w:color w:val="auto"/>
          <w:u w:val="single"/>
          <w:lang w:eastAsia="zh-CN"/>
        </w:rPr>
        <w:t>2023年</w:t>
      </w:r>
      <w:r>
        <w:rPr>
          <w:rFonts w:hint="eastAsia" w:ascii="宋体" w:hAnsi="宋体" w:cs="宋体"/>
          <w:color w:val="auto"/>
          <w:u w:val="single"/>
          <w:lang w:val="en-US" w:eastAsia="zh-CN"/>
        </w:rPr>
        <w:t>1</w:t>
      </w:r>
      <w:r>
        <w:rPr>
          <w:rFonts w:hint="eastAsia" w:ascii="宋体" w:hAnsi="宋体" w:cs="宋体"/>
          <w:color w:val="auto"/>
          <w:u w:val="single"/>
        </w:rPr>
        <w:t>月</w:t>
      </w:r>
      <w:r>
        <w:rPr>
          <w:rFonts w:hint="eastAsia" w:ascii="宋体" w:hAnsi="宋体" w:cs="宋体"/>
          <w:color w:val="auto"/>
          <w:u w:val="single"/>
          <w:lang w:val="en-US" w:eastAsia="zh-CN"/>
        </w:rPr>
        <w:t>11</w:t>
      </w:r>
      <w:r>
        <w:rPr>
          <w:rFonts w:hint="eastAsia" w:ascii="宋体" w:hAnsi="宋体" w:cs="宋体"/>
          <w:color w:val="auto"/>
          <w:u w:val="single"/>
        </w:rPr>
        <w:t>日</w:t>
      </w:r>
      <w:r>
        <w:rPr>
          <w:rFonts w:hint="eastAsia" w:ascii="宋体" w:hAnsi="宋体" w:cs="宋体"/>
          <w:color w:val="auto"/>
        </w:rPr>
        <w:t>工作日上午8:</w:t>
      </w:r>
      <w:r>
        <w:rPr>
          <w:rFonts w:hint="eastAsia" w:ascii="宋体" w:hAnsi="宋体" w:cs="宋体"/>
          <w:color w:val="auto"/>
          <w:lang w:val="en-US" w:eastAsia="zh-CN"/>
        </w:rPr>
        <w:t>3</w:t>
      </w:r>
      <w:r>
        <w:rPr>
          <w:rFonts w:hint="eastAsia" w:ascii="宋体" w:hAnsi="宋体" w:cs="宋体"/>
          <w:color w:val="auto"/>
        </w:rPr>
        <w:t>0时～12:00时，</w:t>
      </w:r>
      <w:r>
        <w:rPr>
          <w:rFonts w:hint="eastAsia" w:ascii="宋体" w:hAnsi="宋体" w:cs="宋体"/>
          <w:color w:val="auto"/>
          <w:lang w:eastAsia="zh-CN"/>
        </w:rPr>
        <w:t>下午2</w:t>
      </w:r>
      <w:r>
        <w:rPr>
          <w:rFonts w:hint="eastAsia" w:ascii="宋体" w:hAnsi="宋体" w:cs="宋体"/>
          <w:color w:val="auto"/>
        </w:rPr>
        <w:t>:30分～</w:t>
      </w:r>
      <w:r>
        <w:rPr>
          <w:rFonts w:hint="eastAsia" w:ascii="宋体" w:hAnsi="宋体" w:cs="宋体"/>
          <w:color w:val="auto"/>
          <w:lang w:val="en-US" w:eastAsia="zh-CN"/>
        </w:rPr>
        <w:t>5</w:t>
      </w:r>
      <w:r>
        <w:rPr>
          <w:rFonts w:hint="eastAsia" w:ascii="宋体" w:hAnsi="宋体" w:cs="宋体"/>
          <w:color w:val="auto"/>
        </w:rPr>
        <w:t>:30分（北京时间，下同），携带身份证原件及加盖本单位公章的身份证复印件和以下在有效期</w:t>
      </w:r>
      <w:r>
        <w:rPr>
          <w:rFonts w:hint="eastAsia" w:ascii="宋体" w:hAnsi="宋体" w:cs="宋体"/>
        </w:rPr>
        <w:t>内的报名资料亲临发售遴选文件现场购买遴选文件：</w:t>
      </w:r>
    </w:p>
    <w:p w14:paraId="605DA5CC">
      <w:pPr>
        <w:pStyle w:val="6"/>
        <w:spacing w:after="0" w:line="440" w:lineRule="exact"/>
        <w:ind w:firstLine="420" w:firstLineChars="200"/>
        <w:outlineLvl w:val="9"/>
        <w:rPr>
          <w:rFonts w:hint="eastAsia" w:ascii="宋体" w:hAnsi="宋体" w:cs="宋体"/>
        </w:rPr>
      </w:pPr>
      <w:r>
        <w:rPr>
          <w:rFonts w:hint="eastAsia" w:ascii="宋体" w:hAnsi="宋体" w:cs="宋体"/>
        </w:rPr>
        <w:t>①营业执照副本</w:t>
      </w:r>
      <w:r>
        <w:rPr>
          <w:rFonts w:hint="eastAsia" w:ascii="宋体" w:hAnsi="宋体" w:cs="宋体"/>
          <w:lang w:eastAsia="zh-CN"/>
        </w:rPr>
        <w:t>复印件</w:t>
      </w:r>
      <w:r>
        <w:rPr>
          <w:rFonts w:hint="eastAsia" w:ascii="宋体" w:hAnsi="宋体" w:cs="宋体"/>
        </w:rPr>
        <w:t>；</w:t>
      </w:r>
    </w:p>
    <w:p w14:paraId="6396D8DB">
      <w:pPr>
        <w:pStyle w:val="6"/>
        <w:spacing w:after="0" w:line="440" w:lineRule="exact"/>
        <w:ind w:firstLine="420" w:firstLineChars="200"/>
        <w:outlineLvl w:val="9"/>
        <w:rPr>
          <w:rFonts w:hint="eastAsia" w:ascii="宋体" w:hAnsi="宋体" w:cs="宋体"/>
        </w:rPr>
      </w:pPr>
      <w:r>
        <w:rPr>
          <w:rFonts w:hint="eastAsia" w:ascii="宋体" w:hAnsi="宋体" w:cs="宋体"/>
        </w:rPr>
        <w:t>②依法缴纳社会保险费的证明材料：近三个月依法缴纳社会保险费的证明（缴费凭证），或者委托他人缴纳的委托代办协议和近三个月的缴纳证明（</w:t>
      </w:r>
      <w:bookmarkStart w:id="74" w:name="_GoBack"/>
      <w:bookmarkEnd w:id="74"/>
      <w:r>
        <w:rPr>
          <w:rFonts w:hint="eastAsia" w:ascii="宋体" w:hAnsi="宋体" w:cs="宋体"/>
        </w:rPr>
        <w:t>收据），或者法定征收机关出具的依法免缴保险费的证明；</w:t>
      </w:r>
    </w:p>
    <w:p w14:paraId="72CAF313">
      <w:pPr>
        <w:pStyle w:val="6"/>
        <w:spacing w:after="0" w:line="440" w:lineRule="exact"/>
        <w:ind w:firstLine="420" w:firstLineChars="200"/>
        <w:outlineLvl w:val="9"/>
        <w:rPr>
          <w:rFonts w:hint="eastAsia" w:ascii="宋体" w:hAnsi="宋体" w:cs="宋体"/>
        </w:rPr>
      </w:pPr>
      <w:r>
        <w:rPr>
          <w:rFonts w:hint="eastAsia" w:ascii="宋体" w:hAnsi="宋体" w:cs="宋体"/>
        </w:rPr>
        <w:t xml:space="preserve">③依法缴纳税收证明资料：近三个月依法缴纳税收的证明（纳税凭证），或者委托他人缴纳的委托代办协议和近三个月的缴纳证明（收据），或者法定征收机关出具的依法免缴税收的证明； </w:t>
      </w:r>
    </w:p>
    <w:p w14:paraId="16A05440">
      <w:pPr>
        <w:pStyle w:val="6"/>
        <w:spacing w:after="0" w:line="440" w:lineRule="exact"/>
        <w:ind w:firstLine="420" w:firstLineChars="200"/>
        <w:outlineLvl w:val="9"/>
        <w:rPr>
          <w:rFonts w:hint="eastAsia" w:ascii="宋体" w:hAnsi="宋体" w:cs="宋体"/>
        </w:rPr>
      </w:pPr>
      <w:r>
        <w:rPr>
          <w:rFonts w:hint="eastAsia" w:ascii="宋体" w:hAnsi="宋体" w:cs="宋体"/>
        </w:rPr>
        <w:t>④</w:t>
      </w:r>
      <w:r>
        <w:rPr>
          <w:rFonts w:hint="eastAsia" w:ascii="宋体" w:hAnsi="宋体" w:cs="宋体"/>
          <w:lang w:val="en-US" w:eastAsia="zh-CN"/>
        </w:rPr>
        <w:t>承保机构公司负责人</w:t>
      </w:r>
      <w:r>
        <w:rPr>
          <w:rFonts w:hint="eastAsia" w:ascii="宋体" w:hAnsi="宋体" w:cs="宋体"/>
        </w:rPr>
        <w:t>须提交公司负责人</w:t>
      </w:r>
      <w:r>
        <w:rPr>
          <w:rFonts w:hint="eastAsia" w:ascii="宋体" w:hAnsi="宋体" w:cs="宋体"/>
          <w:lang w:eastAsia="zh-CN"/>
        </w:rPr>
        <w:t>资格证明</w:t>
      </w:r>
      <w:r>
        <w:rPr>
          <w:rFonts w:hint="eastAsia" w:ascii="宋体" w:hAnsi="宋体" w:cs="宋体"/>
        </w:rPr>
        <w:t>原件，或其被授权人须提交公司负责人授权委托书原件并附公司负责人</w:t>
      </w:r>
      <w:r>
        <w:rPr>
          <w:rFonts w:hint="eastAsia" w:ascii="宋体" w:hAnsi="宋体" w:cs="宋体"/>
          <w:lang w:eastAsia="zh-CN"/>
        </w:rPr>
        <w:t>资格证明</w:t>
      </w:r>
      <w:r>
        <w:rPr>
          <w:rFonts w:hint="eastAsia" w:ascii="宋体" w:hAnsi="宋体" w:cs="宋体"/>
        </w:rPr>
        <w:t>原件；</w:t>
      </w:r>
    </w:p>
    <w:p w14:paraId="1E57FEAD">
      <w:pPr>
        <w:pStyle w:val="6"/>
        <w:spacing w:after="0" w:line="440" w:lineRule="exact"/>
        <w:ind w:firstLine="420" w:firstLineChars="200"/>
        <w:outlineLvl w:val="9"/>
        <w:rPr>
          <w:rFonts w:hint="eastAsia" w:ascii="宋体" w:hAnsi="宋体" w:cs="宋体"/>
        </w:rPr>
      </w:pPr>
      <w:r>
        <w:rPr>
          <w:rFonts w:hint="eastAsia" w:ascii="宋体" w:hAnsi="宋体" w:cs="宋体"/>
        </w:rPr>
        <w:t>⑤</w:t>
      </w:r>
      <w:r>
        <w:rPr>
          <w:rFonts w:hint="eastAsia" w:ascii="宋体" w:hAnsi="宋体" w:eastAsia="宋体" w:cs="宋体"/>
          <w:sz w:val="21"/>
          <w:szCs w:val="21"/>
          <w:lang w:eastAsia="zh-CN"/>
        </w:rPr>
        <w:t>申请参加遴选的承保机构需满足的基本条件所要求的证明材料</w:t>
      </w:r>
      <w:r>
        <w:rPr>
          <w:rFonts w:hint="eastAsia" w:ascii="宋体" w:hAnsi="宋体" w:cs="宋体"/>
        </w:rPr>
        <w:t>。</w:t>
      </w:r>
    </w:p>
    <w:p w14:paraId="4DB8E0C8">
      <w:pPr>
        <w:pStyle w:val="6"/>
        <w:spacing w:after="0" w:line="440" w:lineRule="exact"/>
        <w:ind w:firstLine="420" w:firstLineChars="200"/>
        <w:outlineLvl w:val="9"/>
        <w:rPr>
          <w:rFonts w:hint="eastAsia" w:ascii="宋体" w:hAnsi="宋体" w:cs="宋体"/>
        </w:rPr>
      </w:pPr>
      <w:r>
        <w:rPr>
          <w:rFonts w:hint="eastAsia" w:ascii="宋体" w:hAnsi="宋体" w:cs="宋体"/>
        </w:rPr>
        <w:t>注：</w:t>
      </w:r>
      <w:r>
        <w:rPr>
          <w:rFonts w:hint="eastAsia" w:ascii="宋体" w:hAnsi="宋体" w:cs="宋体"/>
          <w:lang w:eastAsia="zh-CN"/>
        </w:rPr>
        <w:t>以上所说的近三个月指</w:t>
      </w:r>
      <w:r>
        <w:rPr>
          <w:rFonts w:hint="eastAsia" w:ascii="宋体" w:hAnsi="宋体" w:cs="宋体"/>
          <w:lang w:val="en-US" w:eastAsia="zh-CN"/>
        </w:rPr>
        <w:t>2022年9月以来任意连续三个月</w:t>
      </w:r>
      <w:r>
        <w:rPr>
          <w:rFonts w:hint="eastAsia" w:ascii="宋体" w:hAnsi="宋体" w:cs="宋体"/>
        </w:rPr>
        <w:t>。上述所有资料收复印件，复印件均指彩色扫描件或复印件，所有复印件须全部加盖承保机构红色印鉴，且复印件字迹、公章印鉴清晰。（此步骤仅限于发售遴选文件阶段，具体评议以现场评审结果为准）</w:t>
      </w:r>
    </w:p>
    <w:p w14:paraId="4CD40703">
      <w:pPr>
        <w:pStyle w:val="6"/>
        <w:spacing w:after="0" w:line="440" w:lineRule="exact"/>
        <w:ind w:firstLine="420" w:firstLineChars="200"/>
        <w:outlineLvl w:val="9"/>
        <w:rPr>
          <w:rFonts w:hint="eastAsia" w:ascii="宋体" w:hAnsi="宋体" w:eastAsia="宋体" w:cs="宋体"/>
          <w:lang w:eastAsia="zh-CN"/>
        </w:rPr>
      </w:pPr>
      <w:r>
        <w:rPr>
          <w:rFonts w:hint="eastAsia" w:ascii="宋体" w:hAnsi="宋体" w:cs="宋体"/>
        </w:rPr>
        <w:t>（</w:t>
      </w:r>
      <w:r>
        <w:rPr>
          <w:rFonts w:hint="eastAsia" w:ascii="宋体" w:hAnsi="宋体" w:cs="宋体"/>
          <w:lang w:val="en-US" w:eastAsia="zh-CN"/>
        </w:rPr>
        <w:t>2</w:t>
      </w:r>
      <w:r>
        <w:rPr>
          <w:rFonts w:hint="eastAsia" w:ascii="宋体" w:hAnsi="宋体" w:cs="宋体"/>
        </w:rPr>
        <w:t>）遴选文件发售地点：</w:t>
      </w:r>
      <w:r>
        <w:rPr>
          <w:rFonts w:hint="eastAsia" w:ascii="宋体" w:hAnsi="宋体" w:cs="宋体"/>
          <w:lang w:eastAsia="zh-CN"/>
        </w:rPr>
        <w:t>湖南中泰项目管理有限公司</w:t>
      </w:r>
    </w:p>
    <w:p w14:paraId="262C3DEC">
      <w:pPr>
        <w:pStyle w:val="6"/>
        <w:spacing w:after="0" w:line="440" w:lineRule="exact"/>
        <w:ind w:firstLine="420" w:firstLineChars="200"/>
        <w:outlineLvl w:val="9"/>
        <w:rPr>
          <w:rFonts w:hint="eastAsia" w:ascii="宋体" w:hAnsi="宋体" w:cs="宋体"/>
        </w:rPr>
      </w:pPr>
      <w:r>
        <w:rPr>
          <w:rFonts w:hint="eastAsia" w:ascii="宋体" w:hAnsi="宋体" w:cs="宋体"/>
        </w:rPr>
        <w:t>（</w:t>
      </w:r>
      <w:r>
        <w:rPr>
          <w:rFonts w:hint="eastAsia" w:ascii="宋体" w:hAnsi="宋体" w:cs="宋体"/>
          <w:lang w:val="en-US" w:eastAsia="zh-CN"/>
        </w:rPr>
        <w:t>3</w:t>
      </w:r>
      <w:r>
        <w:rPr>
          <w:rFonts w:hint="eastAsia" w:ascii="宋体" w:hAnsi="宋体" w:cs="宋体"/>
        </w:rPr>
        <w:t>）遴选文件发售价格：</w:t>
      </w:r>
      <w:r>
        <w:rPr>
          <w:rFonts w:hint="eastAsia" w:ascii="宋体" w:hAnsi="宋体" w:cs="宋体"/>
          <w:i w:val="0"/>
          <w:iCs w:val="0"/>
          <w:color w:val="auto"/>
          <w:u w:val="none"/>
          <w:lang w:val="en-US" w:eastAsia="zh-CN"/>
        </w:rPr>
        <w:t>0</w:t>
      </w:r>
      <w:r>
        <w:rPr>
          <w:rFonts w:hint="eastAsia" w:ascii="宋体" w:hAnsi="宋体" w:cs="宋体"/>
          <w:i w:val="0"/>
          <w:iCs w:val="0"/>
          <w:color w:val="auto"/>
          <w:u w:val="none"/>
        </w:rPr>
        <w:t>元/份，</w:t>
      </w:r>
      <w:r>
        <w:rPr>
          <w:rFonts w:hint="eastAsia" w:ascii="宋体" w:hAnsi="宋体" w:cs="宋体"/>
          <w:lang w:val="en-US" w:eastAsia="zh-CN"/>
        </w:rPr>
        <w:t>售后不退</w:t>
      </w:r>
      <w:r>
        <w:rPr>
          <w:rFonts w:hint="eastAsia" w:ascii="宋体" w:hAnsi="宋体" w:cs="宋体"/>
        </w:rPr>
        <w:t>。</w:t>
      </w:r>
    </w:p>
    <w:p w14:paraId="1072CD3F">
      <w:pPr>
        <w:pStyle w:val="6"/>
        <w:numPr>
          <w:ilvl w:val="0"/>
          <w:numId w:val="0"/>
        </w:numPr>
        <w:spacing w:after="0" w:line="440" w:lineRule="exact"/>
        <w:outlineLvl w:val="1"/>
        <w:rPr>
          <w:rFonts w:hint="eastAsia" w:ascii="宋体" w:hAnsi="宋体" w:cs="宋体"/>
          <w:b/>
          <w:bCs/>
          <w:sz w:val="24"/>
          <w:szCs w:val="32"/>
        </w:rPr>
      </w:pPr>
      <w:bookmarkStart w:id="12" w:name="_Toc24402"/>
      <w:r>
        <w:rPr>
          <w:rFonts w:hint="eastAsia" w:ascii="宋体" w:hAnsi="宋体" w:cs="宋体"/>
          <w:b/>
          <w:bCs/>
          <w:sz w:val="24"/>
          <w:szCs w:val="32"/>
          <w:lang w:val="en-US" w:eastAsia="zh-CN"/>
        </w:rPr>
        <w:t>五、申请</w:t>
      </w:r>
      <w:r>
        <w:rPr>
          <w:rFonts w:hint="eastAsia" w:ascii="宋体" w:hAnsi="宋体" w:cs="宋体"/>
          <w:b/>
          <w:bCs/>
          <w:sz w:val="24"/>
          <w:szCs w:val="32"/>
        </w:rPr>
        <w:t>文件递交截止时间及地点</w:t>
      </w:r>
      <w:bookmarkEnd w:id="12"/>
    </w:p>
    <w:p w14:paraId="4BBE8C76">
      <w:pPr>
        <w:pStyle w:val="6"/>
        <w:spacing w:after="0" w:line="440" w:lineRule="exact"/>
        <w:ind w:firstLine="420" w:firstLineChars="200"/>
        <w:outlineLvl w:val="9"/>
        <w:rPr>
          <w:rFonts w:hint="eastAsia" w:ascii="宋体" w:hAnsi="宋体" w:cs="宋体"/>
          <w:color w:val="auto"/>
        </w:rPr>
      </w:pPr>
      <w:r>
        <w:rPr>
          <w:rFonts w:hint="eastAsia" w:ascii="宋体" w:hAnsi="宋体" w:cs="宋体"/>
        </w:rPr>
        <w:t>1、</w:t>
      </w:r>
      <w:r>
        <w:rPr>
          <w:rFonts w:hint="eastAsia" w:ascii="宋体" w:hAnsi="宋体" w:cs="宋体"/>
          <w:lang w:eastAsia="zh-CN"/>
        </w:rPr>
        <w:t>申请</w:t>
      </w:r>
      <w:r>
        <w:rPr>
          <w:rFonts w:hint="eastAsia" w:ascii="宋体" w:hAnsi="宋体" w:cs="宋体"/>
        </w:rPr>
        <w:t>文件递交</w:t>
      </w:r>
      <w:r>
        <w:rPr>
          <w:rFonts w:hint="eastAsia" w:ascii="宋体" w:hAnsi="宋体" w:cs="宋体"/>
          <w:color w:val="auto"/>
        </w:rPr>
        <w:t>截止时间：</w:t>
      </w:r>
      <w:r>
        <w:rPr>
          <w:rFonts w:hint="eastAsia" w:ascii="宋体" w:hAnsi="宋体" w:cs="宋体"/>
          <w:color w:val="auto"/>
          <w:highlight w:val="none"/>
          <w:u w:val="single"/>
          <w:lang w:eastAsia="zh-CN"/>
        </w:rPr>
        <w:t>2023年</w:t>
      </w:r>
      <w:r>
        <w:rPr>
          <w:rFonts w:hint="eastAsia" w:ascii="宋体" w:hAnsi="宋体" w:cs="宋体"/>
          <w:color w:val="auto"/>
          <w:highlight w:val="none"/>
          <w:u w:val="single"/>
          <w:lang w:val="en-US" w:eastAsia="zh-CN"/>
        </w:rPr>
        <w:t>1</w:t>
      </w:r>
      <w:r>
        <w:rPr>
          <w:rFonts w:hint="eastAsia" w:ascii="宋体" w:hAnsi="宋体" w:cs="宋体"/>
          <w:color w:val="auto"/>
          <w:highlight w:val="none"/>
          <w:u w:val="single"/>
        </w:rPr>
        <w:t>月</w:t>
      </w:r>
      <w:r>
        <w:rPr>
          <w:rFonts w:hint="eastAsia" w:ascii="宋体" w:hAnsi="宋体" w:cs="宋体"/>
          <w:color w:val="auto"/>
          <w:highlight w:val="none"/>
          <w:u w:val="single"/>
          <w:lang w:val="en-US" w:eastAsia="zh-CN"/>
        </w:rPr>
        <w:t>14</w:t>
      </w:r>
      <w:r>
        <w:rPr>
          <w:rFonts w:hint="eastAsia" w:ascii="宋体" w:hAnsi="宋体" w:cs="宋体"/>
          <w:color w:val="auto"/>
          <w:highlight w:val="none"/>
          <w:u w:val="single"/>
        </w:rPr>
        <w:t>日</w:t>
      </w:r>
      <w:r>
        <w:rPr>
          <w:rFonts w:hint="eastAsia" w:ascii="宋体" w:hAnsi="宋体" w:cs="宋体"/>
          <w:color w:val="auto"/>
          <w:highlight w:val="none"/>
          <w:u w:val="single"/>
          <w:lang w:val="en-US" w:eastAsia="zh-CN"/>
        </w:rPr>
        <w:t>14</w:t>
      </w:r>
      <w:r>
        <w:rPr>
          <w:rFonts w:hint="eastAsia" w:ascii="宋体" w:hAnsi="宋体" w:cs="宋体"/>
          <w:color w:val="auto"/>
          <w:highlight w:val="none"/>
          <w:u w:val="single"/>
        </w:rPr>
        <w:t>时</w:t>
      </w:r>
      <w:r>
        <w:rPr>
          <w:rFonts w:hint="eastAsia" w:ascii="宋体" w:hAnsi="宋体" w:cs="宋体"/>
          <w:color w:val="auto"/>
          <w:highlight w:val="none"/>
          <w:u w:val="single"/>
          <w:lang w:val="en-US" w:eastAsia="zh-CN"/>
        </w:rPr>
        <w:t>30</w:t>
      </w:r>
      <w:r>
        <w:rPr>
          <w:rFonts w:hint="eastAsia" w:ascii="宋体" w:hAnsi="宋体" w:cs="宋体"/>
          <w:color w:val="auto"/>
          <w:highlight w:val="none"/>
          <w:u w:val="single"/>
        </w:rPr>
        <w:t>分。</w:t>
      </w:r>
    </w:p>
    <w:p w14:paraId="4D7AC6DC">
      <w:pPr>
        <w:pStyle w:val="6"/>
        <w:spacing w:after="0" w:line="440" w:lineRule="exact"/>
        <w:ind w:firstLine="420" w:firstLineChars="200"/>
        <w:outlineLvl w:val="9"/>
        <w:rPr>
          <w:rFonts w:hint="eastAsia" w:ascii="宋体" w:hAnsi="宋体" w:cs="宋体"/>
        </w:rPr>
      </w:pPr>
      <w:r>
        <w:rPr>
          <w:rFonts w:hint="eastAsia" w:ascii="宋体" w:hAnsi="宋体" w:cs="宋体"/>
        </w:rPr>
        <w:t>2、</w:t>
      </w:r>
      <w:r>
        <w:rPr>
          <w:rFonts w:hint="eastAsia" w:ascii="宋体" w:hAnsi="宋体" w:cs="宋体"/>
          <w:lang w:eastAsia="zh-CN"/>
        </w:rPr>
        <w:t>申请</w:t>
      </w:r>
      <w:r>
        <w:rPr>
          <w:rFonts w:hint="eastAsia" w:ascii="宋体" w:hAnsi="宋体" w:cs="宋体"/>
        </w:rPr>
        <w:t>文件递交地点：</w:t>
      </w:r>
      <w:r>
        <w:rPr>
          <w:rFonts w:hint="eastAsia" w:ascii="宋体" w:hAnsi="宋体" w:cs="宋体"/>
          <w:color w:val="auto"/>
          <w:u w:val="none"/>
          <w:lang w:val="en-US" w:eastAsia="zh-CN"/>
        </w:rPr>
        <w:t>衡阳市财政局五楼视频会议室</w:t>
      </w:r>
      <w:r>
        <w:rPr>
          <w:rFonts w:hint="eastAsia" w:ascii="宋体" w:hAnsi="宋体" w:cs="宋体"/>
          <w:color w:val="auto"/>
          <w:u w:val="none"/>
        </w:rPr>
        <w:t>。</w:t>
      </w:r>
    </w:p>
    <w:p w14:paraId="5B397131">
      <w:pPr>
        <w:spacing w:line="480" w:lineRule="atLeast"/>
        <w:ind w:firstLine="420" w:firstLineChars="200"/>
        <w:outlineLvl w:val="9"/>
        <w:rPr>
          <w:rFonts w:hint="eastAsia" w:ascii="宋体" w:hAnsi="宋体" w:cs="宋体"/>
        </w:rPr>
      </w:pPr>
      <w:r>
        <w:rPr>
          <w:rFonts w:hint="eastAsia" w:ascii="宋体" w:hAnsi="宋体" w:cs="宋体"/>
          <w:kern w:val="2"/>
          <w:sz w:val="21"/>
          <w:szCs w:val="24"/>
          <w:lang w:val="en-US" w:eastAsia="zh-CN" w:bidi="ar-SA"/>
        </w:rPr>
        <w:t>届时请</w:t>
      </w:r>
      <w:r>
        <w:rPr>
          <w:rFonts w:hint="eastAsia" w:ascii="宋体" w:hAnsi="宋体" w:cs="宋体"/>
          <w:lang w:val="en-US" w:eastAsia="zh-CN"/>
        </w:rPr>
        <w:t>承保机构公司负责人</w:t>
      </w:r>
      <w:r>
        <w:rPr>
          <w:rFonts w:hint="eastAsia" w:ascii="宋体" w:hAnsi="宋体" w:cs="宋体"/>
          <w:kern w:val="2"/>
          <w:sz w:val="21"/>
          <w:szCs w:val="24"/>
          <w:lang w:val="en-US" w:eastAsia="zh-CN" w:bidi="ar-SA"/>
        </w:rPr>
        <w:t>，或其授权委托的代理人出席公开遴选仪式。</w:t>
      </w:r>
    </w:p>
    <w:p w14:paraId="08F172DD">
      <w:pPr>
        <w:pStyle w:val="6"/>
        <w:numPr>
          <w:ilvl w:val="0"/>
          <w:numId w:val="0"/>
        </w:numPr>
        <w:spacing w:after="0" w:line="440" w:lineRule="exact"/>
        <w:outlineLvl w:val="1"/>
        <w:rPr>
          <w:rFonts w:hint="eastAsia" w:ascii="宋体" w:hAnsi="宋体" w:cs="宋体"/>
          <w:b/>
          <w:bCs/>
          <w:sz w:val="24"/>
          <w:szCs w:val="32"/>
        </w:rPr>
      </w:pPr>
      <w:bookmarkStart w:id="13" w:name="_Toc31785"/>
      <w:r>
        <w:rPr>
          <w:rFonts w:hint="eastAsia" w:ascii="宋体" w:hAnsi="宋体" w:cs="宋体"/>
          <w:b/>
          <w:bCs/>
          <w:sz w:val="24"/>
          <w:szCs w:val="32"/>
          <w:lang w:val="en-US" w:eastAsia="zh-CN"/>
        </w:rPr>
        <w:t>六、</w:t>
      </w:r>
      <w:r>
        <w:rPr>
          <w:rFonts w:hint="eastAsia" w:ascii="宋体" w:hAnsi="宋体" w:cs="宋体"/>
          <w:b/>
          <w:bCs/>
          <w:sz w:val="24"/>
          <w:szCs w:val="32"/>
        </w:rPr>
        <w:t>评审办法、结果</w:t>
      </w:r>
      <w:bookmarkEnd w:id="13"/>
    </w:p>
    <w:p w14:paraId="7E1CB971">
      <w:pPr>
        <w:pStyle w:val="6"/>
        <w:spacing w:after="0" w:line="440" w:lineRule="exact"/>
        <w:ind w:firstLine="420" w:firstLineChars="200"/>
        <w:outlineLvl w:val="9"/>
        <w:rPr>
          <w:rFonts w:hint="eastAsia" w:ascii="宋体" w:hAnsi="宋体" w:cs="宋体"/>
        </w:rPr>
      </w:pPr>
      <w:r>
        <w:rPr>
          <w:rFonts w:hint="eastAsia" w:ascii="宋体" w:hAnsi="宋体" w:cs="宋体"/>
          <w:lang w:val="en-US" w:eastAsia="zh-CN"/>
        </w:rPr>
        <w:t>1</w:t>
      </w:r>
      <w:r>
        <w:rPr>
          <w:rFonts w:hint="eastAsia" w:ascii="宋体" w:hAnsi="宋体" w:cs="宋体"/>
        </w:rPr>
        <w:t>、评审办法：综合评</w:t>
      </w:r>
      <w:r>
        <w:rPr>
          <w:rFonts w:hint="eastAsia" w:ascii="宋体" w:hAnsi="宋体" w:cs="宋体"/>
          <w:lang w:eastAsia="zh-CN"/>
        </w:rPr>
        <w:t>分</w:t>
      </w:r>
      <w:r>
        <w:rPr>
          <w:rFonts w:hint="eastAsia" w:ascii="宋体" w:hAnsi="宋体" w:cs="宋体"/>
        </w:rPr>
        <w:t>法。</w:t>
      </w:r>
    </w:p>
    <w:p w14:paraId="39FE44D2">
      <w:pPr>
        <w:pStyle w:val="6"/>
        <w:spacing w:after="0" w:line="440" w:lineRule="exact"/>
        <w:ind w:firstLine="420" w:firstLineChars="200"/>
        <w:outlineLvl w:val="9"/>
        <w:rPr>
          <w:rFonts w:hint="eastAsia" w:ascii="宋体" w:hAnsi="宋体" w:cs="宋体"/>
        </w:rPr>
      </w:pPr>
      <w:r>
        <w:rPr>
          <w:rFonts w:hint="eastAsia" w:ascii="宋体" w:hAnsi="宋体" w:cs="宋体"/>
          <w:lang w:val="en-US" w:eastAsia="zh-CN"/>
        </w:rPr>
        <w:t>2</w:t>
      </w:r>
      <w:r>
        <w:rPr>
          <w:rFonts w:hint="eastAsia" w:ascii="宋体" w:hAnsi="宋体" w:cs="宋体"/>
        </w:rPr>
        <w:t>、评审结果：评审结</w:t>
      </w:r>
      <w:r>
        <w:rPr>
          <w:rFonts w:hint="eastAsia" w:ascii="宋体" w:hAnsi="宋体" w:cs="宋体"/>
          <w:highlight w:val="none"/>
        </w:rPr>
        <w:t>果在</w:t>
      </w:r>
      <w:r>
        <w:rPr>
          <w:rFonts w:hint="eastAsia" w:ascii="宋体" w:hAnsi="宋体" w:cs="宋体"/>
          <w:highlight w:val="none"/>
          <w:lang w:eastAsia="zh-CN"/>
        </w:rPr>
        <w:t>衡阳市财政局</w:t>
      </w:r>
      <w:r>
        <w:rPr>
          <w:rFonts w:hint="eastAsia" w:ascii="宋体" w:hAnsi="宋体" w:cs="宋体"/>
          <w:highlight w:val="none"/>
        </w:rPr>
        <w:t>门户网站公示,公</w:t>
      </w:r>
      <w:r>
        <w:rPr>
          <w:rFonts w:hint="eastAsia" w:ascii="宋体" w:hAnsi="宋体" w:cs="宋体"/>
        </w:rPr>
        <w:t>示期5</w:t>
      </w:r>
      <w:r>
        <w:rPr>
          <w:rFonts w:hint="eastAsia" w:ascii="宋体" w:hAnsi="宋体" w:cs="宋体"/>
          <w:lang w:val="en-US" w:eastAsia="zh-CN"/>
        </w:rPr>
        <w:t>个工作日</w:t>
      </w:r>
      <w:r>
        <w:rPr>
          <w:rFonts w:hint="eastAsia" w:ascii="宋体" w:hAnsi="宋体" w:cs="宋体"/>
        </w:rPr>
        <w:t>。</w:t>
      </w:r>
    </w:p>
    <w:p w14:paraId="56E32652">
      <w:pPr>
        <w:pStyle w:val="6"/>
        <w:numPr>
          <w:ilvl w:val="0"/>
          <w:numId w:val="0"/>
        </w:numPr>
        <w:spacing w:after="0" w:line="440" w:lineRule="exact"/>
        <w:outlineLvl w:val="1"/>
        <w:rPr>
          <w:rFonts w:hint="eastAsia" w:ascii="宋体" w:hAnsi="宋体" w:cs="宋体"/>
          <w:b/>
          <w:bCs/>
          <w:sz w:val="24"/>
          <w:szCs w:val="32"/>
        </w:rPr>
      </w:pPr>
      <w:r>
        <w:rPr>
          <w:rFonts w:hint="eastAsia" w:ascii="宋体" w:hAnsi="宋体" w:cs="宋体"/>
          <w:b/>
          <w:bCs/>
          <w:sz w:val="24"/>
          <w:szCs w:val="32"/>
          <w:lang w:val="en-US" w:eastAsia="zh-CN"/>
        </w:rPr>
        <w:t>七、</w:t>
      </w:r>
      <w:r>
        <w:rPr>
          <w:rFonts w:hint="eastAsia" w:ascii="宋体" w:hAnsi="宋体" w:cs="宋体"/>
          <w:b/>
          <w:bCs/>
          <w:sz w:val="24"/>
          <w:szCs w:val="32"/>
        </w:rPr>
        <w:t>监督</w:t>
      </w:r>
    </w:p>
    <w:p w14:paraId="49333022">
      <w:pPr>
        <w:pStyle w:val="6"/>
        <w:spacing w:after="0" w:line="440" w:lineRule="exact"/>
        <w:ind w:firstLine="420" w:firstLineChars="200"/>
        <w:outlineLvl w:val="9"/>
        <w:rPr>
          <w:rFonts w:hint="eastAsia" w:ascii="宋体" w:hAnsi="宋体" w:cs="宋体"/>
        </w:rPr>
      </w:pPr>
      <w:r>
        <w:rPr>
          <w:rFonts w:hint="eastAsia" w:ascii="宋体" w:hAnsi="宋体" w:cs="宋体"/>
          <w:color w:val="auto"/>
          <w:u w:val="none"/>
          <w:lang w:val="en-US" w:eastAsia="zh-CN"/>
        </w:rPr>
        <w:t>中共衡阳市纪委衡阳市监委驻市财政局纪检监察组将对本次遴选工作现场全过程进行监督。</w:t>
      </w:r>
    </w:p>
    <w:p w14:paraId="3FFBCC2C">
      <w:pPr>
        <w:pStyle w:val="6"/>
        <w:spacing w:after="0" w:line="440" w:lineRule="exact"/>
        <w:outlineLvl w:val="1"/>
        <w:rPr>
          <w:rFonts w:hint="eastAsia" w:ascii="宋体" w:hAnsi="宋体" w:cs="宋体"/>
          <w:b/>
          <w:bCs/>
          <w:sz w:val="24"/>
          <w:szCs w:val="32"/>
        </w:rPr>
      </w:pPr>
      <w:r>
        <w:rPr>
          <w:rFonts w:hint="eastAsia" w:ascii="宋体" w:hAnsi="宋体" w:cs="宋体"/>
          <w:b/>
          <w:bCs/>
          <w:sz w:val="24"/>
          <w:szCs w:val="32"/>
        </w:rPr>
        <w:t>八、联系方式</w:t>
      </w:r>
    </w:p>
    <w:p w14:paraId="41E496F0">
      <w:pPr>
        <w:spacing w:line="440" w:lineRule="exact"/>
        <w:ind w:firstLine="420" w:firstLineChars="200"/>
        <w:outlineLvl w:val="9"/>
        <w:rPr>
          <w:rFonts w:hint="eastAsia" w:ascii="宋体" w:hAnsi="宋体" w:cs="宋体"/>
        </w:rPr>
      </w:pPr>
      <w:r>
        <w:rPr>
          <w:rFonts w:hint="eastAsia" w:ascii="宋体" w:hAnsi="宋体" w:cs="宋体"/>
        </w:rPr>
        <w:t>遴选人：</w:t>
      </w:r>
      <w:r>
        <w:rPr>
          <w:rFonts w:hint="eastAsia" w:ascii="宋体" w:hAnsi="宋体" w:cs="宋体"/>
          <w:lang w:eastAsia="zh-CN"/>
        </w:rPr>
        <w:t>衡阳市财政局</w:t>
      </w:r>
    </w:p>
    <w:p w14:paraId="637322F4">
      <w:pPr>
        <w:spacing w:line="440" w:lineRule="exact"/>
        <w:ind w:firstLine="420" w:firstLineChars="200"/>
        <w:outlineLvl w:val="9"/>
        <w:rPr>
          <w:rFonts w:hint="default" w:ascii="宋体" w:hAnsi="宋体" w:cs="宋体"/>
          <w:lang w:val="en-US"/>
        </w:rPr>
      </w:pPr>
      <w:r>
        <w:rPr>
          <w:rFonts w:hint="eastAsia" w:ascii="宋体" w:hAnsi="宋体" w:cs="宋体"/>
        </w:rPr>
        <w:t>联系人：</w:t>
      </w:r>
      <w:r>
        <w:rPr>
          <w:rFonts w:hint="eastAsia" w:ascii="宋体" w:hAnsi="宋体" w:cs="宋体"/>
          <w:lang w:val="en-US" w:eastAsia="zh-CN"/>
        </w:rPr>
        <w:t>阳霞</w:t>
      </w:r>
    </w:p>
    <w:p w14:paraId="55E5D3DF">
      <w:pPr>
        <w:spacing w:line="440" w:lineRule="exact"/>
        <w:ind w:firstLine="420" w:firstLineChars="200"/>
        <w:outlineLvl w:val="9"/>
        <w:rPr>
          <w:rFonts w:hint="default" w:ascii="宋体" w:hAnsi="宋体" w:cs="宋体"/>
          <w:lang w:val="en-US" w:eastAsia="zh-CN"/>
        </w:rPr>
      </w:pPr>
      <w:r>
        <w:rPr>
          <w:rFonts w:hint="eastAsia" w:ascii="宋体" w:hAnsi="宋体" w:cs="宋体"/>
        </w:rPr>
        <w:t>电  话：</w:t>
      </w:r>
      <w:r>
        <w:rPr>
          <w:rFonts w:hint="eastAsia" w:ascii="宋体" w:hAnsi="宋体" w:cs="宋体"/>
          <w:lang w:val="en-US" w:eastAsia="zh-CN"/>
        </w:rPr>
        <w:t>18907348976</w:t>
      </w:r>
    </w:p>
    <w:p w14:paraId="0F5007CE">
      <w:pPr>
        <w:spacing w:line="440" w:lineRule="exact"/>
        <w:ind w:firstLine="420" w:firstLineChars="200"/>
        <w:outlineLvl w:val="9"/>
        <w:rPr>
          <w:rFonts w:hint="default" w:ascii="宋体" w:hAnsi="宋体" w:cs="宋体"/>
          <w:lang w:val="en-US"/>
        </w:rPr>
      </w:pPr>
      <w:r>
        <w:rPr>
          <w:rFonts w:hint="eastAsia" w:ascii="宋体" w:hAnsi="宋体" w:cs="宋体"/>
        </w:rPr>
        <w:t>地  址：</w:t>
      </w:r>
      <w:r>
        <w:rPr>
          <w:rFonts w:hint="eastAsia" w:ascii="宋体" w:hAnsi="宋体" w:eastAsia="宋体" w:cs="宋体"/>
          <w:lang w:eastAsia="zh-CN"/>
        </w:rPr>
        <w:t>衡阳市解放大道</w:t>
      </w:r>
      <w:r>
        <w:rPr>
          <w:rFonts w:hint="eastAsia" w:ascii="宋体" w:hAnsi="宋体" w:eastAsia="宋体" w:cs="宋体"/>
          <w:lang w:val="en-US" w:eastAsia="zh-CN"/>
        </w:rPr>
        <w:t>30号</w:t>
      </w:r>
    </w:p>
    <w:p w14:paraId="08EBC29E">
      <w:pPr>
        <w:spacing w:line="440" w:lineRule="exact"/>
        <w:ind w:firstLine="420" w:firstLineChars="200"/>
        <w:outlineLvl w:val="9"/>
        <w:rPr>
          <w:rFonts w:hint="eastAsia" w:ascii="宋体" w:hAnsi="宋体" w:cs="宋体"/>
        </w:rPr>
      </w:pPr>
    </w:p>
    <w:p w14:paraId="43C3CD40">
      <w:pPr>
        <w:spacing w:line="440" w:lineRule="exact"/>
        <w:ind w:firstLine="420" w:firstLineChars="200"/>
        <w:outlineLvl w:val="9"/>
        <w:rPr>
          <w:rFonts w:hint="eastAsia" w:ascii="宋体" w:hAnsi="宋体" w:eastAsia="宋体" w:cs="宋体"/>
          <w:lang w:eastAsia="zh-CN"/>
        </w:rPr>
      </w:pPr>
      <w:r>
        <w:rPr>
          <w:rFonts w:hint="eastAsia" w:ascii="宋体" w:hAnsi="宋体" w:cs="宋体"/>
        </w:rPr>
        <w:t>代理机构：</w:t>
      </w:r>
      <w:r>
        <w:rPr>
          <w:rFonts w:hint="eastAsia" w:ascii="宋体" w:hAnsi="宋体" w:cs="宋体"/>
          <w:lang w:eastAsia="zh-CN"/>
        </w:rPr>
        <w:t>湖南中泰项目管理有限公司</w:t>
      </w:r>
    </w:p>
    <w:p w14:paraId="5C292B2A">
      <w:pPr>
        <w:spacing w:line="440" w:lineRule="exact"/>
        <w:ind w:firstLine="420" w:firstLineChars="200"/>
        <w:outlineLvl w:val="9"/>
        <w:rPr>
          <w:rFonts w:hint="default" w:ascii="宋体" w:hAnsi="宋体" w:eastAsia="宋体" w:cs="宋体"/>
          <w:lang w:val="en-US" w:eastAsia="zh-CN"/>
        </w:rPr>
      </w:pPr>
      <w:r>
        <w:rPr>
          <w:rFonts w:hint="eastAsia" w:ascii="宋体" w:hAnsi="宋体" w:cs="宋体"/>
        </w:rPr>
        <w:t>联系人：</w:t>
      </w:r>
      <w:r>
        <w:rPr>
          <w:rFonts w:hint="eastAsia" w:ascii="宋体" w:hAnsi="宋体" w:cs="宋体"/>
          <w:lang w:val="en-US" w:eastAsia="zh-CN"/>
        </w:rPr>
        <w:t>蒋晓峰</w:t>
      </w:r>
    </w:p>
    <w:p w14:paraId="7D5CFE24">
      <w:pPr>
        <w:spacing w:line="440" w:lineRule="exact"/>
        <w:ind w:firstLine="420" w:firstLineChars="200"/>
        <w:outlineLvl w:val="9"/>
        <w:rPr>
          <w:rFonts w:hint="default" w:ascii="宋体" w:hAnsi="宋体" w:cs="宋体"/>
          <w:lang w:val="en-US" w:eastAsia="zh-CN"/>
        </w:rPr>
      </w:pPr>
      <w:r>
        <w:rPr>
          <w:rFonts w:hint="eastAsia" w:ascii="宋体" w:hAnsi="宋体" w:cs="宋体"/>
        </w:rPr>
        <w:t>电  话：</w:t>
      </w:r>
      <w:r>
        <w:rPr>
          <w:rFonts w:hint="eastAsia" w:ascii="宋体" w:hAnsi="宋体" w:cs="宋体"/>
          <w:lang w:val="en-US" w:eastAsia="zh-CN"/>
        </w:rPr>
        <w:t>18175885050</w:t>
      </w:r>
    </w:p>
    <w:p w14:paraId="7857BBD1">
      <w:pPr>
        <w:spacing w:line="440" w:lineRule="exact"/>
        <w:ind w:firstLine="420" w:firstLineChars="200"/>
        <w:outlineLvl w:val="9"/>
        <w:rPr>
          <w:rFonts w:hint="default" w:ascii="宋体" w:hAnsi="宋体" w:eastAsia="宋体" w:cs="宋体"/>
          <w:lang w:val="en-US" w:eastAsia="zh-CN"/>
        </w:rPr>
      </w:pPr>
      <w:r>
        <w:rPr>
          <w:rFonts w:hint="eastAsia" w:ascii="宋体" w:hAnsi="宋体" w:cs="宋体"/>
        </w:rPr>
        <w:t>地  址：</w:t>
      </w:r>
      <w:r>
        <w:rPr>
          <w:rFonts w:hint="eastAsia" w:ascii="宋体" w:hAnsi="宋体" w:eastAsia="宋体" w:cs="宋体"/>
          <w:lang w:val="en-US" w:eastAsia="zh-CN"/>
        </w:rPr>
        <w:t>衡阳市白云路14号明星花苑二单元221室</w:t>
      </w:r>
    </w:p>
    <w:p w14:paraId="523E4778">
      <w:pPr>
        <w:widowControl/>
        <w:spacing w:before="62" w:beforeLines="20" w:after="62" w:afterLines="20" w:line="440" w:lineRule="exact"/>
        <w:jc w:val="center"/>
        <w:outlineLvl w:val="0"/>
        <w:rPr>
          <w:rFonts w:hint="eastAsia" w:ascii="宋体" w:hAnsi="宋体" w:cs="宋体"/>
          <w:b/>
          <w:bCs/>
          <w:color w:val="000000"/>
        </w:rPr>
      </w:pPr>
      <w:r>
        <w:rPr>
          <w:rFonts w:hint="eastAsia" w:ascii="宋体" w:hAnsi="宋体" w:cs="宋体"/>
          <w:b/>
          <w:bCs/>
          <w:color w:val="000000"/>
          <w:szCs w:val="21"/>
        </w:rPr>
        <w:br w:type="page"/>
      </w:r>
      <w:bookmarkStart w:id="14" w:name="_Toc19773"/>
      <w:r>
        <w:rPr>
          <w:rFonts w:hint="eastAsia" w:ascii="宋体" w:hAnsi="宋体" w:cs="宋体"/>
          <w:b/>
          <w:bCs/>
          <w:color w:val="000000"/>
          <w:sz w:val="32"/>
          <w:szCs w:val="32"/>
        </w:rPr>
        <w:t>第二章 申请人须知</w:t>
      </w:r>
      <w:bookmarkEnd w:id="14"/>
      <w:bookmarkStart w:id="15" w:name="_Hlt6282928"/>
      <w:bookmarkEnd w:id="15"/>
      <w:bookmarkStart w:id="16" w:name="_Hlt519849867"/>
      <w:bookmarkEnd w:id="16"/>
      <w:bookmarkStart w:id="17" w:name="_Hlt66264674"/>
      <w:bookmarkEnd w:id="17"/>
      <w:bookmarkStart w:id="18" w:name="_Hlt18482789"/>
      <w:bookmarkEnd w:id="18"/>
      <w:bookmarkStart w:id="19" w:name="_Hlt19243076"/>
      <w:bookmarkEnd w:id="19"/>
      <w:bookmarkStart w:id="20" w:name="_Hlt18723937"/>
      <w:bookmarkEnd w:id="20"/>
      <w:bookmarkStart w:id="21" w:name="_Hlt519852490"/>
      <w:bookmarkEnd w:id="21"/>
      <w:bookmarkStart w:id="22" w:name="_Hlt3880244"/>
      <w:bookmarkEnd w:id="22"/>
      <w:bookmarkStart w:id="23" w:name="_Hlt7148326"/>
      <w:bookmarkEnd w:id="23"/>
      <w:bookmarkStart w:id="24" w:name="_Hlt18724747"/>
      <w:bookmarkEnd w:id="24"/>
    </w:p>
    <w:p w14:paraId="69DE278C">
      <w:pPr>
        <w:autoSpaceDE w:val="0"/>
        <w:autoSpaceDN w:val="0"/>
        <w:adjustRightInd w:val="0"/>
        <w:spacing w:line="440" w:lineRule="exact"/>
        <w:jc w:val="center"/>
        <w:outlineLvl w:val="1"/>
        <w:rPr>
          <w:rFonts w:hint="eastAsia" w:ascii="宋体" w:hAnsi="宋体" w:cs="宋体"/>
          <w:b/>
          <w:bCs/>
          <w:color w:val="000000"/>
          <w:sz w:val="28"/>
          <w:szCs w:val="28"/>
        </w:rPr>
      </w:pPr>
      <w:bookmarkStart w:id="25" w:name="_Toc28592"/>
      <w:r>
        <w:rPr>
          <w:rFonts w:hint="eastAsia" w:ascii="宋体" w:hAnsi="宋体" w:cs="宋体"/>
          <w:b/>
          <w:bCs/>
          <w:color w:val="000000"/>
          <w:sz w:val="28"/>
          <w:szCs w:val="28"/>
        </w:rPr>
        <w:t>申请人</w:t>
      </w:r>
      <w:r>
        <w:rPr>
          <w:rFonts w:hint="eastAsia" w:ascii="宋体" w:hAnsi="宋体" w:cs="宋体"/>
          <w:b/>
          <w:bCs/>
          <w:color w:val="000000"/>
          <w:sz w:val="28"/>
          <w:szCs w:val="28"/>
          <w:lang w:eastAsia="zh-CN"/>
        </w:rPr>
        <w:t>须知</w:t>
      </w:r>
      <w:r>
        <w:rPr>
          <w:rFonts w:hint="eastAsia" w:ascii="宋体" w:hAnsi="宋体" w:cs="宋体"/>
          <w:b/>
          <w:bCs/>
          <w:color w:val="000000"/>
          <w:sz w:val="28"/>
          <w:szCs w:val="28"/>
        </w:rPr>
        <w:t>前附表</w:t>
      </w:r>
      <w:bookmarkEnd w:id="25"/>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862"/>
        <w:gridCol w:w="7289"/>
        <w:gridCol w:w="38"/>
      </w:tblGrid>
      <w:tr w14:paraId="67149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682" w:type="dxa"/>
            <w:noWrap w:val="0"/>
            <w:vAlign w:val="center"/>
          </w:tcPr>
          <w:p w14:paraId="60BBF429">
            <w:pPr>
              <w:tabs>
                <w:tab w:val="left" w:pos="1800"/>
              </w:tabs>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序号</w:t>
            </w:r>
          </w:p>
        </w:tc>
        <w:tc>
          <w:tcPr>
            <w:tcW w:w="862" w:type="dxa"/>
            <w:noWrap w:val="0"/>
            <w:vAlign w:val="center"/>
          </w:tcPr>
          <w:p w14:paraId="0365496E">
            <w:pPr>
              <w:tabs>
                <w:tab w:val="left" w:pos="1800"/>
              </w:tabs>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条款号</w:t>
            </w:r>
          </w:p>
        </w:tc>
        <w:tc>
          <w:tcPr>
            <w:tcW w:w="7327" w:type="dxa"/>
            <w:gridSpan w:val="2"/>
            <w:noWrap w:val="0"/>
            <w:vAlign w:val="center"/>
          </w:tcPr>
          <w:p w14:paraId="2CEB2941">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内容规定</w:t>
            </w:r>
          </w:p>
        </w:tc>
      </w:tr>
      <w:tr w14:paraId="5E3F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08C41E25">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1</w:t>
            </w:r>
          </w:p>
        </w:tc>
        <w:tc>
          <w:tcPr>
            <w:tcW w:w="862" w:type="dxa"/>
            <w:noWrap w:val="0"/>
            <w:vAlign w:val="center"/>
          </w:tcPr>
          <w:p w14:paraId="1A599379">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3.2</w:t>
            </w:r>
          </w:p>
        </w:tc>
        <w:tc>
          <w:tcPr>
            <w:tcW w:w="7327" w:type="dxa"/>
            <w:gridSpan w:val="2"/>
            <w:noWrap w:val="0"/>
            <w:vAlign w:val="top"/>
          </w:tcPr>
          <w:p w14:paraId="7CEF7821">
            <w:pPr>
              <w:spacing w:line="360" w:lineRule="exact"/>
              <w:outlineLvl w:val="9"/>
              <w:rPr>
                <w:rFonts w:hint="eastAsia" w:ascii="宋体" w:hAnsi="宋体" w:cs="宋体"/>
                <w:color w:val="auto"/>
                <w:szCs w:val="21"/>
                <w:highlight w:val="none"/>
                <w:u w:val="none"/>
              </w:rPr>
            </w:pPr>
            <w:r>
              <w:rPr>
                <w:rFonts w:hint="eastAsia" w:ascii="宋体" w:hAnsi="宋体" w:cs="宋体"/>
                <w:color w:val="auto"/>
                <w:szCs w:val="21"/>
                <w:highlight w:val="none"/>
                <w:u w:val="none"/>
              </w:rPr>
              <w:t>项目名称：</w:t>
            </w:r>
            <w:r>
              <w:rPr>
                <w:rFonts w:hint="eastAsia" w:ascii="宋体" w:hAnsi="宋体" w:cs="宋体"/>
                <w:color w:val="auto"/>
                <w:szCs w:val="21"/>
                <w:highlight w:val="none"/>
                <w:u w:val="none"/>
                <w:lang w:eastAsia="zh-CN"/>
              </w:rPr>
              <w:t>祁东县2023-2025年政策性农业保险承保机构公开竞争性遴选</w:t>
            </w:r>
          </w:p>
        </w:tc>
      </w:tr>
      <w:tr w14:paraId="41AD3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50FE3EF3">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2</w:t>
            </w:r>
          </w:p>
        </w:tc>
        <w:tc>
          <w:tcPr>
            <w:tcW w:w="862" w:type="dxa"/>
            <w:noWrap w:val="0"/>
            <w:vAlign w:val="center"/>
          </w:tcPr>
          <w:p w14:paraId="40A54ED3">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3.3</w:t>
            </w:r>
          </w:p>
        </w:tc>
        <w:tc>
          <w:tcPr>
            <w:tcW w:w="7327" w:type="dxa"/>
            <w:gridSpan w:val="2"/>
            <w:noWrap w:val="0"/>
            <w:vAlign w:val="top"/>
          </w:tcPr>
          <w:p w14:paraId="6DDBA59E">
            <w:pPr>
              <w:spacing w:line="360" w:lineRule="exact"/>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服务地点：</w:t>
            </w:r>
            <w:r>
              <w:rPr>
                <w:rFonts w:hint="eastAsia" w:ascii="宋体" w:hAnsi="宋体" w:eastAsia="宋体" w:cs="宋体"/>
                <w:color w:val="auto"/>
                <w:sz w:val="21"/>
                <w:szCs w:val="21"/>
                <w:highlight w:val="none"/>
                <w:u w:val="none"/>
                <w:lang w:eastAsia="zh-CN"/>
              </w:rPr>
              <w:t>祁东县</w:t>
            </w:r>
            <w:r>
              <w:rPr>
                <w:rFonts w:hint="eastAsia" w:ascii="宋体" w:hAnsi="宋体" w:eastAsia="宋体" w:cs="宋体"/>
                <w:color w:val="auto"/>
                <w:sz w:val="21"/>
                <w:szCs w:val="21"/>
                <w:highlight w:val="none"/>
                <w:u w:val="none"/>
              </w:rPr>
              <w:t>。</w:t>
            </w:r>
          </w:p>
        </w:tc>
      </w:tr>
      <w:tr w14:paraId="6B31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2EE65FF6">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2</w:t>
            </w:r>
          </w:p>
        </w:tc>
        <w:tc>
          <w:tcPr>
            <w:tcW w:w="862" w:type="dxa"/>
            <w:noWrap w:val="0"/>
            <w:vAlign w:val="center"/>
          </w:tcPr>
          <w:p w14:paraId="3D4E9FD4">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3.4</w:t>
            </w:r>
          </w:p>
        </w:tc>
        <w:tc>
          <w:tcPr>
            <w:tcW w:w="7327" w:type="dxa"/>
            <w:gridSpan w:val="2"/>
            <w:noWrap w:val="0"/>
            <w:vAlign w:val="center"/>
          </w:tcPr>
          <w:p w14:paraId="4D922247">
            <w:pPr>
              <w:spacing w:line="360" w:lineRule="exact"/>
              <w:outlineLvl w:val="9"/>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本项目共分为8个包，</w:t>
            </w:r>
            <w:r>
              <w:rPr>
                <w:rFonts w:hint="eastAsia" w:ascii="宋体" w:hAnsi="宋体" w:eastAsia="宋体" w:cs="宋体"/>
                <w:color w:val="auto"/>
                <w:sz w:val="21"/>
                <w:szCs w:val="21"/>
                <w:highlight w:val="none"/>
                <w:u w:val="none"/>
              </w:rPr>
              <w:t>分包情况</w:t>
            </w:r>
            <w:r>
              <w:rPr>
                <w:rFonts w:hint="eastAsia" w:ascii="宋体" w:hAnsi="宋体" w:eastAsia="宋体" w:cs="宋体"/>
                <w:color w:val="auto"/>
                <w:sz w:val="21"/>
                <w:szCs w:val="21"/>
                <w:highlight w:val="none"/>
                <w:u w:val="none"/>
                <w:lang w:val="en-US" w:eastAsia="zh-CN"/>
              </w:rPr>
              <w:t>详见遴选公告。</w:t>
            </w:r>
          </w:p>
          <w:p w14:paraId="29FBD31E">
            <w:pPr>
              <w:spacing w:line="360" w:lineRule="exact"/>
              <w:outlineLvl w:val="9"/>
              <w:rPr>
                <w:rFonts w:hint="eastAsia" w:ascii="宋体" w:hAnsi="宋体" w:eastAsia="宋体" w:cs="宋体"/>
                <w:color w:val="auto"/>
                <w:sz w:val="21"/>
                <w:szCs w:val="21"/>
                <w:highlight w:val="none"/>
                <w:u w:val="none"/>
              </w:rPr>
            </w:pPr>
            <w:r>
              <w:rPr>
                <w:rFonts w:hint="eastAsia" w:ascii="宋体" w:hAnsi="宋体" w:eastAsia="宋体" w:cs="宋体"/>
                <w:b/>
                <w:bCs/>
                <w:color w:val="auto"/>
                <w:sz w:val="21"/>
                <w:szCs w:val="21"/>
                <w:highlight w:val="none"/>
                <w:u w:val="none"/>
                <w:lang w:eastAsia="zh-CN"/>
              </w:rPr>
              <w:t>（</w:t>
            </w:r>
            <w:r>
              <w:rPr>
                <w:rFonts w:hint="eastAsia" w:ascii="宋体" w:hAnsi="宋体" w:eastAsia="宋体" w:cs="宋体"/>
                <w:b/>
                <w:bCs/>
                <w:color w:val="auto"/>
                <w:sz w:val="21"/>
                <w:szCs w:val="21"/>
                <w:highlight w:val="none"/>
                <w:u w:val="none"/>
              </w:rPr>
              <w:t>承保机构</w:t>
            </w:r>
            <w:r>
              <w:rPr>
                <w:rFonts w:hint="eastAsia" w:ascii="宋体" w:hAnsi="宋体" w:eastAsia="宋体" w:cs="宋体"/>
                <w:b/>
                <w:bCs/>
                <w:color w:val="auto"/>
                <w:sz w:val="21"/>
                <w:szCs w:val="21"/>
                <w:highlight w:val="none"/>
                <w:u w:val="none"/>
                <w:lang w:val="en-US" w:eastAsia="zh-CN"/>
              </w:rPr>
              <w:t>必</w:t>
            </w:r>
            <w:r>
              <w:rPr>
                <w:rFonts w:hint="eastAsia" w:ascii="宋体" w:hAnsi="宋体" w:eastAsia="宋体" w:cs="宋体"/>
                <w:b/>
                <w:bCs/>
                <w:color w:val="auto"/>
                <w:sz w:val="21"/>
                <w:szCs w:val="21"/>
                <w:highlight w:val="none"/>
                <w:u w:val="none"/>
              </w:rPr>
              <w:t>须对如上</w:t>
            </w:r>
            <w:r>
              <w:rPr>
                <w:rFonts w:hint="eastAsia" w:ascii="宋体" w:hAnsi="宋体" w:eastAsia="宋体" w:cs="宋体"/>
                <w:b/>
                <w:bCs/>
                <w:color w:val="auto"/>
                <w:sz w:val="21"/>
                <w:szCs w:val="21"/>
                <w:highlight w:val="none"/>
                <w:u w:val="none"/>
                <w:lang w:val="en-US" w:eastAsia="zh-CN"/>
              </w:rPr>
              <w:t>8</w:t>
            </w:r>
            <w:r>
              <w:rPr>
                <w:rFonts w:hint="eastAsia" w:ascii="宋体" w:hAnsi="宋体" w:eastAsia="宋体" w:cs="宋体"/>
                <w:b/>
                <w:bCs/>
                <w:color w:val="auto"/>
                <w:sz w:val="21"/>
                <w:szCs w:val="21"/>
                <w:highlight w:val="none"/>
                <w:u w:val="none"/>
              </w:rPr>
              <w:t>个包同时响应，不接受单独对其中任意一包或部分包进行单独响应，否则视为无效响应处理。</w:t>
            </w:r>
            <w:r>
              <w:rPr>
                <w:rFonts w:hint="eastAsia" w:ascii="宋体" w:hAnsi="宋体" w:eastAsia="宋体" w:cs="宋体"/>
                <w:b/>
                <w:bCs/>
                <w:color w:val="auto"/>
                <w:sz w:val="21"/>
                <w:szCs w:val="21"/>
                <w:highlight w:val="none"/>
                <w:u w:val="none"/>
                <w:lang w:eastAsia="zh-CN"/>
              </w:rPr>
              <w:t>）</w:t>
            </w:r>
          </w:p>
        </w:tc>
      </w:tr>
      <w:tr w14:paraId="0AF4F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02F159F5">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3</w:t>
            </w:r>
          </w:p>
        </w:tc>
        <w:tc>
          <w:tcPr>
            <w:tcW w:w="862" w:type="dxa"/>
            <w:noWrap w:val="0"/>
            <w:vAlign w:val="center"/>
          </w:tcPr>
          <w:p w14:paraId="4F42C3E4">
            <w:pPr>
              <w:keepNext w:val="0"/>
              <w:keepLines w:val="0"/>
              <w:pageBreakBefore w:val="0"/>
              <w:kinsoku/>
              <w:wordWrap/>
              <w:overflowPunct/>
              <w:topLinePunct w:val="0"/>
              <w:autoSpaceDE/>
              <w:autoSpaceDN/>
              <w:bidi w:val="0"/>
              <w:adjustRightInd/>
              <w:snapToGrid/>
              <w:spacing w:line="360" w:lineRule="auto"/>
              <w:jc w:val="center"/>
              <w:textAlignment w:val="auto"/>
              <w:outlineLvl w:val="9"/>
              <w:rPr>
                <w:rFonts w:hint="eastAsia" w:ascii="宋体" w:hAnsi="宋体" w:cs="宋体"/>
                <w:b/>
                <w:bCs/>
                <w:color w:val="000000"/>
                <w:szCs w:val="21"/>
              </w:rPr>
            </w:pPr>
            <w:r>
              <w:rPr>
                <w:rFonts w:hint="eastAsia" w:ascii="宋体" w:hAnsi="宋体" w:cs="宋体"/>
                <w:b/>
                <w:bCs/>
                <w:color w:val="000000"/>
                <w:szCs w:val="21"/>
              </w:rPr>
              <w:t>4.1</w:t>
            </w:r>
          </w:p>
        </w:tc>
        <w:tc>
          <w:tcPr>
            <w:tcW w:w="7327" w:type="dxa"/>
            <w:gridSpan w:val="2"/>
            <w:noWrap w:val="0"/>
            <w:vAlign w:val="center"/>
          </w:tcPr>
          <w:p w14:paraId="0AA8FDD3">
            <w:pPr>
              <w:keepNext w:val="0"/>
              <w:keepLines w:val="0"/>
              <w:pageBreakBefore w:val="0"/>
              <w:widowControl/>
              <w:tabs>
                <w:tab w:val="left" w:pos="252"/>
              </w:tabs>
              <w:kinsoku/>
              <w:wordWrap/>
              <w:overflowPunct/>
              <w:topLinePunct w:val="0"/>
              <w:autoSpaceDE/>
              <w:autoSpaceDN/>
              <w:bidi w:val="0"/>
              <w:adjustRightInd/>
              <w:snapToGrid/>
              <w:spacing w:line="360" w:lineRule="auto"/>
              <w:contextualSpacing/>
              <w:jc w:val="left"/>
              <w:textAlignment w:val="auto"/>
              <w:outlineLvl w:val="9"/>
              <w:rPr>
                <w:rFonts w:hint="eastAsia" w:ascii="宋体" w:hAnsi="宋体" w:cs="宋体"/>
                <w:color w:val="000000"/>
                <w:szCs w:val="21"/>
              </w:rPr>
            </w:pPr>
            <w:r>
              <w:rPr>
                <w:rFonts w:hint="eastAsia" w:ascii="宋体" w:hAnsi="宋体" w:cs="宋体"/>
                <w:color w:val="000000"/>
                <w:szCs w:val="21"/>
              </w:rPr>
              <w:t>申请人资格要求：</w:t>
            </w:r>
          </w:p>
          <w:p w14:paraId="0C017043">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1、申请人的省级公司必须在湖南银保监局公布的符合农业保险业务经营条件的保险公司目录范围内。</w:t>
            </w:r>
          </w:p>
          <w:p w14:paraId="33EBB85F">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2、具有完善的农业保险大灾风险分散机制。</w:t>
            </w:r>
          </w:p>
          <w:p w14:paraId="43DB6C5B">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3、具有完善的基层服务网络。</w:t>
            </w:r>
          </w:p>
          <w:p w14:paraId="7FDF987C">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4、信息化建设满足业务管理要求，能够按要求与中国农业再保险股份有限公司(以下简称中国农再)约定分保业务信息系统进行对接；能够按要求与湖南省农业保险综合管理平台系统对接。</w:t>
            </w:r>
          </w:p>
          <w:p w14:paraId="55619AF3">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5、参加农业保险再保险体系改革试点，承保机构总公司已与中国农再签署当期有效的《政策性农业保险再保险标准协议》,双方可协商对有关条款进行调整。</w:t>
            </w:r>
          </w:p>
          <w:p w14:paraId="2F54EA8B">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6、对于在财金〔2020〕128号文件印发后开业的承保机构，总公司开业时间需在5年以上(含),存在重组、更名或新设主体依法受让相关业务的，可以原主体开业时间为准。</w:t>
            </w:r>
          </w:p>
          <w:p w14:paraId="30CA64E6">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7、在遴选区域具有经银保监部门批准设立的下属分支机构，持有省级公司出具的针对本区域遴选的授权文件。</w:t>
            </w:r>
          </w:p>
          <w:p w14:paraId="3593186A">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8、财政部门规定的其他条件。</w:t>
            </w:r>
          </w:p>
          <w:p w14:paraId="08568877">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9"/>
              <w:rPr>
                <w:rFonts w:hint="eastAsia" w:ascii="宋体" w:hAnsi="宋体" w:eastAsia="宋体" w:cs="宋体"/>
                <w:sz w:val="21"/>
                <w:szCs w:val="21"/>
                <w:lang w:eastAsia="zh-CN"/>
              </w:rPr>
            </w:pPr>
            <w:r>
              <w:rPr>
                <w:rFonts w:hint="eastAsia" w:ascii="宋体" w:hAnsi="宋体" w:eastAsia="宋体" w:cs="宋体"/>
                <w:sz w:val="21"/>
                <w:szCs w:val="21"/>
                <w:lang w:eastAsia="zh-CN"/>
              </w:rPr>
              <w:t>存在以下情况的保险机构不得参加遴选：</w:t>
            </w:r>
          </w:p>
          <w:p w14:paraId="78AE24F7">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1、以联合体(共保体)形式或委托其他保险机构、中介机构代为办理的。</w:t>
            </w:r>
          </w:p>
          <w:p w14:paraId="48AA48E6">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outlineLvl w:val="9"/>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2、以销售网点、“三农”保险服务网点等非市县级分支机构申请的，区级分支机构申请市州本级及所辖区遴选的，市级及以上分支机构申请省直管县市遴选的。</w:t>
            </w:r>
          </w:p>
          <w:p w14:paraId="4E914E1F">
            <w:pPr>
              <w:pStyle w:val="6"/>
              <w:keepNext w:val="0"/>
              <w:keepLines w:val="0"/>
              <w:pageBreakBefore w:val="0"/>
              <w:widowControl/>
              <w:kinsoku/>
              <w:wordWrap/>
              <w:overflowPunct/>
              <w:topLinePunct w:val="0"/>
              <w:autoSpaceDE/>
              <w:autoSpaceDN/>
              <w:bidi w:val="0"/>
              <w:adjustRightInd/>
              <w:snapToGrid/>
              <w:spacing w:after="0" w:line="360" w:lineRule="auto"/>
              <w:ind w:firstLine="420" w:firstLineChars="200"/>
              <w:jc w:val="left"/>
              <w:textAlignment w:val="auto"/>
              <w:outlineLvl w:val="9"/>
              <w:rPr>
                <w:rFonts w:hint="eastAsia" w:ascii="宋体" w:hAnsi="宋体" w:cs="宋体"/>
                <w:color w:val="000000"/>
                <w:szCs w:val="21"/>
              </w:rPr>
            </w:pPr>
            <w:r>
              <w:rPr>
                <w:rFonts w:hint="eastAsia" w:ascii="宋体" w:hAnsi="宋体" w:eastAsia="宋体" w:cs="宋体"/>
                <w:sz w:val="21"/>
                <w:szCs w:val="21"/>
                <w:highlight w:val="none"/>
                <w:lang w:eastAsia="zh-CN"/>
              </w:rPr>
              <w:t>3、在参选地区农业保险业务违法违规被财政部门或监管部门处罚且尚在处罚期的，以及因农业保险绩效评价取消财政补贴资格期内的。</w:t>
            </w:r>
          </w:p>
        </w:tc>
      </w:tr>
      <w:tr w14:paraId="63760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2" w:type="dxa"/>
            <w:noWrap w:val="0"/>
            <w:vAlign w:val="center"/>
          </w:tcPr>
          <w:p w14:paraId="4DE30D63">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4</w:t>
            </w:r>
          </w:p>
        </w:tc>
        <w:tc>
          <w:tcPr>
            <w:tcW w:w="862" w:type="dxa"/>
            <w:noWrap w:val="0"/>
            <w:vAlign w:val="center"/>
          </w:tcPr>
          <w:p w14:paraId="2B46A6CF">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12.2</w:t>
            </w:r>
          </w:p>
        </w:tc>
        <w:tc>
          <w:tcPr>
            <w:tcW w:w="7327" w:type="dxa"/>
            <w:gridSpan w:val="2"/>
            <w:noWrap w:val="0"/>
            <w:vAlign w:val="center"/>
          </w:tcPr>
          <w:p w14:paraId="6ABCCBDB">
            <w:pPr>
              <w:widowControl/>
              <w:spacing w:line="360" w:lineRule="exact"/>
              <w:contextualSpacing/>
              <w:jc w:val="left"/>
              <w:outlineLvl w:val="9"/>
              <w:rPr>
                <w:rFonts w:hint="eastAsia" w:ascii="宋体" w:hAnsi="宋体" w:cs="宋体"/>
                <w:color w:val="000000"/>
                <w:szCs w:val="21"/>
              </w:rPr>
            </w:pPr>
            <w:r>
              <w:rPr>
                <w:rFonts w:hint="eastAsia" w:ascii="宋体" w:hAnsi="宋体" w:cs="宋体"/>
                <w:color w:val="000000"/>
                <w:szCs w:val="21"/>
              </w:rPr>
              <w:t>申请文件正本壹份、</w:t>
            </w:r>
            <w:r>
              <w:rPr>
                <w:rFonts w:hint="eastAsia" w:ascii="宋体" w:hAnsi="宋体" w:cs="宋体"/>
                <w:color w:val="auto"/>
                <w:szCs w:val="21"/>
              </w:rPr>
              <w:t>副本</w:t>
            </w:r>
            <w:r>
              <w:rPr>
                <w:rFonts w:hint="eastAsia" w:ascii="宋体" w:hAnsi="宋体" w:cs="宋体"/>
                <w:color w:val="auto"/>
                <w:szCs w:val="21"/>
                <w:u w:val="single"/>
                <w:lang w:val="en-US" w:eastAsia="zh-CN"/>
              </w:rPr>
              <w:t xml:space="preserve"> 肆  </w:t>
            </w:r>
            <w:r>
              <w:rPr>
                <w:rFonts w:hint="eastAsia" w:ascii="宋体" w:hAnsi="宋体" w:cs="宋体"/>
                <w:color w:val="auto"/>
                <w:szCs w:val="21"/>
              </w:rPr>
              <w:t>份</w:t>
            </w:r>
            <w:r>
              <w:rPr>
                <w:rFonts w:hint="eastAsia" w:ascii="宋体" w:hAnsi="宋体" w:cs="宋体"/>
                <w:color w:val="000000"/>
                <w:szCs w:val="21"/>
              </w:rPr>
              <w:t>。</w:t>
            </w:r>
          </w:p>
        </w:tc>
      </w:tr>
      <w:tr w14:paraId="73F31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2" w:hRule="atLeast"/>
        </w:trPr>
        <w:tc>
          <w:tcPr>
            <w:tcW w:w="682" w:type="dxa"/>
            <w:noWrap w:val="0"/>
            <w:vAlign w:val="center"/>
          </w:tcPr>
          <w:p w14:paraId="08F78105">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5</w:t>
            </w:r>
          </w:p>
        </w:tc>
        <w:tc>
          <w:tcPr>
            <w:tcW w:w="862" w:type="dxa"/>
            <w:noWrap w:val="0"/>
            <w:vAlign w:val="center"/>
          </w:tcPr>
          <w:p w14:paraId="133E46FB">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13</w:t>
            </w:r>
          </w:p>
        </w:tc>
        <w:tc>
          <w:tcPr>
            <w:tcW w:w="7327" w:type="dxa"/>
            <w:gridSpan w:val="2"/>
            <w:noWrap w:val="0"/>
            <w:vAlign w:val="center"/>
          </w:tcPr>
          <w:p w14:paraId="68971AD9">
            <w:pPr>
              <w:spacing w:line="360" w:lineRule="exact"/>
              <w:outlineLvl w:val="9"/>
              <w:rPr>
                <w:rFonts w:hint="eastAsia" w:ascii="宋体" w:hAnsi="宋体" w:cs="宋体"/>
                <w:color w:val="auto"/>
                <w:szCs w:val="21"/>
              </w:rPr>
            </w:pPr>
            <w:r>
              <w:rPr>
                <w:rFonts w:hint="eastAsia" w:ascii="宋体" w:hAnsi="宋体" w:cs="宋体"/>
                <w:color w:val="auto"/>
                <w:szCs w:val="21"/>
              </w:rPr>
              <w:t>申请文件的包装与密封形式为：</w:t>
            </w:r>
          </w:p>
          <w:p w14:paraId="318099A1">
            <w:pPr>
              <w:pStyle w:val="7"/>
              <w:numPr>
                <w:ilvl w:val="0"/>
                <w:numId w:val="1"/>
              </w:numPr>
              <w:spacing w:line="360" w:lineRule="exact"/>
              <w:outlineLvl w:val="9"/>
              <w:rPr>
                <w:rFonts w:hint="eastAsia" w:hAnsi="宋体" w:cs="宋体"/>
                <w:color w:val="auto"/>
              </w:rPr>
            </w:pPr>
            <w:r>
              <w:rPr>
                <w:rFonts w:hint="eastAsia" w:hAnsi="宋体" w:cs="宋体"/>
                <w:color w:val="auto"/>
              </w:rPr>
              <w:t>申请文件</w:t>
            </w:r>
            <w:r>
              <w:rPr>
                <w:rFonts w:hint="eastAsia" w:hAnsi="宋体" w:cs="宋体"/>
                <w:color w:val="auto"/>
                <w:lang w:val="sq-AL"/>
              </w:rPr>
              <w:t>密封。</w:t>
            </w:r>
            <w:r>
              <w:rPr>
                <w:rFonts w:hint="eastAsia" w:hAnsi="宋体" w:cs="宋体"/>
                <w:color w:val="auto"/>
              </w:rPr>
              <w:t>外包装上应注明:项目名称、申请单位名称并由承保机构公司负责人或授权委托人签署并加盖单位公章。</w:t>
            </w:r>
          </w:p>
          <w:p w14:paraId="3F0CF0CA">
            <w:pPr>
              <w:pStyle w:val="7"/>
              <w:numPr>
                <w:ilvl w:val="0"/>
                <w:numId w:val="1"/>
              </w:numPr>
              <w:spacing w:line="360" w:lineRule="exact"/>
              <w:outlineLvl w:val="9"/>
              <w:rPr>
                <w:rFonts w:hint="eastAsia" w:hAnsi="宋体" w:cs="宋体"/>
                <w:color w:val="auto"/>
              </w:rPr>
            </w:pPr>
            <w:r>
              <w:rPr>
                <w:rFonts w:hint="eastAsia" w:hAnsi="宋体" w:cs="宋体"/>
                <w:color w:val="auto"/>
              </w:rPr>
              <w:t>各申请人申请文件制作成电子文档（U盘）1份（文本为Word格式）,用单独的信封密封，粘在申请文件外包装上。</w:t>
            </w:r>
          </w:p>
          <w:p w14:paraId="66F8EE77">
            <w:pPr>
              <w:tabs>
                <w:tab w:val="left" w:pos="0"/>
              </w:tabs>
              <w:spacing w:line="360" w:lineRule="exact"/>
              <w:outlineLvl w:val="9"/>
              <w:rPr>
                <w:rFonts w:hint="eastAsia" w:ascii="宋体" w:hAnsi="宋体" w:cs="宋体"/>
                <w:color w:val="auto"/>
                <w:szCs w:val="21"/>
              </w:rPr>
            </w:pPr>
            <w:r>
              <w:rPr>
                <w:rFonts w:hint="eastAsia" w:ascii="宋体" w:hAnsi="宋体" w:cs="宋体"/>
                <w:color w:val="auto"/>
                <w:szCs w:val="21"/>
              </w:rPr>
              <w:t>如果申请人未按上述要求密封及制作申请文件，遴选人对申请文件不予受理。</w:t>
            </w:r>
          </w:p>
        </w:tc>
      </w:tr>
      <w:tr w14:paraId="039EF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700" w:hRule="atLeast"/>
        </w:trPr>
        <w:tc>
          <w:tcPr>
            <w:tcW w:w="682" w:type="dxa"/>
            <w:noWrap w:val="0"/>
            <w:vAlign w:val="center"/>
          </w:tcPr>
          <w:p w14:paraId="43F72676">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6</w:t>
            </w:r>
          </w:p>
        </w:tc>
        <w:tc>
          <w:tcPr>
            <w:tcW w:w="862" w:type="dxa"/>
            <w:noWrap w:val="0"/>
            <w:vAlign w:val="center"/>
          </w:tcPr>
          <w:p w14:paraId="4F01EAB2">
            <w:pPr>
              <w:spacing w:line="360" w:lineRule="exact"/>
              <w:jc w:val="center"/>
              <w:outlineLvl w:val="9"/>
              <w:rPr>
                <w:rFonts w:hint="default" w:ascii="宋体" w:hAnsi="宋体" w:eastAsia="宋体" w:cs="宋体"/>
                <w:color w:val="000000"/>
                <w:szCs w:val="21"/>
                <w:lang w:val="en-US" w:eastAsia="zh-CN"/>
              </w:rPr>
            </w:pPr>
            <w:r>
              <w:rPr>
                <w:rFonts w:hint="eastAsia" w:ascii="宋体" w:hAnsi="宋体" w:cs="宋体"/>
                <w:color w:val="000000"/>
                <w:szCs w:val="21"/>
              </w:rPr>
              <w:t>14</w:t>
            </w:r>
            <w:r>
              <w:rPr>
                <w:rFonts w:hint="eastAsia" w:ascii="宋体" w:hAnsi="宋体" w:cs="宋体"/>
                <w:color w:val="000000"/>
                <w:szCs w:val="21"/>
                <w:lang w:val="en-US" w:eastAsia="zh-CN"/>
              </w:rPr>
              <w:t>.1</w:t>
            </w:r>
          </w:p>
        </w:tc>
        <w:tc>
          <w:tcPr>
            <w:tcW w:w="7289" w:type="dxa"/>
            <w:noWrap w:val="0"/>
            <w:vAlign w:val="center"/>
          </w:tcPr>
          <w:p w14:paraId="060536C6">
            <w:pPr>
              <w:spacing w:line="360" w:lineRule="exact"/>
              <w:outlineLvl w:val="9"/>
              <w:rPr>
                <w:rFonts w:hint="eastAsia" w:ascii="宋体" w:hAnsi="宋体" w:cs="宋体"/>
                <w:color w:val="auto"/>
                <w:szCs w:val="21"/>
              </w:rPr>
            </w:pPr>
            <w:r>
              <w:rPr>
                <w:rFonts w:hint="eastAsia" w:ascii="宋体" w:hAnsi="宋体" w:cs="宋体"/>
                <w:color w:val="auto"/>
                <w:szCs w:val="21"/>
              </w:rPr>
              <w:t>申请文件递交截止时间：</w:t>
            </w:r>
            <w:r>
              <w:rPr>
                <w:rFonts w:hint="eastAsia" w:ascii="宋体" w:hAnsi="宋体" w:cs="宋体"/>
                <w:color w:val="auto"/>
                <w:highlight w:val="none"/>
                <w:u w:val="single"/>
                <w:lang w:eastAsia="zh-CN"/>
              </w:rPr>
              <w:t>2023年</w:t>
            </w:r>
            <w:r>
              <w:rPr>
                <w:rFonts w:hint="eastAsia" w:ascii="宋体" w:hAnsi="宋体" w:cs="宋体"/>
                <w:color w:val="auto"/>
                <w:highlight w:val="none"/>
                <w:u w:val="single"/>
                <w:lang w:val="en-US" w:eastAsia="zh-CN"/>
              </w:rPr>
              <w:t>1</w:t>
            </w:r>
            <w:r>
              <w:rPr>
                <w:rFonts w:hint="eastAsia" w:ascii="宋体" w:hAnsi="宋体" w:cs="宋体"/>
                <w:color w:val="auto"/>
                <w:highlight w:val="none"/>
                <w:u w:val="single"/>
              </w:rPr>
              <w:t>月</w:t>
            </w:r>
            <w:r>
              <w:rPr>
                <w:rFonts w:hint="eastAsia" w:ascii="宋体" w:hAnsi="宋体" w:cs="宋体"/>
                <w:color w:val="auto"/>
                <w:highlight w:val="none"/>
                <w:u w:val="single"/>
                <w:lang w:val="en-US" w:eastAsia="zh-CN"/>
              </w:rPr>
              <w:t>14</w:t>
            </w:r>
            <w:r>
              <w:rPr>
                <w:rFonts w:hint="eastAsia" w:ascii="宋体" w:hAnsi="宋体" w:cs="宋体"/>
                <w:color w:val="auto"/>
                <w:highlight w:val="none"/>
                <w:u w:val="single"/>
              </w:rPr>
              <w:t>日</w:t>
            </w:r>
            <w:r>
              <w:rPr>
                <w:rFonts w:hint="eastAsia" w:ascii="宋体" w:hAnsi="宋体" w:cs="宋体"/>
                <w:color w:val="auto"/>
                <w:highlight w:val="none"/>
                <w:u w:val="single"/>
                <w:lang w:val="en-US" w:eastAsia="zh-CN"/>
              </w:rPr>
              <w:t>14</w:t>
            </w:r>
            <w:r>
              <w:rPr>
                <w:rFonts w:hint="eastAsia" w:ascii="宋体" w:hAnsi="宋体" w:cs="宋体"/>
                <w:color w:val="auto"/>
                <w:highlight w:val="none"/>
                <w:u w:val="single"/>
              </w:rPr>
              <w:t>时</w:t>
            </w:r>
            <w:r>
              <w:rPr>
                <w:rFonts w:hint="eastAsia" w:ascii="宋体" w:hAnsi="宋体" w:cs="宋体"/>
                <w:color w:val="auto"/>
                <w:highlight w:val="none"/>
                <w:u w:val="single"/>
                <w:lang w:val="en-US" w:eastAsia="zh-CN"/>
              </w:rPr>
              <w:t>30</w:t>
            </w:r>
            <w:r>
              <w:rPr>
                <w:rFonts w:hint="eastAsia" w:ascii="宋体" w:hAnsi="宋体" w:cs="宋体"/>
                <w:color w:val="auto"/>
                <w:highlight w:val="none"/>
                <w:u w:val="single"/>
              </w:rPr>
              <w:t>分</w:t>
            </w:r>
            <w:r>
              <w:rPr>
                <w:rFonts w:hint="eastAsia" w:ascii="宋体" w:hAnsi="宋体" w:cs="宋体"/>
                <w:color w:val="auto"/>
                <w:szCs w:val="21"/>
                <w:highlight w:val="none"/>
              </w:rPr>
              <w:t>（</w:t>
            </w:r>
            <w:r>
              <w:rPr>
                <w:rFonts w:hint="eastAsia" w:ascii="宋体" w:hAnsi="宋体" w:cs="宋体"/>
                <w:color w:val="auto"/>
                <w:szCs w:val="21"/>
              </w:rPr>
              <w:t>北京时间）。</w:t>
            </w:r>
          </w:p>
          <w:p w14:paraId="6EDE3D1C">
            <w:pPr>
              <w:spacing w:line="360" w:lineRule="exact"/>
              <w:outlineLvl w:val="9"/>
              <w:rPr>
                <w:rFonts w:hint="eastAsia" w:ascii="宋体" w:hAnsi="宋体" w:cs="宋体"/>
                <w:color w:val="auto"/>
                <w:szCs w:val="21"/>
              </w:rPr>
            </w:pPr>
            <w:r>
              <w:rPr>
                <w:rFonts w:hint="eastAsia" w:ascii="宋体" w:hAnsi="宋体" w:cs="宋体"/>
                <w:color w:val="auto"/>
                <w:szCs w:val="21"/>
              </w:rPr>
              <w:t>申请文件递交地点：</w:t>
            </w:r>
            <w:r>
              <w:rPr>
                <w:rFonts w:hint="eastAsia" w:ascii="宋体" w:hAnsi="宋体" w:cs="宋体"/>
                <w:color w:val="auto"/>
                <w:u w:val="none"/>
                <w:lang w:val="en-US" w:eastAsia="zh-CN"/>
              </w:rPr>
              <w:t>衡阳市财政局五楼视频会议室</w:t>
            </w:r>
            <w:r>
              <w:rPr>
                <w:rFonts w:hint="eastAsia" w:ascii="宋体" w:hAnsi="宋体" w:cs="宋体"/>
                <w:color w:val="auto"/>
                <w:szCs w:val="21"/>
              </w:rPr>
              <w:t>。</w:t>
            </w:r>
          </w:p>
        </w:tc>
      </w:tr>
      <w:tr w14:paraId="4DA1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700" w:hRule="atLeast"/>
        </w:trPr>
        <w:tc>
          <w:tcPr>
            <w:tcW w:w="682" w:type="dxa"/>
            <w:noWrap w:val="0"/>
            <w:vAlign w:val="center"/>
          </w:tcPr>
          <w:p w14:paraId="3EB40015">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7</w:t>
            </w:r>
          </w:p>
        </w:tc>
        <w:tc>
          <w:tcPr>
            <w:tcW w:w="862" w:type="dxa"/>
            <w:noWrap w:val="0"/>
            <w:vAlign w:val="center"/>
          </w:tcPr>
          <w:p w14:paraId="3649437A">
            <w:pPr>
              <w:spacing w:line="360" w:lineRule="exact"/>
              <w:jc w:val="center"/>
              <w:outlineLvl w:val="9"/>
              <w:rPr>
                <w:rFonts w:hint="default" w:ascii="宋体" w:hAnsi="宋体" w:eastAsia="宋体" w:cs="宋体"/>
                <w:color w:val="000000"/>
                <w:szCs w:val="21"/>
                <w:lang w:val="en-US" w:eastAsia="zh-CN"/>
              </w:rPr>
            </w:pPr>
            <w:r>
              <w:rPr>
                <w:rFonts w:hint="eastAsia" w:ascii="宋体" w:hAnsi="宋体" w:cs="宋体"/>
                <w:color w:val="000000"/>
                <w:szCs w:val="21"/>
              </w:rPr>
              <w:t>15</w:t>
            </w:r>
            <w:r>
              <w:rPr>
                <w:rFonts w:hint="eastAsia" w:ascii="宋体" w:hAnsi="宋体" w:cs="宋体"/>
                <w:color w:val="000000"/>
                <w:szCs w:val="21"/>
                <w:lang w:val="en-US" w:eastAsia="zh-CN"/>
              </w:rPr>
              <w:t>.1</w:t>
            </w:r>
          </w:p>
        </w:tc>
        <w:tc>
          <w:tcPr>
            <w:tcW w:w="7289" w:type="dxa"/>
            <w:noWrap w:val="0"/>
            <w:vAlign w:val="center"/>
          </w:tcPr>
          <w:p w14:paraId="23C6818B">
            <w:pPr>
              <w:pStyle w:val="11"/>
              <w:spacing w:line="360" w:lineRule="exact"/>
              <w:jc w:val="both"/>
              <w:outlineLvl w:val="9"/>
              <w:rPr>
                <w:rFonts w:hint="eastAsia" w:ascii="宋体" w:hAnsi="宋体" w:eastAsia="宋体" w:cs="宋体"/>
                <w:color w:val="000000"/>
                <w:szCs w:val="24"/>
              </w:rPr>
            </w:pPr>
            <w:r>
              <w:rPr>
                <w:rFonts w:hint="eastAsia" w:ascii="宋体" w:hAnsi="宋体" w:eastAsia="宋体" w:cs="宋体"/>
                <w:color w:val="000000"/>
                <w:szCs w:val="24"/>
              </w:rPr>
              <w:t>评审委员会组成：评审委员会成</w:t>
            </w:r>
            <w:r>
              <w:rPr>
                <w:rFonts w:hint="eastAsia" w:ascii="宋体" w:hAnsi="宋体" w:eastAsia="宋体" w:cs="宋体"/>
                <w:color w:val="auto"/>
                <w:szCs w:val="24"/>
              </w:rPr>
              <w:t>员由</w:t>
            </w:r>
            <w:r>
              <w:rPr>
                <w:rFonts w:hint="eastAsia" w:ascii="宋体" w:hAnsi="宋体" w:eastAsia="宋体" w:cs="宋体"/>
                <w:color w:val="auto"/>
                <w:szCs w:val="24"/>
                <w:u w:val="single"/>
                <w:lang w:val="en-US" w:eastAsia="zh-CN"/>
              </w:rPr>
              <w:t xml:space="preserve">  5  </w:t>
            </w:r>
            <w:r>
              <w:rPr>
                <w:rFonts w:hint="eastAsia" w:ascii="宋体" w:hAnsi="宋体" w:eastAsia="宋体" w:cs="宋体"/>
                <w:color w:val="auto"/>
                <w:szCs w:val="24"/>
              </w:rPr>
              <w:t>人</w:t>
            </w:r>
            <w:r>
              <w:rPr>
                <w:rFonts w:hint="eastAsia" w:ascii="宋体" w:hAnsi="宋体" w:eastAsia="宋体" w:cs="宋体"/>
                <w:color w:val="000000"/>
                <w:szCs w:val="24"/>
              </w:rPr>
              <w:t>组成。</w:t>
            </w:r>
          </w:p>
          <w:p w14:paraId="5A2478C5">
            <w:pPr>
              <w:spacing w:line="360" w:lineRule="exact"/>
              <w:outlineLvl w:val="9"/>
              <w:rPr>
                <w:rFonts w:hint="eastAsia" w:ascii="宋体" w:hAnsi="宋体" w:eastAsia="宋体" w:cs="宋体"/>
                <w:color w:val="000000"/>
                <w:szCs w:val="21"/>
                <w:lang w:eastAsia="zh-CN"/>
              </w:rPr>
            </w:pPr>
            <w:r>
              <w:rPr>
                <w:rFonts w:hint="eastAsia" w:ascii="宋体" w:hAnsi="宋体" w:cs="宋体"/>
                <w:color w:val="000000"/>
              </w:rPr>
              <w:t>评审专家确定方式：市</w:t>
            </w:r>
            <w:r>
              <w:rPr>
                <w:rFonts w:hint="eastAsia" w:ascii="宋体" w:hAnsi="宋体" w:cs="宋体"/>
                <w:color w:val="000000"/>
                <w:lang w:eastAsia="zh-CN"/>
              </w:rPr>
              <w:t>县</w:t>
            </w:r>
            <w:r>
              <w:rPr>
                <w:rFonts w:hint="eastAsia" w:ascii="宋体" w:hAnsi="宋体" w:cs="宋体"/>
                <w:color w:val="000000"/>
              </w:rPr>
              <w:t>财政、农业农村、林业等相关职能部门专业人员中抽取</w:t>
            </w:r>
            <w:r>
              <w:rPr>
                <w:rFonts w:hint="eastAsia" w:ascii="宋体" w:hAnsi="宋体" w:cs="宋体"/>
                <w:color w:val="000000"/>
                <w:lang w:eastAsia="zh-CN"/>
              </w:rPr>
              <w:t>，其中遴选区域专家不少于1人。</w:t>
            </w:r>
          </w:p>
        </w:tc>
      </w:tr>
      <w:tr w14:paraId="4B3B5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577" w:hRule="atLeast"/>
        </w:trPr>
        <w:tc>
          <w:tcPr>
            <w:tcW w:w="682" w:type="dxa"/>
            <w:noWrap w:val="0"/>
            <w:vAlign w:val="center"/>
          </w:tcPr>
          <w:p w14:paraId="6F750FB0">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8</w:t>
            </w:r>
          </w:p>
        </w:tc>
        <w:tc>
          <w:tcPr>
            <w:tcW w:w="862" w:type="dxa"/>
            <w:noWrap w:val="0"/>
            <w:vAlign w:val="center"/>
          </w:tcPr>
          <w:p w14:paraId="64FC8339">
            <w:pPr>
              <w:pStyle w:val="11"/>
              <w:spacing w:line="360" w:lineRule="exact"/>
              <w:outlineLvl w:val="9"/>
              <w:rPr>
                <w:rFonts w:hint="eastAsia" w:ascii="宋体" w:hAnsi="宋体" w:eastAsia="宋体" w:cs="宋体"/>
                <w:color w:val="000000"/>
                <w:kern w:val="0"/>
                <w:szCs w:val="21"/>
              </w:rPr>
            </w:pPr>
            <w:r>
              <w:rPr>
                <w:rFonts w:hint="eastAsia" w:ascii="宋体" w:hAnsi="宋体" w:eastAsia="宋体" w:cs="宋体"/>
                <w:color w:val="000000"/>
                <w:kern w:val="0"/>
                <w:szCs w:val="21"/>
              </w:rPr>
              <w:t>18.3</w:t>
            </w:r>
          </w:p>
        </w:tc>
        <w:tc>
          <w:tcPr>
            <w:tcW w:w="7289" w:type="dxa"/>
            <w:noWrap w:val="0"/>
            <w:vAlign w:val="center"/>
          </w:tcPr>
          <w:p w14:paraId="58FF3D22">
            <w:pPr>
              <w:pStyle w:val="11"/>
              <w:spacing w:line="360" w:lineRule="exact"/>
              <w:jc w:val="both"/>
              <w:outlineLvl w:val="9"/>
              <w:rPr>
                <w:rFonts w:hint="eastAsia" w:ascii="宋体" w:hAnsi="宋体" w:eastAsia="宋体" w:cs="宋体"/>
                <w:color w:val="000000"/>
                <w:szCs w:val="24"/>
                <w:lang w:eastAsia="zh-CN"/>
              </w:rPr>
            </w:pPr>
            <w:r>
              <w:rPr>
                <w:rFonts w:hint="eastAsia" w:ascii="宋体" w:hAnsi="宋体" w:eastAsia="宋体" w:cs="宋体"/>
                <w:color w:val="000000"/>
                <w:szCs w:val="24"/>
              </w:rPr>
              <w:t>评审办法：</w:t>
            </w:r>
            <w:r>
              <w:rPr>
                <w:rFonts w:hint="eastAsia" w:ascii="宋体" w:hAnsi="宋体" w:eastAsia="宋体" w:cs="宋体"/>
                <w:color w:val="000000"/>
                <w:szCs w:val="24"/>
                <w:lang w:eastAsia="zh-CN"/>
              </w:rPr>
              <w:t>综合评分法</w:t>
            </w:r>
          </w:p>
        </w:tc>
      </w:tr>
      <w:tr w14:paraId="3440A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699" w:hRule="atLeast"/>
        </w:trPr>
        <w:tc>
          <w:tcPr>
            <w:tcW w:w="682" w:type="dxa"/>
            <w:noWrap w:val="0"/>
            <w:vAlign w:val="center"/>
          </w:tcPr>
          <w:p w14:paraId="325D6187">
            <w:pPr>
              <w:spacing w:line="360" w:lineRule="exact"/>
              <w:jc w:val="center"/>
              <w:outlineLvl w:val="9"/>
              <w:rPr>
                <w:rFonts w:hint="eastAsia" w:ascii="宋体" w:hAnsi="宋体" w:cs="宋体"/>
                <w:b/>
                <w:bCs/>
                <w:color w:val="000000"/>
                <w:szCs w:val="21"/>
              </w:rPr>
            </w:pPr>
            <w:r>
              <w:rPr>
                <w:rFonts w:hint="eastAsia" w:ascii="宋体" w:hAnsi="宋体" w:cs="宋体"/>
                <w:b/>
                <w:bCs/>
                <w:color w:val="000000"/>
                <w:szCs w:val="21"/>
              </w:rPr>
              <w:t>9</w:t>
            </w:r>
          </w:p>
        </w:tc>
        <w:tc>
          <w:tcPr>
            <w:tcW w:w="862" w:type="dxa"/>
            <w:noWrap w:val="0"/>
            <w:vAlign w:val="center"/>
          </w:tcPr>
          <w:p w14:paraId="5F3C3831">
            <w:pPr>
              <w:pStyle w:val="11"/>
              <w:spacing w:line="360" w:lineRule="exact"/>
              <w:outlineLvl w:val="9"/>
              <w:rPr>
                <w:rFonts w:ascii="宋体" w:hAnsi="宋体" w:eastAsia="宋体" w:cs="宋体"/>
                <w:color w:val="000000"/>
                <w:szCs w:val="21"/>
              </w:rPr>
            </w:pPr>
            <w:r>
              <w:rPr>
                <w:rFonts w:hint="eastAsia" w:ascii="宋体" w:hAnsi="宋体" w:eastAsia="宋体" w:cs="宋体"/>
                <w:color w:val="000000"/>
                <w:szCs w:val="21"/>
              </w:rPr>
              <w:t>21</w:t>
            </w:r>
          </w:p>
        </w:tc>
        <w:tc>
          <w:tcPr>
            <w:tcW w:w="7289" w:type="dxa"/>
            <w:noWrap w:val="0"/>
            <w:vAlign w:val="center"/>
          </w:tcPr>
          <w:p w14:paraId="7ED68346">
            <w:pPr>
              <w:pStyle w:val="11"/>
              <w:spacing w:line="360" w:lineRule="exact"/>
              <w:jc w:val="both"/>
              <w:outlineLvl w:val="9"/>
              <w:rPr>
                <w:rFonts w:hint="eastAsia" w:ascii="宋体" w:hAnsi="宋体" w:eastAsia="宋体" w:cs="宋体"/>
                <w:color w:val="000000"/>
                <w:szCs w:val="24"/>
              </w:rPr>
            </w:pPr>
            <w:r>
              <w:rPr>
                <w:rFonts w:hint="eastAsia" w:ascii="宋体" w:hAnsi="宋体" w:eastAsia="宋体" w:cs="宋体"/>
                <w:color w:val="000000"/>
                <w:szCs w:val="21"/>
              </w:rPr>
              <w:t>代理服务费由遴选人支付，支付标准：按签定的代理协议执行。</w:t>
            </w:r>
          </w:p>
        </w:tc>
      </w:tr>
    </w:tbl>
    <w:p w14:paraId="37B2BDB9">
      <w:pPr>
        <w:autoSpaceDE w:val="0"/>
        <w:autoSpaceDN w:val="0"/>
        <w:adjustRightInd w:val="0"/>
        <w:spacing w:before="156" w:beforeLines="50" w:line="400" w:lineRule="exact"/>
        <w:jc w:val="center"/>
        <w:outlineLvl w:val="9"/>
        <w:rPr>
          <w:rFonts w:hint="eastAsia" w:ascii="宋体" w:hAnsi="宋体" w:cs="宋体"/>
          <w:b/>
          <w:bCs/>
          <w:color w:val="000000"/>
          <w:sz w:val="32"/>
          <w:szCs w:val="32"/>
        </w:rPr>
      </w:pPr>
    </w:p>
    <w:p w14:paraId="75A5B34A">
      <w:pPr>
        <w:autoSpaceDE w:val="0"/>
        <w:autoSpaceDN w:val="0"/>
        <w:adjustRightInd w:val="0"/>
        <w:spacing w:before="156" w:beforeLines="50" w:line="400" w:lineRule="exact"/>
        <w:jc w:val="center"/>
        <w:outlineLvl w:val="1"/>
        <w:rPr>
          <w:rFonts w:hint="eastAsia" w:ascii="宋体" w:hAnsi="宋体" w:cs="宋体"/>
          <w:b/>
          <w:bCs/>
          <w:color w:val="000000"/>
          <w:sz w:val="32"/>
          <w:szCs w:val="32"/>
        </w:rPr>
      </w:pPr>
      <w:r>
        <w:rPr>
          <w:rFonts w:hint="eastAsia" w:ascii="宋体" w:hAnsi="宋体" w:cs="宋体"/>
          <w:b/>
          <w:bCs/>
          <w:color w:val="000000"/>
          <w:sz w:val="32"/>
          <w:szCs w:val="32"/>
        </w:rPr>
        <w:br w:type="page"/>
      </w:r>
      <w:bookmarkStart w:id="26" w:name="_Toc5541"/>
      <w:r>
        <w:rPr>
          <w:rFonts w:hint="eastAsia" w:ascii="宋体" w:hAnsi="宋体" w:cs="宋体"/>
          <w:b/>
          <w:bCs/>
          <w:color w:val="000000"/>
          <w:sz w:val="32"/>
          <w:szCs w:val="32"/>
        </w:rPr>
        <w:t>一、总则</w:t>
      </w:r>
      <w:bookmarkEnd w:id="26"/>
    </w:p>
    <w:p w14:paraId="5DC2E521">
      <w:pPr>
        <w:spacing w:line="420" w:lineRule="exact"/>
        <w:ind w:firstLine="482" w:firstLineChars="200"/>
        <w:outlineLvl w:val="9"/>
        <w:rPr>
          <w:rFonts w:hint="eastAsia" w:ascii="宋体" w:hAnsi="宋体" w:cs="宋体"/>
          <w:b/>
          <w:bCs/>
          <w:color w:val="000000"/>
          <w:sz w:val="24"/>
        </w:rPr>
      </w:pPr>
    </w:p>
    <w:p w14:paraId="67537E16">
      <w:pPr>
        <w:spacing w:line="420" w:lineRule="exact"/>
        <w:outlineLvl w:val="9"/>
        <w:rPr>
          <w:rFonts w:hint="eastAsia" w:ascii="宋体" w:hAnsi="宋体" w:cs="宋体"/>
          <w:b/>
          <w:bCs/>
          <w:color w:val="000000"/>
          <w:sz w:val="24"/>
        </w:rPr>
      </w:pPr>
      <w:r>
        <w:rPr>
          <w:rFonts w:hint="eastAsia" w:ascii="宋体" w:hAnsi="宋体" w:cs="宋体"/>
          <w:b/>
          <w:bCs/>
          <w:color w:val="000000"/>
          <w:sz w:val="24"/>
        </w:rPr>
        <w:t>1．适用范围</w:t>
      </w:r>
    </w:p>
    <w:p w14:paraId="058A1361">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1.1本遴选文件仅适用于本次遴选公告中所述项目。</w:t>
      </w:r>
    </w:p>
    <w:p w14:paraId="3B2904B4">
      <w:pPr>
        <w:spacing w:line="420" w:lineRule="exact"/>
        <w:outlineLvl w:val="9"/>
        <w:rPr>
          <w:rFonts w:hint="eastAsia" w:ascii="宋体" w:hAnsi="宋体" w:cs="宋体"/>
          <w:b/>
          <w:bCs/>
          <w:color w:val="000000"/>
          <w:sz w:val="24"/>
        </w:rPr>
      </w:pPr>
      <w:r>
        <w:rPr>
          <w:rFonts w:hint="eastAsia" w:ascii="宋体" w:hAnsi="宋体" w:cs="宋体"/>
          <w:b/>
          <w:bCs/>
          <w:color w:val="000000"/>
          <w:sz w:val="24"/>
        </w:rPr>
        <w:t>2．定义</w:t>
      </w:r>
    </w:p>
    <w:p w14:paraId="32AB3ABB">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2.1“遴选人”：</w:t>
      </w:r>
      <w:r>
        <w:rPr>
          <w:rFonts w:hint="eastAsia" w:ascii="宋体" w:hAnsi="宋体" w:cs="宋体"/>
          <w:color w:val="000000"/>
          <w:szCs w:val="21"/>
          <w:lang w:eastAsia="zh-CN"/>
        </w:rPr>
        <w:t>衡阳市财政局</w:t>
      </w:r>
      <w:r>
        <w:rPr>
          <w:rFonts w:hint="eastAsia" w:ascii="宋体" w:hAnsi="宋体" w:cs="宋体"/>
          <w:color w:val="000000"/>
          <w:szCs w:val="21"/>
        </w:rPr>
        <w:t xml:space="preserve">   </w:t>
      </w:r>
    </w:p>
    <w:p w14:paraId="676A055D">
      <w:pPr>
        <w:spacing w:line="420" w:lineRule="exact"/>
        <w:ind w:firstLine="420" w:firstLineChars="200"/>
        <w:outlineLvl w:val="9"/>
        <w:rPr>
          <w:rFonts w:hint="eastAsia" w:ascii="宋体" w:hAnsi="宋体" w:eastAsia="宋体" w:cs="宋体"/>
          <w:color w:val="000000"/>
          <w:szCs w:val="21"/>
          <w:lang w:eastAsia="zh-CN"/>
        </w:rPr>
      </w:pPr>
      <w:r>
        <w:rPr>
          <w:rFonts w:hint="eastAsia" w:ascii="宋体" w:hAnsi="宋体" w:cs="宋体"/>
          <w:color w:val="000000"/>
          <w:szCs w:val="21"/>
        </w:rPr>
        <w:t>2.2“代理机构”：</w:t>
      </w:r>
      <w:r>
        <w:rPr>
          <w:rFonts w:hint="eastAsia" w:ascii="宋体" w:hAnsi="宋体" w:cs="宋体"/>
          <w:color w:val="000000"/>
          <w:szCs w:val="21"/>
          <w:lang w:eastAsia="zh-CN"/>
        </w:rPr>
        <w:t>湖南中泰项目管理有限公司</w:t>
      </w:r>
    </w:p>
    <w:p w14:paraId="0DCED200">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2.3“申请人”：指向遴选人提交申请文件的保险承保公司</w:t>
      </w:r>
    </w:p>
    <w:p w14:paraId="5E20CAD5">
      <w:pPr>
        <w:spacing w:line="420" w:lineRule="exact"/>
        <w:outlineLvl w:val="9"/>
        <w:rPr>
          <w:rFonts w:hint="eastAsia" w:ascii="宋体" w:hAnsi="宋体" w:cs="宋体"/>
          <w:b/>
          <w:bCs/>
          <w:color w:val="000000"/>
          <w:sz w:val="24"/>
          <w:vertAlign w:val="superscript"/>
        </w:rPr>
      </w:pPr>
      <w:r>
        <w:rPr>
          <w:rFonts w:hint="eastAsia" w:ascii="宋体" w:hAnsi="宋体" w:cs="宋体"/>
          <w:b/>
          <w:bCs/>
          <w:color w:val="000000"/>
          <w:sz w:val="24"/>
        </w:rPr>
        <w:t>3．项目概况</w:t>
      </w:r>
    </w:p>
    <w:p w14:paraId="2DD545DA">
      <w:pPr>
        <w:pStyle w:val="6"/>
        <w:widowControl/>
        <w:spacing w:after="0" w:line="440" w:lineRule="exact"/>
        <w:ind w:firstLine="420" w:firstLineChars="200"/>
        <w:jc w:val="left"/>
        <w:outlineLvl w:val="9"/>
        <w:rPr>
          <w:rFonts w:hint="eastAsia" w:ascii="宋体" w:hAnsi="宋体" w:cs="宋体"/>
          <w:szCs w:val="21"/>
          <w:lang w:val="en-US" w:eastAsia="zh-CN"/>
        </w:rPr>
      </w:pPr>
      <w:r>
        <w:rPr>
          <w:rFonts w:hint="eastAsia" w:ascii="宋体" w:hAnsi="宋体" w:cs="宋体"/>
          <w:color w:val="000000"/>
          <w:szCs w:val="21"/>
        </w:rPr>
        <w:t>3.1代理编号：</w:t>
      </w:r>
      <w:r>
        <w:rPr>
          <w:rFonts w:hint="eastAsia" w:ascii="宋体" w:hAnsi="宋体" w:cs="宋体"/>
          <w:szCs w:val="21"/>
          <w:lang w:val="en-US" w:eastAsia="zh-CN"/>
        </w:rPr>
        <w:t>ZTHY2022-140</w:t>
      </w:r>
    </w:p>
    <w:p w14:paraId="67D13C0C">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3.2项目名称：详见申请人须知前附表</w:t>
      </w:r>
    </w:p>
    <w:p w14:paraId="55C399B0">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3.3服务地点：详见申请人须知前附表</w:t>
      </w:r>
    </w:p>
    <w:p w14:paraId="5DA145B3">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3.4分包情况：详见申请人须知前附表</w:t>
      </w:r>
    </w:p>
    <w:p w14:paraId="02A09CAB">
      <w:pPr>
        <w:spacing w:line="420" w:lineRule="exact"/>
        <w:outlineLvl w:val="9"/>
        <w:rPr>
          <w:rFonts w:hint="eastAsia" w:ascii="宋体" w:hAnsi="宋体" w:cs="宋体"/>
          <w:b/>
          <w:bCs/>
          <w:color w:val="000000"/>
          <w:sz w:val="24"/>
        </w:rPr>
      </w:pPr>
      <w:r>
        <w:rPr>
          <w:rFonts w:hint="eastAsia" w:ascii="宋体" w:hAnsi="宋体" w:cs="宋体"/>
          <w:b/>
          <w:bCs/>
          <w:color w:val="000000"/>
          <w:sz w:val="24"/>
        </w:rPr>
        <w:t>4．申请人资格和应提供的资质文件</w:t>
      </w:r>
    </w:p>
    <w:p w14:paraId="7B23157E">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4.1申请人资格要求按申请人须知前附表</w:t>
      </w:r>
    </w:p>
    <w:p w14:paraId="69E7491C">
      <w:pPr>
        <w:spacing w:line="400" w:lineRule="exact"/>
        <w:outlineLvl w:val="9"/>
        <w:rPr>
          <w:rFonts w:hint="eastAsia" w:ascii="宋体" w:hAnsi="宋体" w:cs="宋体"/>
          <w:b/>
          <w:bCs/>
          <w:color w:val="000000"/>
          <w:sz w:val="24"/>
        </w:rPr>
      </w:pPr>
      <w:r>
        <w:rPr>
          <w:rFonts w:hint="eastAsia" w:ascii="宋体" w:hAnsi="宋体" w:cs="宋体"/>
          <w:b/>
          <w:bCs/>
          <w:color w:val="000000"/>
          <w:sz w:val="24"/>
        </w:rPr>
        <w:t>5．参与遴选费用</w:t>
      </w:r>
    </w:p>
    <w:p w14:paraId="108E0A7C">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5.1申请人应自行承担所有参与遴选的相关费用，不论结果如何，遴选人或者代理机构均无义务和责任承担这些费用。</w:t>
      </w:r>
    </w:p>
    <w:p w14:paraId="40CDA8B5">
      <w:pPr>
        <w:spacing w:line="400" w:lineRule="exact"/>
        <w:outlineLvl w:val="9"/>
        <w:rPr>
          <w:rFonts w:hint="eastAsia" w:ascii="宋体" w:hAnsi="宋体" w:cs="宋体"/>
          <w:b/>
          <w:bCs/>
          <w:color w:val="000000"/>
          <w:sz w:val="24"/>
        </w:rPr>
      </w:pPr>
      <w:r>
        <w:rPr>
          <w:rFonts w:hint="eastAsia" w:ascii="宋体" w:hAnsi="宋体" w:cs="宋体"/>
          <w:b/>
          <w:bCs/>
          <w:color w:val="000000"/>
          <w:sz w:val="24"/>
        </w:rPr>
        <w:t>6．授权委托</w:t>
      </w:r>
    </w:p>
    <w:p w14:paraId="4FE18CC3">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6.1申请人代表不是申请人的承保机构公司负责人，应具备授权委托书，并附承保机构公司负责人身份证明。</w:t>
      </w:r>
    </w:p>
    <w:p w14:paraId="5E80B140">
      <w:pPr>
        <w:autoSpaceDE w:val="0"/>
        <w:autoSpaceDN w:val="0"/>
        <w:adjustRightInd w:val="0"/>
        <w:spacing w:line="400" w:lineRule="exact"/>
        <w:jc w:val="center"/>
        <w:outlineLvl w:val="9"/>
        <w:rPr>
          <w:rFonts w:hint="eastAsia" w:ascii="宋体" w:hAnsi="宋体" w:cs="宋体"/>
          <w:b/>
          <w:bCs/>
          <w:color w:val="000000"/>
          <w:sz w:val="32"/>
          <w:szCs w:val="32"/>
        </w:rPr>
      </w:pPr>
      <w:bookmarkStart w:id="27" w:name="_Toc160801771"/>
    </w:p>
    <w:p w14:paraId="79CB249C">
      <w:pPr>
        <w:autoSpaceDE w:val="0"/>
        <w:autoSpaceDN w:val="0"/>
        <w:adjustRightInd w:val="0"/>
        <w:spacing w:before="156" w:beforeLines="50" w:line="400" w:lineRule="exact"/>
        <w:jc w:val="center"/>
        <w:outlineLvl w:val="1"/>
        <w:rPr>
          <w:rFonts w:hint="eastAsia" w:ascii="宋体" w:hAnsi="宋体" w:cs="宋体"/>
          <w:b/>
          <w:bCs/>
          <w:color w:val="000000"/>
          <w:sz w:val="32"/>
          <w:szCs w:val="32"/>
        </w:rPr>
      </w:pPr>
      <w:bookmarkStart w:id="28" w:name="_Toc13961"/>
      <w:r>
        <w:rPr>
          <w:rFonts w:hint="eastAsia" w:ascii="宋体" w:hAnsi="宋体" w:cs="宋体"/>
          <w:b/>
          <w:bCs/>
          <w:color w:val="000000"/>
          <w:sz w:val="32"/>
          <w:szCs w:val="32"/>
        </w:rPr>
        <w:t>二、</w:t>
      </w:r>
      <w:bookmarkEnd w:id="27"/>
      <w:r>
        <w:rPr>
          <w:rFonts w:hint="eastAsia" w:ascii="宋体" w:hAnsi="宋体" w:cs="宋体"/>
          <w:b/>
          <w:bCs/>
          <w:color w:val="000000"/>
          <w:sz w:val="32"/>
          <w:szCs w:val="32"/>
        </w:rPr>
        <w:t>遴选文件</w:t>
      </w:r>
      <w:bookmarkEnd w:id="28"/>
    </w:p>
    <w:p w14:paraId="4E677F71">
      <w:pPr>
        <w:spacing w:line="420" w:lineRule="exact"/>
        <w:outlineLvl w:val="9"/>
        <w:rPr>
          <w:rFonts w:hint="eastAsia" w:ascii="宋体" w:hAnsi="宋体" w:cs="宋体"/>
          <w:b/>
          <w:bCs/>
          <w:color w:val="000000"/>
          <w:sz w:val="24"/>
        </w:rPr>
      </w:pPr>
      <w:r>
        <w:rPr>
          <w:rFonts w:hint="eastAsia" w:ascii="宋体" w:hAnsi="宋体" w:cs="宋体"/>
          <w:b/>
          <w:bCs/>
          <w:color w:val="000000"/>
          <w:sz w:val="24"/>
        </w:rPr>
        <w:t>7．遴选文件的组成</w:t>
      </w:r>
    </w:p>
    <w:p w14:paraId="3004CE14">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7.1本遴选文件包括遴选公</w:t>
      </w:r>
      <w:r>
        <w:rPr>
          <w:rFonts w:hint="eastAsia" w:ascii="宋体" w:hAnsi="宋体" w:cs="宋体"/>
          <w:color w:val="000000"/>
          <w:szCs w:val="21"/>
          <w:lang w:eastAsia="zh-CN"/>
        </w:rPr>
        <w:t>告</w:t>
      </w:r>
      <w:r>
        <w:rPr>
          <w:rFonts w:hint="eastAsia" w:ascii="宋体" w:hAnsi="宋体" w:cs="宋体"/>
          <w:color w:val="000000"/>
          <w:szCs w:val="21"/>
        </w:rPr>
        <w:t>、申请人须知、合同条款、申请文件组成、</w:t>
      </w:r>
      <w:r>
        <w:rPr>
          <w:rFonts w:hint="eastAsia" w:ascii="宋体" w:hAnsi="宋体" w:eastAsia="宋体" w:cs="宋体"/>
          <w:color w:val="000000"/>
        </w:rPr>
        <w:t>评审方法及标准</w:t>
      </w:r>
      <w:r>
        <w:rPr>
          <w:rFonts w:hint="eastAsia" w:ascii="宋体" w:hAnsi="宋体" w:cs="宋体"/>
          <w:color w:val="000000"/>
          <w:szCs w:val="21"/>
        </w:rPr>
        <w:t>，以及所有发出的补充资料。</w:t>
      </w:r>
    </w:p>
    <w:p w14:paraId="0E5C0B28">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7.2申请人应认真阅读遴选文件中所有的要求。如果申请人的申请文件不能符合遴选文件的要求，由此而引起的责任由申请人自行负责。实质上不响应遴选文件要求的申请文件将被拒绝。</w:t>
      </w:r>
    </w:p>
    <w:p w14:paraId="0B44F02C">
      <w:pPr>
        <w:spacing w:line="420" w:lineRule="exact"/>
        <w:outlineLvl w:val="9"/>
        <w:rPr>
          <w:rFonts w:hint="eastAsia" w:ascii="宋体" w:hAnsi="宋体" w:cs="宋体"/>
          <w:b/>
          <w:bCs/>
          <w:color w:val="000000"/>
          <w:sz w:val="24"/>
        </w:rPr>
      </w:pPr>
      <w:r>
        <w:rPr>
          <w:rFonts w:hint="eastAsia" w:ascii="宋体" w:hAnsi="宋体" w:cs="宋体"/>
          <w:b/>
          <w:bCs/>
          <w:color w:val="000000"/>
          <w:sz w:val="24"/>
        </w:rPr>
        <w:t>8．遴选文件的澄清</w:t>
      </w:r>
    </w:p>
    <w:p w14:paraId="32FDDB38">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8.1申请人在接到遴选文件后，若有问题需澄清，应于收到遴选文件</w:t>
      </w:r>
      <w:r>
        <w:rPr>
          <w:rFonts w:hint="eastAsia" w:ascii="宋体" w:hAnsi="宋体" w:cs="宋体"/>
          <w:color w:val="000000"/>
          <w:szCs w:val="21"/>
          <w:lang w:val="en-US" w:eastAsia="zh-CN"/>
        </w:rPr>
        <w:t>1</w:t>
      </w:r>
      <w:r>
        <w:rPr>
          <w:rFonts w:hint="eastAsia" w:ascii="宋体" w:hAnsi="宋体" w:cs="宋体"/>
          <w:color w:val="000000"/>
          <w:szCs w:val="21"/>
        </w:rPr>
        <w:t>日内以书面形式加盖单位公章递交到代理机构，遴选人将在文件递交截止时间</w:t>
      </w:r>
      <w:r>
        <w:rPr>
          <w:rFonts w:hint="eastAsia" w:ascii="宋体" w:hAnsi="宋体" w:cs="宋体"/>
          <w:color w:val="000000"/>
          <w:szCs w:val="21"/>
          <w:lang w:val="en-US" w:eastAsia="zh-CN"/>
        </w:rPr>
        <w:t>1</w:t>
      </w:r>
      <w:r>
        <w:rPr>
          <w:rFonts w:hint="eastAsia" w:ascii="宋体" w:hAnsi="宋体" w:cs="宋体"/>
          <w:color w:val="000000"/>
          <w:szCs w:val="21"/>
        </w:rPr>
        <w:t>日前统一答复，答复内容以书面形式发放给各申请人，若答疑或修改内容影响申请文件编制，则顺延申请文件递交截止时间。</w:t>
      </w:r>
    </w:p>
    <w:p w14:paraId="3FA7457D">
      <w:pPr>
        <w:spacing w:line="420" w:lineRule="exact"/>
        <w:outlineLvl w:val="9"/>
        <w:rPr>
          <w:rFonts w:hint="eastAsia" w:ascii="宋体" w:hAnsi="宋体" w:cs="宋体"/>
          <w:b/>
          <w:bCs/>
          <w:color w:val="000000"/>
          <w:sz w:val="24"/>
        </w:rPr>
      </w:pPr>
      <w:r>
        <w:rPr>
          <w:rFonts w:hint="eastAsia" w:ascii="宋体" w:hAnsi="宋体" w:cs="宋体"/>
          <w:b/>
          <w:bCs/>
          <w:color w:val="000000"/>
          <w:sz w:val="24"/>
        </w:rPr>
        <w:t>9．遴选文件的修改</w:t>
      </w:r>
    </w:p>
    <w:p w14:paraId="6D5D0FB7">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9.1在评审开始之日前，遴选人可能以补充通知的方式修改遴选文件。</w:t>
      </w:r>
    </w:p>
    <w:p w14:paraId="0371011A">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9.2补充通知将以书面形式发给所有获得同一遴选文件的申请人，补充通知作为遴选文件的组成部分，对申请人起约束作用。</w:t>
      </w:r>
    </w:p>
    <w:p w14:paraId="4D2D3511">
      <w:pPr>
        <w:autoSpaceDE w:val="0"/>
        <w:autoSpaceDN w:val="0"/>
        <w:adjustRightInd w:val="0"/>
        <w:spacing w:line="400" w:lineRule="exact"/>
        <w:jc w:val="center"/>
        <w:outlineLvl w:val="9"/>
        <w:rPr>
          <w:rFonts w:hint="eastAsia" w:ascii="宋体" w:hAnsi="宋体" w:cs="宋体"/>
          <w:b/>
          <w:bCs/>
          <w:color w:val="000000"/>
          <w:sz w:val="32"/>
          <w:szCs w:val="32"/>
        </w:rPr>
      </w:pPr>
      <w:bookmarkStart w:id="29" w:name="_Hlt25763504"/>
      <w:bookmarkEnd w:id="29"/>
      <w:bookmarkStart w:id="30" w:name="_Hlt25763531"/>
      <w:bookmarkEnd w:id="30"/>
      <w:bookmarkStart w:id="31" w:name="_Toc160801772"/>
    </w:p>
    <w:p w14:paraId="5B4488D6">
      <w:pPr>
        <w:autoSpaceDE w:val="0"/>
        <w:autoSpaceDN w:val="0"/>
        <w:adjustRightInd w:val="0"/>
        <w:spacing w:before="156" w:beforeLines="50" w:line="400" w:lineRule="exact"/>
        <w:jc w:val="center"/>
        <w:outlineLvl w:val="1"/>
        <w:rPr>
          <w:rFonts w:hint="eastAsia" w:ascii="宋体" w:hAnsi="宋体" w:cs="宋体"/>
          <w:b/>
          <w:bCs/>
          <w:color w:val="000000"/>
          <w:sz w:val="32"/>
          <w:szCs w:val="32"/>
        </w:rPr>
      </w:pPr>
      <w:bookmarkStart w:id="32" w:name="_Toc11139"/>
      <w:r>
        <w:rPr>
          <w:rFonts w:hint="eastAsia" w:ascii="宋体" w:hAnsi="宋体" w:cs="宋体"/>
          <w:b/>
          <w:bCs/>
          <w:color w:val="000000"/>
          <w:sz w:val="32"/>
          <w:szCs w:val="32"/>
        </w:rPr>
        <w:t>三、申请文件的编制</w:t>
      </w:r>
      <w:bookmarkEnd w:id="31"/>
      <w:bookmarkEnd w:id="32"/>
    </w:p>
    <w:p w14:paraId="21D6DBDC">
      <w:pPr>
        <w:spacing w:line="420" w:lineRule="exact"/>
        <w:outlineLvl w:val="9"/>
        <w:rPr>
          <w:rFonts w:hint="eastAsia" w:ascii="宋体" w:hAnsi="宋体" w:cs="宋体"/>
          <w:b/>
          <w:bCs/>
          <w:color w:val="000000"/>
          <w:sz w:val="24"/>
        </w:rPr>
      </w:pPr>
      <w:r>
        <w:rPr>
          <w:rFonts w:hint="eastAsia" w:ascii="宋体" w:hAnsi="宋体" w:cs="宋体"/>
          <w:b/>
          <w:bCs/>
          <w:color w:val="000000"/>
          <w:sz w:val="24"/>
        </w:rPr>
        <w:t>10．申请文件的语言</w:t>
      </w:r>
    </w:p>
    <w:p w14:paraId="1325DD7F">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10.1申请人与遴选人之间的与遴选有关的来往通知、函件、资料和申请文件均使用中文。</w:t>
      </w:r>
    </w:p>
    <w:p w14:paraId="31649372">
      <w:pPr>
        <w:pStyle w:val="7"/>
        <w:spacing w:line="420" w:lineRule="exact"/>
        <w:outlineLvl w:val="9"/>
        <w:rPr>
          <w:rFonts w:hint="eastAsia" w:hAnsi="宋体" w:cs="宋体"/>
          <w:b/>
          <w:bCs/>
          <w:color w:val="000000"/>
          <w:sz w:val="24"/>
        </w:rPr>
      </w:pPr>
      <w:r>
        <w:rPr>
          <w:rFonts w:hint="eastAsia" w:hAnsi="宋体" w:cs="宋体"/>
          <w:b/>
          <w:bCs/>
          <w:color w:val="000000"/>
          <w:sz w:val="24"/>
        </w:rPr>
        <w:t>11. 申请文件的组成</w:t>
      </w:r>
    </w:p>
    <w:p w14:paraId="1C2CC857">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11.1 申请文件应包括下列内容：</w:t>
      </w:r>
    </w:p>
    <w:p w14:paraId="727DBB3C">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（1）申请函</w:t>
      </w:r>
    </w:p>
    <w:p w14:paraId="5959C17B">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（2）承保机构公司负责人资格证明书</w:t>
      </w:r>
    </w:p>
    <w:p w14:paraId="5C8AECD6">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（3）承保机构公司负责人授权委托书</w:t>
      </w:r>
    </w:p>
    <w:p w14:paraId="76527CF7">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（4）申请人基本情况表</w:t>
      </w:r>
    </w:p>
    <w:p w14:paraId="0F872220">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（5）遴选文件中要求的资格条件证明材料</w:t>
      </w:r>
    </w:p>
    <w:p w14:paraId="2775A4FA">
      <w:pPr>
        <w:spacing w:line="420" w:lineRule="exact"/>
        <w:ind w:firstLine="420" w:firstLineChars="200"/>
        <w:outlineLvl w:val="9"/>
        <w:rPr>
          <w:rFonts w:hint="eastAsia" w:ascii="宋体" w:hAnsi="宋体" w:eastAsia="宋体" w:cs="宋体"/>
          <w:color w:val="000000"/>
          <w:szCs w:val="21"/>
          <w:lang w:eastAsia="zh-CN"/>
        </w:rPr>
      </w:pPr>
      <w:r>
        <w:rPr>
          <w:rFonts w:hint="eastAsia" w:ascii="宋体" w:hAnsi="宋体" w:cs="宋体"/>
          <w:color w:val="000000"/>
          <w:szCs w:val="21"/>
        </w:rPr>
        <w:t>（6）</w:t>
      </w:r>
      <w:r>
        <w:rPr>
          <w:rFonts w:hint="eastAsia" w:ascii="宋体" w:hAnsi="宋体" w:eastAsia="宋体" w:cs="宋体"/>
          <w:color w:val="000000"/>
          <w:sz w:val="21"/>
          <w:szCs w:val="21"/>
        </w:rPr>
        <w:t>服务能力</w:t>
      </w:r>
      <w:r>
        <w:rPr>
          <w:rFonts w:hint="eastAsia" w:ascii="宋体" w:hAnsi="宋体" w:eastAsia="宋体" w:cs="宋体"/>
          <w:color w:val="000000"/>
          <w:sz w:val="21"/>
          <w:szCs w:val="21"/>
          <w:lang w:eastAsia="zh-CN"/>
        </w:rPr>
        <w:t>证明材料</w:t>
      </w:r>
    </w:p>
    <w:p w14:paraId="370074C6">
      <w:pPr>
        <w:spacing w:line="420" w:lineRule="exact"/>
        <w:ind w:firstLine="420" w:firstLineChars="200"/>
        <w:outlineLvl w:val="9"/>
        <w:rPr>
          <w:rFonts w:hint="eastAsia" w:ascii="宋体" w:hAnsi="宋体" w:eastAsia="宋体" w:cs="宋体"/>
          <w:color w:val="000000"/>
          <w:szCs w:val="21"/>
          <w:lang w:eastAsia="zh-CN"/>
        </w:rPr>
      </w:pPr>
      <w:r>
        <w:rPr>
          <w:rFonts w:hint="eastAsia" w:ascii="宋体" w:hAnsi="宋体" w:cs="宋体"/>
          <w:color w:val="000000"/>
          <w:szCs w:val="21"/>
        </w:rPr>
        <w:t>（7）</w:t>
      </w:r>
      <w:r>
        <w:rPr>
          <w:rFonts w:hint="eastAsia" w:ascii="宋体" w:hAnsi="宋体" w:eastAsia="宋体" w:cs="宋体"/>
          <w:color w:val="000000"/>
          <w:sz w:val="21"/>
          <w:szCs w:val="21"/>
        </w:rPr>
        <w:t>服务业绩</w:t>
      </w:r>
      <w:r>
        <w:rPr>
          <w:rFonts w:hint="eastAsia" w:ascii="宋体" w:hAnsi="宋体" w:eastAsia="宋体" w:cs="宋体"/>
          <w:color w:val="000000"/>
          <w:sz w:val="21"/>
          <w:szCs w:val="21"/>
          <w:lang w:eastAsia="zh-CN"/>
        </w:rPr>
        <w:t>证明材料</w:t>
      </w:r>
    </w:p>
    <w:p w14:paraId="49030774">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（8）</w:t>
      </w:r>
      <w:r>
        <w:rPr>
          <w:rFonts w:hint="eastAsia" w:ascii="宋体" w:hAnsi="宋体" w:eastAsia="宋体" w:cs="宋体"/>
          <w:color w:val="000000"/>
          <w:sz w:val="21"/>
          <w:szCs w:val="21"/>
          <w:lang w:eastAsia="zh-CN"/>
        </w:rPr>
        <w:t>合规经营及风险管控能力证明材料</w:t>
      </w:r>
    </w:p>
    <w:p w14:paraId="0CC60898">
      <w:pPr>
        <w:spacing w:line="420" w:lineRule="exact"/>
        <w:ind w:firstLine="420" w:firstLineChars="200"/>
        <w:outlineLvl w:val="9"/>
        <w:rPr>
          <w:rFonts w:hint="eastAsia" w:ascii="宋体" w:hAnsi="宋体" w:cs="宋体"/>
          <w:color w:val="000000"/>
          <w:szCs w:val="21"/>
          <w:highlight w:val="none"/>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w:t>
      </w:r>
      <w:r>
        <w:rPr>
          <w:rFonts w:hint="eastAsia" w:ascii="宋体" w:hAnsi="宋体" w:cs="宋体"/>
          <w:color w:val="000000"/>
          <w:sz w:val="21"/>
          <w:szCs w:val="21"/>
          <w:highlight w:val="none"/>
          <w:lang w:eastAsia="zh-CN"/>
        </w:rPr>
        <w:t>县级指标证明材料</w:t>
      </w:r>
    </w:p>
    <w:p w14:paraId="2316967E">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w:t>
      </w:r>
      <w:r>
        <w:rPr>
          <w:rFonts w:hint="eastAsia" w:ascii="宋体" w:hAnsi="宋体" w:cs="宋体"/>
          <w:color w:val="000000"/>
          <w:szCs w:val="21"/>
          <w:lang w:val="en-US" w:eastAsia="zh-CN"/>
        </w:rPr>
        <w:t>10</w:t>
      </w:r>
      <w:r>
        <w:rPr>
          <w:rFonts w:hint="eastAsia" w:ascii="宋体" w:hAnsi="宋体" w:cs="宋体"/>
          <w:color w:val="000000"/>
          <w:szCs w:val="21"/>
        </w:rPr>
        <w:t>）承诺函</w:t>
      </w:r>
    </w:p>
    <w:p w14:paraId="469A147D">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lang w:val="en-US" w:eastAsia="zh-CN"/>
        </w:rPr>
        <w:t>1</w:t>
      </w:r>
      <w:r>
        <w:rPr>
          <w:rFonts w:hint="eastAsia" w:ascii="宋体" w:hAnsi="宋体" w:cs="宋体"/>
          <w:color w:val="000000"/>
          <w:szCs w:val="21"/>
        </w:rPr>
        <w:t>）其他资料</w:t>
      </w:r>
    </w:p>
    <w:p w14:paraId="04F970BC">
      <w:pPr>
        <w:pStyle w:val="7"/>
        <w:spacing w:line="420" w:lineRule="exact"/>
        <w:outlineLvl w:val="9"/>
        <w:rPr>
          <w:rFonts w:hint="eastAsia" w:hAnsi="宋体" w:cs="宋体"/>
          <w:b/>
          <w:bCs/>
          <w:color w:val="000000"/>
          <w:sz w:val="24"/>
        </w:rPr>
      </w:pPr>
      <w:r>
        <w:rPr>
          <w:rFonts w:hint="eastAsia" w:hAnsi="宋体" w:cs="宋体"/>
          <w:b/>
          <w:bCs/>
          <w:color w:val="000000"/>
          <w:sz w:val="24"/>
        </w:rPr>
        <w:t>12、申请文件的份数和签署</w:t>
      </w:r>
    </w:p>
    <w:p w14:paraId="4505E341">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12.1 申请人在编制申请文件时，封面应注明项目名称、申请人名称、编制年月，由承保机构公司负责人或授权委托人签署并加盖单位公章，申请文件中若有复印件，须加盖单位公章；</w:t>
      </w:r>
    </w:p>
    <w:p w14:paraId="5AFA550B">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12.2申请文件正本壹份、副本</w:t>
      </w:r>
      <w:r>
        <w:rPr>
          <w:rFonts w:hint="eastAsia" w:ascii="宋体" w:hAnsi="宋体" w:cs="宋体"/>
          <w:color w:val="000000"/>
          <w:szCs w:val="21"/>
          <w:lang w:eastAsia="zh-CN"/>
        </w:rPr>
        <w:t>份数详见</w:t>
      </w:r>
      <w:r>
        <w:rPr>
          <w:rFonts w:hint="eastAsia" w:ascii="宋体" w:hAnsi="宋体" w:cs="宋体"/>
          <w:color w:val="000000"/>
          <w:szCs w:val="21"/>
        </w:rPr>
        <w:t>申请人须知前附表，正副本封面应写明项目名称、编制单位、编制年月，并由承保机构公司负责人或授权委托人签字并加盖单位公章；</w:t>
      </w:r>
    </w:p>
    <w:p w14:paraId="00FA7704">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12.3申请文件必须打印清晰，胶装成册。</w:t>
      </w:r>
    </w:p>
    <w:p w14:paraId="0CF2D2FF">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12.4全套申请文件应无涂改和行间插字，如必须修改，修改处应由承保机构公司负责人代表(或授权代理人)签字并加盖单位公章。</w:t>
      </w:r>
    </w:p>
    <w:p w14:paraId="3CA3446C">
      <w:pPr>
        <w:spacing w:line="420" w:lineRule="exact"/>
        <w:jc w:val="center"/>
        <w:outlineLvl w:val="9"/>
        <w:rPr>
          <w:rFonts w:hint="eastAsia" w:ascii="宋体" w:hAnsi="宋体" w:cs="宋体"/>
          <w:color w:val="000000"/>
          <w:sz w:val="32"/>
        </w:rPr>
      </w:pPr>
    </w:p>
    <w:p w14:paraId="5349DF74">
      <w:pPr>
        <w:spacing w:line="420" w:lineRule="exact"/>
        <w:jc w:val="center"/>
        <w:outlineLvl w:val="1"/>
        <w:rPr>
          <w:rFonts w:hint="eastAsia" w:ascii="宋体" w:hAnsi="宋体" w:cs="宋体"/>
          <w:b/>
          <w:bCs/>
          <w:color w:val="000000"/>
          <w:sz w:val="32"/>
        </w:rPr>
      </w:pPr>
      <w:bookmarkStart w:id="33" w:name="_Toc21971"/>
      <w:r>
        <w:rPr>
          <w:rFonts w:hint="eastAsia" w:ascii="宋体" w:hAnsi="宋体" w:cs="宋体"/>
          <w:b/>
          <w:bCs/>
          <w:color w:val="000000"/>
          <w:sz w:val="32"/>
        </w:rPr>
        <w:t>四、申请文件的递交</w:t>
      </w:r>
      <w:bookmarkEnd w:id="33"/>
    </w:p>
    <w:p w14:paraId="191CE9B3">
      <w:pPr>
        <w:pStyle w:val="7"/>
        <w:spacing w:line="410" w:lineRule="exact"/>
        <w:outlineLvl w:val="9"/>
        <w:rPr>
          <w:rFonts w:hint="eastAsia" w:hAnsi="宋体" w:cs="宋体"/>
          <w:b/>
          <w:bCs/>
          <w:color w:val="000000"/>
          <w:sz w:val="24"/>
        </w:rPr>
      </w:pPr>
    </w:p>
    <w:p w14:paraId="5E962850">
      <w:pPr>
        <w:pStyle w:val="7"/>
        <w:spacing w:line="410" w:lineRule="exact"/>
        <w:outlineLvl w:val="9"/>
        <w:rPr>
          <w:rFonts w:hint="eastAsia" w:hAnsi="宋体" w:cs="宋体"/>
          <w:b/>
          <w:bCs/>
          <w:color w:val="000000"/>
          <w:sz w:val="24"/>
        </w:rPr>
      </w:pPr>
      <w:r>
        <w:rPr>
          <w:rFonts w:hint="eastAsia" w:hAnsi="宋体" w:cs="宋体"/>
          <w:b/>
          <w:bCs/>
          <w:color w:val="000000"/>
          <w:sz w:val="24"/>
        </w:rPr>
        <w:t>13、申请文件的密封与标志</w:t>
      </w:r>
    </w:p>
    <w:p w14:paraId="46318701">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13.1 申请文件密封</w:t>
      </w:r>
      <w:r>
        <w:rPr>
          <w:rFonts w:hint="eastAsia" w:ascii="宋体" w:hAnsi="宋体" w:cs="宋体"/>
          <w:color w:val="000000"/>
        </w:rPr>
        <w:t>按</w:t>
      </w:r>
      <w:r>
        <w:rPr>
          <w:rFonts w:hint="eastAsia" w:ascii="宋体" w:hAnsi="宋体" w:cs="宋体"/>
          <w:color w:val="000000"/>
          <w:lang w:eastAsia="zh-CN"/>
        </w:rPr>
        <w:t>申请人</w:t>
      </w:r>
      <w:r>
        <w:rPr>
          <w:rFonts w:hint="eastAsia" w:ascii="宋体" w:hAnsi="宋体" w:cs="宋体"/>
          <w:color w:val="000000"/>
          <w:szCs w:val="21"/>
        </w:rPr>
        <w:t>须知</w:t>
      </w:r>
      <w:r>
        <w:rPr>
          <w:rFonts w:hint="eastAsia" w:ascii="宋体" w:hAnsi="宋体" w:cs="宋体"/>
          <w:color w:val="000000"/>
        </w:rPr>
        <w:t>前附表第6项规定</w:t>
      </w:r>
      <w:r>
        <w:rPr>
          <w:rFonts w:hint="eastAsia" w:ascii="宋体" w:hAnsi="宋体" w:cs="宋体"/>
          <w:color w:val="000000"/>
          <w:szCs w:val="21"/>
        </w:rPr>
        <w:t>的时间送达指定地点。</w:t>
      </w:r>
    </w:p>
    <w:p w14:paraId="21B93721">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13.2 申请文件的包装与密封形式为：</w:t>
      </w:r>
    </w:p>
    <w:p w14:paraId="54305120">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申请文件</w:t>
      </w:r>
      <w:r>
        <w:rPr>
          <w:rFonts w:hint="eastAsia" w:ascii="宋体" w:hAnsi="宋体" w:cs="宋体"/>
          <w:color w:val="000000"/>
          <w:szCs w:val="21"/>
          <w:lang w:val="sq-AL"/>
        </w:rPr>
        <w:t>密封。</w:t>
      </w:r>
      <w:r>
        <w:rPr>
          <w:rFonts w:hint="eastAsia" w:ascii="宋体" w:hAnsi="宋体" w:cs="宋体"/>
          <w:color w:val="000000"/>
          <w:szCs w:val="21"/>
        </w:rPr>
        <w:t>外包装上应注明:项目名称、申请单位名称并由承保机构公司负责人或授权委托人签署并加盖单位公章。</w:t>
      </w:r>
    </w:p>
    <w:p w14:paraId="1B30D6B6">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13.3各申请人申请文件制作成电子文档（U盘）1份（文本为Word格式）,用单独的信封密封，粘在申请文件外包装上。</w:t>
      </w:r>
    </w:p>
    <w:p w14:paraId="2B2EF743">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13.4如果申请人未按上述要求密封及制作申请文件，遴选人对申请文件不予受理。</w:t>
      </w:r>
    </w:p>
    <w:p w14:paraId="5B539398">
      <w:pPr>
        <w:pStyle w:val="7"/>
        <w:spacing w:line="410" w:lineRule="exact"/>
        <w:outlineLvl w:val="9"/>
        <w:rPr>
          <w:rFonts w:hint="eastAsia" w:hAnsi="宋体" w:cs="宋体"/>
          <w:b/>
          <w:bCs/>
          <w:color w:val="000000"/>
          <w:sz w:val="24"/>
        </w:rPr>
      </w:pPr>
      <w:r>
        <w:rPr>
          <w:rFonts w:hint="eastAsia" w:hAnsi="宋体" w:cs="宋体"/>
          <w:b/>
          <w:bCs/>
          <w:color w:val="000000"/>
          <w:sz w:val="24"/>
        </w:rPr>
        <w:t>14、申请文件的递交</w:t>
      </w:r>
    </w:p>
    <w:p w14:paraId="16635F68">
      <w:pPr>
        <w:spacing w:line="420" w:lineRule="exact"/>
        <w:ind w:firstLine="420" w:firstLineChars="200"/>
        <w:outlineLvl w:val="9"/>
        <w:rPr>
          <w:rFonts w:hint="eastAsia" w:ascii="宋体" w:hAnsi="宋体" w:cs="宋体"/>
          <w:color w:val="000000"/>
        </w:rPr>
      </w:pPr>
      <w:r>
        <w:rPr>
          <w:rFonts w:hint="eastAsia" w:ascii="宋体" w:hAnsi="宋体" w:cs="宋体"/>
          <w:color w:val="000000"/>
          <w:szCs w:val="21"/>
        </w:rPr>
        <w:t>14.1 申请文件</w:t>
      </w:r>
      <w:r>
        <w:rPr>
          <w:rFonts w:hint="eastAsia" w:ascii="宋体" w:hAnsi="宋体" w:cs="宋体"/>
          <w:color w:val="000000"/>
        </w:rPr>
        <w:t>应按</w:t>
      </w:r>
      <w:r>
        <w:rPr>
          <w:rFonts w:hint="eastAsia" w:ascii="宋体" w:hAnsi="宋体" w:cs="宋体"/>
          <w:color w:val="000000"/>
          <w:szCs w:val="21"/>
        </w:rPr>
        <w:t>申请人须知前附表</w:t>
      </w:r>
      <w:r>
        <w:rPr>
          <w:rFonts w:hint="eastAsia" w:ascii="宋体" w:hAnsi="宋体" w:cs="宋体"/>
          <w:color w:val="000000"/>
        </w:rPr>
        <w:t>规定的时间之前由专人送达指定的地点。</w:t>
      </w:r>
    </w:p>
    <w:p w14:paraId="2F6F8A4B">
      <w:pPr>
        <w:spacing w:line="400" w:lineRule="exact"/>
        <w:jc w:val="center"/>
        <w:outlineLvl w:val="9"/>
        <w:rPr>
          <w:rFonts w:hint="eastAsia" w:ascii="宋体" w:hAnsi="宋体" w:cs="宋体"/>
          <w:color w:val="000000"/>
          <w:sz w:val="32"/>
        </w:rPr>
      </w:pPr>
      <w:bookmarkStart w:id="34" w:name="_Toc160801775"/>
    </w:p>
    <w:p w14:paraId="17036232">
      <w:pPr>
        <w:spacing w:line="400" w:lineRule="exact"/>
        <w:jc w:val="center"/>
        <w:outlineLvl w:val="1"/>
        <w:rPr>
          <w:rFonts w:hint="eastAsia" w:ascii="宋体" w:hAnsi="宋体" w:cs="宋体"/>
          <w:b/>
          <w:bCs/>
          <w:color w:val="000000"/>
          <w:sz w:val="32"/>
        </w:rPr>
      </w:pPr>
      <w:bookmarkStart w:id="35" w:name="_Toc19099"/>
      <w:r>
        <w:rPr>
          <w:rFonts w:hint="eastAsia" w:ascii="宋体" w:hAnsi="宋体" w:cs="宋体"/>
          <w:b/>
          <w:bCs/>
          <w:color w:val="000000"/>
          <w:sz w:val="32"/>
        </w:rPr>
        <w:t>五、</w:t>
      </w:r>
      <w:bookmarkEnd w:id="34"/>
      <w:r>
        <w:rPr>
          <w:rFonts w:hint="eastAsia" w:ascii="宋体" w:hAnsi="宋体" w:cs="宋体"/>
          <w:b/>
          <w:bCs/>
          <w:color w:val="000000"/>
          <w:sz w:val="32"/>
        </w:rPr>
        <w:t>评审</w:t>
      </w:r>
      <w:bookmarkEnd w:id="35"/>
    </w:p>
    <w:p w14:paraId="3CF8515E">
      <w:pPr>
        <w:spacing w:line="400" w:lineRule="exact"/>
        <w:outlineLvl w:val="9"/>
        <w:rPr>
          <w:rFonts w:hint="eastAsia" w:ascii="宋体" w:hAnsi="宋体" w:cs="宋体"/>
          <w:b/>
          <w:bCs/>
          <w:color w:val="000000"/>
          <w:sz w:val="24"/>
        </w:rPr>
      </w:pPr>
      <w:r>
        <w:rPr>
          <w:rFonts w:hint="eastAsia" w:ascii="宋体" w:hAnsi="宋体" w:cs="宋体"/>
          <w:b/>
          <w:bCs/>
          <w:color w:val="000000"/>
          <w:sz w:val="24"/>
        </w:rPr>
        <w:t>15．评审过程的保密</w:t>
      </w:r>
    </w:p>
    <w:p w14:paraId="5301F2C5">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15.1评审委员会组成：评审委员会成员详见申请人须知前附表。</w:t>
      </w:r>
    </w:p>
    <w:p w14:paraId="62F21087">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15.2申请文件递交完毕，直到宣布授予合同为止，凡属于审查、澄清、评价的有关资料以及有关授予合同的信息，都不向申请人或与该过程无关的其他人泄露。</w:t>
      </w:r>
    </w:p>
    <w:p w14:paraId="436FFFCE">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15.3在申请文件的审查、澄清、评价和比较以及授予合同的过程中，任何申请人企图对</w:t>
      </w:r>
      <w:r>
        <w:rPr>
          <w:rFonts w:hint="eastAsia" w:ascii="宋体" w:hAnsi="宋体" w:cs="宋体"/>
          <w:color w:val="000000"/>
          <w:szCs w:val="21"/>
          <w:lang w:eastAsia="zh-CN"/>
        </w:rPr>
        <w:t>遴选</w:t>
      </w:r>
      <w:r>
        <w:rPr>
          <w:rFonts w:hint="eastAsia" w:ascii="宋体" w:hAnsi="宋体" w:cs="宋体"/>
          <w:color w:val="000000"/>
          <w:szCs w:val="21"/>
        </w:rPr>
        <w:t>人和评审机构其他成员施加影响的任何行为，都将导致申请被拒绝或取消申请资格。</w:t>
      </w:r>
    </w:p>
    <w:p w14:paraId="585CC9D6">
      <w:pPr>
        <w:spacing w:line="400" w:lineRule="exact"/>
        <w:outlineLvl w:val="9"/>
        <w:rPr>
          <w:rFonts w:hint="eastAsia" w:ascii="宋体" w:hAnsi="宋体" w:cs="宋体"/>
          <w:b/>
          <w:bCs/>
          <w:color w:val="000000"/>
          <w:sz w:val="24"/>
        </w:rPr>
      </w:pPr>
      <w:r>
        <w:rPr>
          <w:rFonts w:hint="eastAsia" w:ascii="宋体" w:hAnsi="宋体" w:cs="宋体"/>
          <w:b/>
          <w:bCs/>
          <w:color w:val="000000"/>
          <w:sz w:val="24"/>
        </w:rPr>
        <w:t>16.评审顺序</w:t>
      </w:r>
    </w:p>
    <w:p w14:paraId="3E3E69FA">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评审委员会按照第六章“评审办法”规定的方法对申请人提交的申请文件进行评审。</w:t>
      </w:r>
    </w:p>
    <w:p w14:paraId="764DC2E9">
      <w:pPr>
        <w:spacing w:line="400" w:lineRule="exact"/>
        <w:outlineLvl w:val="9"/>
        <w:rPr>
          <w:rFonts w:hint="eastAsia" w:ascii="宋体" w:hAnsi="宋体" w:eastAsia="宋体" w:cs="宋体"/>
          <w:b/>
          <w:bCs/>
          <w:color w:val="000000"/>
          <w:sz w:val="24"/>
          <w:lang w:eastAsia="zh-CN"/>
        </w:rPr>
      </w:pPr>
      <w:r>
        <w:rPr>
          <w:rFonts w:hint="eastAsia" w:ascii="宋体" w:hAnsi="宋体" w:cs="宋体"/>
          <w:b/>
          <w:bCs/>
          <w:color w:val="000000"/>
          <w:sz w:val="24"/>
        </w:rPr>
        <w:t>17．申请文件的</w:t>
      </w:r>
      <w:r>
        <w:rPr>
          <w:rFonts w:hint="eastAsia" w:ascii="宋体" w:hAnsi="宋体" w:cs="宋体"/>
          <w:b/>
          <w:bCs/>
          <w:color w:val="000000"/>
          <w:sz w:val="24"/>
          <w:lang w:eastAsia="zh-CN"/>
        </w:rPr>
        <w:t>资格审查</w:t>
      </w:r>
    </w:p>
    <w:p w14:paraId="609FE30F">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 xml:space="preserve">17.1申请文件有下列情况之一的，应当被否决： </w:t>
      </w:r>
    </w:p>
    <w:p w14:paraId="4F9491DE">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（一） 逾期送达的申请文件；</w:t>
      </w:r>
    </w:p>
    <w:p w14:paraId="4D72951B">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（二） 未按遴选文件要求制作或密封的；</w:t>
      </w:r>
    </w:p>
    <w:p w14:paraId="05D6025D">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（三） 申请文件正本未按遴选文件要求加盖申请人公章的，未经承保机构公司负责人或授权委托代理人签字的；</w:t>
      </w:r>
    </w:p>
    <w:p w14:paraId="4FF01424">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17.2 申请人有下列情况之一的，其申请资格应</w:t>
      </w:r>
      <w:r>
        <w:rPr>
          <w:rFonts w:hint="eastAsia" w:ascii="宋体" w:hAnsi="宋体" w:cs="宋体"/>
          <w:color w:val="000000"/>
          <w:szCs w:val="21"/>
          <w:lang w:val="en-US" w:eastAsia="zh-CN"/>
        </w:rPr>
        <w:t>当</w:t>
      </w:r>
      <w:r>
        <w:rPr>
          <w:rFonts w:hint="eastAsia" w:ascii="宋体" w:hAnsi="宋体" w:cs="宋体"/>
          <w:color w:val="000000"/>
          <w:szCs w:val="21"/>
        </w:rPr>
        <w:t>被否决：</w:t>
      </w:r>
    </w:p>
    <w:p w14:paraId="4EB5ABB6">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（一）弄虚作假提供虚假资料的；</w:t>
      </w:r>
    </w:p>
    <w:p w14:paraId="6B8EFF0C">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（二）以向遴选人或者评审委员会成员行贿的手段谋取</w:t>
      </w:r>
      <w:r>
        <w:rPr>
          <w:rFonts w:hint="eastAsia" w:ascii="宋体" w:hAnsi="宋体" w:cs="宋体"/>
          <w:color w:val="000000"/>
          <w:szCs w:val="21"/>
          <w:lang w:val="en-US" w:eastAsia="zh-CN"/>
        </w:rPr>
        <w:t>中选</w:t>
      </w:r>
      <w:r>
        <w:rPr>
          <w:rFonts w:hint="eastAsia" w:ascii="宋体" w:hAnsi="宋体" w:cs="宋体"/>
          <w:color w:val="000000"/>
          <w:szCs w:val="21"/>
        </w:rPr>
        <w:t>的；</w:t>
      </w:r>
    </w:p>
    <w:p w14:paraId="0F24645F">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（三）申请文件</w:t>
      </w:r>
      <w:r>
        <w:rPr>
          <w:rFonts w:hint="eastAsia" w:ascii="宋体" w:hAnsi="宋体" w:cs="宋体"/>
          <w:color w:val="000000"/>
          <w:szCs w:val="21"/>
          <w:lang w:val="en-US" w:eastAsia="zh-CN"/>
        </w:rPr>
        <w:t>中</w:t>
      </w:r>
      <w:r>
        <w:rPr>
          <w:rFonts w:hint="eastAsia" w:ascii="宋体" w:hAnsi="宋体" w:cs="宋体"/>
          <w:color w:val="000000"/>
          <w:szCs w:val="21"/>
        </w:rPr>
        <w:t>的申请人名称和组织结构与实际情况上存在实质性差别的。</w:t>
      </w:r>
    </w:p>
    <w:p w14:paraId="433BB97F">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（四）未按遴选文件规定的格式填写，内容不全，未响应遴选文件的实质性要求和条件的，经评审委员会评审未通过的；</w:t>
      </w:r>
    </w:p>
    <w:p w14:paraId="0D82FE22">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（五）违反编制申请文件的相关规定，可能对评审工作产生实质性影响的；</w:t>
      </w:r>
    </w:p>
    <w:p w14:paraId="4579A938">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（六）其他违反遴选文件规定实质性条款要求的。</w:t>
      </w:r>
    </w:p>
    <w:p w14:paraId="7FD57EA7">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否决申请资格须经三分之二以上评委签字确认；</w:t>
      </w:r>
    </w:p>
    <w:p w14:paraId="43190852">
      <w:pPr>
        <w:spacing w:line="400" w:lineRule="exact"/>
        <w:outlineLvl w:val="9"/>
        <w:rPr>
          <w:rFonts w:hint="eastAsia" w:ascii="宋体" w:hAnsi="宋体" w:cs="宋体"/>
          <w:b/>
          <w:bCs/>
          <w:color w:val="000000"/>
          <w:sz w:val="24"/>
        </w:rPr>
      </w:pPr>
      <w:r>
        <w:rPr>
          <w:rFonts w:hint="eastAsia" w:ascii="宋体" w:hAnsi="宋体" w:cs="宋体"/>
          <w:b/>
          <w:bCs/>
          <w:color w:val="000000"/>
          <w:sz w:val="24"/>
        </w:rPr>
        <w:t>18．申请文件的评价与比较</w:t>
      </w:r>
    </w:p>
    <w:p w14:paraId="039824B4">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18.1评审将仅对实质上响应遴选文件要求的申请文件进行评价与比较。</w:t>
      </w:r>
    </w:p>
    <w:p w14:paraId="1A4795E9">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18.2在评价与比较时评审委员会将按照遴选文件规定的办法对申请人的申请文件的优劣进行综合评定。</w:t>
      </w:r>
    </w:p>
    <w:p w14:paraId="07BA28FF">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18.3本次评审采用</w:t>
      </w:r>
      <w:r>
        <w:rPr>
          <w:rFonts w:hint="eastAsia" w:ascii="宋体" w:hAnsi="宋体" w:cs="宋体"/>
          <w:color w:val="000000"/>
          <w:szCs w:val="21"/>
          <w:lang w:eastAsia="zh-CN"/>
        </w:rPr>
        <w:t>综合评分法</w:t>
      </w:r>
      <w:r>
        <w:rPr>
          <w:rFonts w:hint="eastAsia" w:ascii="宋体" w:hAnsi="宋体" w:cs="宋体"/>
          <w:color w:val="000000"/>
          <w:szCs w:val="21"/>
        </w:rPr>
        <w:t>,具体</w:t>
      </w:r>
      <w:r>
        <w:rPr>
          <w:rFonts w:hint="eastAsia" w:ascii="宋体" w:hAnsi="宋体" w:cs="宋体"/>
          <w:b w:val="0"/>
          <w:bCs w:val="0"/>
          <w:color w:val="000000"/>
          <w:szCs w:val="21"/>
        </w:rPr>
        <w:t>评审办法详见第六章。</w:t>
      </w:r>
    </w:p>
    <w:p w14:paraId="2DD638C1">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18.4评审委员会完成评审后，评审委员会向遴选人推荐</w:t>
      </w:r>
      <w:r>
        <w:rPr>
          <w:rFonts w:hint="eastAsia" w:ascii="宋体" w:hAnsi="宋体" w:cs="宋体"/>
          <w:color w:val="000000"/>
          <w:szCs w:val="21"/>
          <w:lang w:val="en-US" w:eastAsia="zh-CN"/>
        </w:rPr>
        <w:t>5</w:t>
      </w:r>
      <w:r>
        <w:rPr>
          <w:rFonts w:hint="eastAsia" w:ascii="宋体" w:hAnsi="宋体" w:cs="宋体"/>
          <w:color w:val="000000"/>
          <w:szCs w:val="21"/>
        </w:rPr>
        <w:t>名有排序的</w:t>
      </w:r>
      <w:r>
        <w:rPr>
          <w:rFonts w:hint="eastAsia" w:ascii="宋体" w:hAnsi="宋体" w:cs="宋体"/>
          <w:color w:val="000000"/>
          <w:szCs w:val="21"/>
          <w:lang w:val="en-US" w:eastAsia="zh-CN"/>
        </w:rPr>
        <w:t>中选</w:t>
      </w:r>
      <w:r>
        <w:rPr>
          <w:rFonts w:hint="eastAsia" w:ascii="宋体" w:hAnsi="宋体" w:cs="宋体"/>
          <w:color w:val="000000"/>
          <w:szCs w:val="21"/>
        </w:rPr>
        <w:t>单位。</w:t>
      </w:r>
    </w:p>
    <w:p w14:paraId="3A459BF9">
      <w:pPr>
        <w:spacing w:line="400" w:lineRule="exact"/>
        <w:jc w:val="center"/>
        <w:outlineLvl w:val="9"/>
        <w:rPr>
          <w:rFonts w:hint="eastAsia" w:ascii="宋体" w:hAnsi="宋体" w:cs="宋体"/>
          <w:b/>
          <w:bCs/>
          <w:color w:val="000000"/>
          <w:sz w:val="32"/>
          <w:szCs w:val="32"/>
        </w:rPr>
      </w:pPr>
    </w:p>
    <w:p w14:paraId="6A0ABEBF">
      <w:pPr>
        <w:spacing w:line="400" w:lineRule="exact"/>
        <w:jc w:val="center"/>
        <w:outlineLvl w:val="1"/>
        <w:rPr>
          <w:rFonts w:hint="eastAsia" w:ascii="宋体" w:hAnsi="宋体" w:cs="宋体"/>
          <w:b/>
          <w:bCs/>
          <w:color w:val="000000"/>
          <w:sz w:val="32"/>
          <w:szCs w:val="32"/>
        </w:rPr>
      </w:pPr>
      <w:bookmarkStart w:id="36" w:name="_Toc8906"/>
      <w:r>
        <w:rPr>
          <w:rFonts w:hint="eastAsia" w:ascii="宋体" w:hAnsi="宋体" w:cs="宋体"/>
          <w:b/>
          <w:bCs/>
          <w:color w:val="000000"/>
          <w:sz w:val="32"/>
          <w:szCs w:val="32"/>
        </w:rPr>
        <w:t>六、合同及其他</w:t>
      </w:r>
      <w:bookmarkEnd w:id="36"/>
    </w:p>
    <w:p w14:paraId="7038A847">
      <w:pPr>
        <w:spacing w:line="400" w:lineRule="exact"/>
        <w:outlineLvl w:val="9"/>
        <w:rPr>
          <w:rFonts w:hint="eastAsia" w:ascii="宋体" w:hAnsi="宋体" w:cs="宋体"/>
          <w:b/>
          <w:bCs/>
          <w:color w:val="000000"/>
          <w:sz w:val="24"/>
        </w:rPr>
      </w:pPr>
      <w:r>
        <w:rPr>
          <w:rFonts w:hint="eastAsia" w:ascii="宋体" w:hAnsi="宋体" w:cs="宋体"/>
          <w:b/>
          <w:bCs/>
          <w:color w:val="000000"/>
          <w:sz w:val="24"/>
        </w:rPr>
        <w:t>19．</w:t>
      </w:r>
      <w:r>
        <w:rPr>
          <w:rFonts w:hint="eastAsia" w:ascii="宋体" w:hAnsi="宋体" w:cs="宋体"/>
          <w:b/>
          <w:bCs/>
          <w:color w:val="000000"/>
          <w:sz w:val="24"/>
          <w:lang w:val="en-US" w:eastAsia="zh-CN"/>
        </w:rPr>
        <w:t>中选</w:t>
      </w:r>
      <w:r>
        <w:rPr>
          <w:rFonts w:hint="eastAsia" w:ascii="宋体" w:hAnsi="宋体" w:cs="宋体"/>
          <w:b/>
          <w:bCs/>
          <w:color w:val="000000"/>
          <w:sz w:val="24"/>
        </w:rPr>
        <w:t>通知书</w:t>
      </w:r>
    </w:p>
    <w:p w14:paraId="1FA54EBF">
      <w:pPr>
        <w:spacing w:line="420" w:lineRule="exact"/>
        <w:ind w:firstLine="420" w:firstLineChars="200"/>
        <w:outlineLvl w:val="9"/>
        <w:rPr>
          <w:rFonts w:hint="eastAsia" w:ascii="宋体" w:hAnsi="宋体" w:cs="宋体"/>
          <w:color w:val="000000"/>
          <w:szCs w:val="21"/>
          <w:lang w:val="en-US" w:eastAsia="zh-CN"/>
        </w:rPr>
      </w:pPr>
      <w:r>
        <w:rPr>
          <w:rFonts w:hint="eastAsia" w:ascii="宋体" w:hAnsi="宋体" w:cs="宋体"/>
          <w:color w:val="000000"/>
          <w:szCs w:val="21"/>
          <w:lang w:val="en-US" w:eastAsia="zh-CN"/>
        </w:rPr>
        <w:t>19.1确定出遴选中选单位后，遴选人将以书面形式通知中选的申请人其申请被接受。在该通知书（以下合同条件中称“中选通知书”）中给出遴选人与遴选中选单位签订合同的日期。中选通知书发出后，遴选人不得违规改变中选结果，中选承保机构无正当理由不得放弃中选且不得转包，放弃中选包的，取消本遴选周期中选资格。放弃中选或转包的，在下一个遴选周期不得参与申请。</w:t>
      </w:r>
    </w:p>
    <w:p w14:paraId="78F17F52">
      <w:pPr>
        <w:spacing w:line="420" w:lineRule="exact"/>
        <w:ind w:firstLine="420" w:firstLineChars="200"/>
        <w:outlineLvl w:val="9"/>
        <w:rPr>
          <w:rFonts w:hint="eastAsia" w:ascii="宋体" w:hAnsi="宋体" w:cs="宋体"/>
          <w:color w:val="000000"/>
          <w:szCs w:val="21"/>
          <w:lang w:val="en-US" w:eastAsia="zh-CN"/>
        </w:rPr>
      </w:pPr>
      <w:r>
        <w:rPr>
          <w:rFonts w:hint="eastAsia" w:ascii="宋体" w:hAnsi="宋体" w:cs="宋体"/>
          <w:color w:val="000000"/>
          <w:szCs w:val="21"/>
          <w:lang w:val="en-US" w:eastAsia="zh-CN"/>
        </w:rPr>
        <w:t>19.2中选通知书将成为合同的组成部分。</w:t>
      </w:r>
    </w:p>
    <w:p w14:paraId="6A2E1ADD">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lang w:val="en-US" w:eastAsia="zh-CN"/>
        </w:rPr>
        <w:t>19.3遴选人将及时将未中选的结果通过网站公告形式通知其他申请人</w:t>
      </w:r>
      <w:r>
        <w:rPr>
          <w:rFonts w:hint="eastAsia" w:ascii="宋体" w:hAnsi="宋体" w:cs="宋体"/>
          <w:color w:val="000000"/>
          <w:szCs w:val="21"/>
        </w:rPr>
        <w:t>。</w:t>
      </w:r>
    </w:p>
    <w:p w14:paraId="2191D255">
      <w:pPr>
        <w:spacing w:line="400" w:lineRule="exact"/>
        <w:outlineLvl w:val="9"/>
        <w:rPr>
          <w:rFonts w:hint="eastAsia" w:ascii="宋体" w:hAnsi="宋体" w:cs="宋体"/>
          <w:b/>
          <w:bCs/>
          <w:color w:val="000000"/>
          <w:sz w:val="24"/>
        </w:rPr>
      </w:pPr>
      <w:r>
        <w:rPr>
          <w:rFonts w:hint="eastAsia" w:ascii="宋体" w:hAnsi="宋体" w:cs="宋体"/>
          <w:b/>
          <w:bCs/>
          <w:color w:val="000000"/>
          <w:sz w:val="24"/>
        </w:rPr>
        <w:t>20．合同协议书的签署</w:t>
      </w:r>
    </w:p>
    <w:p w14:paraId="19A19D21">
      <w:pPr>
        <w:spacing w:line="420" w:lineRule="exact"/>
        <w:ind w:firstLine="420" w:firstLineChars="200"/>
        <w:outlineLvl w:val="9"/>
        <w:rPr>
          <w:rFonts w:hint="eastAsia" w:ascii="宋体" w:hAnsi="宋体" w:cs="宋体"/>
          <w:color w:val="000000"/>
          <w:szCs w:val="21"/>
          <w:lang w:val="en-US" w:eastAsia="zh-CN"/>
        </w:rPr>
      </w:pPr>
      <w:r>
        <w:rPr>
          <w:rFonts w:hint="eastAsia" w:ascii="宋体" w:hAnsi="宋体" w:cs="宋体"/>
          <w:color w:val="000000"/>
          <w:szCs w:val="21"/>
          <w:lang w:val="en-US" w:eastAsia="zh-CN"/>
        </w:rPr>
        <w:t>20.1省直管县市相关部门和遴选中选单位应当自中选通知书发出之日起十五日内，按照遴选中选通知书、遴选文件和遴选中选单位的申请文件以及农业保险政策法规规定订立书面合同。所签订的合同不得对遴选文件确定的事项和中选承保机构申请文件作实质性修改。省直管县市相关部门不得向中选承保机构提出任何不合理的要求作为签订合同的条件。另省直管县市相关部门应当加强对中选承保机构的履约管理，对于中选承保机构违反合同约定的行为，省直管县市相关部门应当及时处理，依法追究其违约责任。</w:t>
      </w:r>
    </w:p>
    <w:p w14:paraId="33B13E0C">
      <w:pPr>
        <w:spacing w:line="400" w:lineRule="exact"/>
        <w:outlineLvl w:val="9"/>
        <w:rPr>
          <w:rFonts w:hint="eastAsia" w:ascii="宋体" w:hAnsi="宋体" w:cs="宋体"/>
          <w:b/>
          <w:bCs/>
          <w:color w:val="000000"/>
          <w:sz w:val="24"/>
        </w:rPr>
      </w:pPr>
      <w:r>
        <w:rPr>
          <w:rFonts w:hint="eastAsia" w:ascii="宋体" w:hAnsi="宋体" w:cs="宋体"/>
          <w:b/>
          <w:bCs/>
          <w:color w:val="000000"/>
          <w:sz w:val="24"/>
        </w:rPr>
        <w:t>21．代理服务费</w:t>
      </w:r>
    </w:p>
    <w:p w14:paraId="3DD56C40">
      <w:pPr>
        <w:spacing w:line="42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21.1代理服务费由遴选人支付，支付标准：按签定的代理协议执行。</w:t>
      </w:r>
    </w:p>
    <w:p w14:paraId="456D1BE2">
      <w:pPr>
        <w:adjustRightInd w:val="0"/>
        <w:snapToGrid w:val="0"/>
        <w:spacing w:before="156" w:beforeLines="50" w:line="360" w:lineRule="auto"/>
        <w:jc w:val="center"/>
        <w:outlineLvl w:val="0"/>
        <w:rPr>
          <w:rFonts w:hint="eastAsia" w:ascii="宋体" w:hAnsi="宋体" w:cs="宋体"/>
          <w:b/>
          <w:bCs/>
          <w:color w:val="000000"/>
          <w:sz w:val="32"/>
          <w:szCs w:val="32"/>
        </w:rPr>
      </w:pPr>
      <w:r>
        <w:rPr>
          <w:rFonts w:hint="eastAsia" w:ascii="宋体" w:hAnsi="宋体" w:cs="宋体"/>
          <w:b/>
          <w:bCs/>
          <w:color w:val="000000"/>
          <w:sz w:val="32"/>
          <w:szCs w:val="32"/>
        </w:rPr>
        <w:br w:type="page"/>
      </w:r>
      <w:bookmarkStart w:id="37" w:name="_Toc410"/>
      <w:r>
        <w:rPr>
          <w:rFonts w:hint="eastAsia" w:ascii="宋体" w:hAnsi="宋体" w:cs="宋体"/>
          <w:b/>
          <w:bCs/>
          <w:color w:val="000000"/>
          <w:sz w:val="32"/>
          <w:szCs w:val="32"/>
        </w:rPr>
        <w:t>第三章 合同协议书</w:t>
      </w:r>
      <w:bookmarkEnd w:id="37"/>
    </w:p>
    <w:p w14:paraId="5FF62E27">
      <w:pPr>
        <w:jc w:val="center"/>
        <w:outlineLvl w:val="9"/>
        <w:rPr>
          <w:rFonts w:hint="eastAsia" w:ascii="宋体" w:hAnsi="宋体" w:cs="宋体"/>
          <w:b/>
          <w:bCs/>
          <w:color w:val="000000"/>
          <w:sz w:val="24"/>
        </w:rPr>
      </w:pPr>
      <w:r>
        <w:rPr>
          <w:rFonts w:hint="eastAsia" w:ascii="宋体" w:hAnsi="宋体" w:cs="宋体"/>
          <w:b/>
          <w:bCs/>
          <w:color w:val="000000"/>
          <w:sz w:val="24"/>
        </w:rPr>
        <w:t xml:space="preserve">                                  </w:t>
      </w:r>
    </w:p>
    <w:p w14:paraId="7C622E65">
      <w:pPr>
        <w:adjustRightInd w:val="0"/>
        <w:snapToGrid w:val="0"/>
        <w:spacing w:before="156" w:beforeLines="50" w:line="360" w:lineRule="auto"/>
        <w:jc w:val="center"/>
        <w:outlineLvl w:val="9"/>
        <w:rPr>
          <w:rFonts w:hint="eastAsia" w:ascii="宋体" w:hAnsi="宋体" w:cs="宋体"/>
          <w:color w:val="000000"/>
          <w:szCs w:val="21"/>
        </w:rPr>
      </w:pPr>
      <w:r>
        <w:rPr>
          <w:rFonts w:hint="eastAsia" w:ascii="宋体" w:hAnsi="宋体" w:cs="宋体"/>
          <w:b/>
          <w:bCs/>
          <w:color w:val="000000"/>
          <w:szCs w:val="21"/>
        </w:rPr>
        <w:t xml:space="preserve">                                                     </w:t>
      </w:r>
      <w:r>
        <w:rPr>
          <w:rFonts w:hint="eastAsia" w:ascii="宋体" w:hAnsi="宋体" w:cs="宋体"/>
          <w:color w:val="000000"/>
          <w:szCs w:val="21"/>
        </w:rPr>
        <w:t xml:space="preserve">   代理编号：</w:t>
      </w:r>
      <w:r>
        <w:rPr>
          <w:rFonts w:hint="eastAsia" w:ascii="宋体" w:hAnsi="宋体" w:cs="宋体"/>
          <w:color w:val="000000"/>
          <w:szCs w:val="21"/>
          <w:u w:val="single"/>
        </w:rPr>
        <w:t xml:space="preserve">             </w:t>
      </w:r>
      <w:r>
        <w:rPr>
          <w:rFonts w:hint="eastAsia" w:ascii="宋体" w:hAnsi="宋体" w:cs="宋体"/>
          <w:color w:val="000000"/>
          <w:szCs w:val="21"/>
        </w:rPr>
        <w:tab/>
      </w:r>
    </w:p>
    <w:p w14:paraId="772B5AC2">
      <w:pPr>
        <w:adjustRightInd w:val="0"/>
        <w:snapToGrid w:val="0"/>
        <w:spacing w:before="156" w:beforeLines="50" w:line="360" w:lineRule="auto"/>
        <w:outlineLvl w:val="9"/>
        <w:rPr>
          <w:rFonts w:hint="eastAsia" w:ascii="宋体" w:hAnsi="宋体" w:cs="宋体"/>
          <w:color w:val="000000"/>
          <w:szCs w:val="21"/>
        </w:rPr>
      </w:pPr>
      <w:r>
        <w:rPr>
          <w:rFonts w:hint="eastAsia" w:ascii="宋体" w:hAnsi="宋体" w:cs="宋体"/>
          <w:color w:val="000000"/>
          <w:szCs w:val="21"/>
          <w:lang w:eastAsia="zh-CN"/>
        </w:rPr>
        <w:t>甲方</w:t>
      </w:r>
      <w:r>
        <w:rPr>
          <w:rFonts w:hint="eastAsia" w:ascii="宋体" w:hAnsi="宋体" w:cs="宋体"/>
          <w:color w:val="000000"/>
          <w:szCs w:val="21"/>
        </w:rPr>
        <w:t>（全称）：</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single"/>
        </w:rPr>
        <w:t xml:space="preserve">  </w:t>
      </w:r>
    </w:p>
    <w:p w14:paraId="6332EC07">
      <w:pPr>
        <w:adjustRightInd w:val="0"/>
        <w:snapToGrid w:val="0"/>
        <w:spacing w:before="156" w:beforeLines="50" w:line="360" w:lineRule="auto"/>
        <w:outlineLvl w:val="9"/>
        <w:rPr>
          <w:rFonts w:hint="eastAsia" w:ascii="宋体" w:hAnsi="宋体" w:cs="宋体"/>
          <w:color w:val="000000"/>
          <w:szCs w:val="21"/>
        </w:rPr>
      </w:pPr>
      <w:r>
        <w:rPr>
          <w:rFonts w:hint="eastAsia" w:ascii="宋体" w:hAnsi="宋体" w:cs="宋体"/>
          <w:color w:val="000000"/>
          <w:szCs w:val="21"/>
        </w:rPr>
        <w:t>乙方（全称）：</w:t>
      </w:r>
      <w:r>
        <w:rPr>
          <w:rFonts w:hint="eastAsia" w:ascii="宋体" w:hAnsi="宋体" w:cs="宋体"/>
          <w:color w:val="000000"/>
          <w:szCs w:val="21"/>
          <w:u w:val="single"/>
        </w:rPr>
        <w:t xml:space="preserve">                              </w:t>
      </w:r>
    </w:p>
    <w:p w14:paraId="0ACDB3C6">
      <w:pPr>
        <w:pStyle w:val="3"/>
        <w:tabs>
          <w:tab w:val="left" w:pos="2715"/>
        </w:tabs>
        <w:adjustRightInd w:val="0"/>
        <w:snapToGrid w:val="0"/>
        <w:spacing w:before="156" w:beforeLines="50"/>
        <w:ind w:left="0" w:leftChars="0"/>
        <w:outlineLvl w:val="9"/>
        <w:rPr>
          <w:rFonts w:hint="eastAsia" w:ascii="宋体" w:hAnsi="宋体" w:cs="宋体"/>
          <w:color w:val="000000"/>
          <w:szCs w:val="21"/>
        </w:rPr>
      </w:pPr>
      <w:r>
        <w:rPr>
          <w:rFonts w:hint="eastAsia" w:ascii="宋体" w:hAnsi="宋体" w:cs="宋体"/>
          <w:color w:val="000000"/>
          <w:szCs w:val="21"/>
        </w:rPr>
        <w:tab/>
      </w:r>
    </w:p>
    <w:p w14:paraId="7C554865">
      <w:pPr>
        <w:pStyle w:val="3"/>
        <w:adjustRightInd w:val="0"/>
        <w:snapToGrid w:val="0"/>
        <w:spacing w:before="156" w:beforeLines="50" w:after="0" w:line="360" w:lineRule="auto"/>
        <w:ind w:left="0" w:leftChars="0" w:firstLine="420" w:firstLineChars="200"/>
        <w:outlineLvl w:val="9"/>
        <w:rPr>
          <w:rFonts w:hint="eastAsia" w:ascii="宋体" w:hAnsi="宋体" w:cs="宋体"/>
          <w:color w:val="000000"/>
          <w:szCs w:val="21"/>
        </w:rPr>
      </w:pPr>
      <w:r>
        <w:rPr>
          <w:rFonts w:hint="eastAsia" w:ascii="宋体" w:hAnsi="宋体" w:cs="宋体"/>
          <w:color w:val="000000"/>
          <w:szCs w:val="21"/>
        </w:rPr>
        <w:t>为了保护甲、乙双方合法权益，根据《中华人民共和国</w:t>
      </w:r>
      <w:r>
        <w:rPr>
          <w:rFonts w:hint="eastAsia" w:ascii="宋体" w:hAnsi="宋体" w:cs="宋体"/>
          <w:color w:val="000000"/>
          <w:szCs w:val="21"/>
          <w:lang w:eastAsia="zh-CN"/>
        </w:rPr>
        <w:t>民法典</w:t>
      </w:r>
      <w:r>
        <w:rPr>
          <w:rFonts w:hint="eastAsia" w:ascii="宋体" w:hAnsi="宋体" w:cs="宋体"/>
          <w:color w:val="000000"/>
          <w:szCs w:val="21"/>
        </w:rPr>
        <w:t>》及其他有关法律、法规、规章，双方签订本合同协议书。</w:t>
      </w:r>
    </w:p>
    <w:p w14:paraId="0F1B7EAF">
      <w:pPr>
        <w:adjustRightInd w:val="0"/>
        <w:snapToGrid w:val="0"/>
        <w:spacing w:before="156" w:beforeLines="50" w:line="360" w:lineRule="auto"/>
        <w:outlineLvl w:val="1"/>
        <w:rPr>
          <w:rFonts w:hint="eastAsia" w:ascii="宋体" w:hAnsi="宋体" w:cs="宋体"/>
          <w:color w:val="000000"/>
          <w:szCs w:val="21"/>
        </w:rPr>
      </w:pPr>
      <w:bookmarkStart w:id="38" w:name="_Toc20031"/>
      <w:r>
        <w:rPr>
          <w:rFonts w:hint="eastAsia" w:ascii="宋体" w:hAnsi="宋体" w:cs="宋体"/>
          <w:color w:val="000000"/>
          <w:szCs w:val="21"/>
        </w:rPr>
        <w:t>1.项目管理信息</w:t>
      </w:r>
      <w:bookmarkEnd w:id="38"/>
      <w:r>
        <w:rPr>
          <w:rFonts w:hint="eastAsia" w:ascii="宋体" w:hAnsi="宋体" w:cs="宋体"/>
          <w:color w:val="000000"/>
          <w:szCs w:val="21"/>
        </w:rPr>
        <w:tab/>
      </w:r>
    </w:p>
    <w:p w14:paraId="2532E117">
      <w:pPr>
        <w:pStyle w:val="3"/>
        <w:adjustRightInd w:val="0"/>
        <w:snapToGrid w:val="0"/>
        <w:spacing w:before="156" w:beforeLines="50" w:after="0" w:line="360" w:lineRule="auto"/>
        <w:ind w:left="0" w:leftChars="0"/>
        <w:outlineLvl w:val="9"/>
        <w:rPr>
          <w:rFonts w:hint="eastAsia" w:ascii="宋体" w:hAnsi="宋体" w:cs="宋体"/>
          <w:color w:val="000000"/>
          <w:szCs w:val="21"/>
        </w:rPr>
      </w:pPr>
      <w:r>
        <w:rPr>
          <w:rFonts w:hint="eastAsia" w:ascii="宋体" w:hAnsi="宋体" w:cs="宋体"/>
          <w:color w:val="000000"/>
          <w:szCs w:val="21"/>
        </w:rPr>
        <w:t>（1）遴选方式：</w:t>
      </w:r>
      <w:r>
        <w:rPr>
          <w:rFonts w:hint="eastAsia" w:ascii="宋体" w:hAnsi="宋体" w:cs="宋体"/>
          <w:color w:val="000000"/>
          <w:szCs w:val="21"/>
          <w:u w:val="single"/>
        </w:rPr>
        <w:t>公开竞争性遴选</w:t>
      </w:r>
    </w:p>
    <w:p w14:paraId="152B0092">
      <w:pPr>
        <w:pStyle w:val="3"/>
        <w:adjustRightInd w:val="0"/>
        <w:snapToGrid w:val="0"/>
        <w:spacing w:before="156" w:beforeLines="50" w:after="0" w:line="360" w:lineRule="auto"/>
        <w:ind w:left="0" w:leftChars="0"/>
        <w:outlineLvl w:val="9"/>
        <w:rPr>
          <w:rFonts w:hint="default" w:ascii="宋体" w:hAnsi="宋体" w:cs="宋体"/>
          <w:color w:val="000000"/>
          <w:szCs w:val="21"/>
          <w:lang w:val="en-US"/>
        </w:rPr>
      </w:pPr>
      <w:r>
        <w:rPr>
          <w:rFonts w:hint="eastAsia" w:ascii="宋体" w:hAnsi="宋体" w:cs="宋体"/>
          <w:color w:val="000000"/>
          <w:szCs w:val="21"/>
        </w:rPr>
        <w:t>（2）项目名称：</w:t>
      </w:r>
      <w:r>
        <w:rPr>
          <w:rFonts w:hint="eastAsia" w:ascii="宋体" w:hAnsi="宋体" w:cs="宋体"/>
          <w:color w:val="000000"/>
          <w:szCs w:val="21"/>
          <w:u w:val="single"/>
          <w:lang w:val="en-US" w:eastAsia="zh-CN"/>
        </w:rPr>
        <w:t xml:space="preserve">                          </w:t>
      </w:r>
    </w:p>
    <w:p w14:paraId="0F68F158">
      <w:pPr>
        <w:adjustRightInd w:val="0"/>
        <w:snapToGrid w:val="0"/>
        <w:spacing w:before="156" w:beforeLines="50" w:line="360" w:lineRule="auto"/>
        <w:outlineLvl w:val="9"/>
        <w:rPr>
          <w:rFonts w:hint="eastAsia" w:ascii="宋体" w:hAnsi="宋体" w:cs="宋体"/>
          <w:color w:val="000000"/>
          <w:szCs w:val="21"/>
        </w:rPr>
      </w:pPr>
      <w:r>
        <w:rPr>
          <w:rFonts w:hint="eastAsia" w:ascii="宋体" w:hAnsi="宋体" w:cs="宋体"/>
          <w:color w:val="000000"/>
          <w:szCs w:val="21"/>
        </w:rPr>
        <w:t>2.合同标的：</w:t>
      </w:r>
      <w:r>
        <w:rPr>
          <w:rFonts w:hint="eastAsia" w:ascii="宋体" w:hAnsi="宋体" w:cs="宋体"/>
          <w:color w:val="000000"/>
          <w:szCs w:val="21"/>
          <w:u w:val="single"/>
        </w:rPr>
        <w:t xml:space="preserve">                             </w:t>
      </w:r>
    </w:p>
    <w:p w14:paraId="67B88664">
      <w:pPr>
        <w:adjustRightInd w:val="0"/>
        <w:snapToGrid w:val="0"/>
        <w:spacing w:before="156" w:beforeLines="50" w:line="360" w:lineRule="auto"/>
        <w:outlineLvl w:val="9"/>
        <w:rPr>
          <w:rFonts w:hint="eastAsia" w:ascii="宋体" w:hAnsi="宋体" w:cs="宋体"/>
          <w:color w:val="000000"/>
          <w:szCs w:val="21"/>
          <w:u w:val="single"/>
        </w:rPr>
      </w:pPr>
      <w:r>
        <w:rPr>
          <w:rFonts w:hint="eastAsia" w:ascii="宋体" w:hAnsi="宋体" w:cs="宋体"/>
          <w:color w:val="000000"/>
          <w:szCs w:val="21"/>
        </w:rPr>
        <w:t>3.履行合同的时间、地点及方式：</w:t>
      </w:r>
      <w:r>
        <w:rPr>
          <w:rFonts w:hint="eastAsia" w:ascii="宋体" w:hAnsi="宋体" w:cs="宋体"/>
          <w:color w:val="000000"/>
          <w:szCs w:val="21"/>
          <w:u w:val="single"/>
        </w:rPr>
        <w:t xml:space="preserve">                             </w:t>
      </w:r>
    </w:p>
    <w:p w14:paraId="50CE12AA">
      <w:pPr>
        <w:adjustRightInd w:val="0"/>
        <w:snapToGrid w:val="0"/>
        <w:spacing w:before="156" w:beforeLines="50" w:line="360" w:lineRule="auto"/>
        <w:outlineLvl w:val="1"/>
        <w:rPr>
          <w:rFonts w:hint="eastAsia" w:ascii="宋体" w:hAnsi="宋体" w:cs="宋体"/>
          <w:color w:val="000000"/>
          <w:szCs w:val="21"/>
        </w:rPr>
      </w:pPr>
      <w:bookmarkStart w:id="39" w:name="_Toc3966"/>
      <w:r>
        <w:rPr>
          <w:rFonts w:hint="eastAsia" w:ascii="宋体" w:hAnsi="宋体" w:cs="宋体"/>
          <w:color w:val="000000"/>
          <w:szCs w:val="21"/>
          <w:lang w:val="en-US" w:eastAsia="zh-CN"/>
        </w:rPr>
        <w:t>4</w:t>
      </w:r>
      <w:r>
        <w:rPr>
          <w:rFonts w:hint="eastAsia" w:ascii="宋体" w:hAnsi="宋体" w:cs="宋体"/>
          <w:color w:val="000000"/>
          <w:szCs w:val="21"/>
        </w:rPr>
        <w:t>.解决合同纠纷方式</w:t>
      </w:r>
      <w:bookmarkEnd w:id="39"/>
    </w:p>
    <w:p w14:paraId="4AE42824">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首先通过双方协商解决，协商解决不成，则通过以下途径之一解决纠纷：</w:t>
      </w:r>
    </w:p>
    <w:p w14:paraId="0A8580E4">
      <w:pPr>
        <w:adjustRightInd w:val="0"/>
        <w:snapToGrid w:val="0"/>
        <w:spacing w:before="156" w:beforeLines="50" w:line="360" w:lineRule="auto"/>
        <w:ind w:firstLine="840" w:firstLineChars="400"/>
        <w:outlineLvl w:val="9"/>
        <w:rPr>
          <w:rFonts w:hint="eastAsia" w:ascii="宋体" w:hAnsi="宋体" w:cs="宋体"/>
          <w:color w:val="000000"/>
          <w:szCs w:val="21"/>
        </w:rPr>
      </w:pPr>
      <w:r>
        <w:rPr>
          <w:rFonts w:hint="eastAsia" w:ascii="宋体" w:hAnsi="宋体" w:cs="宋体"/>
          <w:color w:val="000000"/>
          <w:szCs w:val="21"/>
          <w:lang w:eastAsia="zh-CN"/>
        </w:rPr>
        <w:t>□</w:t>
      </w:r>
      <w:r>
        <w:rPr>
          <w:rFonts w:hint="eastAsia" w:ascii="宋体" w:hAnsi="宋体" w:cs="宋体"/>
          <w:color w:val="000000"/>
          <w:szCs w:val="21"/>
        </w:rPr>
        <w:t xml:space="preserve"> 提请仲裁       </w:t>
      </w:r>
      <w:r>
        <w:rPr>
          <w:rFonts w:hint="eastAsia" w:ascii="宋体" w:hAnsi="宋体" w:cs="宋体"/>
          <w:color w:val="000000"/>
          <w:szCs w:val="21"/>
          <w:lang w:eastAsia="zh-CN"/>
        </w:rPr>
        <w:t>□</w:t>
      </w:r>
      <w:r>
        <w:rPr>
          <w:rFonts w:hint="eastAsia" w:ascii="宋体" w:hAnsi="宋体" w:cs="宋体"/>
          <w:color w:val="000000"/>
          <w:szCs w:val="21"/>
        </w:rPr>
        <w:t xml:space="preserve"> 向人民法院提起诉讼</w:t>
      </w:r>
    </w:p>
    <w:p w14:paraId="0121A862">
      <w:pPr>
        <w:adjustRightInd w:val="0"/>
        <w:snapToGrid w:val="0"/>
        <w:spacing w:before="156" w:beforeLines="50" w:line="360" w:lineRule="auto"/>
        <w:outlineLvl w:val="1"/>
        <w:rPr>
          <w:rFonts w:hint="eastAsia" w:ascii="宋体" w:hAnsi="宋体" w:cs="宋体"/>
          <w:color w:val="000000"/>
          <w:szCs w:val="21"/>
        </w:rPr>
      </w:pPr>
      <w:bookmarkStart w:id="40" w:name="_Toc28391"/>
      <w:r>
        <w:rPr>
          <w:rFonts w:hint="eastAsia" w:ascii="宋体" w:hAnsi="宋体" w:cs="宋体"/>
          <w:color w:val="000000"/>
          <w:szCs w:val="21"/>
          <w:lang w:val="en-US" w:eastAsia="zh-CN"/>
        </w:rPr>
        <w:t>5</w:t>
      </w:r>
      <w:r>
        <w:rPr>
          <w:rFonts w:hint="eastAsia" w:ascii="宋体" w:hAnsi="宋体" w:cs="宋体"/>
          <w:color w:val="000000"/>
          <w:szCs w:val="21"/>
        </w:rPr>
        <w:t>.组成合同的文件</w:t>
      </w:r>
      <w:bookmarkEnd w:id="40"/>
    </w:p>
    <w:p w14:paraId="66B879D7">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合同由以下文件构成，如下述文件之间有任何抵触、矛盾或歧义，应按以下顺序解释：</w:t>
      </w:r>
    </w:p>
    <w:p w14:paraId="5070B830">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（1）在遴选或合同履行过程中乙方作出的承诺以及双方协商达成的变更或补充协议</w:t>
      </w:r>
    </w:p>
    <w:p w14:paraId="2DD48AB7">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（2）本合同协议书</w:t>
      </w:r>
    </w:p>
    <w:p w14:paraId="7A8772F5">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lang w:val="en-US" w:eastAsia="zh-CN"/>
        </w:rPr>
        <w:t>中选</w:t>
      </w:r>
      <w:r>
        <w:rPr>
          <w:rFonts w:hint="eastAsia" w:ascii="宋体" w:hAnsi="宋体" w:cs="宋体"/>
          <w:color w:val="000000"/>
          <w:szCs w:val="21"/>
        </w:rPr>
        <w:t>通知书</w:t>
      </w:r>
    </w:p>
    <w:p w14:paraId="15B0E146">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（4）申请文件</w:t>
      </w:r>
    </w:p>
    <w:p w14:paraId="41BDF5E5">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（5）遴选文件</w:t>
      </w:r>
    </w:p>
    <w:p w14:paraId="45EA1A46">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（6）国家及行业相关标准、规范及有关技术文件</w:t>
      </w:r>
    </w:p>
    <w:p w14:paraId="27599346">
      <w:pPr>
        <w:adjustRightInd w:val="0"/>
        <w:snapToGrid w:val="0"/>
        <w:spacing w:before="156" w:beforeLines="50" w:line="360" w:lineRule="auto"/>
        <w:outlineLvl w:val="1"/>
        <w:rPr>
          <w:rFonts w:hint="eastAsia" w:ascii="宋体" w:hAnsi="宋体" w:cs="宋体"/>
          <w:color w:val="000000"/>
          <w:szCs w:val="21"/>
        </w:rPr>
      </w:pPr>
      <w:bookmarkStart w:id="41" w:name="_Toc23854"/>
      <w:r>
        <w:rPr>
          <w:rFonts w:hint="eastAsia" w:ascii="宋体" w:hAnsi="宋体" w:cs="宋体"/>
          <w:color w:val="000000"/>
          <w:szCs w:val="21"/>
          <w:lang w:val="en-US" w:eastAsia="zh-CN"/>
        </w:rPr>
        <w:t>6</w:t>
      </w:r>
      <w:r>
        <w:rPr>
          <w:rFonts w:hint="eastAsia" w:ascii="宋体" w:hAnsi="宋体" w:cs="宋体"/>
          <w:color w:val="000000"/>
          <w:szCs w:val="21"/>
        </w:rPr>
        <w:t>.合同生效</w:t>
      </w:r>
      <w:bookmarkEnd w:id="41"/>
    </w:p>
    <w:p w14:paraId="766F0604">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本合同自</w:t>
      </w:r>
      <w:r>
        <w:rPr>
          <w:rFonts w:hint="eastAsia" w:ascii="宋体" w:hAnsi="宋体" w:cs="宋体"/>
          <w:color w:val="000000"/>
          <w:szCs w:val="21"/>
          <w:u w:val="single"/>
        </w:rPr>
        <w:t xml:space="preserve">                              </w:t>
      </w:r>
      <w:r>
        <w:rPr>
          <w:rFonts w:hint="eastAsia" w:ascii="宋体" w:hAnsi="宋体" w:cs="宋体"/>
          <w:color w:val="000000"/>
          <w:szCs w:val="21"/>
        </w:rPr>
        <w:t>生效。</w:t>
      </w:r>
    </w:p>
    <w:p w14:paraId="026DE66D">
      <w:pPr>
        <w:adjustRightInd w:val="0"/>
        <w:snapToGrid w:val="0"/>
        <w:spacing w:before="156" w:beforeLines="50" w:line="360" w:lineRule="auto"/>
        <w:outlineLvl w:val="1"/>
        <w:rPr>
          <w:rFonts w:hint="eastAsia" w:ascii="宋体" w:hAnsi="宋体" w:cs="宋体"/>
          <w:color w:val="000000"/>
          <w:szCs w:val="21"/>
        </w:rPr>
      </w:pPr>
      <w:bookmarkStart w:id="42" w:name="_Toc19202"/>
      <w:r>
        <w:rPr>
          <w:rFonts w:hint="eastAsia" w:ascii="宋体" w:hAnsi="宋体" w:cs="宋体"/>
          <w:color w:val="000000"/>
          <w:szCs w:val="21"/>
          <w:lang w:val="en-US" w:eastAsia="zh-CN"/>
        </w:rPr>
        <w:t>7</w:t>
      </w:r>
      <w:r>
        <w:rPr>
          <w:rFonts w:hint="eastAsia" w:ascii="宋体" w:hAnsi="宋体" w:cs="宋体"/>
          <w:color w:val="000000"/>
          <w:szCs w:val="21"/>
        </w:rPr>
        <w:t>.合同份数</w:t>
      </w:r>
      <w:bookmarkEnd w:id="42"/>
    </w:p>
    <w:p w14:paraId="3954A9F1">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 xml:space="preserve">本合同一式 </w:t>
      </w:r>
      <w:r>
        <w:rPr>
          <w:rFonts w:hint="eastAsia" w:ascii="宋体" w:hAnsi="宋体" w:cs="宋体"/>
          <w:color w:val="000000"/>
          <w:szCs w:val="21"/>
          <w:lang w:val="en-US" w:eastAsia="zh-CN"/>
        </w:rPr>
        <w:t>5</w:t>
      </w:r>
      <w:r>
        <w:rPr>
          <w:rFonts w:hint="eastAsia" w:ascii="宋体" w:hAnsi="宋体" w:cs="宋体"/>
          <w:color w:val="000000"/>
          <w:szCs w:val="21"/>
        </w:rPr>
        <w:t xml:space="preserve"> 份，甲方、乙方各</w:t>
      </w:r>
      <w:r>
        <w:rPr>
          <w:rFonts w:hint="eastAsia" w:ascii="宋体" w:hAnsi="宋体" w:cs="宋体"/>
          <w:color w:val="000000"/>
          <w:szCs w:val="21"/>
          <w:lang w:val="en-US" w:eastAsia="zh-CN"/>
        </w:rPr>
        <w:t>2</w:t>
      </w:r>
      <w:r>
        <w:rPr>
          <w:rFonts w:hint="eastAsia" w:ascii="宋体" w:hAnsi="宋体" w:cs="宋体"/>
          <w:color w:val="000000"/>
          <w:szCs w:val="21"/>
        </w:rPr>
        <w:t>份，代理机构1 份。</w:t>
      </w:r>
    </w:p>
    <w:p w14:paraId="4882D736">
      <w:pPr>
        <w:adjustRightInd w:val="0"/>
        <w:snapToGrid w:val="0"/>
        <w:spacing w:before="156" w:beforeLines="50" w:line="360" w:lineRule="auto"/>
        <w:ind w:firstLine="420" w:firstLineChars="200"/>
        <w:outlineLvl w:val="9"/>
        <w:rPr>
          <w:rFonts w:hint="eastAsia" w:ascii="宋体" w:hAnsi="宋体" w:cs="宋体"/>
          <w:color w:val="000000"/>
          <w:szCs w:val="21"/>
        </w:rPr>
      </w:pPr>
    </w:p>
    <w:p w14:paraId="1586B3D2">
      <w:pPr>
        <w:adjustRightInd w:val="0"/>
        <w:snapToGrid w:val="0"/>
        <w:spacing w:before="156" w:beforeLines="50" w:line="360" w:lineRule="auto"/>
        <w:outlineLvl w:val="9"/>
        <w:rPr>
          <w:rFonts w:hint="eastAsia" w:ascii="宋体" w:hAnsi="宋体" w:cs="宋体"/>
          <w:color w:val="000000"/>
          <w:szCs w:val="21"/>
        </w:rPr>
      </w:pPr>
      <w:r>
        <w:rPr>
          <w:rFonts w:hint="eastAsia" w:ascii="宋体" w:hAnsi="宋体" w:cs="宋体"/>
          <w:color w:val="000000"/>
          <w:szCs w:val="21"/>
        </w:rPr>
        <w:t>合同订立时间：</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124F3AA0">
      <w:pPr>
        <w:adjustRightInd w:val="0"/>
        <w:snapToGrid w:val="0"/>
        <w:spacing w:before="156" w:beforeLines="50" w:line="360" w:lineRule="auto"/>
        <w:outlineLvl w:val="9"/>
        <w:rPr>
          <w:rFonts w:hint="eastAsia" w:ascii="宋体" w:hAnsi="宋体" w:cs="宋体"/>
          <w:color w:val="000000"/>
          <w:szCs w:val="21"/>
        </w:rPr>
      </w:pPr>
      <w:r>
        <w:rPr>
          <w:rFonts w:hint="eastAsia" w:ascii="宋体" w:hAnsi="宋体" w:cs="宋体"/>
          <w:color w:val="000000"/>
          <w:szCs w:val="21"/>
        </w:rPr>
        <w:t>合同订立地点：</w:t>
      </w:r>
      <w:r>
        <w:rPr>
          <w:rFonts w:hint="eastAsia" w:ascii="宋体" w:hAnsi="宋体" w:cs="宋体"/>
          <w:color w:val="000000"/>
          <w:szCs w:val="21"/>
          <w:u w:val="single"/>
        </w:rPr>
        <w:t xml:space="preserve">                           </w:t>
      </w:r>
    </w:p>
    <w:p w14:paraId="01E0C271">
      <w:pPr>
        <w:adjustRightInd w:val="0"/>
        <w:snapToGrid w:val="0"/>
        <w:spacing w:before="156" w:beforeLines="50" w:line="360" w:lineRule="auto"/>
        <w:outlineLvl w:val="9"/>
        <w:rPr>
          <w:rFonts w:hint="eastAsia" w:ascii="宋体" w:hAnsi="宋体" w:cs="宋体"/>
          <w:color w:val="000000"/>
          <w:szCs w:val="21"/>
        </w:rPr>
      </w:pPr>
    </w:p>
    <w:tbl>
      <w:tblPr>
        <w:tblStyle w:val="12"/>
        <w:tblW w:w="0" w:type="auto"/>
        <w:tblInd w:w="108" w:type="dxa"/>
        <w:tblLayout w:type="fixed"/>
        <w:tblCellMar>
          <w:top w:w="0" w:type="dxa"/>
          <w:left w:w="108" w:type="dxa"/>
          <w:bottom w:w="0" w:type="dxa"/>
          <w:right w:w="108" w:type="dxa"/>
        </w:tblCellMar>
      </w:tblPr>
      <w:tblGrid>
        <w:gridCol w:w="4528"/>
        <w:gridCol w:w="4424"/>
      </w:tblGrid>
      <w:tr w14:paraId="04F6E1BC">
        <w:tblPrEx>
          <w:tblCellMar>
            <w:top w:w="0" w:type="dxa"/>
            <w:left w:w="108" w:type="dxa"/>
            <w:bottom w:w="0" w:type="dxa"/>
            <w:right w:w="108" w:type="dxa"/>
          </w:tblCellMar>
        </w:tblPrEx>
        <w:trPr>
          <w:cantSplit/>
          <w:trHeight w:val="3469" w:hRule="atLeast"/>
        </w:trPr>
        <w:tc>
          <w:tcPr>
            <w:tcW w:w="4528" w:type="dxa"/>
            <w:noWrap w:val="0"/>
            <w:vAlign w:val="top"/>
          </w:tcPr>
          <w:p w14:paraId="7CDADEFD">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甲方（盖章）：</w:t>
            </w:r>
          </w:p>
          <w:p w14:paraId="54984B14">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lang w:val="en-US" w:eastAsia="zh-CN"/>
              </w:rPr>
              <w:t>法定代表人</w:t>
            </w:r>
            <w:r>
              <w:rPr>
                <w:rFonts w:hint="eastAsia" w:ascii="宋体" w:hAnsi="宋体" w:cs="宋体"/>
                <w:color w:val="000000"/>
                <w:szCs w:val="21"/>
              </w:rPr>
              <w:t>：</w:t>
            </w:r>
            <w:r>
              <w:rPr>
                <w:rFonts w:hint="eastAsia" w:ascii="宋体" w:hAnsi="宋体" w:cs="宋体"/>
                <w:color w:val="000000"/>
                <w:szCs w:val="21"/>
                <w:u w:val="single"/>
              </w:rPr>
              <w:t xml:space="preserve">           </w:t>
            </w:r>
          </w:p>
          <w:p w14:paraId="4D0119DB">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委托代理人：</w:t>
            </w:r>
            <w:r>
              <w:rPr>
                <w:rFonts w:hint="eastAsia" w:ascii="宋体" w:hAnsi="宋体" w:cs="宋体"/>
                <w:color w:val="000000"/>
                <w:szCs w:val="21"/>
                <w:u w:val="single"/>
              </w:rPr>
              <w:t xml:space="preserve">           </w:t>
            </w:r>
          </w:p>
          <w:p w14:paraId="6E02B45D">
            <w:pPr>
              <w:adjustRightInd w:val="0"/>
              <w:snapToGrid w:val="0"/>
              <w:spacing w:before="156" w:beforeLines="50" w:line="360" w:lineRule="auto"/>
              <w:ind w:firstLine="420" w:firstLineChars="200"/>
              <w:outlineLvl w:val="9"/>
              <w:rPr>
                <w:rFonts w:hint="eastAsia" w:ascii="宋体" w:hAnsi="宋体" w:cs="宋体"/>
                <w:color w:val="000000"/>
                <w:szCs w:val="21"/>
                <w:u w:val="single"/>
              </w:rPr>
            </w:pPr>
            <w:r>
              <w:rPr>
                <w:rFonts w:hint="eastAsia" w:ascii="宋体" w:hAnsi="宋体" w:cs="宋体"/>
                <w:color w:val="000000"/>
                <w:szCs w:val="21"/>
              </w:rPr>
              <w:t>联系电话：</w:t>
            </w:r>
            <w:r>
              <w:rPr>
                <w:rFonts w:hint="eastAsia" w:ascii="宋体" w:hAnsi="宋体" w:cs="宋体"/>
                <w:color w:val="000000"/>
                <w:szCs w:val="21"/>
                <w:u w:val="single"/>
              </w:rPr>
              <w:t xml:space="preserve">             </w:t>
            </w:r>
          </w:p>
          <w:p w14:paraId="1ADE1275">
            <w:pPr>
              <w:adjustRightInd w:val="0"/>
              <w:snapToGrid w:val="0"/>
              <w:spacing w:before="156" w:beforeLines="50" w:line="360" w:lineRule="auto"/>
              <w:ind w:firstLine="420" w:firstLineChars="200"/>
              <w:outlineLvl w:val="9"/>
              <w:rPr>
                <w:rFonts w:hint="eastAsia" w:ascii="宋体" w:hAnsi="宋体" w:cs="宋体"/>
                <w:color w:val="000000"/>
                <w:szCs w:val="21"/>
                <w:u w:val="single"/>
              </w:rPr>
            </w:pPr>
            <w:r>
              <w:rPr>
                <w:rFonts w:hint="eastAsia" w:ascii="宋体" w:hAnsi="宋体" w:cs="宋体"/>
                <w:color w:val="000000"/>
                <w:szCs w:val="21"/>
              </w:rPr>
              <w:t>单位地址：</w:t>
            </w:r>
            <w:r>
              <w:rPr>
                <w:rFonts w:hint="eastAsia" w:ascii="宋体" w:hAnsi="宋体" w:cs="宋体"/>
                <w:color w:val="000000"/>
                <w:szCs w:val="21"/>
                <w:u w:val="single"/>
              </w:rPr>
              <w:t xml:space="preserve">             </w:t>
            </w:r>
          </w:p>
          <w:p w14:paraId="033FA17F">
            <w:pPr>
              <w:adjustRightInd w:val="0"/>
              <w:snapToGrid w:val="0"/>
              <w:spacing w:before="156" w:beforeLines="50" w:line="360" w:lineRule="auto"/>
              <w:ind w:firstLine="420" w:firstLineChars="200"/>
              <w:outlineLvl w:val="9"/>
              <w:rPr>
                <w:rFonts w:hint="eastAsia" w:ascii="宋体" w:hAnsi="宋体" w:cs="宋体"/>
                <w:color w:val="000000"/>
                <w:szCs w:val="21"/>
              </w:rPr>
            </w:pPr>
          </w:p>
        </w:tc>
        <w:tc>
          <w:tcPr>
            <w:tcW w:w="4424" w:type="dxa"/>
            <w:noWrap w:val="0"/>
            <w:vAlign w:val="top"/>
          </w:tcPr>
          <w:p w14:paraId="1D4A93D8">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乙方（盖章）：</w:t>
            </w:r>
          </w:p>
          <w:p w14:paraId="392F07F1">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承保机构公司负责人：</w:t>
            </w:r>
            <w:r>
              <w:rPr>
                <w:rFonts w:hint="eastAsia" w:ascii="宋体" w:hAnsi="宋体" w:cs="宋体"/>
                <w:color w:val="000000"/>
                <w:szCs w:val="21"/>
                <w:u w:val="single"/>
              </w:rPr>
              <w:t xml:space="preserve">           </w:t>
            </w:r>
          </w:p>
          <w:p w14:paraId="1B6F27D1">
            <w:pPr>
              <w:adjustRightInd w:val="0"/>
              <w:snapToGrid w:val="0"/>
              <w:spacing w:before="156" w:beforeLines="50"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委托代理人：</w:t>
            </w:r>
            <w:r>
              <w:rPr>
                <w:rFonts w:hint="eastAsia" w:ascii="宋体" w:hAnsi="宋体" w:cs="宋体"/>
                <w:color w:val="000000"/>
                <w:szCs w:val="21"/>
                <w:u w:val="single"/>
              </w:rPr>
              <w:t xml:space="preserve">           </w:t>
            </w:r>
          </w:p>
          <w:p w14:paraId="73597A2C">
            <w:pPr>
              <w:adjustRightInd w:val="0"/>
              <w:snapToGrid w:val="0"/>
              <w:spacing w:before="156" w:beforeLines="50" w:line="360" w:lineRule="auto"/>
              <w:ind w:firstLine="420" w:firstLineChars="200"/>
              <w:outlineLvl w:val="9"/>
              <w:rPr>
                <w:rFonts w:hint="eastAsia" w:ascii="宋体" w:hAnsi="宋体" w:cs="宋体"/>
                <w:color w:val="000000"/>
                <w:szCs w:val="21"/>
                <w:u w:val="single"/>
              </w:rPr>
            </w:pPr>
            <w:r>
              <w:rPr>
                <w:rFonts w:hint="eastAsia" w:ascii="宋体" w:hAnsi="宋体" w:cs="宋体"/>
                <w:color w:val="000000"/>
                <w:szCs w:val="21"/>
              </w:rPr>
              <w:t>联系电话：</w:t>
            </w:r>
            <w:r>
              <w:rPr>
                <w:rFonts w:hint="eastAsia" w:ascii="宋体" w:hAnsi="宋体" w:cs="宋体"/>
                <w:color w:val="000000"/>
                <w:szCs w:val="21"/>
                <w:u w:val="single"/>
              </w:rPr>
              <w:t xml:space="preserve">             </w:t>
            </w:r>
          </w:p>
          <w:p w14:paraId="04410DAC">
            <w:pPr>
              <w:adjustRightInd w:val="0"/>
              <w:snapToGrid w:val="0"/>
              <w:spacing w:before="156" w:beforeLines="50" w:line="360" w:lineRule="auto"/>
              <w:ind w:firstLine="420" w:firstLineChars="200"/>
              <w:outlineLvl w:val="9"/>
              <w:rPr>
                <w:rFonts w:hint="eastAsia" w:ascii="宋体" w:hAnsi="宋体" w:cs="宋体"/>
                <w:color w:val="000000"/>
                <w:szCs w:val="21"/>
                <w:u w:val="single"/>
              </w:rPr>
            </w:pPr>
            <w:r>
              <w:rPr>
                <w:rFonts w:hint="eastAsia" w:ascii="宋体" w:hAnsi="宋体" w:cs="宋体"/>
                <w:color w:val="000000"/>
                <w:szCs w:val="21"/>
              </w:rPr>
              <w:t>单位地址：</w:t>
            </w:r>
            <w:r>
              <w:rPr>
                <w:rFonts w:hint="eastAsia" w:ascii="宋体" w:hAnsi="宋体" w:cs="宋体"/>
                <w:color w:val="000000"/>
                <w:szCs w:val="21"/>
                <w:u w:val="single"/>
              </w:rPr>
              <w:t xml:space="preserve">             </w:t>
            </w:r>
          </w:p>
          <w:p w14:paraId="4841CAA4">
            <w:pPr>
              <w:adjustRightInd w:val="0"/>
              <w:snapToGrid w:val="0"/>
              <w:spacing w:before="156" w:beforeLines="50" w:line="360" w:lineRule="auto"/>
              <w:ind w:firstLine="420" w:firstLineChars="200"/>
              <w:outlineLvl w:val="9"/>
              <w:rPr>
                <w:rFonts w:hint="eastAsia" w:ascii="宋体" w:hAnsi="宋体" w:cs="宋体"/>
                <w:color w:val="000000"/>
                <w:szCs w:val="21"/>
                <w:u w:val="single"/>
              </w:rPr>
            </w:pPr>
            <w:r>
              <w:rPr>
                <w:rFonts w:hint="eastAsia" w:ascii="宋体" w:hAnsi="宋体" w:cs="宋体"/>
                <w:color w:val="000000"/>
                <w:szCs w:val="21"/>
              </w:rPr>
              <w:t>开户银行：</w:t>
            </w:r>
            <w:r>
              <w:rPr>
                <w:rFonts w:hint="eastAsia" w:ascii="宋体" w:hAnsi="宋体" w:cs="宋体"/>
                <w:color w:val="000000"/>
                <w:szCs w:val="21"/>
                <w:u w:val="single"/>
              </w:rPr>
              <w:t xml:space="preserve">             </w:t>
            </w:r>
          </w:p>
          <w:p w14:paraId="18A9B545">
            <w:pPr>
              <w:adjustRightInd w:val="0"/>
              <w:snapToGrid w:val="0"/>
              <w:spacing w:before="156" w:beforeLines="50" w:line="360" w:lineRule="auto"/>
              <w:ind w:firstLine="420" w:firstLineChars="200"/>
              <w:outlineLvl w:val="9"/>
              <w:rPr>
                <w:rFonts w:hint="eastAsia" w:ascii="宋体" w:hAnsi="宋体" w:cs="宋体"/>
                <w:color w:val="000000"/>
                <w:szCs w:val="21"/>
                <w:u w:val="single"/>
              </w:rPr>
            </w:pPr>
            <w:r>
              <w:rPr>
                <w:rFonts w:hint="eastAsia" w:ascii="宋体" w:hAnsi="宋体" w:cs="宋体"/>
                <w:color w:val="000000"/>
                <w:szCs w:val="21"/>
              </w:rPr>
              <w:t>账    号：</w:t>
            </w:r>
            <w:r>
              <w:rPr>
                <w:rFonts w:hint="eastAsia" w:ascii="宋体" w:hAnsi="宋体" w:cs="宋体"/>
                <w:color w:val="000000"/>
                <w:szCs w:val="21"/>
                <w:u w:val="single"/>
              </w:rPr>
              <w:t xml:space="preserve">              </w:t>
            </w:r>
          </w:p>
        </w:tc>
      </w:tr>
    </w:tbl>
    <w:p w14:paraId="76789C58">
      <w:pPr>
        <w:tabs>
          <w:tab w:val="left" w:pos="5400"/>
          <w:tab w:val="left" w:pos="6480"/>
        </w:tabs>
        <w:spacing w:line="460" w:lineRule="exact"/>
        <w:outlineLvl w:val="9"/>
        <w:rPr>
          <w:rFonts w:hint="eastAsia" w:ascii="宋体" w:hAnsi="宋体" w:cs="宋体"/>
          <w:color w:val="000000"/>
          <w:szCs w:val="21"/>
        </w:rPr>
      </w:pPr>
      <w:r>
        <w:rPr>
          <w:rFonts w:hint="eastAsia" w:ascii="宋体" w:hAnsi="宋体" w:cs="宋体"/>
          <w:color w:val="000000"/>
          <w:szCs w:val="32"/>
        </w:rPr>
        <w:t xml:space="preserve"> </w:t>
      </w:r>
    </w:p>
    <w:p w14:paraId="3BCD098D">
      <w:pPr>
        <w:pStyle w:val="7"/>
        <w:ind w:firstLine="422" w:firstLineChars="200"/>
        <w:outlineLvl w:val="9"/>
        <w:rPr>
          <w:rFonts w:hint="eastAsia" w:hAnsi="宋体" w:cs="宋体"/>
          <w:b/>
          <w:bCs/>
          <w:color w:val="000000"/>
        </w:rPr>
      </w:pPr>
      <w:r>
        <w:rPr>
          <w:rFonts w:hint="eastAsia" w:hAnsi="宋体" w:cs="宋体"/>
          <w:b/>
          <w:bCs/>
          <w:color w:val="000000"/>
        </w:rPr>
        <w:t>注：合同具体要求及细则双方自行约定。</w:t>
      </w:r>
    </w:p>
    <w:p w14:paraId="6AD194AC">
      <w:pPr>
        <w:spacing w:line="480" w:lineRule="exact"/>
        <w:outlineLvl w:val="9"/>
        <w:rPr>
          <w:rFonts w:hint="eastAsia" w:ascii="宋体" w:hAnsi="宋体" w:cs="宋体"/>
          <w:b/>
          <w:bCs/>
          <w:color w:val="000000"/>
          <w:sz w:val="30"/>
          <w:szCs w:val="30"/>
        </w:rPr>
      </w:pPr>
    </w:p>
    <w:p w14:paraId="7F904C41">
      <w:pPr>
        <w:spacing w:line="480" w:lineRule="exact"/>
        <w:jc w:val="center"/>
        <w:outlineLvl w:val="9"/>
        <w:rPr>
          <w:rFonts w:hint="eastAsia" w:ascii="宋体" w:hAnsi="宋体" w:cs="宋体"/>
          <w:b/>
          <w:bCs/>
          <w:color w:val="000000"/>
          <w:sz w:val="30"/>
          <w:szCs w:val="30"/>
        </w:rPr>
      </w:pPr>
    </w:p>
    <w:p w14:paraId="462AFBB4">
      <w:pPr>
        <w:spacing w:line="480" w:lineRule="exact"/>
        <w:jc w:val="center"/>
        <w:outlineLvl w:val="9"/>
        <w:rPr>
          <w:rFonts w:hint="eastAsia" w:ascii="宋体" w:hAnsi="宋体" w:cs="宋体"/>
          <w:b/>
          <w:bCs/>
          <w:color w:val="000000"/>
          <w:sz w:val="30"/>
          <w:szCs w:val="30"/>
        </w:rPr>
      </w:pPr>
    </w:p>
    <w:p w14:paraId="4FD2B46A">
      <w:pPr>
        <w:spacing w:line="480" w:lineRule="exact"/>
        <w:jc w:val="center"/>
        <w:outlineLvl w:val="9"/>
        <w:rPr>
          <w:rFonts w:hint="eastAsia" w:ascii="宋体" w:hAnsi="宋体" w:cs="宋体"/>
          <w:b/>
          <w:bCs/>
          <w:color w:val="000000"/>
          <w:sz w:val="32"/>
          <w:szCs w:val="32"/>
        </w:rPr>
      </w:pPr>
    </w:p>
    <w:p w14:paraId="4A3D8887">
      <w:pPr>
        <w:adjustRightInd w:val="0"/>
        <w:snapToGrid w:val="0"/>
        <w:spacing w:line="360" w:lineRule="auto"/>
        <w:jc w:val="center"/>
        <w:outlineLvl w:val="0"/>
        <w:rPr>
          <w:rFonts w:hint="eastAsia" w:ascii="宋体" w:hAnsi="宋体" w:cs="宋体"/>
          <w:b/>
          <w:bCs/>
          <w:color w:val="000000"/>
          <w:w w:val="90"/>
          <w:sz w:val="32"/>
          <w:szCs w:val="32"/>
        </w:rPr>
      </w:pPr>
      <w:r>
        <w:rPr>
          <w:rFonts w:hint="eastAsia" w:ascii="宋体" w:hAnsi="宋体" w:cs="宋体"/>
          <w:b/>
          <w:bCs/>
          <w:color w:val="000000"/>
          <w:w w:val="90"/>
          <w:sz w:val="32"/>
          <w:szCs w:val="32"/>
        </w:rPr>
        <w:br w:type="page"/>
      </w:r>
      <w:bookmarkStart w:id="43" w:name="_Toc31991"/>
      <w:r>
        <w:rPr>
          <w:rFonts w:hint="eastAsia" w:ascii="宋体" w:hAnsi="宋体" w:cs="宋体"/>
          <w:b/>
          <w:bCs/>
          <w:color w:val="000000"/>
          <w:sz w:val="32"/>
          <w:szCs w:val="32"/>
        </w:rPr>
        <w:t>第四章 遴选规则</w:t>
      </w:r>
      <w:bookmarkEnd w:id="43"/>
    </w:p>
    <w:p w14:paraId="7F2D5AFF">
      <w:pPr>
        <w:pStyle w:val="17"/>
        <w:ind w:firstLine="0" w:firstLineChars="0"/>
        <w:outlineLvl w:val="9"/>
        <w:rPr>
          <w:rFonts w:hint="eastAsia" w:ascii="宋体" w:hAnsi="宋体" w:cs="宋体"/>
        </w:rPr>
      </w:pPr>
    </w:p>
    <w:p w14:paraId="095292A5">
      <w:pPr>
        <w:pStyle w:val="17"/>
        <w:numPr>
          <w:ilvl w:val="0"/>
          <w:numId w:val="2"/>
        </w:numPr>
        <w:spacing w:line="360" w:lineRule="auto"/>
        <w:ind w:firstLine="0" w:firstLineChars="0"/>
        <w:outlineLvl w:val="1"/>
        <w:rPr>
          <w:rFonts w:hint="eastAsia" w:ascii="宋体" w:hAnsi="宋体" w:cs="宋体"/>
        </w:rPr>
      </w:pPr>
      <w:bookmarkStart w:id="44" w:name="_Toc17529"/>
      <w:r>
        <w:rPr>
          <w:rFonts w:hint="eastAsia" w:ascii="宋体" w:hAnsi="宋体" w:cs="宋体"/>
        </w:rPr>
        <w:t>遴选数量</w:t>
      </w:r>
      <w:bookmarkEnd w:id="44"/>
    </w:p>
    <w:p w14:paraId="246094E1">
      <w:pPr>
        <w:pStyle w:val="17"/>
        <w:numPr>
          <w:ilvl w:val="0"/>
          <w:numId w:val="3"/>
        </w:numPr>
        <w:spacing w:line="360" w:lineRule="auto"/>
        <w:outlineLvl w:val="9"/>
        <w:rPr>
          <w:rFonts w:hint="eastAsia" w:ascii="宋体" w:hAnsi="宋体" w:cs="宋体"/>
          <w:color w:val="auto"/>
          <w:highlight w:val="none"/>
          <w:u w:val="none"/>
        </w:rPr>
      </w:pPr>
      <w:r>
        <w:rPr>
          <w:rFonts w:hint="eastAsia" w:ascii="宋体" w:hAnsi="宋体" w:cs="宋体"/>
          <w:highlight w:val="none"/>
          <w:u w:val="none"/>
        </w:rPr>
        <w:t>本次遴选最终中选的承保机</w:t>
      </w:r>
      <w:r>
        <w:rPr>
          <w:rFonts w:hint="eastAsia" w:ascii="宋体" w:hAnsi="宋体" w:cs="宋体"/>
          <w:color w:val="auto"/>
          <w:highlight w:val="none"/>
          <w:u w:val="none"/>
        </w:rPr>
        <w:t>构为</w:t>
      </w:r>
      <w:r>
        <w:rPr>
          <w:rFonts w:hint="eastAsia" w:ascii="宋体" w:hAnsi="宋体" w:cs="宋体"/>
          <w:color w:val="auto"/>
          <w:highlight w:val="none"/>
          <w:u w:val="none"/>
          <w:lang w:val="en-US" w:eastAsia="zh-CN"/>
        </w:rPr>
        <w:t>4家</w:t>
      </w:r>
      <w:r>
        <w:rPr>
          <w:rFonts w:hint="eastAsia" w:ascii="宋体" w:hAnsi="宋体" w:cs="宋体"/>
          <w:color w:val="auto"/>
          <w:highlight w:val="none"/>
          <w:u w:val="none"/>
          <w:lang w:eastAsia="zh-CN"/>
        </w:rPr>
        <w:t>。</w:t>
      </w:r>
    </w:p>
    <w:p w14:paraId="32BF7C24">
      <w:pPr>
        <w:pStyle w:val="17"/>
        <w:numPr>
          <w:ilvl w:val="0"/>
          <w:numId w:val="2"/>
        </w:numPr>
        <w:spacing w:line="360" w:lineRule="auto"/>
        <w:ind w:left="0" w:leftChars="0" w:firstLine="0" w:firstLineChars="0"/>
        <w:outlineLvl w:val="1"/>
        <w:rPr>
          <w:rFonts w:hint="eastAsia" w:ascii="宋体" w:hAnsi="宋体" w:cs="宋体"/>
          <w:lang w:val="en-US" w:eastAsia="zh-CN"/>
        </w:rPr>
      </w:pPr>
      <w:bookmarkStart w:id="45" w:name="_Toc9924"/>
      <w:r>
        <w:rPr>
          <w:rFonts w:hint="eastAsia" w:ascii="宋体" w:hAnsi="宋体" w:cs="宋体"/>
          <w:lang w:val="en-US" w:eastAsia="zh-CN"/>
        </w:rPr>
        <w:t>选包规则</w:t>
      </w:r>
      <w:bookmarkEnd w:id="45"/>
    </w:p>
    <w:p w14:paraId="7F64D147">
      <w:pPr>
        <w:pStyle w:val="17"/>
        <w:numPr>
          <w:ilvl w:val="0"/>
          <w:numId w:val="0"/>
        </w:numPr>
        <w:spacing w:line="360" w:lineRule="auto"/>
        <w:ind w:leftChars="0" w:firstLine="420" w:firstLineChars="200"/>
        <w:outlineLvl w:val="9"/>
        <w:rPr>
          <w:rFonts w:hint="eastAsia" w:ascii="宋体" w:hAnsi="宋体" w:eastAsia="宋体" w:cs="宋体"/>
          <w:lang w:eastAsia="zh-CN"/>
        </w:rPr>
      </w:pPr>
      <w:r>
        <w:rPr>
          <w:rFonts w:hint="eastAsia" w:ascii="宋体" w:hAnsi="宋体" w:eastAsia="宋体" w:cs="宋体"/>
          <w:lang w:eastAsia="zh-CN"/>
        </w:rPr>
        <w:t>中选机构根据排名先后依次选择标包，每个机构只能选2个标包。其中，第一名和第二名不得同时选择由同1个品种大类拆分的另2个标包，且不能同时选每个品种大类的最大包；第三名和第四名只能从水稻油菜或能繁母猪育肥猪大类中选一个标包，再从玉米或森林保险中选一个标包。</w:t>
      </w:r>
    </w:p>
    <w:p w14:paraId="5DDAF20C">
      <w:pPr>
        <w:pStyle w:val="17"/>
        <w:numPr>
          <w:ilvl w:val="0"/>
          <w:numId w:val="4"/>
        </w:numPr>
        <w:spacing w:line="360" w:lineRule="auto"/>
        <w:ind w:firstLine="0" w:firstLineChars="0"/>
        <w:outlineLvl w:val="1"/>
        <w:rPr>
          <w:rFonts w:hint="eastAsia" w:ascii="宋体" w:hAnsi="宋体" w:cs="宋体"/>
        </w:rPr>
      </w:pPr>
      <w:bookmarkStart w:id="46" w:name="_Toc8862"/>
      <w:r>
        <w:rPr>
          <w:rFonts w:hint="eastAsia" w:ascii="宋体" w:hAnsi="宋体" w:cs="宋体"/>
        </w:rPr>
        <w:t>服务期限</w:t>
      </w:r>
      <w:bookmarkEnd w:id="46"/>
    </w:p>
    <w:p w14:paraId="30C29FC7">
      <w:pPr>
        <w:pStyle w:val="17"/>
        <w:spacing w:line="360" w:lineRule="auto"/>
        <w:ind w:firstLine="420" w:firstLineChars="200"/>
        <w:outlineLvl w:val="9"/>
        <w:rPr>
          <w:rFonts w:hint="eastAsia" w:ascii="宋体" w:hAnsi="宋体" w:cs="宋体"/>
        </w:rPr>
      </w:pPr>
      <w:r>
        <w:rPr>
          <w:rFonts w:hint="eastAsia" w:ascii="宋体" w:hAnsi="宋体" w:cs="宋体"/>
        </w:rPr>
        <w:t>1、服务期限：中选承保机构承保服务期限为3年(</w:t>
      </w:r>
      <w:r>
        <w:rPr>
          <w:rFonts w:hint="eastAsia" w:ascii="宋体" w:hAnsi="宋体" w:cs="宋体"/>
          <w:lang w:eastAsia="zh-CN"/>
        </w:rPr>
        <w:t>2023年</w:t>
      </w:r>
      <w:r>
        <w:rPr>
          <w:rFonts w:hint="eastAsia" w:ascii="宋体" w:hAnsi="宋体" w:cs="宋体"/>
        </w:rPr>
        <w:t>-202</w:t>
      </w:r>
      <w:r>
        <w:rPr>
          <w:rFonts w:hint="eastAsia" w:ascii="宋体" w:hAnsi="宋体" w:cs="宋体"/>
          <w:lang w:val="en-US" w:eastAsia="zh-CN"/>
        </w:rPr>
        <w:t>5</w:t>
      </w:r>
      <w:r>
        <w:rPr>
          <w:rFonts w:hint="eastAsia" w:ascii="宋体" w:hAnsi="宋体" w:cs="宋体"/>
        </w:rPr>
        <w:t>年)。在服务期限内,如存在以下情形的,取消中选承保机构剩余服务期限内的农业保险承保资格:</w:t>
      </w:r>
    </w:p>
    <w:p w14:paraId="25EFA12B">
      <w:pPr>
        <w:pStyle w:val="17"/>
        <w:spacing w:line="360" w:lineRule="auto"/>
        <w:ind w:firstLine="420" w:firstLineChars="200"/>
        <w:outlineLvl w:val="9"/>
        <w:rPr>
          <w:rFonts w:hint="eastAsia" w:ascii="宋体" w:hAnsi="宋体" w:cs="宋体"/>
          <w:highlight w:val="none"/>
        </w:rPr>
      </w:pPr>
      <w:r>
        <w:rPr>
          <w:rFonts w:hint="eastAsia" w:ascii="宋体" w:hAnsi="宋体" w:cs="宋体"/>
          <w:highlight w:val="none"/>
        </w:rPr>
        <w:t>（1）在服务期限内连续两年绩效评价在70分以下;</w:t>
      </w:r>
    </w:p>
    <w:p w14:paraId="45FBA751">
      <w:pPr>
        <w:pStyle w:val="17"/>
        <w:spacing w:line="360" w:lineRule="auto"/>
        <w:ind w:firstLine="420" w:firstLineChars="200"/>
        <w:outlineLvl w:val="9"/>
        <w:rPr>
          <w:rFonts w:hint="eastAsia" w:ascii="宋体" w:hAnsi="宋体" w:cs="宋体"/>
          <w:highlight w:val="none"/>
        </w:rPr>
      </w:pPr>
      <w:r>
        <w:rPr>
          <w:rFonts w:hint="eastAsia" w:ascii="宋体" w:hAnsi="宋体" w:cs="宋体"/>
          <w:highlight w:val="none"/>
        </w:rPr>
        <w:t>（2）单次绩效评价在60分以下;</w:t>
      </w:r>
    </w:p>
    <w:p w14:paraId="483E8DE5">
      <w:pPr>
        <w:pStyle w:val="17"/>
        <w:spacing w:line="360" w:lineRule="auto"/>
        <w:ind w:firstLine="420" w:firstLineChars="200"/>
        <w:outlineLvl w:val="9"/>
        <w:rPr>
          <w:rFonts w:hint="eastAsia" w:ascii="宋体" w:hAnsi="宋体" w:cs="宋体"/>
          <w:highlight w:val="none"/>
        </w:rPr>
      </w:pPr>
      <w:r>
        <w:rPr>
          <w:rFonts w:hint="eastAsia" w:ascii="宋体" w:hAnsi="宋体" w:cs="宋体"/>
          <w:highlight w:val="none"/>
        </w:rPr>
        <w:t>（3）被财政、银保监等相关管理部门处罚停止农业保险补贴或业务的;</w:t>
      </w:r>
    </w:p>
    <w:p w14:paraId="01E67E22">
      <w:pPr>
        <w:pStyle w:val="17"/>
        <w:spacing w:line="360" w:lineRule="auto"/>
        <w:ind w:firstLine="420" w:firstLineChars="200"/>
        <w:outlineLvl w:val="9"/>
        <w:rPr>
          <w:rFonts w:hint="eastAsia" w:ascii="宋体" w:hAnsi="宋体" w:cs="宋体"/>
          <w:highlight w:val="none"/>
        </w:rPr>
      </w:pPr>
      <w:r>
        <w:rPr>
          <w:rFonts w:hint="eastAsia" w:ascii="宋体" w:hAnsi="宋体" w:cs="宋体"/>
          <w:highlight w:val="none"/>
        </w:rPr>
        <w:t>（4）承保机构及其负责人因农业保险严重违规被移送纪检监察及司法部门并受到处理的。</w:t>
      </w:r>
    </w:p>
    <w:p w14:paraId="62255AA3">
      <w:pPr>
        <w:pStyle w:val="17"/>
        <w:spacing w:line="360" w:lineRule="auto"/>
        <w:ind w:firstLine="420" w:firstLineChars="200"/>
        <w:outlineLvl w:val="9"/>
        <w:rPr>
          <w:rFonts w:hint="eastAsia" w:ascii="宋体" w:hAnsi="宋体" w:cs="宋体"/>
          <w:highlight w:val="none"/>
          <w:lang w:eastAsia="zh-CN"/>
        </w:rPr>
      </w:pPr>
      <w:r>
        <w:rPr>
          <w:rFonts w:hint="eastAsia" w:ascii="宋体" w:hAnsi="宋体" w:cs="宋体"/>
          <w:highlight w:val="none"/>
          <w:lang w:eastAsia="zh-CN"/>
        </w:rPr>
        <w:t>（</w:t>
      </w:r>
      <w:r>
        <w:rPr>
          <w:rFonts w:hint="eastAsia" w:ascii="宋体" w:hAnsi="宋体" w:cs="宋体"/>
          <w:highlight w:val="none"/>
          <w:lang w:val="en-US" w:eastAsia="zh-CN"/>
        </w:rPr>
        <w:t>5</w:t>
      </w:r>
      <w:r>
        <w:rPr>
          <w:rFonts w:hint="eastAsia" w:ascii="宋体" w:hAnsi="宋体" w:cs="宋体"/>
          <w:highlight w:val="none"/>
          <w:lang w:eastAsia="zh-CN"/>
        </w:rPr>
        <w:t>）以违规引税等不正当手段获得中选资格的。</w:t>
      </w:r>
    </w:p>
    <w:p w14:paraId="549C66E6">
      <w:pPr>
        <w:pStyle w:val="17"/>
        <w:spacing w:line="360" w:lineRule="auto"/>
        <w:ind w:firstLine="420" w:firstLineChars="200"/>
        <w:outlineLvl w:val="9"/>
        <w:rPr>
          <w:rFonts w:hint="eastAsia" w:ascii="宋体" w:hAnsi="宋体" w:eastAsia="宋体" w:cs="宋体"/>
          <w:highlight w:val="none"/>
          <w:lang w:eastAsia="zh-CN"/>
        </w:rPr>
      </w:pPr>
      <w:r>
        <w:rPr>
          <w:rFonts w:hint="eastAsia" w:ascii="宋体" w:hAnsi="宋体" w:cs="宋体"/>
          <w:highlight w:val="none"/>
          <w:lang w:eastAsia="zh-CN"/>
        </w:rPr>
        <w:t>取消资格后该承保机构负责的业务原则上由其他中选承保机构承接，确有需要的可按遴选排名依次等额 递补，服务期限为原中选承保机构的剩余服务期限，具体办法由遴选区域财政、农业农村部门制定，相关情况及时报省财政厅、省农业农村厅备案。</w:t>
      </w:r>
    </w:p>
    <w:p w14:paraId="1D917356">
      <w:pPr>
        <w:pStyle w:val="17"/>
        <w:spacing w:line="360" w:lineRule="auto"/>
        <w:ind w:firstLine="0" w:firstLineChars="0"/>
        <w:outlineLvl w:val="1"/>
        <w:rPr>
          <w:rFonts w:hint="eastAsia" w:ascii="宋体" w:hAnsi="宋体" w:cs="宋体"/>
          <w:highlight w:val="none"/>
        </w:rPr>
      </w:pPr>
      <w:bookmarkStart w:id="47" w:name="_Toc8016"/>
      <w:r>
        <w:rPr>
          <w:rFonts w:hint="eastAsia" w:ascii="宋体" w:hAnsi="宋体" w:cs="宋体"/>
          <w:highlight w:val="none"/>
        </w:rPr>
        <w:t>四、业务调整规定</w:t>
      </w:r>
      <w:bookmarkEnd w:id="47"/>
    </w:p>
    <w:p w14:paraId="58BD5567">
      <w:pPr>
        <w:pStyle w:val="17"/>
        <w:spacing w:line="360" w:lineRule="auto"/>
        <w:ind w:firstLine="420" w:firstLineChars="200"/>
        <w:outlineLvl w:val="9"/>
        <w:rPr>
          <w:rFonts w:hint="eastAsia" w:ascii="宋体" w:hAnsi="宋体" w:cs="宋体"/>
          <w:color w:val="auto"/>
          <w:highlight w:val="none"/>
        </w:rPr>
      </w:pPr>
      <w:r>
        <w:rPr>
          <w:rFonts w:hint="eastAsia" w:ascii="宋体" w:hAnsi="宋体" w:cs="宋体"/>
          <w:color w:val="auto"/>
          <w:highlight w:val="none"/>
        </w:rPr>
        <w:t>服务期限内各品种政策发生调整,仍由原中选承保机构承保。服务期内由于政策变化或当地产业发展需要出现新品种</w:t>
      </w:r>
      <w:r>
        <w:rPr>
          <w:rFonts w:hint="eastAsia" w:ascii="宋体" w:hAnsi="宋体" w:cs="宋体"/>
          <w:color w:val="auto"/>
          <w:highlight w:val="none"/>
          <w:u w:val="none"/>
        </w:rPr>
        <w:t>,</w:t>
      </w:r>
      <w:r>
        <w:rPr>
          <w:rFonts w:hint="eastAsia" w:ascii="宋体" w:hAnsi="宋体" w:cs="宋体"/>
          <w:color w:val="auto"/>
          <w:highlight w:val="none"/>
          <w:u w:val="none"/>
          <w:lang w:eastAsia="zh-CN"/>
        </w:rPr>
        <w:t>参照遴选规则第三条规定确定承包机构</w:t>
      </w:r>
      <w:r>
        <w:rPr>
          <w:rFonts w:hint="eastAsia" w:ascii="宋体" w:hAnsi="宋体" w:cs="宋体"/>
          <w:color w:val="auto"/>
          <w:highlight w:val="none"/>
          <w:u w:val="none"/>
        </w:rPr>
        <w:t>,服务期限与该地区已遴选品种的剩余服务</w:t>
      </w:r>
      <w:r>
        <w:rPr>
          <w:rFonts w:hint="eastAsia" w:ascii="宋体" w:hAnsi="宋体" w:cs="宋体"/>
          <w:color w:val="auto"/>
          <w:highlight w:val="none"/>
        </w:rPr>
        <w:t>期限保持一致,下一轮遴选与其他品种一并开展。</w:t>
      </w:r>
    </w:p>
    <w:p w14:paraId="67D85F19">
      <w:pPr>
        <w:adjustRightInd w:val="0"/>
        <w:snapToGrid w:val="0"/>
        <w:spacing w:line="360" w:lineRule="auto"/>
        <w:jc w:val="center"/>
        <w:outlineLvl w:val="0"/>
        <w:rPr>
          <w:rFonts w:hint="eastAsia" w:ascii="宋体" w:hAnsi="宋体" w:cs="宋体"/>
          <w:b/>
          <w:bCs/>
          <w:color w:val="000000"/>
          <w:sz w:val="32"/>
          <w:szCs w:val="32"/>
        </w:rPr>
      </w:pPr>
      <w:r>
        <w:rPr>
          <w:rFonts w:hint="eastAsia" w:ascii="宋体" w:hAnsi="宋体" w:cs="宋体"/>
          <w:b/>
          <w:bCs/>
          <w:color w:val="auto"/>
          <w:sz w:val="32"/>
          <w:szCs w:val="32"/>
        </w:rPr>
        <w:br w:type="page"/>
      </w:r>
      <w:bookmarkStart w:id="48" w:name="_Toc3887"/>
      <w:r>
        <w:rPr>
          <w:rFonts w:hint="eastAsia" w:ascii="宋体" w:hAnsi="宋体" w:cs="宋体"/>
          <w:b/>
          <w:bCs/>
          <w:color w:val="000000"/>
          <w:sz w:val="32"/>
          <w:szCs w:val="32"/>
        </w:rPr>
        <w:t xml:space="preserve">第五章 </w:t>
      </w:r>
      <w:r>
        <w:rPr>
          <w:rFonts w:hint="eastAsia" w:ascii="宋体" w:hAnsi="宋体" w:cs="宋体"/>
          <w:b/>
          <w:bCs/>
          <w:color w:val="000000"/>
          <w:sz w:val="32"/>
          <w:szCs w:val="32"/>
          <w:lang w:eastAsia="zh-CN"/>
        </w:rPr>
        <w:t>申请</w:t>
      </w:r>
      <w:r>
        <w:rPr>
          <w:rFonts w:hint="eastAsia" w:ascii="宋体" w:hAnsi="宋体" w:cs="宋体"/>
          <w:b/>
          <w:bCs/>
          <w:color w:val="000000"/>
          <w:sz w:val="32"/>
          <w:szCs w:val="32"/>
        </w:rPr>
        <w:t>文件的组成</w:t>
      </w:r>
      <w:bookmarkEnd w:id="48"/>
    </w:p>
    <w:p w14:paraId="397D0041">
      <w:pPr>
        <w:spacing w:line="360" w:lineRule="auto"/>
        <w:ind w:firstLine="480" w:firstLineChars="200"/>
        <w:outlineLvl w:val="9"/>
        <w:rPr>
          <w:rFonts w:hint="eastAsia" w:ascii="宋体" w:hAnsi="宋体" w:cs="宋体"/>
          <w:color w:val="000000"/>
          <w:sz w:val="24"/>
        </w:rPr>
      </w:pPr>
    </w:p>
    <w:p w14:paraId="0B0E6178">
      <w:pPr>
        <w:spacing w:line="360" w:lineRule="auto"/>
        <w:outlineLvl w:val="9"/>
        <w:rPr>
          <w:rFonts w:hint="eastAsia" w:ascii="宋体" w:hAnsi="宋体" w:cs="宋体"/>
          <w:color w:val="000000"/>
          <w:szCs w:val="21"/>
        </w:rPr>
      </w:pPr>
      <w:r>
        <w:rPr>
          <w:rFonts w:hint="eastAsia" w:ascii="宋体" w:hAnsi="宋体" w:cs="宋体"/>
          <w:color w:val="000000"/>
          <w:szCs w:val="21"/>
          <w:lang w:eastAsia="zh-CN"/>
        </w:rPr>
        <w:t>申请</w:t>
      </w:r>
      <w:r>
        <w:rPr>
          <w:rFonts w:hint="eastAsia" w:ascii="宋体" w:hAnsi="宋体" w:cs="宋体"/>
          <w:color w:val="000000"/>
          <w:szCs w:val="21"/>
        </w:rPr>
        <w:t>文件应包含但不限于以下内容：</w:t>
      </w:r>
    </w:p>
    <w:p w14:paraId="4C8BEF34">
      <w:pPr>
        <w:spacing w:line="360" w:lineRule="auto"/>
        <w:outlineLvl w:val="9"/>
        <w:rPr>
          <w:rFonts w:hint="eastAsia" w:ascii="宋体" w:hAnsi="宋体" w:cs="宋体"/>
          <w:color w:val="000000"/>
          <w:sz w:val="21"/>
          <w:szCs w:val="21"/>
        </w:rPr>
      </w:pPr>
      <w:r>
        <w:rPr>
          <w:rFonts w:hint="eastAsia" w:ascii="宋体" w:hAnsi="宋体" w:cs="宋体"/>
          <w:color w:val="000000"/>
          <w:sz w:val="21"/>
          <w:szCs w:val="21"/>
        </w:rPr>
        <w:t>一</w:t>
      </w:r>
      <w:r>
        <w:rPr>
          <w:rFonts w:hint="eastAsia" w:ascii="宋体" w:hAnsi="宋体" w:cs="宋体"/>
          <w:color w:val="000000"/>
          <w:sz w:val="21"/>
          <w:szCs w:val="21"/>
          <w:lang w:eastAsia="zh-CN"/>
        </w:rPr>
        <w:t>、</w:t>
      </w:r>
      <w:r>
        <w:rPr>
          <w:rFonts w:hint="eastAsia" w:ascii="宋体" w:hAnsi="宋体" w:cs="宋体"/>
          <w:color w:val="000000"/>
          <w:sz w:val="21"/>
          <w:szCs w:val="21"/>
        </w:rPr>
        <w:t xml:space="preserve">申请函 </w:t>
      </w:r>
    </w:p>
    <w:p w14:paraId="3262C492">
      <w:pPr>
        <w:spacing w:line="360" w:lineRule="auto"/>
        <w:outlineLvl w:val="9"/>
        <w:rPr>
          <w:rFonts w:hint="eastAsia" w:ascii="宋体" w:hAnsi="宋体" w:cs="宋体"/>
          <w:color w:val="000000"/>
          <w:sz w:val="21"/>
          <w:szCs w:val="21"/>
        </w:rPr>
      </w:pPr>
      <w:r>
        <w:rPr>
          <w:rFonts w:hint="eastAsia" w:ascii="宋体" w:hAnsi="宋体" w:cs="宋体"/>
          <w:color w:val="000000"/>
          <w:sz w:val="21"/>
          <w:szCs w:val="21"/>
        </w:rPr>
        <w:t>二</w:t>
      </w:r>
      <w:r>
        <w:rPr>
          <w:rFonts w:hint="eastAsia" w:ascii="宋体" w:hAnsi="宋体" w:cs="宋体"/>
          <w:color w:val="000000"/>
          <w:sz w:val="21"/>
          <w:szCs w:val="21"/>
          <w:lang w:eastAsia="zh-CN"/>
        </w:rPr>
        <w:t>、</w:t>
      </w:r>
      <w:r>
        <w:rPr>
          <w:rFonts w:hint="eastAsia" w:ascii="宋体" w:hAnsi="宋体" w:cs="宋体"/>
          <w:color w:val="000000"/>
          <w:sz w:val="21"/>
          <w:szCs w:val="21"/>
        </w:rPr>
        <w:t>承保机构公司负责人资格证明书</w:t>
      </w:r>
    </w:p>
    <w:p w14:paraId="0D78D3EB">
      <w:pPr>
        <w:spacing w:line="360" w:lineRule="auto"/>
        <w:outlineLvl w:val="9"/>
        <w:rPr>
          <w:rFonts w:hint="eastAsia" w:ascii="宋体" w:hAnsi="宋体" w:cs="宋体"/>
          <w:color w:val="000000"/>
          <w:sz w:val="21"/>
          <w:szCs w:val="21"/>
        </w:rPr>
      </w:pPr>
      <w:r>
        <w:rPr>
          <w:rFonts w:hint="eastAsia" w:ascii="宋体" w:hAnsi="宋体" w:cs="宋体"/>
          <w:color w:val="000000"/>
          <w:sz w:val="21"/>
          <w:szCs w:val="21"/>
        </w:rPr>
        <w:t>三</w:t>
      </w:r>
      <w:r>
        <w:rPr>
          <w:rFonts w:hint="eastAsia" w:ascii="宋体" w:hAnsi="宋体" w:cs="宋体"/>
          <w:color w:val="000000"/>
          <w:sz w:val="21"/>
          <w:szCs w:val="21"/>
          <w:lang w:eastAsia="zh-CN"/>
        </w:rPr>
        <w:t>、</w:t>
      </w:r>
      <w:r>
        <w:rPr>
          <w:rFonts w:hint="eastAsia" w:ascii="宋体" w:hAnsi="宋体" w:cs="宋体"/>
          <w:color w:val="000000"/>
          <w:sz w:val="21"/>
          <w:szCs w:val="21"/>
        </w:rPr>
        <w:t>承保机构公司负责人授权委托书</w:t>
      </w:r>
    </w:p>
    <w:p w14:paraId="54017D2F">
      <w:pPr>
        <w:spacing w:line="360" w:lineRule="auto"/>
        <w:outlineLvl w:val="9"/>
        <w:rPr>
          <w:rFonts w:hint="eastAsia" w:ascii="宋体" w:hAnsi="宋体" w:cs="宋体"/>
          <w:color w:val="000000"/>
          <w:sz w:val="21"/>
          <w:szCs w:val="21"/>
        </w:rPr>
      </w:pPr>
      <w:r>
        <w:rPr>
          <w:rFonts w:hint="eastAsia" w:ascii="宋体" w:hAnsi="宋体" w:cs="宋体"/>
          <w:color w:val="000000"/>
          <w:sz w:val="21"/>
          <w:szCs w:val="21"/>
        </w:rPr>
        <w:t>四</w:t>
      </w:r>
      <w:r>
        <w:rPr>
          <w:rFonts w:hint="eastAsia" w:ascii="宋体" w:hAnsi="宋体" w:cs="宋体"/>
          <w:color w:val="000000"/>
          <w:sz w:val="21"/>
          <w:szCs w:val="21"/>
          <w:lang w:eastAsia="zh-CN"/>
        </w:rPr>
        <w:t>、</w:t>
      </w:r>
      <w:r>
        <w:rPr>
          <w:rFonts w:hint="eastAsia" w:ascii="宋体" w:hAnsi="宋体" w:cs="宋体"/>
          <w:color w:val="000000"/>
          <w:sz w:val="21"/>
          <w:szCs w:val="21"/>
        </w:rPr>
        <w:t>申请人基本情况表</w:t>
      </w:r>
    </w:p>
    <w:p w14:paraId="0DFD0E47">
      <w:pPr>
        <w:spacing w:line="360" w:lineRule="auto"/>
        <w:outlineLvl w:val="9"/>
        <w:rPr>
          <w:rFonts w:hint="eastAsia" w:ascii="宋体" w:hAnsi="宋体" w:cs="宋体"/>
          <w:color w:val="000000"/>
          <w:sz w:val="21"/>
          <w:szCs w:val="21"/>
        </w:rPr>
      </w:pPr>
      <w:r>
        <w:rPr>
          <w:rFonts w:hint="eastAsia" w:ascii="宋体" w:hAnsi="宋体" w:cs="宋体"/>
          <w:color w:val="000000"/>
          <w:sz w:val="21"/>
          <w:szCs w:val="21"/>
        </w:rPr>
        <w:t>五</w:t>
      </w:r>
      <w:r>
        <w:rPr>
          <w:rFonts w:hint="eastAsia" w:ascii="宋体" w:hAnsi="宋体" w:cs="宋体"/>
          <w:color w:val="000000"/>
          <w:sz w:val="21"/>
          <w:szCs w:val="21"/>
          <w:lang w:eastAsia="zh-CN"/>
        </w:rPr>
        <w:t>、</w:t>
      </w:r>
      <w:r>
        <w:rPr>
          <w:rFonts w:hint="eastAsia" w:ascii="宋体" w:hAnsi="宋体" w:cs="宋体"/>
          <w:color w:val="000000"/>
          <w:sz w:val="21"/>
          <w:szCs w:val="21"/>
        </w:rPr>
        <w:t>遴选文件中要求的资格条件证明材料</w:t>
      </w:r>
    </w:p>
    <w:p w14:paraId="796D03B8">
      <w:pPr>
        <w:spacing w:line="360" w:lineRule="auto"/>
        <w:outlineLvl w:val="9"/>
        <w:rPr>
          <w:rFonts w:hint="eastAsia" w:ascii="宋体" w:hAnsi="宋体" w:cs="宋体"/>
          <w:color w:val="000000"/>
          <w:sz w:val="21"/>
          <w:szCs w:val="21"/>
        </w:rPr>
      </w:pPr>
      <w:r>
        <w:rPr>
          <w:rFonts w:hint="eastAsia" w:ascii="宋体" w:hAnsi="宋体" w:cs="宋体"/>
          <w:color w:val="000000"/>
          <w:sz w:val="21"/>
          <w:szCs w:val="21"/>
        </w:rPr>
        <w:t>六</w:t>
      </w:r>
      <w:r>
        <w:rPr>
          <w:rFonts w:hint="eastAsia" w:ascii="宋体" w:hAnsi="宋体" w:cs="宋体"/>
          <w:color w:val="000000"/>
          <w:sz w:val="21"/>
          <w:szCs w:val="21"/>
          <w:lang w:eastAsia="zh-CN"/>
        </w:rPr>
        <w:t>、</w:t>
      </w:r>
      <w:r>
        <w:rPr>
          <w:rFonts w:hint="eastAsia" w:ascii="宋体" w:hAnsi="宋体" w:eastAsia="宋体" w:cs="宋体"/>
          <w:color w:val="000000"/>
          <w:sz w:val="21"/>
          <w:szCs w:val="21"/>
        </w:rPr>
        <w:t>服务能力</w:t>
      </w:r>
      <w:r>
        <w:rPr>
          <w:rFonts w:hint="eastAsia" w:ascii="宋体" w:hAnsi="宋体" w:eastAsia="宋体" w:cs="宋体"/>
          <w:color w:val="000000"/>
          <w:sz w:val="21"/>
          <w:szCs w:val="21"/>
          <w:lang w:eastAsia="zh-CN"/>
        </w:rPr>
        <w:t>证明材料</w:t>
      </w:r>
    </w:p>
    <w:p w14:paraId="5E68AE84">
      <w:pPr>
        <w:spacing w:line="360" w:lineRule="auto"/>
        <w:outlineLvl w:val="9"/>
        <w:rPr>
          <w:rFonts w:hint="eastAsia" w:ascii="宋体" w:hAnsi="宋体" w:cs="宋体"/>
          <w:color w:val="000000"/>
          <w:sz w:val="21"/>
          <w:szCs w:val="21"/>
        </w:rPr>
      </w:pPr>
      <w:r>
        <w:rPr>
          <w:rFonts w:hint="eastAsia" w:ascii="宋体" w:hAnsi="宋体" w:cs="宋体"/>
          <w:color w:val="000000"/>
          <w:sz w:val="21"/>
          <w:szCs w:val="21"/>
        </w:rPr>
        <w:t>七</w:t>
      </w:r>
      <w:r>
        <w:rPr>
          <w:rFonts w:hint="eastAsia" w:ascii="宋体" w:hAnsi="宋体" w:cs="宋体"/>
          <w:color w:val="000000"/>
          <w:sz w:val="21"/>
          <w:szCs w:val="21"/>
          <w:lang w:eastAsia="zh-CN"/>
        </w:rPr>
        <w:t>、</w:t>
      </w:r>
      <w:r>
        <w:rPr>
          <w:rFonts w:hint="eastAsia" w:ascii="宋体" w:hAnsi="宋体" w:eastAsia="宋体" w:cs="宋体"/>
          <w:color w:val="000000"/>
          <w:sz w:val="21"/>
          <w:szCs w:val="21"/>
        </w:rPr>
        <w:t>服务业绩</w:t>
      </w:r>
      <w:r>
        <w:rPr>
          <w:rFonts w:hint="eastAsia" w:ascii="宋体" w:hAnsi="宋体" w:eastAsia="宋体" w:cs="宋体"/>
          <w:color w:val="000000"/>
          <w:sz w:val="21"/>
          <w:szCs w:val="21"/>
          <w:lang w:eastAsia="zh-CN"/>
        </w:rPr>
        <w:t>证明材料</w:t>
      </w:r>
    </w:p>
    <w:p w14:paraId="33396B72">
      <w:pPr>
        <w:spacing w:line="360" w:lineRule="auto"/>
        <w:outlineLvl w:val="9"/>
        <w:rPr>
          <w:rFonts w:hint="eastAsia" w:ascii="宋体" w:hAnsi="宋体" w:cs="宋体"/>
          <w:color w:val="000000"/>
          <w:sz w:val="21"/>
          <w:szCs w:val="21"/>
        </w:rPr>
      </w:pPr>
      <w:r>
        <w:rPr>
          <w:rFonts w:hint="eastAsia" w:ascii="宋体" w:hAnsi="宋体" w:cs="宋体"/>
          <w:color w:val="000000"/>
          <w:sz w:val="21"/>
          <w:szCs w:val="21"/>
        </w:rPr>
        <w:t>八</w:t>
      </w:r>
      <w:r>
        <w:rPr>
          <w:rFonts w:hint="eastAsia" w:ascii="宋体" w:hAnsi="宋体" w:cs="宋体"/>
          <w:color w:val="000000"/>
          <w:sz w:val="21"/>
          <w:szCs w:val="21"/>
          <w:lang w:eastAsia="zh-CN"/>
        </w:rPr>
        <w:t>、</w:t>
      </w:r>
      <w:r>
        <w:rPr>
          <w:rFonts w:hint="eastAsia" w:ascii="宋体" w:hAnsi="宋体" w:eastAsia="宋体" w:cs="宋体"/>
          <w:color w:val="000000"/>
          <w:sz w:val="21"/>
          <w:szCs w:val="21"/>
          <w:lang w:eastAsia="zh-CN"/>
        </w:rPr>
        <w:t>合规经营及风险管控能力证明材料</w:t>
      </w:r>
    </w:p>
    <w:p w14:paraId="38E85CBC">
      <w:pPr>
        <w:spacing w:line="360" w:lineRule="auto"/>
        <w:outlineLvl w:val="9"/>
        <w:rPr>
          <w:rFonts w:hint="eastAsia" w:ascii="宋体" w:hAnsi="宋体" w:cs="宋体"/>
          <w:color w:val="000000"/>
          <w:sz w:val="21"/>
          <w:szCs w:val="21"/>
        </w:rPr>
      </w:pPr>
      <w:r>
        <w:rPr>
          <w:rFonts w:hint="eastAsia" w:ascii="宋体" w:hAnsi="宋体" w:cs="宋体"/>
          <w:color w:val="000000"/>
          <w:sz w:val="21"/>
          <w:szCs w:val="21"/>
        </w:rPr>
        <w:t>九</w:t>
      </w:r>
      <w:r>
        <w:rPr>
          <w:rFonts w:hint="eastAsia" w:ascii="宋体" w:hAnsi="宋体" w:cs="宋体"/>
          <w:color w:val="000000"/>
          <w:sz w:val="21"/>
          <w:szCs w:val="21"/>
          <w:lang w:eastAsia="zh-CN"/>
        </w:rPr>
        <w:t>、县级指标证明材料</w:t>
      </w:r>
    </w:p>
    <w:p w14:paraId="1891002A">
      <w:pPr>
        <w:spacing w:line="360" w:lineRule="auto"/>
        <w:outlineLvl w:val="9"/>
        <w:rPr>
          <w:rFonts w:hint="eastAsia" w:ascii="宋体" w:hAnsi="宋体" w:cs="宋体"/>
          <w:color w:val="000000"/>
          <w:sz w:val="21"/>
          <w:szCs w:val="21"/>
        </w:rPr>
      </w:pPr>
      <w:r>
        <w:rPr>
          <w:rFonts w:hint="eastAsia" w:ascii="宋体" w:hAnsi="宋体" w:cs="宋体"/>
          <w:color w:val="000000"/>
          <w:sz w:val="21"/>
          <w:szCs w:val="21"/>
        </w:rPr>
        <w:t>十</w:t>
      </w:r>
      <w:r>
        <w:rPr>
          <w:rFonts w:hint="eastAsia" w:ascii="宋体" w:hAnsi="宋体" w:cs="宋体"/>
          <w:color w:val="000000"/>
          <w:sz w:val="21"/>
          <w:szCs w:val="21"/>
          <w:lang w:eastAsia="zh-CN"/>
        </w:rPr>
        <w:t>、</w:t>
      </w:r>
      <w:r>
        <w:rPr>
          <w:rFonts w:hint="eastAsia" w:ascii="宋体" w:hAnsi="宋体" w:cs="宋体"/>
          <w:color w:val="000000"/>
          <w:sz w:val="21"/>
          <w:szCs w:val="21"/>
        </w:rPr>
        <w:t>承诺函</w:t>
      </w:r>
    </w:p>
    <w:p w14:paraId="6D41A546">
      <w:pPr>
        <w:spacing w:line="360" w:lineRule="auto"/>
        <w:outlineLvl w:val="9"/>
        <w:rPr>
          <w:rFonts w:hint="eastAsia" w:ascii="宋体" w:hAnsi="宋体" w:eastAsia="宋体" w:cs="宋体"/>
          <w:color w:val="000000"/>
          <w:sz w:val="21"/>
          <w:szCs w:val="21"/>
          <w:lang w:eastAsia="zh-CN"/>
        </w:rPr>
      </w:pPr>
      <w:r>
        <w:rPr>
          <w:rFonts w:hint="eastAsia" w:ascii="宋体" w:hAnsi="宋体" w:cs="宋体"/>
          <w:color w:val="000000"/>
          <w:sz w:val="21"/>
          <w:szCs w:val="21"/>
          <w:lang w:eastAsia="zh-CN"/>
        </w:rPr>
        <w:t>十一、</w:t>
      </w:r>
      <w:r>
        <w:rPr>
          <w:rFonts w:hint="eastAsia" w:ascii="宋体" w:hAnsi="宋体" w:cs="宋体"/>
          <w:color w:val="000000"/>
          <w:sz w:val="21"/>
          <w:szCs w:val="21"/>
        </w:rPr>
        <w:t>其他资料</w:t>
      </w:r>
    </w:p>
    <w:p w14:paraId="526B5B9A">
      <w:pPr>
        <w:jc w:val="center"/>
        <w:outlineLvl w:val="9"/>
        <w:rPr>
          <w:rFonts w:hint="eastAsia" w:ascii="宋体" w:hAnsi="宋体" w:cs="宋体"/>
          <w:color w:val="000000"/>
        </w:rPr>
      </w:pPr>
      <w:r>
        <w:rPr>
          <w:rFonts w:hint="eastAsia" w:ascii="宋体" w:hAnsi="宋体" w:cs="宋体"/>
          <w:color w:val="000000"/>
          <w:sz w:val="21"/>
          <w:szCs w:val="21"/>
        </w:rPr>
        <w:br w:type="page"/>
      </w:r>
    </w:p>
    <w:p w14:paraId="1BF366DA">
      <w:pPr>
        <w:outlineLvl w:val="9"/>
        <w:rPr>
          <w:rFonts w:hint="eastAsia" w:ascii="宋体" w:hAnsi="宋体" w:cs="宋体"/>
        </w:rPr>
      </w:pPr>
    </w:p>
    <w:p w14:paraId="72521B10">
      <w:pPr>
        <w:pStyle w:val="10"/>
        <w:jc w:val="center"/>
        <w:outlineLvl w:val="1"/>
        <w:rPr>
          <w:rFonts w:hint="eastAsia"/>
          <w:b/>
          <w:bCs/>
          <w:color w:val="auto"/>
          <w:highlight w:val="none"/>
          <w:u w:val="none"/>
        </w:rPr>
      </w:pPr>
      <w:r>
        <w:rPr>
          <w:rFonts w:hint="eastAsia" w:hAnsi="宋体" w:cs="宋体"/>
          <w:b/>
          <w:bCs/>
          <w:color w:val="auto"/>
          <w:sz w:val="48"/>
          <w:szCs w:val="48"/>
          <w:highlight w:val="none"/>
          <w:u w:val="none"/>
          <w:lang w:eastAsia="zh-CN"/>
        </w:rPr>
        <w:t>祁东县2023-2025年政策性农业保险承保机构公开竞争性遴选</w:t>
      </w:r>
    </w:p>
    <w:p w14:paraId="78436ED6">
      <w:pPr>
        <w:pStyle w:val="10"/>
        <w:outlineLvl w:val="9"/>
        <w:rPr>
          <w:rFonts w:hint="eastAsia"/>
          <w:b/>
          <w:bCs/>
          <w:color w:val="000000"/>
        </w:rPr>
      </w:pPr>
    </w:p>
    <w:p w14:paraId="7BC603B8">
      <w:pPr>
        <w:pStyle w:val="10"/>
        <w:outlineLvl w:val="9"/>
        <w:rPr>
          <w:rFonts w:hint="eastAsia"/>
          <w:b/>
          <w:bCs/>
          <w:color w:val="000000"/>
        </w:rPr>
      </w:pPr>
    </w:p>
    <w:p w14:paraId="6FF71BBF">
      <w:pPr>
        <w:pStyle w:val="10"/>
        <w:outlineLvl w:val="9"/>
        <w:rPr>
          <w:rFonts w:hint="eastAsia"/>
          <w:b/>
          <w:bCs/>
          <w:color w:val="000000"/>
        </w:rPr>
      </w:pPr>
    </w:p>
    <w:p w14:paraId="65CDA814">
      <w:pPr>
        <w:pStyle w:val="10"/>
        <w:outlineLvl w:val="9"/>
        <w:rPr>
          <w:rFonts w:hint="eastAsia"/>
          <w:b/>
          <w:bCs/>
          <w:color w:val="000000"/>
        </w:rPr>
      </w:pPr>
    </w:p>
    <w:p w14:paraId="3B8CCF5D">
      <w:pPr>
        <w:pStyle w:val="10"/>
        <w:outlineLvl w:val="9"/>
        <w:rPr>
          <w:rFonts w:hint="eastAsia"/>
          <w:b/>
          <w:bCs/>
          <w:color w:val="000000"/>
        </w:rPr>
      </w:pPr>
    </w:p>
    <w:p w14:paraId="12AC3F8E">
      <w:pPr>
        <w:pStyle w:val="10"/>
        <w:jc w:val="center"/>
        <w:outlineLvl w:val="9"/>
        <w:rPr>
          <w:rFonts w:hint="eastAsia"/>
          <w:b/>
          <w:bCs/>
          <w:color w:val="000000"/>
          <w:sz w:val="72"/>
          <w:szCs w:val="72"/>
        </w:rPr>
      </w:pPr>
      <w:r>
        <w:rPr>
          <w:rFonts w:hint="eastAsia"/>
          <w:b/>
          <w:bCs/>
          <w:color w:val="000000"/>
          <w:sz w:val="72"/>
          <w:szCs w:val="72"/>
        </w:rPr>
        <w:t>申请文件</w:t>
      </w:r>
    </w:p>
    <w:p w14:paraId="5193CC91">
      <w:pPr>
        <w:pStyle w:val="10"/>
        <w:outlineLvl w:val="9"/>
        <w:rPr>
          <w:rFonts w:hint="eastAsia"/>
          <w:b/>
          <w:bCs/>
          <w:color w:val="000000"/>
        </w:rPr>
      </w:pPr>
    </w:p>
    <w:p w14:paraId="19AA039B">
      <w:pPr>
        <w:spacing w:line="360" w:lineRule="auto"/>
        <w:outlineLvl w:val="9"/>
        <w:rPr>
          <w:rFonts w:hint="eastAsia" w:ascii="宋体" w:hAnsi="宋体" w:cs="宋体"/>
          <w:b/>
          <w:bCs/>
          <w:color w:val="000000"/>
          <w:sz w:val="28"/>
        </w:rPr>
      </w:pPr>
    </w:p>
    <w:p w14:paraId="6389DBC3">
      <w:pPr>
        <w:pStyle w:val="17"/>
        <w:outlineLvl w:val="9"/>
        <w:rPr>
          <w:rFonts w:hint="eastAsia"/>
        </w:rPr>
      </w:pPr>
    </w:p>
    <w:p w14:paraId="3864B83A">
      <w:pPr>
        <w:spacing w:line="360" w:lineRule="auto"/>
        <w:outlineLvl w:val="9"/>
        <w:rPr>
          <w:rFonts w:hint="eastAsia" w:ascii="宋体" w:hAnsi="宋体" w:cs="宋体"/>
          <w:b/>
          <w:bCs/>
          <w:color w:val="000000"/>
          <w:sz w:val="28"/>
        </w:rPr>
      </w:pPr>
    </w:p>
    <w:p w14:paraId="2DD46B4F">
      <w:pPr>
        <w:spacing w:line="360" w:lineRule="auto"/>
        <w:outlineLvl w:val="9"/>
        <w:rPr>
          <w:rFonts w:hint="eastAsia" w:ascii="宋体" w:hAnsi="宋体" w:cs="宋体"/>
          <w:b/>
          <w:bCs/>
          <w:color w:val="000000"/>
          <w:sz w:val="28"/>
        </w:rPr>
      </w:pPr>
    </w:p>
    <w:p w14:paraId="18ACF2E7">
      <w:pPr>
        <w:spacing w:line="360" w:lineRule="auto"/>
        <w:outlineLvl w:val="9"/>
        <w:rPr>
          <w:rFonts w:hint="eastAsia" w:ascii="宋体" w:hAnsi="宋体" w:cs="宋体"/>
          <w:b/>
          <w:bCs/>
          <w:color w:val="000000"/>
          <w:sz w:val="28"/>
        </w:rPr>
      </w:pPr>
    </w:p>
    <w:p w14:paraId="357E38FC">
      <w:pPr>
        <w:spacing w:line="480" w:lineRule="auto"/>
        <w:jc w:val="center"/>
        <w:outlineLvl w:val="9"/>
        <w:rPr>
          <w:rFonts w:hint="eastAsia" w:ascii="宋体" w:hAnsi="宋体" w:cs="宋体"/>
          <w:b/>
          <w:bCs/>
          <w:color w:val="000000"/>
          <w:sz w:val="28"/>
          <w:u w:val="single"/>
        </w:rPr>
      </w:pPr>
      <w:r>
        <w:rPr>
          <w:rFonts w:hint="eastAsia" w:ascii="宋体" w:hAnsi="宋体" w:cs="宋体"/>
          <w:b/>
          <w:bCs/>
          <w:color w:val="000000"/>
          <w:sz w:val="28"/>
        </w:rPr>
        <w:t>申  请  人：</w:t>
      </w:r>
      <w:r>
        <w:rPr>
          <w:rFonts w:hint="eastAsia" w:ascii="宋体" w:hAnsi="宋体" w:cs="宋体"/>
          <w:b/>
          <w:bCs/>
          <w:color w:val="000000"/>
          <w:sz w:val="28"/>
          <w:u w:val="single"/>
        </w:rPr>
        <w:t xml:space="preserve">            （全称）</w:t>
      </w:r>
      <w:r>
        <w:rPr>
          <w:rFonts w:hint="eastAsia" w:ascii="宋体" w:hAnsi="宋体" w:cs="宋体"/>
          <w:b/>
          <w:bCs/>
          <w:color w:val="000000"/>
          <w:sz w:val="28"/>
        </w:rPr>
        <w:t>（盖单位公章）</w:t>
      </w:r>
    </w:p>
    <w:p w14:paraId="0E5096F9">
      <w:pPr>
        <w:spacing w:line="480" w:lineRule="auto"/>
        <w:jc w:val="center"/>
        <w:outlineLvl w:val="9"/>
        <w:rPr>
          <w:rFonts w:hint="eastAsia" w:ascii="宋体" w:hAnsi="宋体" w:cs="宋体"/>
          <w:b/>
          <w:bCs/>
          <w:color w:val="000000"/>
          <w:sz w:val="28"/>
        </w:rPr>
      </w:pPr>
      <w:r>
        <w:rPr>
          <w:rFonts w:hint="eastAsia" w:ascii="宋体" w:hAnsi="宋体" w:cs="宋体"/>
          <w:b/>
          <w:bCs/>
          <w:color w:val="000000"/>
          <w:sz w:val="28"/>
        </w:rPr>
        <w:t>承保机构公司负责人或其委托代理人：</w:t>
      </w:r>
      <w:r>
        <w:rPr>
          <w:rFonts w:hint="eastAsia" w:ascii="宋体" w:hAnsi="宋体" w:cs="宋体"/>
          <w:b/>
          <w:bCs/>
          <w:color w:val="000000"/>
          <w:sz w:val="28"/>
          <w:u w:val="single"/>
        </w:rPr>
        <w:t xml:space="preserve">             </w:t>
      </w:r>
      <w:r>
        <w:rPr>
          <w:rFonts w:hint="eastAsia" w:ascii="宋体" w:hAnsi="宋体" w:cs="宋体"/>
          <w:b/>
          <w:bCs/>
          <w:color w:val="000000"/>
          <w:sz w:val="28"/>
        </w:rPr>
        <w:t>（签字或盖章）</w:t>
      </w:r>
    </w:p>
    <w:p w14:paraId="5CB785CF">
      <w:pPr>
        <w:spacing w:line="480" w:lineRule="auto"/>
        <w:jc w:val="center"/>
        <w:outlineLvl w:val="9"/>
        <w:rPr>
          <w:rFonts w:hint="eastAsia" w:ascii="宋体" w:hAnsi="宋体" w:cs="宋体"/>
          <w:b/>
          <w:bCs/>
          <w:color w:val="000000"/>
          <w:sz w:val="28"/>
          <w:u w:val="single"/>
        </w:rPr>
      </w:pPr>
    </w:p>
    <w:p w14:paraId="185EDD6E">
      <w:pPr>
        <w:spacing w:line="480" w:lineRule="auto"/>
        <w:jc w:val="center"/>
        <w:outlineLvl w:val="9"/>
        <w:rPr>
          <w:rFonts w:hint="eastAsia" w:ascii="宋体" w:hAnsi="宋体" w:cs="宋体"/>
          <w:b/>
          <w:bCs/>
          <w:color w:val="000000"/>
          <w:sz w:val="28"/>
        </w:rPr>
      </w:pPr>
      <w:r>
        <w:rPr>
          <w:rFonts w:hint="eastAsia" w:ascii="宋体" w:hAnsi="宋体" w:cs="宋体"/>
          <w:b/>
          <w:bCs/>
          <w:color w:val="000000"/>
          <w:sz w:val="28"/>
          <w:u w:val="single"/>
        </w:rPr>
        <w:t xml:space="preserve">       </w:t>
      </w:r>
      <w:r>
        <w:rPr>
          <w:rFonts w:hint="eastAsia" w:ascii="宋体" w:hAnsi="宋体" w:cs="宋体"/>
          <w:b/>
          <w:bCs/>
          <w:color w:val="000000"/>
          <w:sz w:val="28"/>
        </w:rPr>
        <w:t>年</w:t>
      </w:r>
      <w:r>
        <w:rPr>
          <w:rFonts w:hint="eastAsia" w:ascii="宋体" w:hAnsi="宋体" w:cs="宋体"/>
          <w:b/>
          <w:bCs/>
          <w:color w:val="000000"/>
          <w:sz w:val="28"/>
          <w:u w:val="single"/>
        </w:rPr>
        <w:t xml:space="preserve">     </w:t>
      </w:r>
      <w:r>
        <w:rPr>
          <w:rFonts w:hint="eastAsia" w:ascii="宋体" w:hAnsi="宋体" w:cs="宋体"/>
          <w:b/>
          <w:bCs/>
          <w:color w:val="000000"/>
          <w:sz w:val="28"/>
        </w:rPr>
        <w:t>月</w:t>
      </w:r>
      <w:r>
        <w:rPr>
          <w:rFonts w:hint="eastAsia" w:ascii="宋体" w:hAnsi="宋体" w:cs="宋体"/>
          <w:b/>
          <w:bCs/>
          <w:color w:val="000000"/>
          <w:sz w:val="28"/>
          <w:u w:val="single"/>
        </w:rPr>
        <w:t xml:space="preserve">     </w:t>
      </w:r>
      <w:r>
        <w:rPr>
          <w:rFonts w:hint="eastAsia" w:ascii="宋体" w:hAnsi="宋体" w:cs="宋体"/>
          <w:b/>
          <w:bCs/>
          <w:color w:val="000000"/>
          <w:sz w:val="28"/>
        </w:rPr>
        <w:t>日</w:t>
      </w:r>
    </w:p>
    <w:p w14:paraId="1809A6F4">
      <w:pPr>
        <w:spacing w:line="480" w:lineRule="auto"/>
        <w:outlineLvl w:val="9"/>
        <w:rPr>
          <w:rFonts w:hint="eastAsia" w:ascii="宋体" w:hAnsi="宋体" w:cs="宋体"/>
          <w:b/>
          <w:bCs/>
          <w:color w:val="000000"/>
        </w:rPr>
      </w:pPr>
    </w:p>
    <w:p w14:paraId="52330F01">
      <w:pPr>
        <w:pStyle w:val="2"/>
        <w:outlineLvl w:val="9"/>
        <w:rPr>
          <w:rFonts w:hint="eastAsia"/>
        </w:rPr>
      </w:pPr>
    </w:p>
    <w:p w14:paraId="511CDB1B">
      <w:pPr>
        <w:jc w:val="center"/>
        <w:outlineLvl w:val="1"/>
        <w:rPr>
          <w:rFonts w:hint="eastAsia" w:ascii="宋体" w:hAnsi="宋体" w:cs="宋体"/>
          <w:b/>
          <w:bCs/>
          <w:color w:val="000000"/>
          <w:sz w:val="32"/>
          <w:szCs w:val="32"/>
        </w:rPr>
      </w:pPr>
      <w:bookmarkStart w:id="49" w:name="_Toc2139"/>
      <w:r>
        <w:rPr>
          <w:rFonts w:hint="eastAsia" w:ascii="宋体" w:hAnsi="宋体" w:cs="宋体"/>
          <w:b/>
          <w:bCs/>
          <w:color w:val="000000"/>
          <w:sz w:val="32"/>
          <w:szCs w:val="32"/>
          <w:lang w:eastAsia="zh-CN"/>
        </w:rPr>
        <w:t>一、</w:t>
      </w:r>
      <w:r>
        <w:rPr>
          <w:rFonts w:hint="eastAsia" w:ascii="宋体" w:hAnsi="宋体" w:cs="宋体"/>
          <w:b/>
          <w:bCs/>
          <w:color w:val="000000"/>
          <w:sz w:val="32"/>
          <w:szCs w:val="32"/>
        </w:rPr>
        <w:t>申请函</w:t>
      </w:r>
      <w:bookmarkEnd w:id="49"/>
    </w:p>
    <w:p w14:paraId="20E635D5">
      <w:pPr>
        <w:spacing w:line="480" w:lineRule="exact"/>
        <w:outlineLvl w:val="9"/>
        <w:rPr>
          <w:rFonts w:hint="eastAsia" w:ascii="宋体" w:hAnsi="宋体" w:cs="宋体"/>
          <w:color w:val="000000"/>
          <w:szCs w:val="21"/>
        </w:rPr>
      </w:pPr>
      <w:r>
        <w:rPr>
          <w:rFonts w:hint="eastAsia" w:ascii="宋体" w:hAnsi="宋体" w:cs="宋体"/>
          <w:color w:val="000000"/>
          <w:szCs w:val="21"/>
        </w:rPr>
        <w:t>致：</w:t>
      </w:r>
      <w:r>
        <w:rPr>
          <w:rFonts w:hint="eastAsia" w:ascii="宋体" w:hAnsi="宋体" w:cs="宋体"/>
          <w:color w:val="000000"/>
          <w:szCs w:val="21"/>
          <w:u w:val="single"/>
        </w:rPr>
        <w:t xml:space="preserve">        </w:t>
      </w:r>
      <w:r>
        <w:rPr>
          <w:rFonts w:hint="eastAsia" w:ascii="宋体" w:hAnsi="宋体" w:cs="宋体"/>
          <w:color w:val="000000"/>
          <w:szCs w:val="21"/>
        </w:rPr>
        <w:t>（遴选人）</w:t>
      </w:r>
    </w:p>
    <w:p w14:paraId="5B405918">
      <w:pPr>
        <w:spacing w:line="480" w:lineRule="exact"/>
        <w:ind w:firstLine="525" w:firstLineChars="250"/>
        <w:outlineLvl w:val="9"/>
        <w:rPr>
          <w:rFonts w:hint="eastAsia" w:ascii="宋体" w:hAnsi="宋体" w:cs="宋体"/>
          <w:color w:val="000000"/>
          <w:szCs w:val="21"/>
        </w:rPr>
      </w:pPr>
      <w:r>
        <w:rPr>
          <w:rFonts w:hint="eastAsia" w:ascii="宋体" w:hAnsi="宋体" w:cs="宋体"/>
          <w:color w:val="000000"/>
          <w:szCs w:val="21"/>
        </w:rPr>
        <w:t>根据贵方</w:t>
      </w:r>
      <w:r>
        <w:rPr>
          <w:rFonts w:hint="eastAsia" w:ascii="宋体" w:hAnsi="宋体" w:cs="宋体"/>
          <w:color w:val="000000"/>
          <w:szCs w:val="21"/>
          <w:u w:val="single"/>
        </w:rPr>
        <w:t xml:space="preserve">  （项目名称）</w:t>
      </w:r>
      <w:r>
        <w:rPr>
          <w:rFonts w:hint="eastAsia" w:ascii="宋体" w:hAnsi="宋体" w:cs="宋体"/>
          <w:color w:val="000000"/>
          <w:szCs w:val="21"/>
        </w:rPr>
        <w:t>（代理编号为</w:t>
      </w:r>
      <w:r>
        <w:rPr>
          <w:rFonts w:hint="eastAsia" w:ascii="宋体" w:hAnsi="宋体" w:cs="宋体"/>
          <w:color w:val="000000"/>
          <w:szCs w:val="21"/>
          <w:u w:val="single"/>
        </w:rPr>
        <w:t xml:space="preserve">       </w:t>
      </w:r>
      <w:r>
        <w:rPr>
          <w:rFonts w:hint="eastAsia" w:ascii="宋体" w:hAnsi="宋体" w:cs="宋体"/>
          <w:color w:val="000000"/>
          <w:szCs w:val="21"/>
        </w:rPr>
        <w:t>）的遴选文件，并正式授权的下述签字人</w:t>
      </w:r>
      <w:r>
        <w:rPr>
          <w:rFonts w:hint="eastAsia" w:ascii="宋体" w:hAnsi="宋体" w:cs="宋体"/>
          <w:color w:val="000000"/>
          <w:szCs w:val="21"/>
          <w:u w:val="single"/>
          <w:lang w:val="en-US" w:eastAsia="zh-CN"/>
        </w:rPr>
        <w:t xml:space="preserve">  </w:t>
      </w:r>
      <w:r>
        <w:rPr>
          <w:rFonts w:hint="eastAsia" w:ascii="宋体" w:hAnsi="宋体" w:cs="宋体"/>
          <w:color w:val="000000"/>
          <w:szCs w:val="21"/>
        </w:rPr>
        <w:t>（姓名、职务）代表申请人</w:t>
      </w:r>
      <w:r>
        <w:rPr>
          <w:rFonts w:hint="eastAsia" w:ascii="宋体" w:hAnsi="宋体" w:cs="宋体"/>
          <w:color w:val="000000"/>
          <w:szCs w:val="21"/>
          <w:u w:val="single"/>
        </w:rPr>
        <w:t xml:space="preserve">          </w:t>
      </w:r>
      <w:r>
        <w:rPr>
          <w:rFonts w:hint="eastAsia" w:ascii="宋体" w:hAnsi="宋体" w:cs="宋体"/>
          <w:color w:val="000000"/>
          <w:szCs w:val="21"/>
        </w:rPr>
        <w:t>（申请人名称），提交遴选文件要求的全套申请文件，包括：</w:t>
      </w:r>
    </w:p>
    <w:p w14:paraId="37CA9DCC">
      <w:pPr>
        <w:spacing w:line="48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1、遴选文件中要求的申请文件；</w:t>
      </w:r>
    </w:p>
    <w:p w14:paraId="5730E8DD">
      <w:pPr>
        <w:spacing w:line="48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据此函，签字人兹宣布同意如下：</w:t>
      </w:r>
    </w:p>
    <w:p w14:paraId="53E0C7B2">
      <w:pPr>
        <w:spacing w:line="48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1、我方已详细审核并确认全部遴选文件，包括修改文件（如有时）及有关附件。</w:t>
      </w:r>
    </w:p>
    <w:p w14:paraId="77A22C54">
      <w:pPr>
        <w:spacing w:line="48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2、一旦我方</w:t>
      </w:r>
      <w:r>
        <w:rPr>
          <w:rFonts w:hint="eastAsia" w:ascii="宋体" w:hAnsi="宋体" w:cs="宋体"/>
          <w:color w:val="000000"/>
          <w:szCs w:val="21"/>
          <w:lang w:val="en-US" w:eastAsia="zh-CN"/>
        </w:rPr>
        <w:t>中选</w:t>
      </w:r>
      <w:r>
        <w:rPr>
          <w:rFonts w:hint="eastAsia" w:ascii="宋体" w:hAnsi="宋体" w:cs="宋体"/>
          <w:color w:val="000000"/>
          <w:szCs w:val="21"/>
        </w:rPr>
        <w:t>，我方随时准备接受你方发出的</w:t>
      </w:r>
      <w:r>
        <w:rPr>
          <w:rFonts w:hint="eastAsia" w:ascii="宋体" w:hAnsi="宋体" w:cs="宋体"/>
          <w:color w:val="000000"/>
          <w:szCs w:val="21"/>
          <w:lang w:val="en-US" w:eastAsia="zh-CN"/>
        </w:rPr>
        <w:t>中选</w:t>
      </w:r>
      <w:r>
        <w:rPr>
          <w:rFonts w:hint="eastAsia" w:ascii="宋体" w:hAnsi="宋体" w:cs="宋体"/>
          <w:color w:val="000000"/>
          <w:szCs w:val="21"/>
        </w:rPr>
        <w:t>通知书；我方将按照申请文件中的承诺组建项目团队，由申请文件所承诺的团队完成本项目的全部服务工作，保证在未征得遴选人同意的前提下不变更主要人员。</w:t>
      </w:r>
    </w:p>
    <w:p w14:paraId="2C3062F7">
      <w:pPr>
        <w:spacing w:line="48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3、除非另外达成协议并生效，贵方的</w:t>
      </w:r>
      <w:r>
        <w:rPr>
          <w:rFonts w:hint="eastAsia" w:ascii="宋体" w:hAnsi="宋体" w:cs="宋体"/>
          <w:color w:val="000000"/>
          <w:szCs w:val="21"/>
          <w:lang w:val="en-US" w:eastAsia="zh-CN"/>
        </w:rPr>
        <w:t>中选</w:t>
      </w:r>
      <w:r>
        <w:rPr>
          <w:rFonts w:hint="eastAsia" w:ascii="宋体" w:hAnsi="宋体" w:cs="宋体"/>
          <w:color w:val="000000"/>
          <w:szCs w:val="21"/>
        </w:rPr>
        <w:t>通知书和本申请文件将成为约束双方的合同文件的组成部分。</w:t>
      </w:r>
    </w:p>
    <w:p w14:paraId="33B7649C">
      <w:pPr>
        <w:spacing w:line="48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4、其他补充说明：</w:t>
      </w:r>
      <w:r>
        <w:rPr>
          <w:rFonts w:hint="eastAsia" w:ascii="宋体" w:hAnsi="宋体" w:cs="宋体"/>
          <w:color w:val="000000"/>
          <w:szCs w:val="21"/>
          <w:u w:val="single"/>
        </w:rPr>
        <w:t xml:space="preserve">                                    </w:t>
      </w:r>
      <w:r>
        <w:rPr>
          <w:rFonts w:hint="eastAsia" w:ascii="宋体" w:hAnsi="宋体" w:cs="宋体"/>
          <w:color w:val="000000"/>
          <w:szCs w:val="21"/>
        </w:rPr>
        <w:t>（补充说明事项）</w:t>
      </w:r>
    </w:p>
    <w:p w14:paraId="076F6AAE">
      <w:pPr>
        <w:spacing w:line="48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与本遴选活动有关的一切正式往来通讯请寄：</w:t>
      </w:r>
    </w:p>
    <w:p w14:paraId="22BA1104">
      <w:pPr>
        <w:spacing w:line="480" w:lineRule="exact"/>
        <w:ind w:firstLine="420" w:firstLineChars="200"/>
        <w:outlineLvl w:val="9"/>
        <w:rPr>
          <w:rFonts w:hint="eastAsia" w:ascii="宋体" w:hAnsi="宋体" w:cs="宋体"/>
          <w:color w:val="000000"/>
          <w:szCs w:val="21"/>
        </w:rPr>
      </w:pPr>
    </w:p>
    <w:p w14:paraId="3BF11C98">
      <w:pPr>
        <w:spacing w:line="48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申请人：</w:t>
      </w:r>
      <w:r>
        <w:rPr>
          <w:rFonts w:hint="eastAsia" w:ascii="宋体" w:hAnsi="宋体" w:cs="宋体"/>
          <w:color w:val="000000"/>
          <w:szCs w:val="21"/>
          <w:u w:val="single"/>
        </w:rPr>
        <w:t xml:space="preserve">                     （全称、签章）                      </w:t>
      </w:r>
    </w:p>
    <w:p w14:paraId="0738EE20">
      <w:pPr>
        <w:spacing w:line="480" w:lineRule="exact"/>
        <w:ind w:firstLine="420" w:firstLineChars="200"/>
        <w:outlineLvl w:val="9"/>
        <w:rPr>
          <w:rFonts w:hint="eastAsia" w:ascii="宋体" w:hAnsi="宋体" w:eastAsia="宋体" w:cs="宋体"/>
          <w:color w:val="000000"/>
          <w:szCs w:val="21"/>
        </w:rPr>
      </w:pPr>
      <w:r>
        <w:rPr>
          <w:rFonts w:hint="eastAsia" w:ascii="宋体" w:hAnsi="宋体" w:cs="宋体"/>
          <w:color w:val="000000"/>
          <w:szCs w:val="21"/>
        </w:rPr>
        <w:t>地址：</w:t>
      </w:r>
      <w:r>
        <w:rPr>
          <w:rFonts w:hint="eastAsia" w:ascii="宋体" w:hAnsi="宋体" w:cs="宋体"/>
          <w:color w:val="000000"/>
          <w:szCs w:val="21"/>
          <w:u w:val="single"/>
        </w:rPr>
        <w:t xml:space="preserve">                                         </w:t>
      </w:r>
      <w:r>
        <w:rPr>
          <w:rFonts w:hint="eastAsia" w:ascii="宋体" w:hAnsi="宋体" w:cs="宋体"/>
          <w:color w:val="000000"/>
          <w:szCs w:val="21"/>
          <w:u w:val="none"/>
        </w:rPr>
        <w:t>邮编</w:t>
      </w:r>
      <w:r>
        <w:rPr>
          <w:rFonts w:hint="eastAsia" w:ascii="宋体" w:hAnsi="宋体" w:cs="宋体"/>
          <w:color w:val="000000"/>
          <w:szCs w:val="21"/>
          <w:u w:val="none"/>
          <w:lang w:eastAsia="zh-CN"/>
        </w:rPr>
        <w:t>：</w:t>
      </w:r>
      <w:r>
        <w:rPr>
          <w:rFonts w:hint="eastAsia" w:ascii="宋体" w:hAnsi="宋体" w:cs="宋体"/>
          <w:color w:val="000000"/>
          <w:szCs w:val="21"/>
          <w:u w:val="single"/>
          <w:lang w:val="en-US" w:eastAsia="zh-CN"/>
        </w:rPr>
        <w:t xml:space="preserve">              </w:t>
      </w:r>
      <w:r>
        <w:rPr>
          <w:rFonts w:hint="eastAsia" w:ascii="宋体" w:hAnsi="宋体" w:eastAsia="宋体" w:cs="宋体"/>
          <w:color w:val="000000"/>
          <w:szCs w:val="21"/>
          <w:u w:val="single"/>
        </w:rPr>
        <w:t xml:space="preserve"> </w:t>
      </w:r>
    </w:p>
    <w:p w14:paraId="0C9615BF">
      <w:pPr>
        <w:spacing w:line="48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电话：</w:t>
      </w:r>
      <w:r>
        <w:rPr>
          <w:rFonts w:hint="eastAsia" w:ascii="宋体" w:hAnsi="宋体" w:cs="宋体"/>
          <w:color w:val="000000"/>
          <w:szCs w:val="21"/>
          <w:u w:val="single"/>
        </w:rPr>
        <w:t xml:space="preserve">                                         </w:t>
      </w:r>
      <w:r>
        <w:rPr>
          <w:rFonts w:hint="eastAsia" w:ascii="宋体" w:hAnsi="宋体" w:cs="宋体"/>
          <w:color w:val="000000"/>
          <w:szCs w:val="21"/>
        </w:rPr>
        <w:t>传真：</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single"/>
        </w:rPr>
        <w:t xml:space="preserve">   </w:t>
      </w:r>
    </w:p>
    <w:p w14:paraId="412294AC">
      <w:pPr>
        <w:spacing w:line="48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承保机构公司负责人或授权委托人：</w:t>
      </w:r>
      <w:r>
        <w:rPr>
          <w:rFonts w:hint="eastAsia" w:ascii="宋体" w:hAnsi="宋体" w:cs="宋体"/>
          <w:color w:val="000000"/>
          <w:szCs w:val="21"/>
          <w:u w:val="single"/>
        </w:rPr>
        <w:t xml:space="preserve">                  （盖章</w:t>
      </w:r>
      <w:r>
        <w:rPr>
          <w:rFonts w:hint="eastAsia" w:ascii="宋体" w:hAnsi="宋体" w:cs="宋体"/>
          <w:color w:val="000000"/>
          <w:szCs w:val="21"/>
          <w:u w:val="single"/>
          <w:lang w:eastAsia="zh-CN"/>
        </w:rPr>
        <w:t>或</w:t>
      </w:r>
      <w:r>
        <w:rPr>
          <w:rFonts w:hint="eastAsia" w:ascii="宋体" w:hAnsi="宋体" w:cs="宋体"/>
          <w:color w:val="000000"/>
          <w:szCs w:val="21"/>
          <w:u w:val="single"/>
        </w:rPr>
        <w:t>签字）</w:t>
      </w:r>
    </w:p>
    <w:p w14:paraId="6D7019C3">
      <w:pPr>
        <w:spacing w:after="100" w:afterAutospacing="1" w:line="48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日期：</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6F73063B">
      <w:pPr>
        <w:adjustRightInd w:val="0"/>
        <w:snapToGrid w:val="0"/>
        <w:spacing w:line="360" w:lineRule="auto"/>
        <w:jc w:val="center"/>
        <w:outlineLvl w:val="1"/>
        <w:rPr>
          <w:rFonts w:hint="eastAsia" w:ascii="宋体" w:hAnsi="宋体" w:eastAsia="宋体" w:cs="宋体"/>
          <w:b/>
          <w:bCs/>
          <w:color w:val="000000"/>
          <w:sz w:val="32"/>
          <w:szCs w:val="32"/>
          <w:lang w:eastAsia="zh-CN"/>
        </w:rPr>
      </w:pPr>
      <w:r>
        <w:rPr>
          <w:rFonts w:hint="eastAsia" w:ascii="宋体" w:hAnsi="宋体" w:cs="宋体"/>
          <w:b/>
          <w:bCs/>
          <w:color w:val="000000"/>
          <w:sz w:val="24"/>
        </w:rPr>
        <w:br w:type="page"/>
      </w:r>
      <w:bookmarkStart w:id="50" w:name="_Toc23931"/>
      <w:r>
        <w:rPr>
          <w:rFonts w:hint="eastAsia" w:ascii="宋体" w:hAnsi="宋体" w:cs="宋体"/>
          <w:b/>
          <w:bCs/>
          <w:color w:val="000000"/>
          <w:sz w:val="24"/>
          <w:lang w:eastAsia="zh-CN"/>
        </w:rPr>
        <w:t>二、</w:t>
      </w:r>
      <w:r>
        <w:rPr>
          <w:rFonts w:hint="eastAsia" w:ascii="宋体" w:hAnsi="宋体" w:cs="宋体"/>
          <w:b/>
          <w:bCs/>
          <w:color w:val="000000"/>
          <w:sz w:val="32"/>
          <w:szCs w:val="32"/>
        </w:rPr>
        <w:t>承保机构公司负责人资格证明</w:t>
      </w:r>
      <w:bookmarkEnd w:id="50"/>
      <w:r>
        <w:rPr>
          <w:rFonts w:hint="eastAsia" w:ascii="宋体" w:hAnsi="宋体" w:cs="宋体"/>
          <w:b/>
          <w:bCs/>
          <w:color w:val="000000"/>
          <w:sz w:val="32"/>
          <w:szCs w:val="32"/>
          <w:lang w:eastAsia="zh-CN"/>
        </w:rPr>
        <w:t>书</w:t>
      </w:r>
    </w:p>
    <w:p w14:paraId="3ED4FC03">
      <w:pPr>
        <w:spacing w:line="720" w:lineRule="auto"/>
        <w:ind w:firstLine="420" w:firstLineChars="200"/>
        <w:outlineLvl w:val="9"/>
        <w:rPr>
          <w:rFonts w:hint="default" w:ascii="宋体" w:hAnsi="宋体" w:eastAsia="宋体" w:cs="宋体"/>
          <w:color w:val="000000"/>
          <w:szCs w:val="21"/>
          <w:u w:val="single"/>
          <w:lang w:val="en-US" w:eastAsia="zh-CN"/>
        </w:rPr>
      </w:pPr>
      <w:r>
        <w:rPr>
          <w:rFonts w:hint="eastAsia" w:ascii="宋体" w:hAnsi="宋体" w:cs="宋体"/>
          <w:color w:val="000000"/>
          <w:szCs w:val="21"/>
        </w:rPr>
        <w:t>单位名称</w:t>
      </w:r>
      <w:r>
        <w:rPr>
          <w:rFonts w:hint="eastAsia" w:ascii="宋体" w:hAnsi="宋体" w:cs="宋体"/>
          <w:color w:val="000000"/>
          <w:szCs w:val="21"/>
          <w:u w:val="none"/>
        </w:rPr>
        <w:t>：</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none"/>
          <w:lang w:val="en-US" w:eastAsia="zh-CN"/>
        </w:rPr>
        <w:t xml:space="preserve"> </w:t>
      </w:r>
    </w:p>
    <w:p w14:paraId="1724B43C">
      <w:pPr>
        <w:spacing w:line="72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地    址：</w:t>
      </w:r>
      <w:r>
        <w:rPr>
          <w:rFonts w:hint="eastAsia" w:ascii="宋体" w:hAnsi="宋体" w:cs="宋体"/>
          <w:color w:val="000000"/>
          <w:szCs w:val="21"/>
          <w:u w:val="single"/>
        </w:rPr>
        <w:t xml:space="preserve">                                             </w:t>
      </w:r>
    </w:p>
    <w:p w14:paraId="13A99F01">
      <w:pPr>
        <w:spacing w:line="72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姓    名：</w:t>
      </w:r>
      <w:r>
        <w:rPr>
          <w:rFonts w:hint="eastAsia" w:ascii="宋体" w:hAnsi="宋体" w:cs="宋体"/>
          <w:color w:val="000000"/>
          <w:szCs w:val="21"/>
          <w:u w:val="single"/>
        </w:rPr>
        <w:t xml:space="preserve">       </w:t>
      </w:r>
      <w:r>
        <w:rPr>
          <w:rFonts w:hint="eastAsia" w:ascii="宋体" w:hAnsi="宋体" w:cs="宋体"/>
          <w:color w:val="000000"/>
          <w:szCs w:val="21"/>
        </w:rPr>
        <w:t>性别：</w:t>
      </w:r>
      <w:r>
        <w:rPr>
          <w:rFonts w:hint="eastAsia" w:ascii="宋体" w:hAnsi="宋体" w:cs="宋体"/>
          <w:color w:val="000000"/>
          <w:szCs w:val="21"/>
          <w:u w:val="single"/>
        </w:rPr>
        <w:t xml:space="preserve">       </w:t>
      </w:r>
      <w:r>
        <w:rPr>
          <w:rFonts w:hint="eastAsia" w:ascii="宋体" w:hAnsi="宋体" w:cs="宋体"/>
          <w:color w:val="000000"/>
          <w:szCs w:val="21"/>
        </w:rPr>
        <w:t>年龄：</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p>
    <w:p w14:paraId="62BF017F">
      <w:pPr>
        <w:spacing w:line="720" w:lineRule="auto"/>
        <w:ind w:firstLine="945" w:firstLineChars="450"/>
        <w:outlineLvl w:val="9"/>
        <w:rPr>
          <w:rFonts w:hint="eastAsia" w:ascii="宋体" w:hAnsi="宋体" w:cs="宋体"/>
          <w:color w:val="000000"/>
          <w:szCs w:val="21"/>
        </w:rPr>
      </w:pPr>
      <w:r>
        <w:rPr>
          <w:rFonts w:hint="eastAsia" w:ascii="宋体" w:hAnsi="宋体" w:cs="宋体"/>
          <w:color w:val="000000"/>
          <w:szCs w:val="21"/>
        </w:rPr>
        <w:t>系</w:t>
      </w:r>
      <w:r>
        <w:rPr>
          <w:rFonts w:hint="eastAsia" w:ascii="宋体" w:hAnsi="宋体" w:cs="宋体"/>
          <w:color w:val="000000"/>
          <w:szCs w:val="21"/>
          <w:u w:val="single"/>
        </w:rPr>
        <w:t xml:space="preserve">                 </w:t>
      </w:r>
      <w:r>
        <w:rPr>
          <w:rFonts w:hint="eastAsia" w:ascii="宋体" w:hAnsi="宋体" w:cs="宋体"/>
          <w:color w:val="000000"/>
          <w:szCs w:val="21"/>
        </w:rPr>
        <w:t>的承保机构公司负责人</w:t>
      </w:r>
      <w:r>
        <w:rPr>
          <w:rFonts w:hint="eastAsia" w:ascii="宋体" w:hAnsi="宋体" w:cs="宋体"/>
          <w:color w:val="000000"/>
          <w:szCs w:val="21"/>
          <w:lang w:eastAsia="zh-CN"/>
        </w:rPr>
        <w:t>，</w:t>
      </w:r>
      <w:r>
        <w:rPr>
          <w:rFonts w:hint="eastAsia" w:ascii="宋体" w:hAnsi="宋体" w:cs="宋体"/>
          <w:color w:val="000000"/>
          <w:szCs w:val="21"/>
        </w:rPr>
        <w:t>为</w:t>
      </w:r>
      <w:r>
        <w:rPr>
          <w:rFonts w:hint="eastAsia" w:ascii="宋体" w:hAnsi="宋体" w:cs="宋体"/>
          <w:color w:val="000000"/>
          <w:szCs w:val="21"/>
          <w:u w:val="single"/>
        </w:rPr>
        <w:t xml:space="preserve">                 </w:t>
      </w:r>
      <w:r>
        <w:rPr>
          <w:rFonts w:hint="eastAsia" w:ascii="宋体" w:hAnsi="宋体" w:cs="宋体"/>
          <w:color w:val="000000"/>
          <w:szCs w:val="21"/>
        </w:rPr>
        <w:t>项目签署上述申请文件、进行合同商谈、签署合同和处理与之有关的一切事务。</w:t>
      </w:r>
    </w:p>
    <w:p w14:paraId="7295BB62">
      <w:pPr>
        <w:spacing w:line="72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特此证明。</w:t>
      </w:r>
    </w:p>
    <w:tbl>
      <w:tblPr>
        <w:tblStyle w:val="12"/>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60"/>
        <w:gridCol w:w="4332"/>
      </w:tblGrid>
      <w:tr w14:paraId="0ACCD5E8">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trPr>
        <w:tc>
          <w:tcPr>
            <w:tcW w:w="4260" w:type="dxa"/>
            <w:noWrap w:val="0"/>
            <w:vAlign w:val="center"/>
          </w:tcPr>
          <w:p w14:paraId="551E1F2B">
            <w:pPr>
              <w:snapToGrid w:val="0"/>
              <w:spacing w:line="360" w:lineRule="auto"/>
              <w:jc w:val="center"/>
              <w:outlineLvl w:val="9"/>
              <w:rPr>
                <w:rFonts w:hint="eastAsia" w:ascii="宋体" w:hAnsi="宋体" w:cs="宋体"/>
                <w:color w:val="000000"/>
                <w:szCs w:val="21"/>
              </w:rPr>
            </w:pPr>
            <w:r>
              <w:rPr>
                <w:rFonts w:hint="eastAsia" w:ascii="宋体" w:hAnsi="宋体" w:cs="宋体"/>
                <w:color w:val="000000"/>
                <w:szCs w:val="21"/>
              </w:rPr>
              <w:t>承保机构公司负责人二代身份证复印件正面</w:t>
            </w:r>
          </w:p>
        </w:tc>
        <w:tc>
          <w:tcPr>
            <w:tcW w:w="4332" w:type="dxa"/>
            <w:noWrap w:val="0"/>
            <w:vAlign w:val="center"/>
          </w:tcPr>
          <w:p w14:paraId="445B203E">
            <w:pPr>
              <w:snapToGrid w:val="0"/>
              <w:spacing w:line="360" w:lineRule="auto"/>
              <w:jc w:val="center"/>
              <w:outlineLvl w:val="9"/>
              <w:rPr>
                <w:rFonts w:hint="eastAsia" w:ascii="宋体" w:hAnsi="宋体" w:cs="宋体"/>
                <w:color w:val="000000"/>
                <w:szCs w:val="21"/>
              </w:rPr>
            </w:pPr>
            <w:r>
              <w:rPr>
                <w:rFonts w:hint="eastAsia" w:ascii="宋体" w:hAnsi="宋体" w:cs="宋体"/>
                <w:color w:val="000000"/>
                <w:szCs w:val="21"/>
              </w:rPr>
              <w:t>承保机构公司负责人二代身份证复印件反面</w:t>
            </w:r>
          </w:p>
        </w:tc>
      </w:tr>
    </w:tbl>
    <w:p w14:paraId="71DA1138">
      <w:pPr>
        <w:spacing w:line="360" w:lineRule="auto"/>
        <w:outlineLvl w:val="9"/>
        <w:rPr>
          <w:rFonts w:hint="eastAsia" w:ascii="宋体" w:hAnsi="宋体" w:cs="宋体"/>
          <w:color w:val="000000"/>
          <w:szCs w:val="21"/>
        </w:rPr>
      </w:pPr>
    </w:p>
    <w:p w14:paraId="2F80A6ED">
      <w:pPr>
        <w:spacing w:line="360" w:lineRule="auto"/>
        <w:outlineLvl w:val="9"/>
        <w:rPr>
          <w:rFonts w:hint="eastAsia" w:ascii="宋体" w:hAnsi="宋体" w:cs="宋体"/>
          <w:color w:val="000000"/>
          <w:szCs w:val="21"/>
        </w:rPr>
      </w:pPr>
    </w:p>
    <w:p w14:paraId="223D4306">
      <w:pPr>
        <w:spacing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申请人：</w:t>
      </w:r>
      <w:r>
        <w:rPr>
          <w:rFonts w:hint="eastAsia" w:ascii="宋体" w:hAnsi="宋体" w:cs="宋体"/>
          <w:color w:val="000000"/>
          <w:szCs w:val="21"/>
          <w:u w:val="single"/>
        </w:rPr>
        <w:t xml:space="preserve">                        （单位全称）（盖章）</w:t>
      </w:r>
    </w:p>
    <w:p w14:paraId="733276C5">
      <w:pPr>
        <w:spacing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日期：</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6032E4EE">
      <w:pPr>
        <w:spacing w:line="440" w:lineRule="exact"/>
        <w:outlineLvl w:val="9"/>
        <w:rPr>
          <w:rFonts w:hint="eastAsia" w:ascii="宋体" w:hAnsi="宋体" w:cs="宋体"/>
          <w:color w:val="000000"/>
          <w:szCs w:val="21"/>
        </w:rPr>
      </w:pPr>
    </w:p>
    <w:p w14:paraId="27C92CFA">
      <w:pPr>
        <w:spacing w:line="360" w:lineRule="auto"/>
        <w:outlineLvl w:val="9"/>
        <w:rPr>
          <w:rFonts w:hint="eastAsia" w:ascii="宋体" w:hAnsi="宋体" w:cs="宋体"/>
          <w:color w:val="000000"/>
          <w:szCs w:val="21"/>
        </w:rPr>
      </w:pPr>
    </w:p>
    <w:p w14:paraId="2BE92E74">
      <w:pPr>
        <w:adjustRightInd w:val="0"/>
        <w:snapToGrid w:val="0"/>
        <w:spacing w:before="120" w:beforeLines="50" w:line="360" w:lineRule="auto"/>
        <w:ind w:right="420"/>
        <w:outlineLvl w:val="9"/>
        <w:rPr>
          <w:rFonts w:hint="eastAsia" w:ascii="宋体" w:hAnsi="宋体" w:eastAsia="宋体" w:cs="宋体"/>
          <w:b/>
          <w:color w:val="000000"/>
          <w:sz w:val="28"/>
          <w:szCs w:val="28"/>
        </w:rPr>
      </w:pPr>
      <w:r>
        <w:rPr>
          <w:rFonts w:hint="eastAsia" w:ascii="宋体" w:hAnsi="宋体" w:eastAsia="宋体" w:cs="宋体"/>
          <w:b/>
          <w:sz w:val="24"/>
          <w:szCs w:val="21"/>
        </w:rPr>
        <w:t>（</w:t>
      </w:r>
      <w:r>
        <w:rPr>
          <w:rFonts w:hint="eastAsia" w:ascii="宋体" w:hAnsi="宋体" w:eastAsia="宋体" w:cs="宋体"/>
          <w:b/>
          <w:sz w:val="24"/>
          <w:szCs w:val="21"/>
          <w:lang w:eastAsia="zh-CN"/>
        </w:rPr>
        <w:t>如公司负责人参加，</w:t>
      </w:r>
      <w:r>
        <w:rPr>
          <w:rFonts w:hint="eastAsia" w:ascii="宋体" w:hAnsi="宋体" w:eastAsia="宋体" w:cs="宋体"/>
          <w:b/>
          <w:sz w:val="24"/>
          <w:szCs w:val="21"/>
        </w:rPr>
        <w:t>为方便身份验证，</w:t>
      </w:r>
      <w:r>
        <w:rPr>
          <w:rFonts w:hint="eastAsia" w:ascii="宋体" w:hAnsi="宋体" w:eastAsia="宋体" w:cs="宋体"/>
          <w:b/>
          <w:sz w:val="24"/>
          <w:szCs w:val="21"/>
          <w:lang w:eastAsia="zh-CN"/>
        </w:rPr>
        <w:t>申请人</w:t>
      </w:r>
      <w:r>
        <w:rPr>
          <w:rFonts w:hint="eastAsia" w:ascii="宋体" w:hAnsi="宋体" w:eastAsia="宋体" w:cs="宋体"/>
          <w:b/>
          <w:sz w:val="24"/>
          <w:szCs w:val="21"/>
        </w:rPr>
        <w:t>另备一份公司负责人资格证明，无需密封，与公司负责人身份证原件一起现场交由监督领导审核。）</w:t>
      </w:r>
    </w:p>
    <w:p w14:paraId="0F42302D">
      <w:pPr>
        <w:spacing w:line="360" w:lineRule="auto"/>
        <w:outlineLvl w:val="9"/>
        <w:rPr>
          <w:rFonts w:hint="eastAsia" w:ascii="宋体" w:hAnsi="宋体" w:cs="宋体"/>
          <w:color w:val="000000"/>
          <w:sz w:val="24"/>
        </w:rPr>
      </w:pPr>
    </w:p>
    <w:p w14:paraId="459CA1BD">
      <w:pPr>
        <w:spacing w:line="360" w:lineRule="auto"/>
        <w:outlineLvl w:val="9"/>
        <w:rPr>
          <w:rFonts w:hint="eastAsia" w:ascii="宋体" w:hAnsi="宋体" w:cs="宋体"/>
          <w:b/>
          <w:bCs/>
          <w:color w:val="000000"/>
          <w:sz w:val="24"/>
        </w:rPr>
      </w:pPr>
    </w:p>
    <w:p w14:paraId="68CD9920">
      <w:pPr>
        <w:spacing w:line="360" w:lineRule="atLeast"/>
        <w:jc w:val="center"/>
        <w:outlineLvl w:val="1"/>
        <w:rPr>
          <w:rFonts w:hint="eastAsia" w:ascii="宋体" w:hAnsi="宋体" w:cs="宋体"/>
          <w:b/>
          <w:bCs/>
          <w:color w:val="000000"/>
          <w:sz w:val="32"/>
          <w:szCs w:val="32"/>
        </w:rPr>
      </w:pPr>
      <w:r>
        <w:rPr>
          <w:rFonts w:hint="eastAsia" w:ascii="宋体" w:hAnsi="宋体" w:cs="宋体"/>
          <w:b/>
          <w:bCs/>
          <w:color w:val="000000"/>
          <w:sz w:val="24"/>
        </w:rPr>
        <w:br w:type="page"/>
      </w:r>
      <w:bookmarkStart w:id="51" w:name="_Toc22468"/>
      <w:r>
        <w:rPr>
          <w:rFonts w:hint="eastAsia" w:ascii="宋体" w:hAnsi="宋体" w:cs="宋体"/>
          <w:b/>
          <w:bCs/>
          <w:color w:val="000000"/>
          <w:sz w:val="32"/>
          <w:szCs w:val="32"/>
          <w:lang w:eastAsia="zh-CN"/>
        </w:rPr>
        <w:t>三、</w:t>
      </w:r>
      <w:r>
        <w:rPr>
          <w:rFonts w:hint="eastAsia" w:ascii="宋体" w:hAnsi="宋体" w:cs="宋体"/>
          <w:b/>
          <w:bCs/>
          <w:color w:val="000000"/>
          <w:sz w:val="32"/>
          <w:szCs w:val="32"/>
        </w:rPr>
        <w:t>承保机构公司负责人授权委托书</w:t>
      </w:r>
      <w:bookmarkEnd w:id="51"/>
    </w:p>
    <w:p w14:paraId="542A7BB3">
      <w:pPr>
        <w:spacing w:line="480" w:lineRule="exact"/>
        <w:ind w:firstLine="525" w:firstLineChars="250"/>
        <w:outlineLvl w:val="9"/>
        <w:rPr>
          <w:rFonts w:hint="eastAsia" w:ascii="宋体" w:hAnsi="宋体" w:cs="宋体"/>
          <w:color w:val="000000"/>
          <w:szCs w:val="21"/>
        </w:rPr>
      </w:pPr>
      <w:r>
        <w:rPr>
          <w:rFonts w:hint="eastAsia" w:ascii="宋体" w:hAnsi="宋体" w:cs="宋体"/>
          <w:color w:val="000000"/>
          <w:szCs w:val="21"/>
        </w:rPr>
        <w:t>本人作为</w:t>
      </w:r>
      <w:r>
        <w:rPr>
          <w:rFonts w:hint="eastAsia" w:ascii="宋体" w:hAnsi="宋体" w:cs="宋体"/>
          <w:color w:val="000000"/>
          <w:szCs w:val="21"/>
          <w:u w:val="single"/>
        </w:rPr>
        <w:t xml:space="preserve">       （申请人名称）</w:t>
      </w:r>
      <w:r>
        <w:rPr>
          <w:rFonts w:hint="eastAsia" w:ascii="宋体" w:hAnsi="宋体" w:cs="宋体"/>
          <w:color w:val="000000"/>
          <w:szCs w:val="21"/>
        </w:rPr>
        <w:t>的承保机构公司负责人，在此授权我公司的</w:t>
      </w:r>
      <w:r>
        <w:rPr>
          <w:rFonts w:hint="eastAsia" w:ascii="宋体" w:hAnsi="宋体" w:cs="宋体"/>
          <w:color w:val="000000"/>
          <w:szCs w:val="21"/>
          <w:u w:val="single"/>
        </w:rPr>
        <w:t xml:space="preserve">          </w:t>
      </w:r>
      <w:r>
        <w:rPr>
          <w:rFonts w:hint="eastAsia" w:ascii="宋体" w:hAnsi="宋体" w:cs="宋体"/>
          <w:color w:val="000000"/>
          <w:szCs w:val="21"/>
          <w:u w:val="single"/>
          <w:lang w:eastAsia="zh-CN"/>
        </w:rPr>
        <w:t>（姓名）</w:t>
      </w:r>
      <w:r>
        <w:rPr>
          <w:rFonts w:hint="eastAsia" w:ascii="宋体" w:hAnsi="宋体" w:cs="宋体"/>
          <w:color w:val="000000"/>
          <w:szCs w:val="21"/>
        </w:rPr>
        <w:t>，其身份证明号码：</w:t>
      </w:r>
      <w:r>
        <w:rPr>
          <w:rFonts w:hint="eastAsia" w:ascii="宋体" w:hAnsi="宋体" w:cs="宋体"/>
          <w:color w:val="000000"/>
          <w:szCs w:val="21"/>
          <w:u w:val="single"/>
        </w:rPr>
        <w:t xml:space="preserve">                            </w:t>
      </w:r>
      <w:r>
        <w:rPr>
          <w:rFonts w:hint="eastAsia" w:ascii="宋体" w:hAnsi="宋体" w:cs="宋体"/>
          <w:color w:val="000000"/>
          <w:szCs w:val="21"/>
        </w:rPr>
        <w:t>，作为我的合法的授权代表，以我的名义并代表我公司全权处理</w:t>
      </w:r>
      <w:r>
        <w:rPr>
          <w:rFonts w:hint="eastAsia" w:ascii="宋体" w:hAnsi="宋体" w:cs="宋体"/>
          <w:color w:val="000000"/>
          <w:szCs w:val="21"/>
          <w:u w:val="single"/>
        </w:rPr>
        <w:t xml:space="preserve">                   </w:t>
      </w:r>
      <w:r>
        <w:rPr>
          <w:rFonts w:hint="eastAsia" w:ascii="宋体" w:hAnsi="宋体" w:cs="宋体"/>
          <w:color w:val="000000"/>
          <w:szCs w:val="21"/>
        </w:rPr>
        <w:t>项目的各项事宜。</w:t>
      </w:r>
    </w:p>
    <w:p w14:paraId="492EC83E">
      <w:pPr>
        <w:autoSpaceDE w:val="0"/>
        <w:autoSpaceDN w:val="0"/>
        <w:adjustRightInd w:val="0"/>
        <w:snapToGrid w:val="0"/>
        <w:spacing w:line="480" w:lineRule="exact"/>
        <w:ind w:firstLine="432" w:firstLineChars="200"/>
        <w:outlineLvl w:val="9"/>
        <w:rPr>
          <w:rFonts w:hint="eastAsia" w:ascii="宋体" w:hAnsi="宋体" w:cs="宋体"/>
          <w:color w:val="000000"/>
          <w:szCs w:val="21"/>
        </w:rPr>
      </w:pPr>
      <w:r>
        <w:rPr>
          <w:rFonts w:hint="eastAsia" w:ascii="宋体" w:hAnsi="宋体" w:cs="宋体"/>
          <w:color w:val="000000"/>
          <w:spacing w:val="3"/>
          <w:kern w:val="0"/>
          <w:szCs w:val="21"/>
        </w:rPr>
        <w:t>本授权书期限自</w:t>
      </w:r>
      <w:r>
        <w:rPr>
          <w:rFonts w:hint="eastAsia" w:ascii="宋体" w:hAnsi="宋体" w:cs="宋体"/>
          <w:color w:val="000000"/>
          <w:spacing w:val="3"/>
          <w:kern w:val="0"/>
          <w:szCs w:val="21"/>
          <w:u w:val="single"/>
        </w:rPr>
        <w:t xml:space="preserve">      </w:t>
      </w:r>
      <w:r>
        <w:rPr>
          <w:rFonts w:hint="eastAsia" w:ascii="宋体" w:hAnsi="宋体" w:cs="宋体"/>
          <w:color w:val="000000"/>
          <w:spacing w:val="3"/>
          <w:kern w:val="0"/>
          <w:szCs w:val="21"/>
        </w:rPr>
        <w:t>年</w:t>
      </w:r>
      <w:r>
        <w:rPr>
          <w:rFonts w:hint="eastAsia" w:ascii="宋体" w:hAnsi="宋体" w:cs="宋体"/>
          <w:color w:val="000000"/>
          <w:spacing w:val="3"/>
          <w:kern w:val="0"/>
          <w:szCs w:val="21"/>
          <w:u w:val="single"/>
        </w:rPr>
        <w:t xml:space="preserve">     </w:t>
      </w:r>
      <w:r>
        <w:rPr>
          <w:rFonts w:hint="eastAsia" w:ascii="宋体" w:hAnsi="宋体" w:cs="宋体"/>
          <w:color w:val="000000"/>
          <w:spacing w:val="3"/>
          <w:kern w:val="0"/>
          <w:szCs w:val="21"/>
        </w:rPr>
        <w:t>月</w:t>
      </w:r>
      <w:r>
        <w:rPr>
          <w:rFonts w:hint="eastAsia" w:ascii="宋体" w:hAnsi="宋体" w:cs="宋体"/>
          <w:color w:val="000000"/>
          <w:spacing w:val="3"/>
          <w:kern w:val="0"/>
          <w:szCs w:val="21"/>
          <w:u w:val="single"/>
        </w:rPr>
        <w:t xml:space="preserve">     </w:t>
      </w:r>
      <w:r>
        <w:rPr>
          <w:rFonts w:hint="eastAsia" w:ascii="宋体" w:hAnsi="宋体" w:cs="宋体"/>
          <w:color w:val="000000"/>
          <w:spacing w:val="3"/>
          <w:kern w:val="0"/>
          <w:szCs w:val="21"/>
        </w:rPr>
        <w:t>日起至</w:t>
      </w:r>
      <w:r>
        <w:rPr>
          <w:rFonts w:hint="eastAsia" w:ascii="宋体" w:hAnsi="宋体" w:cs="宋体"/>
          <w:color w:val="000000"/>
          <w:spacing w:val="3"/>
          <w:kern w:val="0"/>
          <w:szCs w:val="21"/>
          <w:u w:val="single"/>
        </w:rPr>
        <w:t xml:space="preserve">       </w:t>
      </w:r>
      <w:r>
        <w:rPr>
          <w:rFonts w:hint="eastAsia" w:ascii="宋体" w:hAnsi="宋体" w:cs="宋体"/>
          <w:color w:val="000000"/>
          <w:spacing w:val="3"/>
          <w:kern w:val="0"/>
          <w:szCs w:val="21"/>
        </w:rPr>
        <w:t>年</w:t>
      </w:r>
      <w:r>
        <w:rPr>
          <w:rFonts w:hint="eastAsia" w:ascii="宋体" w:hAnsi="宋体" w:cs="宋体"/>
          <w:color w:val="000000"/>
          <w:spacing w:val="3"/>
          <w:kern w:val="0"/>
          <w:szCs w:val="21"/>
          <w:u w:val="single"/>
        </w:rPr>
        <w:t xml:space="preserve">    </w:t>
      </w:r>
      <w:r>
        <w:rPr>
          <w:rFonts w:hint="eastAsia" w:ascii="宋体" w:hAnsi="宋体" w:cs="宋体"/>
          <w:color w:val="000000"/>
          <w:spacing w:val="3"/>
          <w:kern w:val="0"/>
          <w:szCs w:val="21"/>
        </w:rPr>
        <w:t>月</w:t>
      </w:r>
      <w:r>
        <w:rPr>
          <w:rFonts w:hint="eastAsia" w:ascii="宋体" w:hAnsi="宋体" w:cs="宋体"/>
          <w:color w:val="000000"/>
          <w:spacing w:val="3"/>
          <w:kern w:val="0"/>
          <w:szCs w:val="21"/>
          <w:u w:val="single"/>
        </w:rPr>
        <w:t xml:space="preserve">    </w:t>
      </w:r>
      <w:r>
        <w:rPr>
          <w:rFonts w:hint="eastAsia" w:ascii="宋体" w:hAnsi="宋体" w:cs="宋体"/>
          <w:color w:val="000000"/>
          <w:kern w:val="0"/>
          <w:szCs w:val="21"/>
        </w:rPr>
        <w:t>日止。</w:t>
      </w:r>
    </w:p>
    <w:p w14:paraId="3CB8C038">
      <w:pPr>
        <w:autoSpaceDE w:val="0"/>
        <w:autoSpaceDN w:val="0"/>
        <w:adjustRightInd w:val="0"/>
        <w:snapToGrid w:val="0"/>
        <w:spacing w:line="480" w:lineRule="exact"/>
        <w:ind w:firstLine="440" w:firstLineChars="200"/>
        <w:outlineLvl w:val="9"/>
        <w:rPr>
          <w:rFonts w:hint="eastAsia" w:ascii="宋体" w:hAnsi="宋体" w:cs="宋体"/>
          <w:color w:val="000000"/>
          <w:szCs w:val="21"/>
        </w:rPr>
      </w:pPr>
      <w:r>
        <w:rPr>
          <w:rFonts w:hint="eastAsia" w:ascii="宋体" w:hAnsi="宋体" w:cs="宋体"/>
          <w:color w:val="000000"/>
          <w:spacing w:val="5"/>
          <w:kern w:val="0"/>
          <w:szCs w:val="21"/>
        </w:rPr>
        <w:t>在此授权范围和期限内，被授权人所实施的行为具有法律效力，授权人</w:t>
      </w:r>
      <w:r>
        <w:rPr>
          <w:rFonts w:hint="eastAsia" w:ascii="宋体" w:hAnsi="宋体" w:cs="宋体"/>
          <w:color w:val="000000"/>
          <w:spacing w:val="4"/>
          <w:kern w:val="0"/>
          <w:szCs w:val="21"/>
        </w:rPr>
        <w:t>予以认可。</w:t>
      </w:r>
    </w:p>
    <w:p w14:paraId="71392DCC">
      <w:pPr>
        <w:autoSpaceDE w:val="0"/>
        <w:autoSpaceDN w:val="0"/>
        <w:adjustRightInd w:val="0"/>
        <w:snapToGrid w:val="0"/>
        <w:spacing w:line="480" w:lineRule="exact"/>
        <w:ind w:firstLine="420" w:firstLineChars="200"/>
        <w:outlineLvl w:val="9"/>
        <w:rPr>
          <w:rFonts w:hint="eastAsia" w:ascii="宋体" w:hAnsi="宋体" w:cs="宋体"/>
          <w:color w:val="000000"/>
          <w:szCs w:val="21"/>
        </w:rPr>
      </w:pPr>
      <w:r>
        <w:rPr>
          <w:rFonts w:hint="eastAsia" w:ascii="宋体" w:hAnsi="宋体" w:cs="宋体"/>
          <w:color w:val="000000"/>
          <w:kern w:val="0"/>
          <w:szCs w:val="21"/>
        </w:rPr>
        <w:t>授权代表无权转让委托权，特此委托。</w:t>
      </w:r>
    </w:p>
    <w:p w14:paraId="37C5F255">
      <w:pPr>
        <w:spacing w:line="480" w:lineRule="exact"/>
        <w:ind w:firstLine="420" w:firstLineChars="200"/>
        <w:outlineLvl w:val="9"/>
        <w:rPr>
          <w:rFonts w:hint="eastAsia" w:ascii="宋体" w:hAnsi="宋体" w:cs="宋体"/>
          <w:color w:val="000000"/>
          <w:szCs w:val="21"/>
          <w:u w:val="single"/>
        </w:rPr>
      </w:pPr>
      <w:r>
        <w:rPr>
          <w:rFonts w:hint="eastAsia" w:ascii="宋体" w:hAnsi="宋体" w:cs="宋体"/>
          <w:color w:val="000000"/>
          <w:szCs w:val="21"/>
        </w:rPr>
        <w:t>授权代表：</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single"/>
        </w:rPr>
        <w:t>（</w:t>
      </w:r>
      <w:r>
        <w:rPr>
          <w:rFonts w:hint="eastAsia" w:ascii="宋体" w:hAnsi="宋体" w:cs="宋体"/>
          <w:color w:val="000000"/>
          <w:szCs w:val="21"/>
          <w:u w:val="single"/>
          <w:lang w:eastAsia="zh-CN"/>
        </w:rPr>
        <w:t>签字</w:t>
      </w:r>
      <w:r>
        <w:rPr>
          <w:rFonts w:hint="eastAsia" w:ascii="宋体" w:hAnsi="宋体" w:cs="宋体"/>
          <w:color w:val="000000"/>
          <w:szCs w:val="21"/>
          <w:u w:val="single"/>
        </w:rPr>
        <w:t>）</w:t>
      </w:r>
    </w:p>
    <w:p w14:paraId="1646BD49">
      <w:pPr>
        <w:spacing w:line="480" w:lineRule="exact"/>
        <w:ind w:firstLine="420" w:firstLineChars="200"/>
        <w:outlineLvl w:val="9"/>
        <w:rPr>
          <w:rFonts w:hint="eastAsia" w:ascii="宋体" w:hAnsi="宋体" w:cs="宋体"/>
          <w:color w:val="000000"/>
          <w:szCs w:val="21"/>
          <w:u w:val="single"/>
        </w:rPr>
      </w:pPr>
      <w:r>
        <w:rPr>
          <w:rFonts w:hint="eastAsia" w:ascii="宋体" w:hAnsi="宋体" w:cs="宋体"/>
          <w:color w:val="000000"/>
          <w:szCs w:val="21"/>
        </w:rPr>
        <w:t>性别：</w:t>
      </w:r>
      <w:r>
        <w:rPr>
          <w:rFonts w:hint="eastAsia" w:ascii="宋体" w:hAnsi="宋体" w:cs="宋体"/>
          <w:color w:val="000000"/>
          <w:szCs w:val="21"/>
          <w:u w:val="single"/>
        </w:rPr>
        <w:t xml:space="preserve">           </w:t>
      </w:r>
      <w:r>
        <w:rPr>
          <w:rFonts w:hint="eastAsia" w:ascii="宋体" w:hAnsi="宋体" w:cs="宋体"/>
          <w:color w:val="000000"/>
          <w:szCs w:val="21"/>
        </w:rPr>
        <w:t>年龄：</w:t>
      </w:r>
      <w:r>
        <w:rPr>
          <w:rFonts w:hint="eastAsia" w:ascii="宋体" w:hAnsi="宋体" w:cs="宋体"/>
          <w:color w:val="000000"/>
          <w:szCs w:val="21"/>
          <w:u w:val="single"/>
        </w:rPr>
        <w:t xml:space="preserve">             </w:t>
      </w:r>
    </w:p>
    <w:p w14:paraId="4B1BB3F7">
      <w:pPr>
        <w:spacing w:line="480" w:lineRule="exact"/>
        <w:ind w:firstLine="420" w:firstLineChars="200"/>
        <w:outlineLvl w:val="9"/>
        <w:rPr>
          <w:rFonts w:hint="eastAsia" w:ascii="宋体" w:hAnsi="宋体" w:cs="宋体"/>
          <w:color w:val="000000"/>
          <w:szCs w:val="21"/>
          <w:u w:val="single"/>
        </w:rPr>
      </w:pPr>
      <w:r>
        <w:rPr>
          <w:rFonts w:hint="eastAsia" w:ascii="宋体" w:hAnsi="宋体" w:cs="宋体"/>
          <w:color w:val="000000"/>
          <w:szCs w:val="21"/>
        </w:rPr>
        <w:t>身份证号码：</w:t>
      </w:r>
      <w:r>
        <w:rPr>
          <w:rFonts w:hint="eastAsia" w:ascii="宋体" w:hAnsi="宋体" w:cs="宋体"/>
          <w:color w:val="000000"/>
          <w:szCs w:val="21"/>
          <w:u w:val="single"/>
        </w:rPr>
        <w:t xml:space="preserve">            </w:t>
      </w:r>
      <w:r>
        <w:rPr>
          <w:rFonts w:hint="eastAsia" w:ascii="宋体" w:hAnsi="宋体" w:cs="宋体"/>
          <w:color w:val="000000"/>
          <w:szCs w:val="21"/>
        </w:rPr>
        <w:t>职务：</w:t>
      </w:r>
      <w:r>
        <w:rPr>
          <w:rFonts w:hint="eastAsia" w:ascii="宋体" w:hAnsi="宋体" w:cs="宋体"/>
          <w:color w:val="000000"/>
          <w:szCs w:val="21"/>
          <w:u w:val="single"/>
        </w:rPr>
        <w:t xml:space="preserve">           </w:t>
      </w:r>
    </w:p>
    <w:p w14:paraId="434BF230">
      <w:pPr>
        <w:spacing w:line="48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申请人：</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single"/>
        </w:rPr>
        <w:t>（单位全称）（盖章）</w:t>
      </w:r>
    </w:p>
    <w:p w14:paraId="157881D1">
      <w:pPr>
        <w:spacing w:line="48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承保机构公司负责人：</w:t>
      </w:r>
      <w:r>
        <w:rPr>
          <w:rFonts w:hint="eastAsia" w:ascii="宋体" w:hAnsi="宋体" w:cs="宋体"/>
          <w:color w:val="000000"/>
          <w:szCs w:val="21"/>
          <w:u w:val="single"/>
        </w:rPr>
        <w:t xml:space="preserve">      </w:t>
      </w:r>
      <w:r>
        <w:rPr>
          <w:rFonts w:hint="eastAsia" w:ascii="宋体" w:hAnsi="宋体" w:cs="宋体"/>
          <w:color w:val="000000"/>
          <w:szCs w:val="21"/>
          <w:u w:val="single"/>
          <w:lang w:val="en-US" w:eastAsia="zh-CN"/>
        </w:rPr>
        <w:t xml:space="preserve">  </w:t>
      </w:r>
      <w:r>
        <w:rPr>
          <w:rFonts w:hint="eastAsia" w:ascii="宋体" w:hAnsi="宋体" w:cs="宋体"/>
          <w:color w:val="000000"/>
          <w:szCs w:val="21"/>
          <w:u w:val="single"/>
        </w:rPr>
        <w:t xml:space="preserve">  （盖章</w:t>
      </w:r>
      <w:r>
        <w:rPr>
          <w:rFonts w:hint="eastAsia" w:ascii="宋体" w:hAnsi="宋体" w:cs="宋体"/>
          <w:color w:val="000000"/>
          <w:szCs w:val="21"/>
          <w:u w:val="single"/>
          <w:lang w:eastAsia="zh-CN"/>
        </w:rPr>
        <w:t>或</w:t>
      </w:r>
      <w:r>
        <w:rPr>
          <w:rFonts w:hint="eastAsia" w:ascii="宋体" w:hAnsi="宋体" w:cs="宋体"/>
          <w:color w:val="000000"/>
          <w:szCs w:val="21"/>
          <w:u w:val="single"/>
        </w:rPr>
        <w:t>签字）</w:t>
      </w:r>
    </w:p>
    <w:p w14:paraId="00E5B995">
      <w:pPr>
        <w:spacing w:line="480" w:lineRule="exact"/>
        <w:ind w:firstLine="420" w:firstLineChars="200"/>
        <w:outlineLvl w:val="9"/>
        <w:rPr>
          <w:rFonts w:hint="eastAsia" w:ascii="宋体" w:hAnsi="宋体" w:cs="宋体"/>
          <w:color w:val="000000"/>
          <w:szCs w:val="21"/>
        </w:rPr>
      </w:pPr>
      <w:r>
        <w:rPr>
          <w:rFonts w:hint="eastAsia" w:ascii="宋体" w:hAnsi="宋体" w:cs="宋体"/>
          <w:color w:val="000000"/>
          <w:szCs w:val="21"/>
        </w:rPr>
        <w:t>授权委托日期：</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424D7166">
      <w:pPr>
        <w:spacing w:line="480" w:lineRule="exact"/>
        <w:ind w:firstLine="210" w:firstLineChars="100"/>
        <w:outlineLvl w:val="9"/>
        <w:rPr>
          <w:rFonts w:hint="eastAsia" w:ascii="宋体" w:hAnsi="宋体" w:cs="宋体"/>
          <w:color w:val="000000"/>
          <w:szCs w:val="21"/>
        </w:rPr>
      </w:pPr>
    </w:p>
    <w:tbl>
      <w:tblPr>
        <w:tblStyle w:val="12"/>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26"/>
        <w:gridCol w:w="4227"/>
      </w:tblGrid>
      <w:tr w14:paraId="23970DFB">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trPr>
        <w:tc>
          <w:tcPr>
            <w:tcW w:w="4226" w:type="dxa"/>
            <w:noWrap w:val="0"/>
            <w:vAlign w:val="center"/>
          </w:tcPr>
          <w:p w14:paraId="7E0C5533">
            <w:pPr>
              <w:snapToGrid w:val="0"/>
              <w:spacing w:line="360" w:lineRule="auto"/>
              <w:jc w:val="center"/>
              <w:outlineLvl w:val="9"/>
              <w:rPr>
                <w:rFonts w:hint="eastAsia" w:ascii="宋体" w:hAnsi="宋体" w:cs="宋体"/>
                <w:color w:val="000000"/>
                <w:szCs w:val="21"/>
              </w:rPr>
            </w:pPr>
            <w:r>
              <w:rPr>
                <w:rFonts w:hint="eastAsia" w:ascii="宋体" w:hAnsi="宋体" w:cs="宋体"/>
                <w:color w:val="000000"/>
                <w:szCs w:val="21"/>
              </w:rPr>
              <w:t>承保机构公司负责人二代身份证复印件正面</w:t>
            </w:r>
          </w:p>
        </w:tc>
        <w:tc>
          <w:tcPr>
            <w:tcW w:w="4227" w:type="dxa"/>
            <w:noWrap w:val="0"/>
            <w:vAlign w:val="center"/>
          </w:tcPr>
          <w:p w14:paraId="72EC9764">
            <w:pPr>
              <w:snapToGrid w:val="0"/>
              <w:spacing w:line="360" w:lineRule="auto"/>
              <w:jc w:val="center"/>
              <w:outlineLvl w:val="9"/>
              <w:rPr>
                <w:rFonts w:hint="eastAsia" w:ascii="宋体" w:hAnsi="宋体" w:cs="宋体"/>
                <w:color w:val="000000"/>
                <w:szCs w:val="21"/>
              </w:rPr>
            </w:pPr>
            <w:r>
              <w:rPr>
                <w:rFonts w:hint="eastAsia" w:ascii="宋体" w:hAnsi="宋体" w:cs="宋体"/>
                <w:color w:val="000000"/>
                <w:szCs w:val="21"/>
              </w:rPr>
              <w:t>承保机构公司负责人二代身份证复印件反面</w:t>
            </w:r>
          </w:p>
        </w:tc>
      </w:tr>
    </w:tbl>
    <w:p w14:paraId="17B5C378">
      <w:pPr>
        <w:spacing w:line="360" w:lineRule="atLeast"/>
        <w:outlineLvl w:val="9"/>
        <w:rPr>
          <w:rFonts w:hint="eastAsia" w:ascii="宋体" w:hAnsi="宋体" w:cs="宋体"/>
          <w:b/>
          <w:bCs/>
          <w:color w:val="000000"/>
          <w:szCs w:val="21"/>
        </w:rPr>
      </w:pPr>
    </w:p>
    <w:tbl>
      <w:tblPr>
        <w:tblStyle w:val="12"/>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Layout w:type="fixed"/>
        <w:tblCellMar>
          <w:top w:w="0" w:type="dxa"/>
          <w:left w:w="108" w:type="dxa"/>
          <w:bottom w:w="0" w:type="dxa"/>
          <w:right w:w="108" w:type="dxa"/>
        </w:tblCellMar>
      </w:tblPr>
      <w:tblGrid>
        <w:gridCol w:w="4221"/>
        <w:gridCol w:w="4221"/>
      </w:tblGrid>
      <w:tr w14:paraId="470B5041">
        <w:tblPrEx>
          <w:tblBorders>
            <w:top w:val="single" w:color="auto" w:sz="12" w:space="0"/>
            <w:left w:val="single" w:color="auto" w:sz="12" w:space="0"/>
            <w:bottom w:val="single" w:color="auto" w:sz="12" w:space="0"/>
            <w:right w:val="single" w:color="auto" w:sz="12" w:space="0"/>
            <w:insideH w:val="none" w:color="auto" w:sz="0" w:space="0"/>
            <w:insideV w:val="single" w:color="auto" w:sz="4" w:space="0"/>
          </w:tblBorders>
          <w:tblCellMar>
            <w:top w:w="0" w:type="dxa"/>
            <w:left w:w="108" w:type="dxa"/>
            <w:bottom w:w="0" w:type="dxa"/>
            <w:right w:w="108" w:type="dxa"/>
          </w:tblCellMar>
        </w:tblPrEx>
        <w:trPr>
          <w:trHeight w:val="2526" w:hRule="atLeast"/>
        </w:trPr>
        <w:tc>
          <w:tcPr>
            <w:tcW w:w="4221" w:type="dxa"/>
            <w:noWrap w:val="0"/>
            <w:vAlign w:val="center"/>
          </w:tcPr>
          <w:p w14:paraId="62D945D2">
            <w:pPr>
              <w:snapToGrid w:val="0"/>
              <w:spacing w:line="360" w:lineRule="auto"/>
              <w:jc w:val="center"/>
              <w:outlineLvl w:val="9"/>
              <w:rPr>
                <w:rFonts w:hint="eastAsia" w:ascii="宋体" w:hAnsi="宋体" w:cs="宋体"/>
                <w:color w:val="000000"/>
                <w:szCs w:val="21"/>
              </w:rPr>
            </w:pPr>
            <w:r>
              <w:rPr>
                <w:rFonts w:hint="eastAsia" w:ascii="宋体" w:hAnsi="宋体" w:cs="宋体"/>
                <w:color w:val="000000"/>
                <w:szCs w:val="21"/>
              </w:rPr>
              <w:t>委托代理人二代身份证复印件正面</w:t>
            </w:r>
          </w:p>
        </w:tc>
        <w:tc>
          <w:tcPr>
            <w:tcW w:w="4221" w:type="dxa"/>
            <w:noWrap w:val="0"/>
            <w:vAlign w:val="center"/>
          </w:tcPr>
          <w:p w14:paraId="653223E7">
            <w:pPr>
              <w:snapToGrid w:val="0"/>
              <w:spacing w:line="360" w:lineRule="auto"/>
              <w:jc w:val="center"/>
              <w:outlineLvl w:val="9"/>
              <w:rPr>
                <w:rFonts w:hint="eastAsia" w:ascii="宋体" w:hAnsi="宋体" w:cs="宋体"/>
                <w:color w:val="000000"/>
                <w:szCs w:val="21"/>
              </w:rPr>
            </w:pPr>
            <w:r>
              <w:rPr>
                <w:rFonts w:hint="eastAsia" w:ascii="宋体" w:hAnsi="宋体" w:cs="宋体"/>
                <w:color w:val="000000"/>
                <w:szCs w:val="21"/>
              </w:rPr>
              <w:t>委托代理人二代身份证复印件反面</w:t>
            </w:r>
          </w:p>
        </w:tc>
      </w:tr>
    </w:tbl>
    <w:p w14:paraId="51038DF0">
      <w:pPr>
        <w:jc w:val="center"/>
        <w:outlineLvl w:val="9"/>
        <w:rPr>
          <w:rFonts w:hint="eastAsia" w:ascii="宋体" w:hAnsi="宋体" w:cs="宋体"/>
          <w:b/>
          <w:bCs/>
          <w:color w:val="000000"/>
          <w:szCs w:val="21"/>
        </w:rPr>
      </w:pPr>
    </w:p>
    <w:p w14:paraId="2C6FB7F5">
      <w:pPr>
        <w:spacing w:line="360" w:lineRule="exact"/>
        <w:outlineLvl w:val="9"/>
        <w:rPr>
          <w:rFonts w:hint="eastAsia" w:ascii="宋体" w:hAnsi="宋体" w:eastAsia="宋体" w:cs="宋体"/>
          <w:b/>
        </w:rPr>
      </w:pPr>
      <w:r>
        <w:rPr>
          <w:rFonts w:hint="eastAsia" w:ascii="宋体" w:hAnsi="宋体" w:eastAsia="宋体" w:cs="宋体"/>
          <w:b/>
          <w:sz w:val="24"/>
          <w:szCs w:val="21"/>
        </w:rPr>
        <w:t>（</w:t>
      </w:r>
      <w:r>
        <w:rPr>
          <w:rFonts w:hint="eastAsia" w:ascii="宋体" w:hAnsi="宋体" w:eastAsia="宋体" w:cs="宋体"/>
          <w:b/>
          <w:sz w:val="24"/>
          <w:szCs w:val="21"/>
          <w:lang w:eastAsia="zh-CN"/>
        </w:rPr>
        <w:t>如委托人参加，</w:t>
      </w:r>
      <w:r>
        <w:rPr>
          <w:rFonts w:hint="eastAsia" w:ascii="宋体" w:hAnsi="宋体" w:eastAsia="宋体" w:cs="宋体"/>
          <w:b/>
          <w:sz w:val="24"/>
          <w:szCs w:val="21"/>
        </w:rPr>
        <w:t>为方便身份验证，</w:t>
      </w:r>
      <w:r>
        <w:rPr>
          <w:rFonts w:hint="eastAsia" w:ascii="宋体" w:hAnsi="宋体" w:eastAsia="宋体" w:cs="宋体"/>
          <w:b/>
          <w:sz w:val="24"/>
          <w:szCs w:val="21"/>
          <w:lang w:eastAsia="zh-CN"/>
        </w:rPr>
        <w:t>申请人</w:t>
      </w:r>
      <w:r>
        <w:rPr>
          <w:rFonts w:hint="eastAsia" w:ascii="宋体" w:hAnsi="宋体" w:eastAsia="宋体" w:cs="宋体"/>
          <w:b/>
          <w:sz w:val="24"/>
          <w:szCs w:val="21"/>
        </w:rPr>
        <w:t>另备一份授权委托书，授权委托书无需密封,与</w:t>
      </w:r>
      <w:r>
        <w:rPr>
          <w:rFonts w:hint="eastAsia" w:ascii="宋体" w:hAnsi="宋体" w:eastAsia="宋体" w:cs="宋体"/>
          <w:b/>
          <w:sz w:val="24"/>
          <w:szCs w:val="21"/>
          <w:lang w:eastAsia="zh-CN"/>
        </w:rPr>
        <w:t>委托人</w:t>
      </w:r>
      <w:r>
        <w:rPr>
          <w:rFonts w:hint="eastAsia" w:ascii="宋体" w:hAnsi="宋体" w:eastAsia="宋体" w:cs="宋体"/>
          <w:b/>
          <w:sz w:val="24"/>
          <w:szCs w:val="21"/>
        </w:rPr>
        <w:t>身份证原件一起现场交由监督领导审核）</w:t>
      </w:r>
    </w:p>
    <w:p w14:paraId="7A0EF5DF">
      <w:pPr>
        <w:jc w:val="both"/>
        <w:outlineLvl w:val="1"/>
        <w:rPr>
          <w:rFonts w:hint="eastAsia" w:ascii="宋体" w:hAnsi="宋体" w:cs="宋体"/>
          <w:b/>
          <w:bCs/>
          <w:color w:val="000000"/>
          <w:sz w:val="32"/>
          <w:szCs w:val="32"/>
        </w:rPr>
      </w:pPr>
      <w:r>
        <w:rPr>
          <w:rFonts w:hint="eastAsia" w:ascii="宋体" w:hAnsi="宋体" w:cs="宋体"/>
          <w:b/>
          <w:bCs/>
          <w:color w:val="000000"/>
          <w:szCs w:val="21"/>
        </w:rPr>
        <w:br w:type="page"/>
      </w:r>
      <w:bookmarkStart w:id="52" w:name="_Toc21214"/>
      <w:bookmarkStart w:id="53" w:name="_Toc150676439"/>
      <w:bookmarkStart w:id="54" w:name="_Toc66764521"/>
      <w:r>
        <w:rPr>
          <w:rFonts w:hint="eastAsia" w:ascii="宋体" w:hAnsi="宋体" w:cs="宋体"/>
          <w:b/>
          <w:bCs/>
          <w:color w:val="000000"/>
          <w:sz w:val="32"/>
          <w:szCs w:val="32"/>
          <w:lang w:eastAsia="zh-CN"/>
        </w:rPr>
        <w:t>四、</w:t>
      </w:r>
      <w:r>
        <w:rPr>
          <w:rFonts w:hint="eastAsia" w:ascii="宋体" w:hAnsi="宋体" w:cs="宋体"/>
          <w:b/>
          <w:bCs/>
          <w:color w:val="000000"/>
          <w:sz w:val="32"/>
          <w:szCs w:val="32"/>
        </w:rPr>
        <w:t>申请人基本情况表</w:t>
      </w:r>
      <w:bookmarkEnd w:id="52"/>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8"/>
        <w:gridCol w:w="2450"/>
        <w:gridCol w:w="1508"/>
        <w:gridCol w:w="1837"/>
      </w:tblGrid>
      <w:tr w14:paraId="108FF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3128" w:type="dxa"/>
            <w:tcBorders>
              <w:top w:val="single" w:color="auto" w:sz="4" w:space="0"/>
              <w:left w:val="single" w:color="auto" w:sz="4" w:space="0"/>
              <w:bottom w:val="single" w:color="auto" w:sz="4" w:space="0"/>
              <w:right w:val="single" w:color="auto" w:sz="4" w:space="0"/>
            </w:tcBorders>
            <w:noWrap w:val="0"/>
            <w:vAlign w:val="center"/>
          </w:tcPr>
          <w:p w14:paraId="0EF159D7">
            <w:pPr>
              <w:spacing w:line="400" w:lineRule="exact"/>
              <w:jc w:val="center"/>
              <w:outlineLvl w:val="9"/>
              <w:rPr>
                <w:rFonts w:hint="eastAsia" w:ascii="宋体" w:hAnsi="宋体" w:cs="宋体"/>
                <w:color w:val="000000"/>
                <w:spacing w:val="14"/>
                <w:kern w:val="0"/>
                <w:szCs w:val="21"/>
              </w:rPr>
            </w:pPr>
            <w:r>
              <w:rPr>
                <w:rFonts w:hint="eastAsia" w:ascii="宋体" w:hAnsi="宋体" w:cs="宋体"/>
                <w:color w:val="000000"/>
                <w:spacing w:val="14"/>
                <w:kern w:val="0"/>
                <w:szCs w:val="21"/>
              </w:rPr>
              <w:t>申请人全称</w:t>
            </w:r>
          </w:p>
        </w:tc>
        <w:tc>
          <w:tcPr>
            <w:tcW w:w="5795" w:type="dxa"/>
            <w:gridSpan w:val="3"/>
            <w:tcBorders>
              <w:top w:val="single" w:color="auto" w:sz="4" w:space="0"/>
              <w:left w:val="single" w:color="auto" w:sz="4" w:space="0"/>
              <w:bottom w:val="single" w:color="auto" w:sz="4" w:space="0"/>
              <w:right w:val="single" w:color="auto" w:sz="4" w:space="0"/>
            </w:tcBorders>
            <w:noWrap w:val="0"/>
            <w:vAlign w:val="center"/>
          </w:tcPr>
          <w:p w14:paraId="50F0DF4E">
            <w:pPr>
              <w:spacing w:line="400" w:lineRule="exact"/>
              <w:jc w:val="center"/>
              <w:outlineLvl w:val="9"/>
              <w:rPr>
                <w:rFonts w:hint="eastAsia" w:ascii="宋体" w:hAnsi="宋体" w:cs="宋体"/>
                <w:color w:val="000000"/>
                <w:spacing w:val="14"/>
                <w:kern w:val="0"/>
                <w:szCs w:val="21"/>
              </w:rPr>
            </w:pPr>
          </w:p>
        </w:tc>
      </w:tr>
      <w:tr w14:paraId="4A2DC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jc w:val="center"/>
        </w:trPr>
        <w:tc>
          <w:tcPr>
            <w:tcW w:w="3128" w:type="dxa"/>
            <w:tcBorders>
              <w:top w:val="single" w:color="auto" w:sz="4" w:space="0"/>
              <w:left w:val="single" w:color="auto" w:sz="4" w:space="0"/>
              <w:bottom w:val="single" w:color="auto" w:sz="4" w:space="0"/>
              <w:right w:val="single" w:color="auto" w:sz="4" w:space="0"/>
            </w:tcBorders>
            <w:noWrap w:val="0"/>
            <w:vAlign w:val="center"/>
          </w:tcPr>
          <w:p w14:paraId="41A2354B">
            <w:pPr>
              <w:spacing w:line="400" w:lineRule="exact"/>
              <w:jc w:val="center"/>
              <w:outlineLvl w:val="9"/>
              <w:rPr>
                <w:rFonts w:hint="eastAsia" w:ascii="宋体" w:hAnsi="宋体" w:cs="宋体"/>
                <w:color w:val="000000"/>
                <w:spacing w:val="14"/>
                <w:kern w:val="0"/>
                <w:szCs w:val="21"/>
              </w:rPr>
            </w:pPr>
            <w:r>
              <w:rPr>
                <w:rFonts w:hint="eastAsia" w:ascii="宋体" w:hAnsi="宋体" w:cs="宋体"/>
                <w:color w:val="000000"/>
                <w:spacing w:val="14"/>
                <w:kern w:val="0"/>
                <w:szCs w:val="21"/>
              </w:rPr>
              <w:t>主要业务范围</w:t>
            </w:r>
          </w:p>
        </w:tc>
        <w:tc>
          <w:tcPr>
            <w:tcW w:w="5795" w:type="dxa"/>
            <w:gridSpan w:val="3"/>
            <w:tcBorders>
              <w:top w:val="single" w:color="auto" w:sz="4" w:space="0"/>
              <w:left w:val="single" w:color="auto" w:sz="4" w:space="0"/>
              <w:bottom w:val="single" w:color="auto" w:sz="4" w:space="0"/>
              <w:right w:val="single" w:color="auto" w:sz="4" w:space="0"/>
            </w:tcBorders>
            <w:noWrap w:val="0"/>
            <w:vAlign w:val="center"/>
          </w:tcPr>
          <w:p w14:paraId="3B2F678D">
            <w:pPr>
              <w:spacing w:line="400" w:lineRule="exact"/>
              <w:jc w:val="center"/>
              <w:outlineLvl w:val="9"/>
              <w:rPr>
                <w:rFonts w:hint="eastAsia" w:ascii="宋体" w:hAnsi="宋体" w:cs="宋体"/>
                <w:color w:val="000000"/>
                <w:spacing w:val="14"/>
                <w:kern w:val="0"/>
                <w:szCs w:val="21"/>
              </w:rPr>
            </w:pPr>
          </w:p>
        </w:tc>
      </w:tr>
      <w:tr w14:paraId="1ABBC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128" w:type="dxa"/>
            <w:tcBorders>
              <w:top w:val="single" w:color="auto" w:sz="4" w:space="0"/>
              <w:left w:val="single" w:color="auto" w:sz="4" w:space="0"/>
              <w:bottom w:val="single" w:color="auto" w:sz="4" w:space="0"/>
              <w:right w:val="single" w:color="auto" w:sz="4" w:space="0"/>
            </w:tcBorders>
            <w:noWrap w:val="0"/>
            <w:vAlign w:val="center"/>
          </w:tcPr>
          <w:p w14:paraId="70C3C341">
            <w:pPr>
              <w:spacing w:line="400" w:lineRule="exact"/>
              <w:jc w:val="center"/>
              <w:outlineLvl w:val="9"/>
              <w:rPr>
                <w:rFonts w:hint="eastAsia" w:ascii="宋体" w:hAnsi="宋体" w:cs="宋体"/>
                <w:color w:val="000000"/>
                <w:spacing w:val="14"/>
                <w:kern w:val="0"/>
                <w:szCs w:val="21"/>
              </w:rPr>
            </w:pPr>
            <w:r>
              <w:rPr>
                <w:rFonts w:hint="eastAsia" w:ascii="宋体" w:hAnsi="宋体" w:cs="宋体"/>
                <w:color w:val="000000"/>
                <w:spacing w:val="14"/>
                <w:kern w:val="0"/>
                <w:szCs w:val="21"/>
              </w:rPr>
              <w:t>承保机构公司负责人名称</w:t>
            </w:r>
          </w:p>
        </w:tc>
        <w:tc>
          <w:tcPr>
            <w:tcW w:w="2450" w:type="dxa"/>
            <w:tcBorders>
              <w:top w:val="single" w:color="auto" w:sz="4" w:space="0"/>
              <w:left w:val="single" w:color="auto" w:sz="4" w:space="0"/>
              <w:bottom w:val="single" w:color="auto" w:sz="4" w:space="0"/>
              <w:right w:val="single" w:color="auto" w:sz="4" w:space="0"/>
            </w:tcBorders>
            <w:noWrap w:val="0"/>
            <w:vAlign w:val="center"/>
          </w:tcPr>
          <w:p w14:paraId="493EBDAB">
            <w:pPr>
              <w:spacing w:line="400" w:lineRule="exact"/>
              <w:jc w:val="center"/>
              <w:outlineLvl w:val="9"/>
              <w:rPr>
                <w:rFonts w:hint="eastAsia" w:ascii="宋体" w:hAnsi="宋体" w:cs="宋体"/>
                <w:color w:val="000000"/>
                <w:spacing w:val="14"/>
                <w:kern w:val="0"/>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5C780A8F">
            <w:pPr>
              <w:spacing w:line="400" w:lineRule="exact"/>
              <w:jc w:val="center"/>
              <w:outlineLvl w:val="9"/>
              <w:rPr>
                <w:rFonts w:hint="eastAsia" w:ascii="宋体" w:hAnsi="宋体" w:cs="宋体"/>
                <w:color w:val="000000"/>
                <w:spacing w:val="14"/>
                <w:kern w:val="0"/>
                <w:szCs w:val="21"/>
              </w:rPr>
            </w:pPr>
            <w:r>
              <w:rPr>
                <w:rFonts w:hint="eastAsia" w:ascii="宋体" w:hAnsi="宋体" w:cs="宋体"/>
                <w:color w:val="000000"/>
                <w:spacing w:val="14"/>
                <w:kern w:val="0"/>
                <w:szCs w:val="21"/>
              </w:rPr>
              <w:t>职   务</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26A37EF7">
            <w:pPr>
              <w:spacing w:line="400" w:lineRule="exact"/>
              <w:jc w:val="center"/>
              <w:outlineLvl w:val="9"/>
              <w:rPr>
                <w:rFonts w:hint="eastAsia" w:ascii="宋体" w:hAnsi="宋体" w:cs="宋体"/>
                <w:color w:val="000000"/>
                <w:spacing w:val="14"/>
                <w:kern w:val="0"/>
                <w:szCs w:val="21"/>
              </w:rPr>
            </w:pPr>
          </w:p>
        </w:tc>
      </w:tr>
      <w:tr w14:paraId="356D8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3128" w:type="dxa"/>
            <w:tcBorders>
              <w:top w:val="single" w:color="auto" w:sz="4" w:space="0"/>
              <w:left w:val="single" w:color="auto" w:sz="4" w:space="0"/>
              <w:bottom w:val="single" w:color="auto" w:sz="4" w:space="0"/>
              <w:right w:val="single" w:color="auto" w:sz="4" w:space="0"/>
            </w:tcBorders>
            <w:noWrap w:val="0"/>
            <w:vAlign w:val="center"/>
          </w:tcPr>
          <w:p w14:paraId="2CE396E8">
            <w:pPr>
              <w:spacing w:line="400" w:lineRule="exact"/>
              <w:jc w:val="center"/>
              <w:outlineLvl w:val="9"/>
              <w:rPr>
                <w:rFonts w:hint="eastAsia" w:ascii="宋体" w:hAnsi="宋体" w:cs="宋体"/>
                <w:color w:val="000000"/>
                <w:spacing w:val="14"/>
                <w:kern w:val="0"/>
                <w:szCs w:val="21"/>
              </w:rPr>
            </w:pPr>
            <w:r>
              <w:rPr>
                <w:rFonts w:hint="eastAsia" w:ascii="宋体" w:hAnsi="宋体" w:cs="宋体"/>
                <w:color w:val="000000"/>
                <w:spacing w:val="14"/>
                <w:kern w:val="0"/>
                <w:szCs w:val="21"/>
              </w:rPr>
              <w:t>申请人地址</w:t>
            </w:r>
          </w:p>
        </w:tc>
        <w:tc>
          <w:tcPr>
            <w:tcW w:w="2450" w:type="dxa"/>
            <w:tcBorders>
              <w:top w:val="single" w:color="auto" w:sz="4" w:space="0"/>
              <w:left w:val="single" w:color="auto" w:sz="4" w:space="0"/>
              <w:bottom w:val="single" w:color="auto" w:sz="4" w:space="0"/>
              <w:right w:val="single" w:color="auto" w:sz="4" w:space="0"/>
            </w:tcBorders>
            <w:noWrap w:val="0"/>
            <w:vAlign w:val="center"/>
          </w:tcPr>
          <w:p w14:paraId="6276758C">
            <w:pPr>
              <w:spacing w:line="400" w:lineRule="exact"/>
              <w:jc w:val="center"/>
              <w:outlineLvl w:val="9"/>
              <w:rPr>
                <w:rFonts w:hint="eastAsia" w:ascii="宋体" w:hAnsi="宋体" w:cs="宋体"/>
                <w:color w:val="000000"/>
                <w:spacing w:val="14"/>
                <w:kern w:val="0"/>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089A43B6">
            <w:pPr>
              <w:spacing w:line="400" w:lineRule="exact"/>
              <w:jc w:val="center"/>
              <w:outlineLvl w:val="9"/>
              <w:rPr>
                <w:rFonts w:hint="eastAsia" w:ascii="宋体" w:hAnsi="宋体" w:cs="宋体"/>
                <w:color w:val="000000"/>
                <w:spacing w:val="14"/>
                <w:kern w:val="0"/>
                <w:szCs w:val="21"/>
              </w:rPr>
            </w:pPr>
            <w:r>
              <w:rPr>
                <w:rFonts w:hint="eastAsia" w:ascii="宋体" w:hAnsi="宋体" w:cs="宋体"/>
                <w:color w:val="000000"/>
                <w:spacing w:val="14"/>
                <w:kern w:val="0"/>
                <w:szCs w:val="21"/>
              </w:rPr>
              <w:t>邮政编码</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3B2580CC">
            <w:pPr>
              <w:spacing w:line="400" w:lineRule="exact"/>
              <w:jc w:val="center"/>
              <w:outlineLvl w:val="9"/>
              <w:rPr>
                <w:rFonts w:hint="eastAsia" w:ascii="宋体" w:hAnsi="宋体" w:cs="宋体"/>
                <w:color w:val="000000"/>
                <w:spacing w:val="14"/>
                <w:kern w:val="0"/>
                <w:szCs w:val="21"/>
              </w:rPr>
            </w:pPr>
          </w:p>
        </w:tc>
      </w:tr>
      <w:tr w14:paraId="358F2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3128" w:type="dxa"/>
            <w:tcBorders>
              <w:top w:val="single" w:color="auto" w:sz="4" w:space="0"/>
              <w:left w:val="single" w:color="auto" w:sz="4" w:space="0"/>
              <w:bottom w:val="single" w:color="auto" w:sz="4" w:space="0"/>
              <w:right w:val="single" w:color="auto" w:sz="4" w:space="0"/>
            </w:tcBorders>
            <w:noWrap w:val="0"/>
            <w:vAlign w:val="center"/>
          </w:tcPr>
          <w:p w14:paraId="620B5F44">
            <w:pPr>
              <w:spacing w:line="400" w:lineRule="exact"/>
              <w:jc w:val="center"/>
              <w:outlineLvl w:val="9"/>
              <w:rPr>
                <w:rFonts w:hint="eastAsia" w:ascii="宋体" w:hAnsi="宋体" w:cs="宋体"/>
                <w:color w:val="000000"/>
                <w:spacing w:val="14"/>
                <w:kern w:val="0"/>
                <w:szCs w:val="21"/>
              </w:rPr>
            </w:pPr>
            <w:r>
              <w:rPr>
                <w:rFonts w:hint="eastAsia" w:ascii="宋体" w:hAnsi="宋体" w:cs="宋体"/>
                <w:color w:val="000000"/>
                <w:spacing w:val="14"/>
                <w:kern w:val="0"/>
                <w:szCs w:val="21"/>
              </w:rPr>
              <w:t>电      话</w:t>
            </w:r>
          </w:p>
        </w:tc>
        <w:tc>
          <w:tcPr>
            <w:tcW w:w="2450" w:type="dxa"/>
            <w:tcBorders>
              <w:top w:val="single" w:color="auto" w:sz="4" w:space="0"/>
              <w:left w:val="single" w:color="auto" w:sz="4" w:space="0"/>
              <w:bottom w:val="single" w:color="auto" w:sz="4" w:space="0"/>
              <w:right w:val="single" w:color="auto" w:sz="4" w:space="0"/>
            </w:tcBorders>
            <w:noWrap w:val="0"/>
            <w:vAlign w:val="center"/>
          </w:tcPr>
          <w:p w14:paraId="709606EC">
            <w:pPr>
              <w:spacing w:line="400" w:lineRule="exact"/>
              <w:jc w:val="center"/>
              <w:outlineLvl w:val="9"/>
              <w:rPr>
                <w:rFonts w:hint="eastAsia" w:ascii="宋体" w:hAnsi="宋体" w:cs="宋体"/>
                <w:color w:val="000000"/>
                <w:spacing w:val="14"/>
                <w:kern w:val="0"/>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4736281C">
            <w:pPr>
              <w:spacing w:line="400" w:lineRule="exact"/>
              <w:jc w:val="center"/>
              <w:outlineLvl w:val="9"/>
              <w:rPr>
                <w:rFonts w:hint="eastAsia" w:ascii="宋体" w:hAnsi="宋体" w:cs="宋体"/>
                <w:color w:val="000000"/>
                <w:spacing w:val="14"/>
                <w:kern w:val="0"/>
                <w:szCs w:val="21"/>
              </w:rPr>
            </w:pPr>
            <w:r>
              <w:rPr>
                <w:rFonts w:hint="eastAsia" w:ascii="宋体" w:hAnsi="宋体" w:cs="宋体"/>
                <w:color w:val="000000"/>
                <w:spacing w:val="14"/>
                <w:kern w:val="0"/>
                <w:szCs w:val="21"/>
              </w:rPr>
              <w:t>传   真</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60F7E8E0">
            <w:pPr>
              <w:spacing w:line="400" w:lineRule="exact"/>
              <w:jc w:val="center"/>
              <w:outlineLvl w:val="9"/>
              <w:rPr>
                <w:rFonts w:hint="eastAsia" w:ascii="宋体" w:hAnsi="宋体" w:cs="宋体"/>
                <w:color w:val="000000"/>
                <w:spacing w:val="14"/>
                <w:kern w:val="0"/>
                <w:szCs w:val="21"/>
              </w:rPr>
            </w:pPr>
          </w:p>
        </w:tc>
      </w:tr>
      <w:tr w14:paraId="5DEC5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3128" w:type="dxa"/>
            <w:tcBorders>
              <w:top w:val="single" w:color="auto" w:sz="4" w:space="0"/>
              <w:left w:val="single" w:color="auto" w:sz="4" w:space="0"/>
              <w:bottom w:val="single" w:color="auto" w:sz="4" w:space="0"/>
              <w:right w:val="single" w:color="auto" w:sz="4" w:space="0"/>
            </w:tcBorders>
            <w:noWrap w:val="0"/>
            <w:vAlign w:val="center"/>
          </w:tcPr>
          <w:p w14:paraId="66F93D63">
            <w:pPr>
              <w:spacing w:line="400" w:lineRule="exact"/>
              <w:jc w:val="center"/>
              <w:outlineLvl w:val="9"/>
              <w:rPr>
                <w:rFonts w:hint="eastAsia" w:ascii="宋体" w:hAnsi="宋体" w:cs="宋体"/>
                <w:color w:val="000000"/>
                <w:spacing w:val="14"/>
                <w:kern w:val="0"/>
                <w:szCs w:val="21"/>
              </w:rPr>
            </w:pPr>
            <w:r>
              <w:rPr>
                <w:rFonts w:hint="eastAsia" w:ascii="宋体" w:hAnsi="宋体" w:cs="宋体"/>
                <w:color w:val="000000"/>
                <w:spacing w:val="14"/>
                <w:kern w:val="0"/>
                <w:szCs w:val="21"/>
              </w:rPr>
              <w:t>成立日期</w:t>
            </w:r>
          </w:p>
        </w:tc>
        <w:tc>
          <w:tcPr>
            <w:tcW w:w="2450" w:type="dxa"/>
            <w:tcBorders>
              <w:top w:val="single" w:color="auto" w:sz="4" w:space="0"/>
              <w:left w:val="single" w:color="auto" w:sz="4" w:space="0"/>
              <w:bottom w:val="single" w:color="auto" w:sz="4" w:space="0"/>
              <w:right w:val="single" w:color="auto" w:sz="4" w:space="0"/>
            </w:tcBorders>
            <w:noWrap w:val="0"/>
            <w:vAlign w:val="center"/>
          </w:tcPr>
          <w:p w14:paraId="7F0663DE">
            <w:pPr>
              <w:spacing w:line="400" w:lineRule="exact"/>
              <w:jc w:val="center"/>
              <w:outlineLvl w:val="9"/>
              <w:rPr>
                <w:rFonts w:hint="eastAsia" w:ascii="宋体" w:hAnsi="宋体" w:cs="宋体"/>
                <w:color w:val="000000"/>
                <w:spacing w:val="14"/>
                <w:kern w:val="0"/>
                <w:szCs w:val="21"/>
              </w:rPr>
            </w:pPr>
          </w:p>
        </w:tc>
        <w:tc>
          <w:tcPr>
            <w:tcW w:w="1508" w:type="dxa"/>
            <w:tcBorders>
              <w:top w:val="single" w:color="auto" w:sz="4" w:space="0"/>
              <w:left w:val="single" w:color="auto" w:sz="4" w:space="0"/>
              <w:bottom w:val="single" w:color="auto" w:sz="4" w:space="0"/>
              <w:right w:val="single" w:color="auto" w:sz="4" w:space="0"/>
            </w:tcBorders>
            <w:noWrap w:val="0"/>
            <w:vAlign w:val="center"/>
          </w:tcPr>
          <w:p w14:paraId="61E239CE">
            <w:pPr>
              <w:spacing w:line="400" w:lineRule="exact"/>
              <w:jc w:val="center"/>
              <w:outlineLvl w:val="9"/>
              <w:rPr>
                <w:rFonts w:hint="eastAsia" w:ascii="宋体" w:hAnsi="宋体" w:cs="宋体"/>
                <w:color w:val="000000"/>
                <w:spacing w:val="14"/>
                <w:kern w:val="0"/>
                <w:szCs w:val="21"/>
              </w:rPr>
            </w:pPr>
            <w:r>
              <w:rPr>
                <w:rFonts w:hint="eastAsia" w:ascii="宋体" w:hAnsi="宋体" w:cs="宋体"/>
                <w:color w:val="000000"/>
                <w:spacing w:val="14"/>
                <w:kern w:val="0"/>
                <w:szCs w:val="21"/>
              </w:rPr>
              <w:t>现有职</w:t>
            </w:r>
          </w:p>
          <w:p w14:paraId="4E119E9D">
            <w:pPr>
              <w:spacing w:line="400" w:lineRule="exact"/>
              <w:jc w:val="center"/>
              <w:outlineLvl w:val="9"/>
              <w:rPr>
                <w:rFonts w:hint="eastAsia" w:ascii="宋体" w:hAnsi="宋体" w:cs="宋体"/>
                <w:color w:val="000000"/>
                <w:spacing w:val="14"/>
                <w:kern w:val="0"/>
                <w:szCs w:val="21"/>
              </w:rPr>
            </w:pPr>
            <w:r>
              <w:rPr>
                <w:rFonts w:hint="eastAsia" w:ascii="宋体" w:hAnsi="宋体" w:cs="宋体"/>
                <w:color w:val="000000"/>
                <w:spacing w:val="14"/>
                <w:kern w:val="0"/>
                <w:szCs w:val="21"/>
              </w:rPr>
              <w:t>工人数</w:t>
            </w:r>
          </w:p>
        </w:tc>
        <w:tc>
          <w:tcPr>
            <w:tcW w:w="1837" w:type="dxa"/>
            <w:tcBorders>
              <w:top w:val="single" w:color="auto" w:sz="4" w:space="0"/>
              <w:left w:val="single" w:color="auto" w:sz="4" w:space="0"/>
              <w:bottom w:val="single" w:color="auto" w:sz="4" w:space="0"/>
              <w:right w:val="single" w:color="auto" w:sz="4" w:space="0"/>
            </w:tcBorders>
            <w:noWrap w:val="0"/>
            <w:vAlign w:val="center"/>
          </w:tcPr>
          <w:p w14:paraId="609200E9">
            <w:pPr>
              <w:spacing w:line="400" w:lineRule="exact"/>
              <w:jc w:val="center"/>
              <w:outlineLvl w:val="9"/>
              <w:rPr>
                <w:rFonts w:hint="eastAsia" w:ascii="宋体" w:hAnsi="宋体" w:cs="宋体"/>
                <w:color w:val="000000"/>
                <w:spacing w:val="14"/>
                <w:kern w:val="0"/>
                <w:szCs w:val="21"/>
              </w:rPr>
            </w:pPr>
          </w:p>
        </w:tc>
      </w:tr>
      <w:tr w14:paraId="45EB6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8923" w:type="dxa"/>
            <w:gridSpan w:val="4"/>
            <w:tcBorders>
              <w:top w:val="single" w:color="auto" w:sz="4" w:space="0"/>
              <w:left w:val="single" w:color="auto" w:sz="4" w:space="0"/>
              <w:bottom w:val="single" w:color="auto" w:sz="4" w:space="0"/>
              <w:right w:val="single" w:color="auto" w:sz="4" w:space="0"/>
            </w:tcBorders>
            <w:noWrap w:val="0"/>
            <w:vAlign w:val="top"/>
          </w:tcPr>
          <w:p w14:paraId="2653D03E">
            <w:pPr>
              <w:spacing w:before="156" w:beforeLines="50" w:line="400" w:lineRule="exact"/>
              <w:ind w:firstLine="420" w:firstLineChars="200"/>
              <w:outlineLvl w:val="9"/>
              <w:rPr>
                <w:rFonts w:hint="eastAsia" w:ascii="宋体" w:hAnsi="宋体" w:cs="宋体"/>
                <w:color w:val="000000"/>
                <w:spacing w:val="14"/>
                <w:kern w:val="0"/>
                <w:szCs w:val="21"/>
              </w:rPr>
            </w:pPr>
            <w:r>
              <w:rPr>
                <w:rFonts w:hint="eastAsia" w:ascii="宋体" w:hAnsi="宋体" w:cs="宋体"/>
                <w:color w:val="000000"/>
                <w:kern w:val="0"/>
                <w:szCs w:val="21"/>
                <w:lang w:eastAsia="zh-CN"/>
              </w:rPr>
              <w:t>附：</w:t>
            </w:r>
            <w:r>
              <w:rPr>
                <w:rFonts w:hint="eastAsia" w:ascii="宋体" w:hAnsi="宋体" w:cs="宋体"/>
                <w:color w:val="000000"/>
                <w:kern w:val="0"/>
                <w:szCs w:val="21"/>
              </w:rPr>
              <w:t>申请人组织机构简介</w:t>
            </w:r>
          </w:p>
        </w:tc>
      </w:tr>
    </w:tbl>
    <w:p w14:paraId="5D1ABEBC">
      <w:pPr>
        <w:autoSpaceDE w:val="0"/>
        <w:autoSpaceDN w:val="0"/>
        <w:adjustRightInd w:val="0"/>
        <w:snapToGrid w:val="0"/>
        <w:spacing w:line="360" w:lineRule="auto"/>
        <w:outlineLvl w:val="9"/>
        <w:rPr>
          <w:rFonts w:hint="eastAsia" w:ascii="宋体" w:hAnsi="宋体" w:cs="宋体"/>
          <w:color w:val="000000"/>
        </w:rPr>
      </w:pPr>
    </w:p>
    <w:p w14:paraId="03AE04E0">
      <w:pPr>
        <w:autoSpaceDE w:val="0"/>
        <w:autoSpaceDN w:val="0"/>
        <w:adjustRightInd w:val="0"/>
        <w:snapToGrid w:val="0"/>
        <w:spacing w:line="480" w:lineRule="exact"/>
        <w:ind w:firstLine="630" w:firstLineChars="300"/>
        <w:outlineLvl w:val="9"/>
        <w:rPr>
          <w:rFonts w:hint="eastAsia" w:ascii="宋体" w:hAnsi="宋体" w:cs="宋体"/>
          <w:color w:val="000000"/>
          <w:szCs w:val="21"/>
        </w:rPr>
      </w:pPr>
      <w:r>
        <w:rPr>
          <w:rFonts w:hint="eastAsia" w:ascii="宋体" w:hAnsi="宋体" w:cs="宋体"/>
          <w:color w:val="000000"/>
          <w:kern w:val="0"/>
          <w:szCs w:val="21"/>
        </w:rPr>
        <w:t>申请人：</w:t>
      </w:r>
      <w:r>
        <w:rPr>
          <w:rFonts w:hint="eastAsia" w:ascii="宋体" w:hAnsi="宋体" w:cs="宋体"/>
          <w:color w:val="000000"/>
          <w:kern w:val="0"/>
          <w:szCs w:val="21"/>
          <w:u w:val="single"/>
        </w:rPr>
        <w:t xml:space="preserve">        </w:t>
      </w:r>
      <w:r>
        <w:rPr>
          <w:rFonts w:hint="eastAsia" w:ascii="宋体" w:hAnsi="宋体" w:cs="宋体"/>
          <w:color w:val="000000"/>
          <w:spacing w:val="14"/>
          <w:kern w:val="0"/>
          <w:szCs w:val="21"/>
          <w:u w:val="single"/>
        </w:rPr>
        <w:t>（单位全称）（盖章）</w:t>
      </w:r>
    </w:p>
    <w:p w14:paraId="5176AFFD">
      <w:pPr>
        <w:autoSpaceDE w:val="0"/>
        <w:autoSpaceDN w:val="0"/>
        <w:adjustRightInd w:val="0"/>
        <w:snapToGrid w:val="0"/>
        <w:spacing w:after="100" w:afterAutospacing="1" w:line="480" w:lineRule="exact"/>
        <w:outlineLvl w:val="9"/>
        <w:rPr>
          <w:rFonts w:hint="eastAsia" w:ascii="宋体" w:hAnsi="宋体" w:cs="宋体"/>
          <w:color w:val="000000"/>
          <w:szCs w:val="21"/>
        </w:rPr>
      </w:pPr>
      <w:r>
        <w:rPr>
          <w:rFonts w:hint="eastAsia" w:ascii="宋体" w:hAnsi="宋体" w:cs="宋体"/>
          <w:color w:val="000000"/>
          <w:szCs w:val="21"/>
        </w:rPr>
        <w:t xml:space="preserve">      日期：</w:t>
      </w: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p>
    <w:p w14:paraId="425884E1">
      <w:pPr>
        <w:spacing w:line="480" w:lineRule="exact"/>
        <w:outlineLvl w:val="9"/>
        <w:rPr>
          <w:rFonts w:hint="eastAsia" w:ascii="宋体" w:hAnsi="宋体" w:cs="宋体"/>
          <w:b/>
          <w:bCs/>
          <w:color w:val="000000"/>
          <w:szCs w:val="21"/>
        </w:rPr>
      </w:pPr>
      <w:r>
        <w:rPr>
          <w:rFonts w:hint="eastAsia" w:ascii="宋体" w:hAnsi="宋体" w:cs="宋体"/>
          <w:b/>
          <w:bCs/>
          <w:color w:val="000000"/>
          <w:szCs w:val="21"/>
        </w:rPr>
        <w:t>注：1、申请人需随此表附上营业执照复印件。</w:t>
      </w:r>
    </w:p>
    <w:p w14:paraId="252734DA">
      <w:pPr>
        <w:autoSpaceDE w:val="0"/>
        <w:autoSpaceDN w:val="0"/>
        <w:adjustRightInd w:val="0"/>
        <w:snapToGrid w:val="0"/>
        <w:spacing w:line="480" w:lineRule="exact"/>
        <w:outlineLvl w:val="9"/>
        <w:rPr>
          <w:rFonts w:hint="eastAsia" w:ascii="宋体" w:hAnsi="宋体" w:cs="宋体"/>
          <w:b/>
          <w:bCs/>
          <w:color w:val="000000"/>
        </w:rPr>
      </w:pPr>
    </w:p>
    <w:p w14:paraId="78496D40">
      <w:pPr>
        <w:autoSpaceDE w:val="0"/>
        <w:autoSpaceDN w:val="0"/>
        <w:adjustRightInd w:val="0"/>
        <w:snapToGrid w:val="0"/>
        <w:spacing w:line="480" w:lineRule="exact"/>
        <w:outlineLvl w:val="9"/>
        <w:rPr>
          <w:rFonts w:hint="eastAsia" w:ascii="宋体" w:hAnsi="宋体" w:cs="宋体"/>
          <w:b/>
          <w:bCs/>
          <w:color w:val="000000"/>
        </w:rPr>
      </w:pPr>
    </w:p>
    <w:p w14:paraId="513C8B7F">
      <w:pPr>
        <w:outlineLvl w:val="9"/>
        <w:rPr>
          <w:rFonts w:hint="eastAsia" w:ascii="宋体" w:hAnsi="宋体" w:cs="宋体"/>
          <w:b/>
          <w:bCs/>
          <w:color w:val="000000"/>
          <w:sz w:val="24"/>
        </w:rPr>
      </w:pPr>
    </w:p>
    <w:p w14:paraId="5BEFD51C">
      <w:pPr>
        <w:outlineLvl w:val="9"/>
        <w:rPr>
          <w:rFonts w:hint="eastAsia" w:ascii="宋体" w:hAnsi="宋体" w:cs="宋体"/>
          <w:b/>
          <w:bCs/>
          <w:color w:val="000000"/>
          <w:sz w:val="24"/>
        </w:rPr>
      </w:pPr>
    </w:p>
    <w:p w14:paraId="70A5D400">
      <w:pPr>
        <w:adjustRightInd w:val="0"/>
        <w:snapToGrid w:val="0"/>
        <w:spacing w:before="156" w:beforeLines="50" w:line="360" w:lineRule="auto"/>
        <w:jc w:val="center"/>
        <w:outlineLvl w:val="1"/>
        <w:rPr>
          <w:rFonts w:hint="eastAsia" w:ascii="宋体" w:hAnsi="宋体" w:cs="宋体"/>
          <w:b/>
          <w:bCs/>
          <w:color w:val="000000"/>
          <w:sz w:val="32"/>
          <w:szCs w:val="32"/>
        </w:rPr>
      </w:pPr>
      <w:r>
        <w:rPr>
          <w:rFonts w:hint="eastAsia" w:ascii="宋体" w:hAnsi="宋体" w:cs="宋体"/>
          <w:b/>
          <w:bCs/>
          <w:color w:val="000000"/>
          <w:sz w:val="24"/>
        </w:rPr>
        <w:br w:type="page"/>
      </w:r>
      <w:bookmarkStart w:id="55" w:name="_Toc24289"/>
      <w:r>
        <w:rPr>
          <w:rFonts w:hint="eastAsia" w:ascii="宋体" w:hAnsi="宋体" w:cs="宋体"/>
          <w:b/>
          <w:bCs/>
          <w:color w:val="000000"/>
          <w:sz w:val="32"/>
          <w:szCs w:val="32"/>
          <w:lang w:eastAsia="zh-CN"/>
        </w:rPr>
        <w:t>五、</w:t>
      </w:r>
      <w:r>
        <w:rPr>
          <w:rFonts w:hint="eastAsia" w:ascii="宋体" w:hAnsi="宋体" w:cs="宋体"/>
          <w:b/>
          <w:bCs/>
          <w:color w:val="000000"/>
          <w:sz w:val="32"/>
          <w:szCs w:val="32"/>
        </w:rPr>
        <w:t>遴选文件中要求的资格条件证明材料</w:t>
      </w:r>
      <w:bookmarkEnd w:id="55"/>
    </w:p>
    <w:p w14:paraId="32911865">
      <w:pPr>
        <w:pStyle w:val="6"/>
        <w:spacing w:after="0" w:line="440" w:lineRule="exact"/>
        <w:ind w:firstLine="420" w:firstLineChars="200"/>
        <w:outlineLvl w:val="9"/>
        <w:rPr>
          <w:rFonts w:hint="eastAsia" w:ascii="宋体" w:hAnsi="宋体" w:cs="宋体"/>
        </w:rPr>
      </w:pPr>
      <w:r>
        <w:rPr>
          <w:rFonts w:hint="eastAsia"/>
          <w:lang w:val="en-US" w:eastAsia="zh-CN"/>
        </w:rPr>
        <w:t>1、</w:t>
      </w:r>
      <w:r>
        <w:rPr>
          <w:rFonts w:hint="eastAsia" w:ascii="宋体" w:hAnsi="宋体" w:cs="宋体"/>
        </w:rPr>
        <w:t>营业执照副本</w:t>
      </w:r>
      <w:r>
        <w:rPr>
          <w:rFonts w:hint="eastAsia" w:ascii="宋体" w:hAnsi="宋体" w:cs="宋体"/>
          <w:lang w:eastAsia="zh-CN"/>
        </w:rPr>
        <w:t>复印件</w:t>
      </w:r>
      <w:r>
        <w:rPr>
          <w:rFonts w:hint="eastAsia" w:ascii="宋体" w:hAnsi="宋体" w:cs="宋体"/>
        </w:rPr>
        <w:t>；</w:t>
      </w:r>
    </w:p>
    <w:p w14:paraId="6841EB23">
      <w:pPr>
        <w:pStyle w:val="6"/>
        <w:spacing w:after="0" w:line="440" w:lineRule="exact"/>
        <w:ind w:firstLine="420" w:firstLineChars="200"/>
        <w:outlineLvl w:val="9"/>
        <w:rPr>
          <w:rFonts w:hint="eastAsia" w:ascii="宋体" w:hAnsi="宋体" w:cs="宋体"/>
        </w:rPr>
      </w:pPr>
      <w:r>
        <w:rPr>
          <w:rFonts w:hint="eastAsia" w:ascii="宋体" w:hAnsi="宋体" w:cs="宋体"/>
          <w:lang w:val="en-US" w:eastAsia="zh-CN"/>
        </w:rPr>
        <w:t>2、</w:t>
      </w:r>
      <w:r>
        <w:rPr>
          <w:rFonts w:hint="eastAsia" w:ascii="宋体" w:hAnsi="宋体" w:cs="宋体"/>
        </w:rPr>
        <w:t>依法缴纳社会保险费的证明材料：近三个月依法缴纳社会保险费的证明（缴费凭证），或者委托他人缴纳的委托代办协议和近三个月的缴纳证明（收据），或者法定征收机关出具的依法免缴保险费的证明；</w:t>
      </w:r>
    </w:p>
    <w:p w14:paraId="39A0762E">
      <w:pPr>
        <w:pStyle w:val="6"/>
        <w:spacing w:after="0" w:line="440" w:lineRule="exact"/>
        <w:ind w:firstLine="420" w:firstLineChars="200"/>
        <w:outlineLvl w:val="9"/>
        <w:rPr>
          <w:rFonts w:hint="eastAsia" w:ascii="宋体" w:hAnsi="宋体" w:cs="宋体"/>
        </w:rPr>
      </w:pPr>
      <w:r>
        <w:rPr>
          <w:rFonts w:hint="eastAsia" w:ascii="宋体" w:hAnsi="宋体" w:cs="宋体"/>
          <w:lang w:val="en-US" w:eastAsia="zh-CN"/>
        </w:rPr>
        <w:t>3、</w:t>
      </w:r>
      <w:r>
        <w:rPr>
          <w:rFonts w:hint="eastAsia" w:ascii="宋体" w:hAnsi="宋体" w:cs="宋体"/>
        </w:rPr>
        <w:t xml:space="preserve">依法缴纳税收证明资料：近三个月依法缴纳税收的证明（纳税凭证），或者委托他人缴纳的委托代办协议和近三个月的缴纳证明（收据），或者法定征收机关出具的依法免缴税收的证明； </w:t>
      </w:r>
    </w:p>
    <w:p w14:paraId="235BF9CB">
      <w:pPr>
        <w:pStyle w:val="6"/>
        <w:spacing w:after="0" w:line="440" w:lineRule="exact"/>
        <w:ind w:firstLine="420" w:firstLineChars="200"/>
        <w:outlineLvl w:val="9"/>
        <w:rPr>
          <w:rFonts w:hint="eastAsia" w:ascii="宋体" w:hAnsi="宋体" w:cs="宋体"/>
        </w:rPr>
      </w:pPr>
      <w:r>
        <w:rPr>
          <w:rFonts w:hint="eastAsia" w:ascii="宋体" w:hAnsi="宋体" w:cs="宋体"/>
          <w:lang w:val="en-US" w:eastAsia="zh-CN"/>
        </w:rPr>
        <w:t>4、承保机构公司负责人</w:t>
      </w:r>
      <w:r>
        <w:rPr>
          <w:rFonts w:hint="eastAsia" w:ascii="宋体" w:hAnsi="宋体" w:cs="宋体"/>
        </w:rPr>
        <w:t>须提交公司负责人</w:t>
      </w:r>
      <w:r>
        <w:rPr>
          <w:rFonts w:hint="eastAsia" w:ascii="宋体" w:hAnsi="宋体" w:cs="宋体"/>
          <w:lang w:eastAsia="zh-CN"/>
        </w:rPr>
        <w:t>资格证明</w:t>
      </w:r>
      <w:r>
        <w:rPr>
          <w:rFonts w:hint="eastAsia" w:ascii="宋体" w:hAnsi="宋体" w:cs="宋体"/>
        </w:rPr>
        <w:t>原件，或其被授权人须提交公司负责人授权委托书原件并附公司负责人</w:t>
      </w:r>
      <w:r>
        <w:rPr>
          <w:rFonts w:hint="eastAsia" w:ascii="宋体" w:hAnsi="宋体" w:cs="宋体"/>
          <w:lang w:eastAsia="zh-CN"/>
        </w:rPr>
        <w:t>资格证明</w:t>
      </w:r>
      <w:r>
        <w:rPr>
          <w:rFonts w:hint="eastAsia" w:ascii="宋体" w:hAnsi="宋体" w:cs="宋体"/>
        </w:rPr>
        <w:t>原件；</w:t>
      </w:r>
    </w:p>
    <w:p w14:paraId="42E742F6">
      <w:pPr>
        <w:pStyle w:val="6"/>
        <w:spacing w:after="0" w:line="440" w:lineRule="exact"/>
        <w:ind w:firstLine="420" w:firstLineChars="200"/>
        <w:outlineLvl w:val="9"/>
        <w:rPr>
          <w:rFonts w:hint="eastAsia" w:ascii="宋体" w:hAnsi="宋体" w:eastAsia="宋体" w:cs="宋体"/>
          <w:lang w:eastAsia="zh-CN"/>
        </w:rPr>
      </w:pPr>
      <w:r>
        <w:rPr>
          <w:rFonts w:hint="eastAsia" w:ascii="宋体" w:hAnsi="宋体" w:eastAsia="宋体" w:cs="宋体"/>
          <w:lang w:val="en-US" w:eastAsia="zh-CN"/>
        </w:rPr>
        <w:t>5、</w:t>
      </w:r>
      <w:r>
        <w:rPr>
          <w:rFonts w:hint="eastAsia" w:ascii="宋体" w:hAnsi="宋体" w:eastAsia="宋体" w:cs="宋体"/>
          <w:sz w:val="21"/>
          <w:szCs w:val="21"/>
          <w:lang w:eastAsia="zh-CN"/>
        </w:rPr>
        <w:t>申请参加遴选的承保机构需满足的基本条件所要求的证明材料</w:t>
      </w:r>
      <w:r>
        <w:rPr>
          <w:rFonts w:hint="eastAsia" w:ascii="宋体" w:hAnsi="宋体" w:cs="宋体"/>
        </w:rPr>
        <w:t>。</w:t>
      </w:r>
    </w:p>
    <w:p w14:paraId="3C697A0E">
      <w:pPr>
        <w:pStyle w:val="6"/>
        <w:spacing w:after="0" w:line="440" w:lineRule="exact"/>
        <w:ind w:firstLine="420" w:firstLineChars="200"/>
        <w:outlineLvl w:val="9"/>
        <w:rPr>
          <w:rFonts w:hint="default" w:ascii="宋体" w:hAnsi="宋体" w:eastAsia="宋体" w:cs="宋体"/>
          <w:lang w:val="en-US" w:eastAsia="zh-CN"/>
        </w:rPr>
      </w:pPr>
      <w:r>
        <w:rPr>
          <w:rFonts w:hint="eastAsia" w:ascii="宋体" w:hAnsi="宋体" w:cs="宋体"/>
          <w:lang w:eastAsia="zh-CN"/>
        </w:rPr>
        <w:t>注：以上所说的近三个月指</w:t>
      </w:r>
      <w:r>
        <w:rPr>
          <w:rFonts w:hint="eastAsia" w:ascii="宋体" w:hAnsi="宋体" w:cs="宋体"/>
          <w:lang w:val="en-US" w:eastAsia="zh-CN"/>
        </w:rPr>
        <w:t>2022年9月以来任意连续三个月</w:t>
      </w:r>
      <w:r>
        <w:rPr>
          <w:rFonts w:hint="eastAsia" w:ascii="宋体" w:hAnsi="宋体" w:cs="宋体"/>
        </w:rPr>
        <w:t>。</w:t>
      </w:r>
    </w:p>
    <w:p w14:paraId="34A363B8">
      <w:pPr>
        <w:pStyle w:val="2"/>
        <w:outlineLvl w:val="9"/>
        <w:rPr>
          <w:rFonts w:hint="eastAsia" w:eastAsia="宋体"/>
          <w:b/>
          <w:bCs/>
          <w:lang w:val="en-US" w:eastAsia="zh-CN"/>
        </w:rPr>
      </w:pPr>
    </w:p>
    <w:p w14:paraId="3403E084">
      <w:pPr>
        <w:jc w:val="both"/>
        <w:outlineLvl w:val="9"/>
        <w:rPr>
          <w:rFonts w:hint="eastAsia" w:ascii="宋体" w:hAnsi="宋体" w:cs="宋体"/>
          <w:b/>
          <w:bCs/>
          <w:color w:val="000000"/>
          <w:sz w:val="32"/>
          <w:szCs w:val="32"/>
          <w:lang w:eastAsia="zh-CN"/>
        </w:rPr>
        <w:sectPr>
          <w:footerReference r:id="rId7" w:type="default"/>
          <w:footerReference r:id="rId8" w:type="even"/>
          <w:pgSz w:w="11906" w:h="16838"/>
          <w:pgMar w:top="1440" w:right="1474" w:bottom="1440" w:left="1588" w:header="851" w:footer="992" w:gutter="0"/>
          <w:pgNumType w:fmt="decimal" w:start="1"/>
          <w:cols w:space="720" w:num="1"/>
          <w:docGrid w:type="lines" w:linePitch="312" w:charSpace="0"/>
        </w:sectPr>
      </w:pPr>
    </w:p>
    <w:p w14:paraId="31AD712A">
      <w:pPr>
        <w:spacing w:line="360" w:lineRule="auto"/>
        <w:jc w:val="both"/>
        <w:outlineLvl w:val="1"/>
        <w:rPr>
          <w:rFonts w:hint="eastAsia" w:ascii="宋体" w:hAnsi="宋体" w:eastAsia="宋体" w:cs="宋体"/>
          <w:b/>
          <w:bCs/>
          <w:color w:val="000000"/>
          <w:sz w:val="32"/>
          <w:szCs w:val="32"/>
          <w:lang w:eastAsia="zh-CN"/>
        </w:rPr>
      </w:pPr>
      <w:bookmarkStart w:id="56" w:name="_Toc20822"/>
      <w:r>
        <w:rPr>
          <w:rFonts w:hint="eastAsia" w:ascii="宋体" w:hAnsi="宋体" w:eastAsia="宋体" w:cs="宋体"/>
          <w:b/>
          <w:bCs/>
          <w:color w:val="000000"/>
          <w:sz w:val="32"/>
          <w:szCs w:val="32"/>
          <w:lang w:eastAsia="zh-CN"/>
        </w:rPr>
        <w:t>附件</w:t>
      </w:r>
    </w:p>
    <w:p w14:paraId="6FB35DA6">
      <w:pPr>
        <w:spacing w:line="360" w:lineRule="auto"/>
        <w:jc w:val="center"/>
        <w:outlineLvl w:val="1"/>
        <w:rPr>
          <w:rFonts w:hint="eastAsia" w:ascii="宋体" w:hAnsi="宋体" w:eastAsia="宋体" w:cs="宋体"/>
          <w:b/>
          <w:bCs/>
          <w:color w:val="000000"/>
          <w:sz w:val="32"/>
          <w:szCs w:val="32"/>
          <w:lang w:eastAsia="zh-CN"/>
        </w:rPr>
      </w:pPr>
      <w:r>
        <w:rPr>
          <w:rFonts w:hint="eastAsia" w:ascii="宋体" w:hAnsi="宋体" w:eastAsia="宋体" w:cs="宋体"/>
          <w:b/>
          <w:bCs/>
          <w:color w:val="000000"/>
          <w:sz w:val="32"/>
          <w:szCs w:val="32"/>
          <w:lang w:eastAsia="zh-CN"/>
        </w:rPr>
        <w:t>承诺函</w:t>
      </w:r>
    </w:p>
    <w:p w14:paraId="32777839">
      <w:pPr>
        <w:pStyle w:val="2"/>
        <w:spacing w:line="360" w:lineRule="auto"/>
        <w:ind w:left="0" w:leftChars="0" w:firstLine="0" w:firstLineChars="0"/>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lang w:eastAsia="zh-CN"/>
        </w:rPr>
        <w:t>致</w:t>
      </w:r>
      <w:r>
        <w:rPr>
          <w:rFonts w:hint="eastAsia" w:ascii="宋体" w:hAnsi="宋体" w:eastAsia="宋体" w:cs="宋体"/>
          <w:b w:val="0"/>
          <w:bCs w:val="0"/>
          <w:color w:val="000000"/>
          <w:sz w:val="21"/>
          <w:szCs w:val="21"/>
          <w:u w:val="single"/>
          <w:lang w:eastAsia="zh-CN"/>
        </w:rPr>
        <w:t xml:space="preserve">     </w:t>
      </w:r>
      <w:r>
        <w:rPr>
          <w:rFonts w:hint="eastAsia" w:ascii="宋体" w:hAnsi="宋体" w:eastAsia="宋体" w:cs="宋体"/>
          <w:b w:val="0"/>
          <w:bCs w:val="0"/>
          <w:color w:val="000000"/>
          <w:sz w:val="21"/>
          <w:szCs w:val="21"/>
          <w:u w:val="single"/>
          <w:lang w:val="en-US" w:eastAsia="zh-CN"/>
        </w:rPr>
        <w:t xml:space="preserve">     </w:t>
      </w:r>
      <w:r>
        <w:rPr>
          <w:rFonts w:hint="eastAsia" w:ascii="宋体" w:hAnsi="宋体" w:eastAsia="宋体" w:cs="宋体"/>
          <w:b w:val="0"/>
          <w:bCs w:val="0"/>
          <w:color w:val="000000"/>
          <w:sz w:val="21"/>
          <w:szCs w:val="21"/>
          <w:u w:val="single"/>
          <w:lang w:eastAsia="zh-CN"/>
        </w:rPr>
        <w:t xml:space="preserve">  </w:t>
      </w:r>
      <w:r>
        <w:rPr>
          <w:rFonts w:hint="eastAsia" w:ascii="宋体" w:hAnsi="宋体" w:eastAsia="宋体" w:cs="宋体"/>
          <w:b w:val="0"/>
          <w:bCs w:val="0"/>
          <w:color w:val="000000"/>
          <w:sz w:val="21"/>
          <w:szCs w:val="21"/>
          <w:u w:val="single"/>
          <w:lang w:val="en-US" w:eastAsia="zh-CN"/>
        </w:rPr>
        <w:t xml:space="preserve">  </w:t>
      </w:r>
      <w:r>
        <w:rPr>
          <w:rFonts w:hint="eastAsia" w:ascii="宋体" w:hAnsi="宋体" w:eastAsia="宋体" w:cs="宋体"/>
          <w:b w:val="0"/>
          <w:bCs w:val="0"/>
          <w:color w:val="000000"/>
          <w:sz w:val="21"/>
          <w:szCs w:val="21"/>
          <w:u w:val="single"/>
          <w:lang w:eastAsia="zh-CN"/>
        </w:rPr>
        <w:t xml:space="preserve">   </w:t>
      </w:r>
      <w:r>
        <w:rPr>
          <w:rFonts w:hint="eastAsia" w:ascii="宋体" w:hAnsi="宋体" w:eastAsia="宋体" w:cs="宋体"/>
          <w:b w:val="0"/>
          <w:bCs w:val="0"/>
          <w:color w:val="000000"/>
          <w:sz w:val="21"/>
          <w:szCs w:val="21"/>
          <w:lang w:eastAsia="zh-CN"/>
        </w:rPr>
        <w:t>(遴选人)：</w:t>
      </w:r>
    </w:p>
    <w:p w14:paraId="315A19C1">
      <w:pPr>
        <w:pStyle w:val="7"/>
        <w:adjustRightInd w:val="0"/>
        <w:snapToGrid w:val="0"/>
        <w:spacing w:line="360" w:lineRule="auto"/>
        <w:ind w:firstLine="420" w:firstLineChars="200"/>
        <w:rPr>
          <w:rFonts w:hint="eastAsia" w:hAnsi="宋体"/>
          <w:lang w:eastAsia="zh-CN"/>
        </w:rPr>
      </w:pPr>
      <w:r>
        <w:rPr>
          <w:rFonts w:hint="eastAsia" w:hAnsi="宋体"/>
          <w:lang w:eastAsia="zh-CN"/>
        </w:rPr>
        <w:t>关于贵单位</w:t>
      </w:r>
      <w:r>
        <w:rPr>
          <w:rFonts w:hint="eastAsia" w:hAnsi="宋体"/>
          <w:u w:val="single"/>
        </w:rPr>
        <w:t xml:space="preserve">                (</w:t>
      </w:r>
      <w:r>
        <w:rPr>
          <w:rFonts w:hint="eastAsia" w:hAnsi="宋体"/>
        </w:rPr>
        <w:t>项目名称</w:t>
      </w:r>
      <w:r>
        <w:rPr>
          <w:rFonts w:hint="eastAsia" w:hAnsi="宋体"/>
          <w:lang w:eastAsia="zh-CN"/>
        </w:rPr>
        <w:t>、委托</w:t>
      </w:r>
      <w:r>
        <w:rPr>
          <w:rFonts w:hint="eastAsia" w:hAnsi="宋体"/>
        </w:rPr>
        <w:t>代理编号)的公开竞争性遴选文件</w:t>
      </w:r>
      <w:r>
        <w:rPr>
          <w:rFonts w:hint="eastAsia" w:hAnsi="宋体"/>
          <w:lang w:eastAsia="zh-CN"/>
        </w:rPr>
        <w:t>，</w:t>
      </w:r>
      <w:r>
        <w:rPr>
          <w:rFonts w:hint="eastAsia" w:hAnsi="宋体"/>
        </w:rPr>
        <w:t>我单位承诺如下</w:t>
      </w:r>
      <w:r>
        <w:rPr>
          <w:rFonts w:hint="eastAsia" w:hAnsi="宋体"/>
          <w:lang w:eastAsia="zh-CN"/>
        </w:rPr>
        <w:t>：</w:t>
      </w:r>
    </w:p>
    <w:p w14:paraId="7E71327C">
      <w:pPr>
        <w:pStyle w:val="7"/>
        <w:adjustRightInd w:val="0"/>
        <w:snapToGrid w:val="0"/>
        <w:spacing w:line="360" w:lineRule="auto"/>
        <w:ind w:firstLine="420"/>
        <w:rPr>
          <w:rFonts w:hint="eastAsia" w:hAnsi="宋体" w:cs="宋体"/>
          <w:kern w:val="0"/>
          <w:lang w:eastAsia="zh-CN"/>
        </w:rPr>
      </w:pPr>
      <w:r>
        <w:rPr>
          <w:rFonts w:hint="eastAsia" w:hAnsi="宋体"/>
          <w:lang w:eastAsia="zh-CN"/>
        </w:rPr>
        <w:t>1、参与本项目遴选活动系本单位自愿行为；</w:t>
      </w:r>
    </w:p>
    <w:p w14:paraId="40145462">
      <w:pPr>
        <w:pStyle w:val="7"/>
        <w:adjustRightInd w:val="0"/>
        <w:snapToGrid w:val="0"/>
        <w:spacing w:line="360" w:lineRule="auto"/>
        <w:ind w:firstLine="420"/>
        <w:rPr>
          <w:rFonts w:hint="eastAsia" w:hAnsi="宋体" w:cs="宋体"/>
          <w:kern w:val="0"/>
          <w:lang w:eastAsia="zh-CN"/>
        </w:rPr>
      </w:pPr>
      <w:r>
        <w:rPr>
          <w:rFonts w:hint="eastAsia" w:hAnsi="宋体" w:cs="宋体"/>
          <w:kern w:val="0"/>
          <w:lang w:eastAsia="zh-CN"/>
        </w:rPr>
        <w:t>2、服从现场工作人员的管理，自觉维护市场秩序；</w:t>
      </w:r>
    </w:p>
    <w:p w14:paraId="3B56D570">
      <w:pPr>
        <w:pStyle w:val="7"/>
        <w:adjustRightInd w:val="0"/>
        <w:snapToGrid w:val="0"/>
        <w:spacing w:line="360" w:lineRule="auto"/>
        <w:ind w:firstLine="420"/>
        <w:rPr>
          <w:rFonts w:hint="eastAsia" w:hAnsi="宋体" w:cs="宋体"/>
          <w:kern w:val="0"/>
          <w:lang w:eastAsia="zh-CN"/>
        </w:rPr>
      </w:pPr>
      <w:r>
        <w:rPr>
          <w:rFonts w:hint="eastAsia" w:hAnsi="宋体" w:cs="宋体"/>
          <w:kern w:val="0"/>
          <w:lang w:eastAsia="zh-CN"/>
        </w:rPr>
        <w:t>3、申请文件内容及资料无弄虚作假行为；</w:t>
      </w:r>
    </w:p>
    <w:p w14:paraId="447BD1F2">
      <w:pPr>
        <w:pStyle w:val="7"/>
        <w:adjustRightInd w:val="0"/>
        <w:snapToGrid w:val="0"/>
        <w:spacing w:line="360" w:lineRule="auto"/>
        <w:ind w:firstLine="420"/>
        <w:rPr>
          <w:rFonts w:hint="eastAsia" w:hAnsi="宋体" w:cs="宋体"/>
          <w:kern w:val="0"/>
          <w:lang w:eastAsia="zh-CN"/>
        </w:rPr>
      </w:pPr>
      <w:r>
        <w:rPr>
          <w:rFonts w:hint="eastAsia" w:hAnsi="宋体" w:cs="宋体"/>
          <w:kern w:val="0"/>
          <w:lang w:eastAsia="zh-CN"/>
        </w:rPr>
        <w:t>4、不与遴选人或者评审委员会成员私下联络和串通以牟取中选；不以他人名义申请或者以其他方式弄虚作假骗取中选；</w:t>
      </w:r>
    </w:p>
    <w:p w14:paraId="27513CA6">
      <w:pPr>
        <w:pStyle w:val="7"/>
        <w:adjustRightInd w:val="0"/>
        <w:snapToGrid w:val="0"/>
        <w:spacing w:line="360" w:lineRule="auto"/>
        <w:ind w:firstLine="420"/>
        <w:rPr>
          <w:rFonts w:hint="default" w:hAnsi="宋体" w:cs="宋体"/>
          <w:kern w:val="0"/>
          <w:lang w:val="en-US" w:eastAsia="zh-CN"/>
        </w:rPr>
      </w:pPr>
      <w:r>
        <w:rPr>
          <w:rFonts w:hint="eastAsia" w:hAnsi="宋体" w:cs="宋体"/>
          <w:kern w:val="0"/>
          <w:lang w:val="en-US" w:eastAsia="zh-CN"/>
        </w:rPr>
        <w:t>5、</w:t>
      </w:r>
      <w:r>
        <w:rPr>
          <w:rFonts w:hint="eastAsia" w:ascii="宋体" w:hAnsi="宋体" w:eastAsia="宋体" w:cs="宋体"/>
          <w:b w:val="0"/>
          <w:bCs w:val="0"/>
          <w:color w:val="000000"/>
          <w:sz w:val="21"/>
          <w:szCs w:val="21"/>
          <w:lang w:eastAsia="zh-CN"/>
        </w:rPr>
        <w:t>我单位参加本次遴选，不存在以下情况：（</w:t>
      </w:r>
      <w:r>
        <w:rPr>
          <w:rFonts w:hint="eastAsia" w:ascii="宋体" w:hAnsi="宋体" w:eastAsia="宋体" w:cs="宋体"/>
          <w:b w:val="0"/>
          <w:bCs w:val="0"/>
          <w:color w:val="000000"/>
          <w:sz w:val="21"/>
          <w:szCs w:val="21"/>
          <w:lang w:val="en-US" w:eastAsia="zh-CN"/>
        </w:rPr>
        <w:t>1</w:t>
      </w:r>
      <w:r>
        <w:rPr>
          <w:rFonts w:hint="eastAsia" w:ascii="宋体" w:hAnsi="宋体" w:eastAsia="宋体" w:cs="宋体"/>
          <w:b w:val="0"/>
          <w:bCs w:val="0"/>
          <w:color w:val="000000"/>
          <w:sz w:val="21"/>
          <w:szCs w:val="21"/>
          <w:lang w:eastAsia="zh-CN"/>
        </w:rPr>
        <w:t>）以联合体(共保体)形式或委托其他保险机构、中介机构代为办理的；（</w:t>
      </w:r>
      <w:r>
        <w:rPr>
          <w:rFonts w:hint="eastAsia" w:ascii="宋体" w:hAnsi="宋体" w:eastAsia="宋体" w:cs="宋体"/>
          <w:b w:val="0"/>
          <w:bCs w:val="0"/>
          <w:color w:val="000000"/>
          <w:sz w:val="21"/>
          <w:szCs w:val="21"/>
          <w:lang w:val="en-US" w:eastAsia="zh-CN"/>
        </w:rPr>
        <w:t>2</w:t>
      </w:r>
      <w:r>
        <w:rPr>
          <w:rFonts w:hint="eastAsia" w:ascii="宋体" w:hAnsi="宋体" w:eastAsia="宋体" w:cs="宋体"/>
          <w:b w:val="0"/>
          <w:bCs w:val="0"/>
          <w:color w:val="000000"/>
          <w:sz w:val="21"/>
          <w:szCs w:val="21"/>
          <w:lang w:eastAsia="zh-CN"/>
        </w:rPr>
        <w:t>）以销售网点、“三农”保险服务网点等非市县级分支机构申请的，区级分支机构申请市州本级及所辖区遴选的，市级及以上分支机构申请省直管县市遴选的；（</w:t>
      </w:r>
      <w:r>
        <w:rPr>
          <w:rFonts w:hint="eastAsia" w:ascii="宋体" w:hAnsi="宋体" w:eastAsia="宋体" w:cs="宋体"/>
          <w:b w:val="0"/>
          <w:bCs w:val="0"/>
          <w:color w:val="000000"/>
          <w:sz w:val="21"/>
          <w:szCs w:val="21"/>
          <w:lang w:val="en-US" w:eastAsia="zh-CN"/>
        </w:rPr>
        <w:t>3</w:t>
      </w:r>
      <w:r>
        <w:rPr>
          <w:rFonts w:hint="eastAsia" w:ascii="宋体" w:hAnsi="宋体" w:eastAsia="宋体" w:cs="宋体"/>
          <w:b w:val="0"/>
          <w:bCs w:val="0"/>
          <w:color w:val="000000"/>
          <w:sz w:val="21"/>
          <w:szCs w:val="21"/>
          <w:lang w:eastAsia="zh-CN"/>
        </w:rPr>
        <w:t>）在参选地区农业保险业务违法违规被财政部门或监管部门处罚且尚在处罚期的，以及因农业保险绩效评价取消财政补贴资格期内的。</w:t>
      </w:r>
    </w:p>
    <w:p w14:paraId="3513D1D6">
      <w:pPr>
        <w:pStyle w:val="7"/>
        <w:adjustRightInd w:val="0"/>
        <w:snapToGrid w:val="0"/>
        <w:spacing w:line="360" w:lineRule="auto"/>
        <w:ind w:firstLine="420"/>
        <w:rPr>
          <w:rFonts w:hint="eastAsia" w:hAnsi="宋体" w:cs="宋体"/>
          <w:kern w:val="0"/>
          <w:lang w:eastAsia="zh-CN"/>
        </w:rPr>
      </w:pPr>
      <w:r>
        <w:rPr>
          <w:rFonts w:hint="eastAsia" w:hAnsi="宋体" w:cs="宋体"/>
          <w:kern w:val="0"/>
          <w:lang w:val="en-US" w:eastAsia="zh-CN"/>
        </w:rPr>
        <w:t>6</w:t>
      </w:r>
      <w:r>
        <w:rPr>
          <w:rFonts w:hint="eastAsia" w:hAnsi="宋体" w:cs="宋体"/>
          <w:kern w:val="0"/>
          <w:lang w:eastAsia="zh-CN"/>
        </w:rPr>
        <w:t>、若中选，将按照遴选文件规定及时与遴选人签订合同，严格履行合同条款内容；</w:t>
      </w:r>
    </w:p>
    <w:p w14:paraId="1BC18369">
      <w:pPr>
        <w:pStyle w:val="7"/>
        <w:adjustRightInd w:val="0"/>
        <w:snapToGrid w:val="0"/>
        <w:spacing w:line="360" w:lineRule="auto"/>
        <w:ind w:firstLine="420"/>
        <w:rPr>
          <w:rFonts w:hint="eastAsia" w:hAnsi="宋体" w:cs="宋体"/>
          <w:kern w:val="0"/>
          <w:lang w:eastAsia="zh-CN"/>
        </w:rPr>
      </w:pPr>
      <w:r>
        <w:rPr>
          <w:rFonts w:hint="eastAsia" w:hAnsi="宋体" w:cs="宋体"/>
          <w:kern w:val="0"/>
          <w:lang w:val="en-US" w:eastAsia="zh-CN"/>
        </w:rPr>
        <w:t>7</w:t>
      </w:r>
      <w:r>
        <w:rPr>
          <w:rFonts w:hint="eastAsia" w:hAnsi="宋体" w:cs="宋体"/>
          <w:kern w:val="0"/>
          <w:lang w:eastAsia="zh-CN"/>
        </w:rPr>
        <w:t>、如有违反本承诺书内容的行为，愿意承担由此产生的法律责任及后果。</w:t>
      </w:r>
    </w:p>
    <w:p w14:paraId="33454051">
      <w:pPr>
        <w:pStyle w:val="2"/>
        <w:spacing w:line="360" w:lineRule="auto"/>
        <w:ind w:left="0" w:leftChars="0" w:firstLine="420" w:firstLineChars="200"/>
        <w:rPr>
          <w:rFonts w:hint="eastAsia" w:ascii="宋体" w:hAnsi="宋体" w:eastAsia="宋体" w:cs="宋体"/>
          <w:b w:val="0"/>
          <w:bCs w:val="0"/>
          <w:color w:val="000000"/>
          <w:sz w:val="21"/>
          <w:szCs w:val="21"/>
          <w:lang w:eastAsia="zh-CN"/>
        </w:rPr>
      </w:pPr>
    </w:p>
    <w:p w14:paraId="3D2AA93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outlineLvl w:val="9"/>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申请人：</w:t>
      </w:r>
      <w:r>
        <w:rPr>
          <w:rFonts w:hint="eastAsia" w:ascii="宋体" w:hAnsi="宋体" w:eastAsia="宋体" w:cs="宋体"/>
          <w:b w:val="0"/>
          <w:bCs w:val="0"/>
          <w:color w:val="000000"/>
          <w:sz w:val="21"/>
          <w:szCs w:val="21"/>
          <w:u w:val="single"/>
        </w:rPr>
        <w:t xml:space="preserve">                      </w:t>
      </w:r>
      <w:r>
        <w:rPr>
          <w:rFonts w:hint="eastAsia" w:ascii="宋体" w:hAnsi="宋体" w:cs="宋体"/>
          <w:color w:val="000000"/>
          <w:spacing w:val="14"/>
          <w:kern w:val="0"/>
          <w:szCs w:val="21"/>
          <w:u w:val="single"/>
        </w:rPr>
        <w:t>（单位全称）（盖章）</w:t>
      </w:r>
      <w:r>
        <w:rPr>
          <w:rFonts w:hint="eastAsia" w:ascii="宋体" w:hAnsi="宋体" w:eastAsia="宋体" w:cs="宋体"/>
          <w:b w:val="0"/>
          <w:bCs w:val="0"/>
          <w:color w:val="000000"/>
          <w:sz w:val="21"/>
          <w:szCs w:val="21"/>
          <w:u w:val="single"/>
        </w:rPr>
        <w:t xml:space="preserve"> </w:t>
      </w:r>
    </w:p>
    <w:p w14:paraId="5AFBDC07">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b w:val="0"/>
          <w:bCs w:val="0"/>
          <w:color w:val="000000"/>
          <w:sz w:val="21"/>
          <w:szCs w:val="21"/>
        </w:rPr>
      </w:pPr>
      <w:r>
        <w:rPr>
          <w:rFonts w:hint="eastAsia" w:ascii="宋体" w:hAnsi="宋体" w:cs="宋体"/>
          <w:color w:val="000000"/>
          <w:szCs w:val="21"/>
        </w:rPr>
        <w:t>承保机构公司负责人或授权委托人：</w:t>
      </w:r>
      <w:r>
        <w:rPr>
          <w:rFonts w:hint="eastAsia" w:ascii="宋体" w:hAnsi="宋体" w:cs="宋体"/>
          <w:color w:val="000000"/>
          <w:szCs w:val="21"/>
          <w:u w:val="single"/>
        </w:rPr>
        <w:t xml:space="preserve">                  （盖章</w:t>
      </w:r>
      <w:r>
        <w:rPr>
          <w:rFonts w:hint="eastAsia" w:ascii="宋体" w:hAnsi="宋体" w:cs="宋体"/>
          <w:color w:val="000000"/>
          <w:szCs w:val="21"/>
          <w:u w:val="single"/>
          <w:lang w:eastAsia="zh-CN"/>
        </w:rPr>
        <w:t>或</w:t>
      </w:r>
      <w:r>
        <w:rPr>
          <w:rFonts w:hint="eastAsia" w:ascii="宋体" w:hAnsi="宋体" w:cs="宋体"/>
          <w:color w:val="000000"/>
          <w:szCs w:val="21"/>
          <w:u w:val="single"/>
        </w:rPr>
        <w:t>签字）</w:t>
      </w:r>
    </w:p>
    <w:p w14:paraId="71BC7227">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b w:val="0"/>
          <w:bCs w:val="0"/>
          <w:color w:val="000000"/>
          <w:sz w:val="21"/>
          <w:szCs w:val="21"/>
          <w:lang w:eastAsia="zh-CN"/>
        </w:rPr>
      </w:pPr>
      <w:r>
        <w:rPr>
          <w:rFonts w:hint="eastAsia" w:ascii="宋体" w:hAnsi="宋体" w:eastAsia="宋体" w:cs="宋体"/>
          <w:b w:val="0"/>
          <w:bCs w:val="0"/>
          <w:color w:val="000000"/>
          <w:sz w:val="21"/>
          <w:szCs w:val="21"/>
        </w:rPr>
        <w:t>日期：</w:t>
      </w:r>
      <w:r>
        <w:rPr>
          <w:rFonts w:hint="eastAsia" w:ascii="宋体" w:hAnsi="宋体" w:eastAsia="宋体" w:cs="宋体"/>
          <w:b w:val="0"/>
          <w:bCs w:val="0"/>
          <w:color w:val="000000"/>
          <w:sz w:val="21"/>
          <w:szCs w:val="21"/>
          <w:u w:val="single"/>
        </w:rPr>
        <w:t xml:space="preserve">   </w:t>
      </w:r>
      <w:r>
        <w:rPr>
          <w:rFonts w:hint="eastAsia" w:ascii="宋体" w:hAnsi="宋体" w:eastAsia="宋体" w:cs="宋体"/>
          <w:b w:val="0"/>
          <w:bCs w:val="0"/>
          <w:color w:val="000000"/>
          <w:sz w:val="21"/>
          <w:szCs w:val="21"/>
          <w:u w:val="single"/>
          <w:lang w:val="en-US" w:eastAsia="zh-CN"/>
        </w:rPr>
        <w:t xml:space="preserve">  </w:t>
      </w:r>
      <w:r>
        <w:rPr>
          <w:rFonts w:hint="eastAsia" w:ascii="宋体" w:hAnsi="宋体" w:eastAsia="宋体" w:cs="宋体"/>
          <w:b w:val="0"/>
          <w:bCs w:val="0"/>
          <w:color w:val="000000"/>
          <w:sz w:val="21"/>
          <w:szCs w:val="21"/>
          <w:u w:val="single"/>
        </w:rPr>
        <w:t xml:space="preserve">  </w:t>
      </w:r>
      <w:r>
        <w:rPr>
          <w:rFonts w:hint="eastAsia" w:ascii="宋体" w:hAnsi="宋体" w:eastAsia="宋体" w:cs="宋体"/>
          <w:b w:val="0"/>
          <w:bCs w:val="0"/>
          <w:color w:val="000000"/>
          <w:sz w:val="21"/>
          <w:szCs w:val="21"/>
        </w:rPr>
        <w:t>年</w:t>
      </w:r>
      <w:r>
        <w:rPr>
          <w:rFonts w:hint="eastAsia" w:ascii="宋体" w:hAnsi="宋体" w:eastAsia="宋体" w:cs="宋体"/>
          <w:b w:val="0"/>
          <w:bCs w:val="0"/>
          <w:color w:val="000000"/>
          <w:sz w:val="21"/>
          <w:szCs w:val="21"/>
          <w:u w:val="single"/>
        </w:rPr>
        <w:t xml:space="preserve">      </w:t>
      </w:r>
      <w:r>
        <w:rPr>
          <w:rFonts w:hint="eastAsia" w:ascii="宋体" w:hAnsi="宋体" w:eastAsia="宋体" w:cs="宋体"/>
          <w:b w:val="0"/>
          <w:bCs w:val="0"/>
          <w:color w:val="000000"/>
          <w:sz w:val="21"/>
          <w:szCs w:val="21"/>
        </w:rPr>
        <w:t>月</w:t>
      </w:r>
      <w:r>
        <w:rPr>
          <w:rFonts w:hint="eastAsia" w:ascii="宋体" w:hAnsi="宋体" w:eastAsia="宋体" w:cs="宋体"/>
          <w:b w:val="0"/>
          <w:bCs w:val="0"/>
          <w:color w:val="000000"/>
          <w:sz w:val="21"/>
          <w:szCs w:val="21"/>
          <w:u w:val="single"/>
        </w:rPr>
        <w:t xml:space="preserve">    </w:t>
      </w:r>
      <w:r>
        <w:rPr>
          <w:rFonts w:hint="eastAsia" w:ascii="宋体" w:hAnsi="宋体" w:eastAsia="宋体" w:cs="宋体"/>
          <w:b w:val="0"/>
          <w:bCs w:val="0"/>
          <w:color w:val="000000"/>
          <w:sz w:val="21"/>
          <w:szCs w:val="21"/>
        </w:rPr>
        <w:t>日</w:t>
      </w:r>
    </w:p>
    <w:p w14:paraId="7DE8A0E4">
      <w:pPr>
        <w:pStyle w:val="2"/>
        <w:spacing w:line="360" w:lineRule="auto"/>
        <w:ind w:left="0" w:leftChars="0" w:firstLine="420" w:firstLineChars="200"/>
        <w:rPr>
          <w:rFonts w:hint="eastAsia" w:ascii="宋体" w:hAnsi="宋体" w:eastAsia="宋体" w:cs="宋体"/>
          <w:b w:val="0"/>
          <w:bCs w:val="0"/>
          <w:color w:val="000000"/>
          <w:sz w:val="21"/>
          <w:szCs w:val="21"/>
          <w:lang w:eastAsia="zh-CN"/>
        </w:rPr>
        <w:sectPr>
          <w:pgSz w:w="11906" w:h="16838"/>
          <w:pgMar w:top="1440" w:right="1474" w:bottom="1440" w:left="1588" w:header="851" w:footer="992" w:gutter="0"/>
          <w:pgNumType w:fmt="decimal"/>
          <w:cols w:space="720" w:num="1"/>
          <w:docGrid w:type="lines" w:linePitch="312" w:charSpace="0"/>
        </w:sectPr>
      </w:pPr>
    </w:p>
    <w:p w14:paraId="010BA203">
      <w:pPr>
        <w:spacing w:line="360" w:lineRule="auto"/>
        <w:jc w:val="center"/>
        <w:outlineLvl w:val="1"/>
        <w:rPr>
          <w:rFonts w:hint="eastAsia" w:ascii="宋体" w:hAnsi="宋体" w:eastAsia="宋体" w:cs="宋体"/>
          <w:b/>
          <w:bCs/>
          <w:color w:val="000000"/>
          <w:sz w:val="32"/>
          <w:szCs w:val="32"/>
          <w:lang w:eastAsia="zh-CN"/>
        </w:rPr>
      </w:pPr>
      <w:r>
        <w:rPr>
          <w:rFonts w:hint="eastAsia" w:ascii="宋体" w:hAnsi="宋体" w:eastAsia="宋体" w:cs="宋体"/>
          <w:b/>
          <w:bCs/>
          <w:color w:val="000000"/>
          <w:sz w:val="32"/>
          <w:szCs w:val="32"/>
          <w:lang w:eastAsia="zh-CN"/>
        </w:rPr>
        <w:t>六、服务能力证明材料</w:t>
      </w:r>
      <w:bookmarkEnd w:id="56"/>
    </w:p>
    <w:p w14:paraId="6D39B7D8">
      <w:pPr>
        <w:pStyle w:val="2"/>
        <w:outlineLvl w:val="9"/>
        <w:rPr>
          <w:rFonts w:hint="eastAsia" w:ascii="宋体" w:hAnsi="宋体" w:eastAsia="宋体" w:cs="宋体"/>
          <w:b/>
          <w:bCs/>
          <w:color w:val="000000"/>
          <w:sz w:val="32"/>
          <w:szCs w:val="32"/>
          <w:lang w:eastAsia="zh-CN"/>
        </w:rPr>
      </w:pPr>
    </w:p>
    <w:p w14:paraId="69C37181">
      <w:pPr>
        <w:numPr>
          <w:ilvl w:val="0"/>
          <w:numId w:val="5"/>
        </w:numPr>
        <w:autoSpaceDE w:val="0"/>
        <w:autoSpaceDN w:val="0"/>
        <w:adjustRightInd w:val="0"/>
        <w:snapToGrid w:val="0"/>
        <w:spacing w:line="360" w:lineRule="auto"/>
        <w:ind w:left="0" w:leftChars="0" w:firstLine="840" w:firstLineChars="300"/>
        <w:outlineLvl w:val="9"/>
        <w:rPr>
          <w:rFonts w:hint="eastAsia" w:ascii="宋体" w:hAnsi="宋体" w:cs="宋体"/>
          <w:color w:val="000000"/>
          <w:kern w:val="0"/>
          <w:sz w:val="28"/>
          <w:szCs w:val="28"/>
          <w:lang w:val="en-US" w:eastAsia="zh-CN"/>
        </w:rPr>
      </w:pPr>
      <w:r>
        <w:rPr>
          <w:rFonts w:hint="eastAsia" w:ascii="宋体" w:hAnsi="宋体" w:cs="宋体"/>
          <w:color w:val="000000"/>
          <w:kern w:val="0"/>
          <w:sz w:val="28"/>
          <w:szCs w:val="28"/>
          <w:lang w:val="en-US" w:eastAsia="zh-CN"/>
        </w:rPr>
        <w:t>市县机构设置</w:t>
      </w:r>
    </w:p>
    <w:p w14:paraId="10B61335">
      <w:pPr>
        <w:pStyle w:val="2"/>
        <w:numPr>
          <w:ilvl w:val="0"/>
          <w:numId w:val="5"/>
        </w:numPr>
        <w:ind w:left="0" w:leftChars="0" w:firstLine="840" w:firstLineChars="300"/>
        <w:outlineLvl w:val="9"/>
        <w:rPr>
          <w:rFonts w:hint="eastAsia"/>
          <w:sz w:val="28"/>
          <w:szCs w:val="28"/>
          <w:lang w:val="en-US" w:eastAsia="zh-CN"/>
        </w:rPr>
      </w:pPr>
      <w:r>
        <w:rPr>
          <w:rFonts w:hint="eastAsia"/>
          <w:sz w:val="28"/>
          <w:szCs w:val="28"/>
          <w:lang w:val="en-US" w:eastAsia="zh-CN"/>
        </w:rPr>
        <w:t>基层服务体系</w:t>
      </w:r>
    </w:p>
    <w:p w14:paraId="5F9DB0B5">
      <w:pPr>
        <w:pStyle w:val="2"/>
        <w:numPr>
          <w:ilvl w:val="0"/>
          <w:numId w:val="5"/>
        </w:numPr>
        <w:ind w:left="0" w:leftChars="0" w:firstLine="840" w:firstLineChars="300"/>
        <w:outlineLvl w:val="9"/>
        <w:rPr>
          <w:rFonts w:hint="eastAsia"/>
          <w:sz w:val="28"/>
          <w:szCs w:val="28"/>
          <w:lang w:val="en-US" w:eastAsia="zh-CN"/>
        </w:rPr>
      </w:pPr>
      <w:r>
        <w:rPr>
          <w:rFonts w:hint="eastAsia"/>
          <w:sz w:val="28"/>
          <w:szCs w:val="28"/>
          <w:lang w:val="en-US" w:eastAsia="zh-CN"/>
        </w:rPr>
        <w:t>正式人员配备</w:t>
      </w:r>
    </w:p>
    <w:p w14:paraId="32400EDC">
      <w:pPr>
        <w:pStyle w:val="2"/>
        <w:numPr>
          <w:ilvl w:val="0"/>
          <w:numId w:val="5"/>
        </w:numPr>
        <w:ind w:left="0" w:leftChars="0" w:firstLine="840" w:firstLineChars="300"/>
        <w:outlineLvl w:val="9"/>
        <w:rPr>
          <w:rFonts w:hint="eastAsia"/>
          <w:sz w:val="28"/>
          <w:szCs w:val="28"/>
          <w:lang w:val="en-US" w:eastAsia="zh-CN"/>
        </w:rPr>
      </w:pPr>
      <w:r>
        <w:rPr>
          <w:rFonts w:hint="eastAsia"/>
          <w:sz w:val="28"/>
          <w:szCs w:val="28"/>
          <w:lang w:val="en-US" w:eastAsia="zh-CN"/>
        </w:rPr>
        <w:t>兼职人员配备</w:t>
      </w:r>
    </w:p>
    <w:p w14:paraId="3C3F0D7F">
      <w:pPr>
        <w:pStyle w:val="2"/>
        <w:numPr>
          <w:ilvl w:val="0"/>
          <w:numId w:val="5"/>
        </w:numPr>
        <w:ind w:left="0" w:leftChars="0" w:firstLine="840" w:firstLineChars="300"/>
        <w:outlineLvl w:val="9"/>
        <w:rPr>
          <w:rFonts w:hint="eastAsia"/>
          <w:sz w:val="28"/>
          <w:szCs w:val="28"/>
          <w:lang w:val="en-US" w:eastAsia="zh-CN"/>
        </w:rPr>
      </w:pPr>
      <w:r>
        <w:rPr>
          <w:rFonts w:hint="eastAsia"/>
          <w:sz w:val="28"/>
          <w:szCs w:val="28"/>
          <w:lang w:val="en-US" w:eastAsia="zh-CN"/>
        </w:rPr>
        <w:t>车辆配备</w:t>
      </w:r>
    </w:p>
    <w:p w14:paraId="13DE0B00">
      <w:pPr>
        <w:pStyle w:val="2"/>
        <w:numPr>
          <w:ilvl w:val="0"/>
          <w:numId w:val="5"/>
        </w:numPr>
        <w:ind w:left="0" w:leftChars="0" w:firstLine="840" w:firstLineChars="300"/>
        <w:outlineLvl w:val="9"/>
        <w:rPr>
          <w:rFonts w:hint="eastAsia"/>
          <w:sz w:val="28"/>
          <w:szCs w:val="28"/>
          <w:lang w:val="en-US" w:eastAsia="zh-CN"/>
        </w:rPr>
      </w:pPr>
      <w:r>
        <w:rPr>
          <w:rFonts w:hint="eastAsia"/>
          <w:sz w:val="28"/>
          <w:szCs w:val="28"/>
          <w:lang w:val="en-US" w:eastAsia="zh-CN"/>
        </w:rPr>
        <w:t>信息化水平</w:t>
      </w:r>
    </w:p>
    <w:p w14:paraId="78EB6B76">
      <w:pPr>
        <w:pStyle w:val="2"/>
        <w:widowControl w:val="0"/>
        <w:numPr>
          <w:ilvl w:val="0"/>
          <w:numId w:val="0"/>
        </w:numPr>
        <w:spacing w:after="120"/>
        <w:jc w:val="both"/>
        <w:outlineLvl w:val="9"/>
        <w:rPr>
          <w:rFonts w:hint="eastAsia"/>
          <w:lang w:val="en-US" w:eastAsia="zh-CN"/>
        </w:rPr>
      </w:pPr>
    </w:p>
    <w:p w14:paraId="337AFE49">
      <w:pPr>
        <w:spacing w:line="360" w:lineRule="auto"/>
        <w:outlineLvl w:val="9"/>
        <w:rPr>
          <w:rFonts w:hint="eastAsia" w:ascii="宋体" w:hAnsi="宋体" w:eastAsia="宋体" w:cs="宋体"/>
          <w:b/>
          <w:bCs/>
          <w:color w:val="000000"/>
          <w:spacing w:val="14"/>
          <w:kern w:val="0"/>
          <w:sz w:val="24"/>
          <w:lang w:eastAsia="zh-CN"/>
        </w:rPr>
      </w:pPr>
      <w:r>
        <w:rPr>
          <w:rFonts w:hint="eastAsia" w:ascii="宋体" w:hAnsi="宋体" w:cs="宋体"/>
          <w:b/>
          <w:bCs/>
          <w:color w:val="000000"/>
          <w:szCs w:val="21"/>
        </w:rPr>
        <w:t>注：</w:t>
      </w:r>
      <w:r>
        <w:rPr>
          <w:rFonts w:hint="eastAsia" w:ascii="宋体" w:hAnsi="宋体" w:cs="宋体"/>
          <w:b/>
          <w:bCs/>
          <w:color w:val="000000"/>
          <w:szCs w:val="21"/>
          <w:lang w:eastAsia="zh-CN"/>
        </w:rPr>
        <w:t>格式自拟，根据评审标准提供相应材料。</w:t>
      </w:r>
    </w:p>
    <w:p w14:paraId="4689CCA5">
      <w:pPr>
        <w:spacing w:line="360" w:lineRule="auto"/>
        <w:ind w:left="807" w:hanging="807" w:hangingChars="300"/>
        <w:outlineLvl w:val="9"/>
        <w:rPr>
          <w:rFonts w:hint="eastAsia" w:ascii="宋体" w:hAnsi="宋体" w:cs="宋体"/>
          <w:b/>
          <w:bCs/>
          <w:color w:val="000000"/>
          <w:spacing w:val="14"/>
          <w:kern w:val="0"/>
          <w:sz w:val="24"/>
        </w:rPr>
        <w:sectPr>
          <w:pgSz w:w="11906" w:h="16838"/>
          <w:pgMar w:top="1440" w:right="1474" w:bottom="1440" w:left="1588" w:header="851" w:footer="992" w:gutter="0"/>
          <w:pgNumType w:fmt="decimal"/>
          <w:cols w:space="720" w:num="1"/>
          <w:docGrid w:type="lines" w:linePitch="312" w:charSpace="0"/>
        </w:sectPr>
      </w:pPr>
    </w:p>
    <w:p w14:paraId="26C014AE">
      <w:pPr>
        <w:spacing w:line="360" w:lineRule="auto"/>
        <w:jc w:val="center"/>
        <w:outlineLvl w:val="1"/>
        <w:rPr>
          <w:rFonts w:hint="eastAsia" w:ascii="宋体" w:hAnsi="宋体" w:eastAsia="宋体" w:cs="宋体"/>
          <w:b/>
          <w:bCs/>
          <w:color w:val="000000"/>
          <w:sz w:val="32"/>
          <w:szCs w:val="32"/>
          <w:lang w:eastAsia="zh-CN"/>
        </w:rPr>
      </w:pPr>
      <w:bookmarkStart w:id="57" w:name="_Toc19246"/>
      <w:r>
        <w:rPr>
          <w:rFonts w:hint="eastAsia" w:ascii="宋体" w:hAnsi="宋体" w:cs="宋体"/>
          <w:b/>
          <w:bCs/>
          <w:color w:val="000000"/>
          <w:sz w:val="32"/>
          <w:szCs w:val="32"/>
          <w:lang w:eastAsia="zh-CN"/>
        </w:rPr>
        <w:t>七、服务业绩</w:t>
      </w:r>
      <w:r>
        <w:rPr>
          <w:rFonts w:hint="eastAsia" w:ascii="宋体" w:hAnsi="宋体" w:eastAsia="宋体" w:cs="宋体"/>
          <w:b/>
          <w:bCs/>
          <w:color w:val="000000"/>
          <w:sz w:val="32"/>
          <w:szCs w:val="32"/>
          <w:lang w:eastAsia="zh-CN"/>
        </w:rPr>
        <w:t>证明材料</w:t>
      </w:r>
      <w:bookmarkEnd w:id="57"/>
    </w:p>
    <w:p w14:paraId="2F75BEAF">
      <w:pPr>
        <w:spacing w:line="360" w:lineRule="auto"/>
        <w:outlineLvl w:val="9"/>
        <w:rPr>
          <w:rFonts w:hint="eastAsia" w:ascii="宋体" w:hAnsi="宋体" w:cs="宋体"/>
          <w:color w:val="000000"/>
          <w:sz w:val="28"/>
          <w:szCs w:val="28"/>
        </w:rPr>
      </w:pPr>
    </w:p>
    <w:p w14:paraId="48E120E3">
      <w:pPr>
        <w:pStyle w:val="2"/>
        <w:numPr>
          <w:ilvl w:val="0"/>
          <w:numId w:val="6"/>
        </w:numPr>
        <w:outlineLvl w:val="9"/>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历史理赔情况</w:t>
      </w:r>
    </w:p>
    <w:p w14:paraId="4E497295">
      <w:pPr>
        <w:pStyle w:val="2"/>
        <w:numPr>
          <w:ilvl w:val="0"/>
          <w:numId w:val="6"/>
        </w:numPr>
        <w:outlineLvl w:val="9"/>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历史业绩</w:t>
      </w:r>
    </w:p>
    <w:p w14:paraId="5DF74754">
      <w:pPr>
        <w:pStyle w:val="2"/>
        <w:numPr>
          <w:ilvl w:val="0"/>
          <w:numId w:val="6"/>
        </w:numPr>
        <w:outlineLvl w:val="9"/>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表彰及试点</w:t>
      </w:r>
    </w:p>
    <w:p w14:paraId="5B487D19">
      <w:pPr>
        <w:pStyle w:val="2"/>
        <w:outlineLvl w:val="9"/>
        <w:rPr>
          <w:rFonts w:hint="eastAsia" w:ascii="宋体" w:hAnsi="宋体" w:cs="宋体"/>
          <w:color w:val="000000"/>
        </w:rPr>
      </w:pPr>
    </w:p>
    <w:p w14:paraId="22DFD046">
      <w:pPr>
        <w:pStyle w:val="2"/>
        <w:outlineLvl w:val="9"/>
        <w:rPr>
          <w:rFonts w:hint="eastAsia" w:ascii="宋体" w:hAnsi="宋体" w:cs="宋体"/>
          <w:color w:val="000000"/>
        </w:rPr>
      </w:pPr>
    </w:p>
    <w:p w14:paraId="4BE6703B">
      <w:pPr>
        <w:spacing w:line="360" w:lineRule="auto"/>
        <w:outlineLvl w:val="9"/>
        <w:rPr>
          <w:rFonts w:hint="eastAsia" w:ascii="宋体" w:hAnsi="宋体" w:cs="宋体"/>
          <w:b/>
          <w:bCs/>
          <w:color w:val="000000"/>
          <w:spacing w:val="14"/>
          <w:kern w:val="0"/>
          <w:sz w:val="24"/>
        </w:rPr>
      </w:pPr>
      <w:r>
        <w:rPr>
          <w:rFonts w:hint="eastAsia" w:ascii="宋体" w:hAnsi="宋体" w:cs="宋体"/>
          <w:b/>
          <w:bCs/>
          <w:color w:val="000000"/>
          <w:szCs w:val="21"/>
        </w:rPr>
        <w:t>注：</w:t>
      </w:r>
      <w:r>
        <w:rPr>
          <w:rFonts w:hint="eastAsia" w:ascii="宋体" w:hAnsi="宋体" w:cs="宋体"/>
          <w:b/>
          <w:bCs/>
          <w:color w:val="000000"/>
          <w:szCs w:val="21"/>
          <w:lang w:eastAsia="zh-CN"/>
        </w:rPr>
        <w:t>格式自拟，根据评审标准提供相应材料。</w:t>
      </w:r>
    </w:p>
    <w:p w14:paraId="3E0EA7DB">
      <w:pPr>
        <w:spacing w:line="480" w:lineRule="exact"/>
        <w:outlineLvl w:val="9"/>
        <w:rPr>
          <w:rFonts w:hint="eastAsia" w:ascii="宋体" w:hAnsi="宋体" w:cs="宋体"/>
          <w:b/>
          <w:bCs/>
          <w:color w:val="000000"/>
          <w:sz w:val="24"/>
        </w:rPr>
        <w:sectPr>
          <w:pgSz w:w="11906" w:h="16838"/>
          <w:pgMar w:top="1440" w:right="1474" w:bottom="1440" w:left="1588" w:header="851" w:footer="992" w:gutter="0"/>
          <w:pgNumType w:fmt="decimal"/>
          <w:cols w:space="720" w:num="1"/>
          <w:docGrid w:type="lines" w:linePitch="312" w:charSpace="0"/>
        </w:sectPr>
      </w:pPr>
    </w:p>
    <w:p w14:paraId="7A60C161">
      <w:pPr>
        <w:spacing w:line="360" w:lineRule="auto"/>
        <w:jc w:val="center"/>
        <w:outlineLvl w:val="1"/>
        <w:rPr>
          <w:rFonts w:hint="eastAsia" w:ascii="宋体" w:hAnsi="宋体" w:eastAsia="宋体" w:cs="宋体"/>
          <w:b/>
          <w:bCs/>
          <w:color w:val="000000"/>
          <w:sz w:val="32"/>
          <w:szCs w:val="32"/>
          <w:lang w:eastAsia="zh-CN"/>
        </w:rPr>
      </w:pPr>
      <w:bookmarkStart w:id="58" w:name="_Toc27630"/>
      <w:r>
        <w:rPr>
          <w:rFonts w:hint="eastAsia" w:ascii="宋体" w:hAnsi="宋体" w:eastAsia="宋体" w:cs="宋体"/>
          <w:b/>
          <w:bCs/>
          <w:color w:val="000000"/>
          <w:sz w:val="32"/>
          <w:szCs w:val="32"/>
          <w:lang w:eastAsia="zh-CN"/>
        </w:rPr>
        <w:t>八、合规经营及风险管控能力证明材料</w:t>
      </w:r>
      <w:bookmarkEnd w:id="58"/>
    </w:p>
    <w:p w14:paraId="71FE6F46">
      <w:pPr>
        <w:pStyle w:val="2"/>
        <w:outlineLvl w:val="9"/>
        <w:rPr>
          <w:rFonts w:hint="eastAsia"/>
          <w:lang w:eastAsia="zh-CN"/>
        </w:rPr>
      </w:pPr>
    </w:p>
    <w:p w14:paraId="5D92B801">
      <w:pPr>
        <w:numPr>
          <w:ilvl w:val="0"/>
          <w:numId w:val="7"/>
        </w:numPr>
        <w:spacing w:line="480" w:lineRule="exact"/>
        <w:ind w:left="1058" w:leftChars="504" w:firstLine="0" w:firstLineChars="0"/>
        <w:outlineLvl w:val="9"/>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综合费用率</w:t>
      </w:r>
    </w:p>
    <w:p w14:paraId="58472DA7">
      <w:pPr>
        <w:pStyle w:val="2"/>
        <w:numPr>
          <w:ilvl w:val="0"/>
          <w:numId w:val="7"/>
        </w:numPr>
        <w:ind w:left="1058" w:leftChars="504" w:firstLine="0" w:firstLineChars="0"/>
        <w:outlineLvl w:val="9"/>
        <w:rPr>
          <w:rFonts w:hint="eastAsia"/>
          <w:sz w:val="28"/>
          <w:szCs w:val="28"/>
          <w:lang w:val="en-US" w:eastAsia="zh-CN"/>
        </w:rPr>
      </w:pPr>
      <w:r>
        <w:rPr>
          <w:rFonts w:hint="eastAsia"/>
          <w:sz w:val="28"/>
          <w:szCs w:val="28"/>
          <w:lang w:val="en-US" w:eastAsia="zh-CN"/>
        </w:rPr>
        <w:t>监管检查及处罚</w:t>
      </w:r>
    </w:p>
    <w:p w14:paraId="059C37AC">
      <w:pPr>
        <w:pStyle w:val="2"/>
        <w:numPr>
          <w:ilvl w:val="0"/>
          <w:numId w:val="7"/>
        </w:numPr>
        <w:ind w:left="1058" w:leftChars="504" w:firstLine="0" w:firstLineChars="0"/>
        <w:outlineLvl w:val="9"/>
        <w:rPr>
          <w:rFonts w:hint="eastAsia"/>
          <w:sz w:val="28"/>
          <w:szCs w:val="28"/>
          <w:lang w:val="en-US" w:eastAsia="zh-CN"/>
        </w:rPr>
      </w:pPr>
      <w:r>
        <w:rPr>
          <w:rFonts w:hint="eastAsia" w:ascii="宋体" w:hAnsi="宋体" w:eastAsia="宋体" w:cs="宋体"/>
          <w:color w:val="000000"/>
          <w:sz w:val="28"/>
          <w:szCs w:val="28"/>
          <w:lang w:eastAsia="zh-CN"/>
        </w:rPr>
        <w:t>亿元保费投诉量</w:t>
      </w:r>
    </w:p>
    <w:p w14:paraId="5C18B813">
      <w:pPr>
        <w:pStyle w:val="2"/>
        <w:numPr>
          <w:ilvl w:val="0"/>
          <w:numId w:val="7"/>
        </w:numPr>
        <w:ind w:left="1058" w:leftChars="504" w:firstLine="0" w:firstLineChars="0"/>
        <w:outlineLvl w:val="9"/>
        <w:rPr>
          <w:rFonts w:hint="eastAsia"/>
          <w:sz w:val="28"/>
          <w:szCs w:val="28"/>
          <w:lang w:val="en-US" w:eastAsia="zh-CN"/>
        </w:rPr>
      </w:pPr>
      <w:r>
        <w:rPr>
          <w:rFonts w:hint="eastAsia" w:ascii="宋体" w:hAnsi="宋体" w:eastAsia="宋体" w:cs="宋体"/>
          <w:color w:val="000000"/>
          <w:sz w:val="28"/>
          <w:szCs w:val="28"/>
          <w:lang w:eastAsia="zh-CN"/>
        </w:rPr>
        <w:t>偿付能力充足率</w:t>
      </w:r>
    </w:p>
    <w:p w14:paraId="7A7B6542">
      <w:pPr>
        <w:pStyle w:val="2"/>
        <w:numPr>
          <w:ilvl w:val="0"/>
          <w:numId w:val="7"/>
        </w:numPr>
        <w:ind w:left="1058" w:leftChars="504" w:firstLine="0" w:firstLineChars="0"/>
        <w:outlineLvl w:val="9"/>
        <w:rPr>
          <w:rFonts w:hint="eastAsia"/>
          <w:sz w:val="28"/>
          <w:szCs w:val="28"/>
          <w:lang w:val="en-US" w:eastAsia="zh-CN"/>
        </w:rPr>
      </w:pPr>
      <w:r>
        <w:rPr>
          <w:rFonts w:hint="eastAsia" w:ascii="宋体" w:hAnsi="宋体" w:eastAsia="宋体" w:cs="宋体"/>
          <w:color w:val="000000"/>
          <w:sz w:val="28"/>
          <w:szCs w:val="28"/>
          <w:lang w:eastAsia="zh-CN"/>
        </w:rPr>
        <w:t>风险综合评级</w:t>
      </w:r>
    </w:p>
    <w:p w14:paraId="1F4AE14C">
      <w:pPr>
        <w:pStyle w:val="2"/>
        <w:numPr>
          <w:ilvl w:val="0"/>
          <w:numId w:val="7"/>
        </w:numPr>
        <w:ind w:left="1058" w:leftChars="504" w:firstLine="0" w:firstLineChars="0"/>
        <w:outlineLvl w:val="9"/>
        <w:rPr>
          <w:rFonts w:hint="eastAsia"/>
          <w:sz w:val="28"/>
          <w:szCs w:val="28"/>
          <w:lang w:val="en-US" w:eastAsia="zh-CN"/>
        </w:rPr>
      </w:pPr>
      <w:r>
        <w:rPr>
          <w:rFonts w:hint="eastAsia" w:ascii="宋体" w:hAnsi="宋体" w:eastAsia="宋体" w:cs="宋体"/>
          <w:color w:val="000000"/>
          <w:sz w:val="28"/>
          <w:szCs w:val="28"/>
          <w:lang w:eastAsia="zh-CN"/>
        </w:rPr>
        <w:t>大灾准备金</w:t>
      </w:r>
    </w:p>
    <w:p w14:paraId="6F3A0FF2">
      <w:pPr>
        <w:pStyle w:val="2"/>
        <w:numPr>
          <w:ilvl w:val="0"/>
          <w:numId w:val="7"/>
        </w:numPr>
        <w:ind w:left="1058" w:leftChars="504" w:firstLine="0" w:firstLineChars="0"/>
        <w:outlineLvl w:val="9"/>
        <w:rPr>
          <w:rFonts w:hint="eastAsia"/>
          <w:sz w:val="28"/>
          <w:szCs w:val="28"/>
          <w:lang w:val="en-US" w:eastAsia="zh-CN"/>
        </w:rPr>
      </w:pPr>
      <w:r>
        <w:rPr>
          <w:rFonts w:hint="eastAsia" w:ascii="宋体" w:hAnsi="宋体" w:eastAsia="宋体" w:cs="宋体"/>
          <w:color w:val="000000"/>
          <w:sz w:val="28"/>
          <w:szCs w:val="28"/>
          <w:lang w:eastAsia="zh-CN"/>
        </w:rPr>
        <w:t>管理制度</w:t>
      </w:r>
    </w:p>
    <w:p w14:paraId="0B5D19DE">
      <w:pPr>
        <w:pStyle w:val="2"/>
        <w:widowControl w:val="0"/>
        <w:numPr>
          <w:ilvl w:val="0"/>
          <w:numId w:val="0"/>
        </w:numPr>
        <w:spacing w:after="120"/>
        <w:jc w:val="both"/>
        <w:outlineLvl w:val="9"/>
        <w:rPr>
          <w:rFonts w:hint="eastAsia" w:ascii="宋体" w:hAnsi="宋体" w:eastAsia="宋体" w:cs="宋体"/>
          <w:color w:val="000000"/>
          <w:sz w:val="21"/>
          <w:szCs w:val="21"/>
          <w:lang w:eastAsia="zh-CN"/>
        </w:rPr>
      </w:pPr>
    </w:p>
    <w:p w14:paraId="71665775">
      <w:pPr>
        <w:pStyle w:val="2"/>
        <w:widowControl w:val="0"/>
        <w:numPr>
          <w:ilvl w:val="0"/>
          <w:numId w:val="0"/>
        </w:numPr>
        <w:spacing w:after="120"/>
        <w:jc w:val="both"/>
        <w:outlineLvl w:val="9"/>
        <w:rPr>
          <w:rFonts w:hint="eastAsia" w:ascii="宋体" w:hAnsi="宋体" w:eastAsia="宋体" w:cs="宋体"/>
          <w:color w:val="000000"/>
          <w:sz w:val="21"/>
          <w:szCs w:val="21"/>
          <w:lang w:val="en-US" w:eastAsia="zh-CN"/>
        </w:rPr>
      </w:pPr>
      <w:r>
        <w:rPr>
          <w:rFonts w:hint="eastAsia" w:ascii="宋体" w:hAnsi="宋体" w:cs="宋体"/>
          <w:b/>
          <w:bCs/>
          <w:color w:val="000000"/>
          <w:szCs w:val="21"/>
        </w:rPr>
        <w:t>注：</w:t>
      </w:r>
      <w:r>
        <w:rPr>
          <w:rFonts w:hint="eastAsia" w:ascii="宋体" w:hAnsi="宋体" w:cs="宋体"/>
          <w:b/>
          <w:bCs/>
          <w:color w:val="000000"/>
          <w:szCs w:val="21"/>
          <w:lang w:eastAsia="zh-CN"/>
        </w:rPr>
        <w:t>格式自拟，根据评审标准提供相应材料。</w:t>
      </w:r>
    </w:p>
    <w:bookmarkEnd w:id="53"/>
    <w:bookmarkEnd w:id="54"/>
    <w:p w14:paraId="6E6E80F1">
      <w:pPr>
        <w:spacing w:line="480" w:lineRule="exact"/>
        <w:jc w:val="center"/>
        <w:outlineLvl w:val="1"/>
        <w:rPr>
          <w:rFonts w:hint="eastAsia" w:ascii="宋体" w:hAnsi="宋体" w:eastAsia="宋体" w:cs="宋体"/>
          <w:b/>
          <w:bCs/>
          <w:color w:val="000000"/>
          <w:sz w:val="32"/>
          <w:szCs w:val="32"/>
          <w:lang w:eastAsia="zh-CN"/>
        </w:rPr>
      </w:pPr>
      <w:r>
        <w:rPr>
          <w:rFonts w:hint="eastAsia" w:ascii="宋体" w:hAnsi="宋体" w:cs="宋体"/>
          <w:b/>
          <w:bCs/>
          <w:color w:val="000000"/>
          <w:sz w:val="24"/>
        </w:rPr>
        <w:br w:type="page"/>
      </w:r>
      <w:bookmarkStart w:id="59" w:name="_Toc6405"/>
      <w:r>
        <w:rPr>
          <w:rFonts w:hint="eastAsia" w:ascii="宋体" w:hAnsi="宋体" w:eastAsia="宋体" w:cs="宋体"/>
          <w:b/>
          <w:bCs/>
          <w:color w:val="000000"/>
          <w:sz w:val="32"/>
          <w:szCs w:val="32"/>
          <w:lang w:eastAsia="zh-CN"/>
        </w:rPr>
        <w:t>九、县级指标证明材料</w:t>
      </w:r>
      <w:bookmarkEnd w:id="59"/>
    </w:p>
    <w:p w14:paraId="5ADABFCD">
      <w:pPr>
        <w:spacing w:line="360" w:lineRule="auto"/>
        <w:jc w:val="center"/>
        <w:outlineLvl w:val="9"/>
        <w:rPr>
          <w:rFonts w:hint="eastAsia" w:ascii="宋体" w:hAnsi="宋体" w:eastAsia="宋体" w:cs="宋体"/>
          <w:b/>
          <w:bCs/>
          <w:color w:val="000000"/>
          <w:sz w:val="32"/>
          <w:szCs w:val="32"/>
          <w:lang w:eastAsia="zh-CN"/>
        </w:rPr>
      </w:pPr>
    </w:p>
    <w:p w14:paraId="58DD3BEF">
      <w:pPr>
        <w:pStyle w:val="2"/>
        <w:numPr>
          <w:ilvl w:val="0"/>
          <w:numId w:val="8"/>
        </w:numPr>
        <w:ind w:left="654" w:leftChars="304" w:hanging="16" w:hangingChars="6"/>
        <w:outlineLvl w:val="9"/>
        <w:rPr>
          <w:rFonts w:hint="eastAsia" w:ascii="宋体" w:hAnsi="宋体" w:eastAsia="宋体" w:cs="宋体"/>
          <w:color w:val="000000"/>
          <w:sz w:val="28"/>
          <w:szCs w:val="28"/>
          <w:highlight w:val="none"/>
          <w:lang w:eastAsia="zh-CN"/>
        </w:rPr>
      </w:pPr>
      <w:r>
        <w:rPr>
          <w:rFonts w:hint="eastAsia" w:ascii="宋体" w:hAnsi="宋体" w:eastAsia="宋体" w:cs="宋体"/>
          <w:color w:val="000000"/>
          <w:sz w:val="28"/>
          <w:szCs w:val="28"/>
          <w:highlight w:val="none"/>
          <w:lang w:eastAsia="zh-CN"/>
        </w:rPr>
        <w:t>农业保险绩效评价</w:t>
      </w:r>
    </w:p>
    <w:p w14:paraId="30FE50BB">
      <w:pPr>
        <w:pStyle w:val="2"/>
        <w:numPr>
          <w:ilvl w:val="0"/>
          <w:numId w:val="8"/>
        </w:numPr>
        <w:ind w:left="654" w:leftChars="304" w:hanging="16" w:hangingChars="6"/>
        <w:outlineLvl w:val="9"/>
        <w:rPr>
          <w:rFonts w:hint="default" w:ascii="宋体" w:hAnsi="宋体" w:eastAsia="宋体" w:cs="宋体"/>
          <w:color w:val="000000"/>
          <w:sz w:val="28"/>
          <w:szCs w:val="28"/>
          <w:highlight w:val="none"/>
          <w:lang w:val="en-US" w:eastAsia="zh-CN"/>
        </w:rPr>
      </w:pPr>
      <w:r>
        <w:rPr>
          <w:rFonts w:hint="default" w:ascii="宋体" w:hAnsi="宋体" w:eastAsia="宋体" w:cs="宋体"/>
          <w:color w:val="000000"/>
          <w:sz w:val="28"/>
          <w:szCs w:val="28"/>
          <w:highlight w:val="none"/>
          <w:lang w:val="en-US" w:eastAsia="zh-CN"/>
        </w:rPr>
        <w:t>对县域经济的贡献程度</w:t>
      </w:r>
    </w:p>
    <w:p w14:paraId="4DA4535F">
      <w:pPr>
        <w:pStyle w:val="2"/>
        <w:numPr>
          <w:ilvl w:val="0"/>
          <w:numId w:val="8"/>
        </w:numPr>
        <w:ind w:left="654" w:leftChars="304" w:hanging="16" w:hangingChars="6"/>
        <w:outlineLvl w:val="9"/>
        <w:rPr>
          <w:rFonts w:hint="default" w:ascii="宋体" w:hAnsi="宋体" w:eastAsia="宋体" w:cs="宋体"/>
          <w:color w:val="000000"/>
          <w:sz w:val="28"/>
          <w:szCs w:val="28"/>
          <w:highlight w:val="none"/>
          <w:lang w:val="en-US" w:eastAsia="zh-CN"/>
        </w:rPr>
      </w:pPr>
      <w:r>
        <w:rPr>
          <w:rFonts w:hint="default" w:ascii="宋体" w:hAnsi="宋体" w:eastAsia="宋体" w:cs="宋体"/>
          <w:color w:val="000000"/>
          <w:sz w:val="28"/>
          <w:szCs w:val="28"/>
          <w:highlight w:val="none"/>
          <w:lang w:val="en-US" w:eastAsia="zh-CN"/>
        </w:rPr>
        <w:t>对乡村振兴工作的支持</w:t>
      </w:r>
    </w:p>
    <w:p w14:paraId="5B24488F">
      <w:pPr>
        <w:pStyle w:val="2"/>
        <w:outlineLvl w:val="9"/>
        <w:rPr>
          <w:rFonts w:hint="eastAsia" w:ascii="宋体" w:hAnsi="宋体" w:eastAsia="宋体" w:cs="宋体"/>
          <w:b/>
          <w:bCs/>
          <w:color w:val="000000"/>
          <w:sz w:val="32"/>
          <w:szCs w:val="32"/>
          <w:lang w:eastAsia="zh-CN"/>
        </w:rPr>
      </w:pPr>
    </w:p>
    <w:p w14:paraId="5552CEB7">
      <w:pPr>
        <w:pStyle w:val="2"/>
        <w:ind w:left="0" w:leftChars="0" w:firstLine="0" w:firstLineChars="0"/>
        <w:outlineLvl w:val="9"/>
        <w:rPr>
          <w:rFonts w:hint="eastAsia" w:ascii="宋体" w:hAnsi="宋体" w:eastAsia="宋体" w:cs="宋体"/>
          <w:b/>
          <w:bCs/>
          <w:color w:val="000000"/>
          <w:sz w:val="32"/>
          <w:szCs w:val="32"/>
          <w:lang w:eastAsia="zh-CN"/>
        </w:rPr>
        <w:sectPr>
          <w:footerReference r:id="rId9" w:type="default"/>
          <w:pgSz w:w="11906" w:h="16838"/>
          <w:pgMar w:top="1440" w:right="1474" w:bottom="1440" w:left="1588" w:header="851" w:footer="992" w:gutter="0"/>
          <w:pgNumType w:fmt="decimal"/>
          <w:cols w:space="720" w:num="1"/>
          <w:docGrid w:type="lines" w:linePitch="312" w:charSpace="0"/>
        </w:sectPr>
      </w:pPr>
      <w:r>
        <w:rPr>
          <w:rFonts w:hint="eastAsia" w:ascii="宋体" w:hAnsi="宋体" w:cs="宋体"/>
          <w:b/>
          <w:bCs/>
          <w:color w:val="000000"/>
          <w:szCs w:val="21"/>
        </w:rPr>
        <w:t>注：</w:t>
      </w:r>
      <w:r>
        <w:rPr>
          <w:rFonts w:hint="eastAsia" w:ascii="宋体" w:hAnsi="宋体" w:cs="宋体"/>
          <w:b/>
          <w:bCs/>
          <w:color w:val="000000"/>
          <w:szCs w:val="21"/>
          <w:lang w:eastAsia="zh-CN"/>
        </w:rPr>
        <w:t>格式自拟，根据评审标准提供相应材料。</w:t>
      </w:r>
    </w:p>
    <w:p w14:paraId="3AA6CB98">
      <w:pPr>
        <w:jc w:val="center"/>
        <w:outlineLvl w:val="1"/>
        <w:rPr>
          <w:rFonts w:hint="eastAsia" w:ascii="宋体" w:hAnsi="宋体" w:cs="宋体"/>
          <w:b/>
          <w:bCs/>
          <w:color w:val="000000"/>
          <w:sz w:val="32"/>
          <w:szCs w:val="32"/>
        </w:rPr>
      </w:pPr>
      <w:bookmarkStart w:id="60" w:name="_Toc29997"/>
      <w:r>
        <w:rPr>
          <w:rFonts w:hint="eastAsia" w:ascii="宋体" w:hAnsi="宋体" w:cs="宋体"/>
          <w:b/>
          <w:bCs/>
          <w:color w:val="000000"/>
          <w:sz w:val="32"/>
          <w:szCs w:val="32"/>
          <w:lang w:eastAsia="zh-CN"/>
        </w:rPr>
        <w:t>十、</w:t>
      </w:r>
      <w:r>
        <w:rPr>
          <w:rFonts w:hint="eastAsia" w:ascii="宋体" w:hAnsi="宋体" w:cs="宋体"/>
          <w:b/>
          <w:bCs/>
          <w:color w:val="000000"/>
          <w:sz w:val="32"/>
          <w:szCs w:val="32"/>
        </w:rPr>
        <w:t>承诺函</w:t>
      </w:r>
      <w:bookmarkEnd w:id="60"/>
    </w:p>
    <w:p w14:paraId="41595B34">
      <w:pPr>
        <w:outlineLvl w:val="9"/>
        <w:rPr>
          <w:rFonts w:hint="eastAsia" w:ascii="宋体" w:hAnsi="宋体" w:cs="宋体"/>
          <w:color w:val="000000"/>
          <w:sz w:val="30"/>
          <w:szCs w:val="30"/>
        </w:rPr>
      </w:pPr>
      <w:r>
        <w:rPr>
          <w:rFonts w:hint="eastAsia" w:ascii="宋体" w:hAnsi="宋体" w:cs="宋体"/>
          <w:color w:val="000000"/>
          <w:sz w:val="30"/>
          <w:szCs w:val="30"/>
        </w:rPr>
        <w:t xml:space="preserve">    </w:t>
      </w:r>
    </w:p>
    <w:p w14:paraId="205F6DAD">
      <w:pPr>
        <w:ind w:firstLine="105" w:firstLineChars="50"/>
        <w:outlineLvl w:val="9"/>
        <w:rPr>
          <w:rFonts w:hint="eastAsia" w:ascii="宋体" w:hAnsi="宋体" w:cs="宋体"/>
          <w:color w:val="000000"/>
          <w:szCs w:val="21"/>
          <w:u w:val="single"/>
        </w:rPr>
      </w:pPr>
      <w:r>
        <w:rPr>
          <w:rFonts w:hint="eastAsia" w:ascii="宋体" w:hAnsi="宋体" w:cs="宋体"/>
          <w:color w:val="000000"/>
          <w:szCs w:val="21"/>
          <w:u w:val="single"/>
        </w:rPr>
        <w:t xml:space="preserve">            （代理机构/遴选人）</w:t>
      </w:r>
      <w:r>
        <w:rPr>
          <w:rFonts w:hint="eastAsia" w:ascii="宋体" w:hAnsi="宋体" w:cs="宋体"/>
          <w:color w:val="000000"/>
          <w:szCs w:val="21"/>
        </w:rPr>
        <w:t>：</w:t>
      </w:r>
    </w:p>
    <w:p w14:paraId="4FC47EB1">
      <w:pPr>
        <w:outlineLvl w:val="9"/>
        <w:rPr>
          <w:rFonts w:hint="eastAsia" w:ascii="宋体" w:hAnsi="宋体" w:cs="宋体"/>
          <w:color w:val="000000"/>
          <w:szCs w:val="21"/>
        </w:rPr>
      </w:pPr>
    </w:p>
    <w:p w14:paraId="497571BE">
      <w:pPr>
        <w:spacing w:line="480" w:lineRule="exact"/>
        <w:ind w:firstLine="539"/>
        <w:outlineLvl w:val="9"/>
        <w:rPr>
          <w:rFonts w:hint="eastAsia" w:ascii="宋体" w:hAnsi="宋体" w:cs="宋体"/>
          <w:color w:val="000000"/>
          <w:szCs w:val="21"/>
        </w:rPr>
      </w:pPr>
      <w:r>
        <w:rPr>
          <w:rFonts w:hint="eastAsia" w:ascii="宋体" w:hAnsi="宋体" w:cs="宋体"/>
          <w:color w:val="000000"/>
          <w:szCs w:val="21"/>
        </w:rPr>
        <w:t>本单位参加</w:t>
      </w:r>
      <w:r>
        <w:rPr>
          <w:rFonts w:hint="eastAsia" w:ascii="宋体" w:hAnsi="宋体" w:cs="宋体"/>
          <w:color w:val="000000"/>
          <w:szCs w:val="21"/>
          <w:u w:val="single"/>
        </w:rPr>
        <w:t xml:space="preserve">                        </w:t>
      </w:r>
      <w:r>
        <w:rPr>
          <w:rFonts w:hint="eastAsia" w:ascii="宋体" w:hAnsi="宋体" w:cs="宋体"/>
          <w:color w:val="000000"/>
          <w:szCs w:val="21"/>
        </w:rPr>
        <w:t>组织的</w:t>
      </w:r>
      <w:r>
        <w:rPr>
          <w:rFonts w:hint="eastAsia" w:ascii="宋体" w:hAnsi="宋体" w:cs="宋体"/>
          <w:color w:val="000000"/>
          <w:szCs w:val="21"/>
          <w:u w:val="single"/>
        </w:rPr>
        <w:t xml:space="preserve">　           </w:t>
      </w:r>
      <w:r>
        <w:rPr>
          <w:rFonts w:hint="eastAsia" w:ascii="宋体" w:hAnsi="宋体" w:cs="宋体"/>
          <w:color w:val="000000"/>
          <w:szCs w:val="21"/>
        </w:rPr>
        <w:t>项目</w:t>
      </w:r>
      <w:r>
        <w:rPr>
          <w:rFonts w:hint="eastAsia" w:ascii="宋体" w:hAnsi="宋体" w:cs="宋体"/>
          <w:color w:val="000000"/>
          <w:szCs w:val="21"/>
          <w:u w:val="single"/>
        </w:rPr>
        <w:t xml:space="preserve">（代理编号        ） </w:t>
      </w:r>
      <w:r>
        <w:rPr>
          <w:rFonts w:hint="eastAsia" w:ascii="宋体" w:hAnsi="宋体" w:cs="宋体"/>
          <w:color w:val="000000"/>
          <w:szCs w:val="21"/>
        </w:rPr>
        <w:t>遴选，所递交的申请文件中电子文件与纸质文件内容一致、完整、真实。特此承诺。如有违反本承诺书内容的行为，愿意承担由此产生的责任及后果。</w:t>
      </w:r>
    </w:p>
    <w:p w14:paraId="316452F7">
      <w:pPr>
        <w:ind w:firstLine="540"/>
        <w:outlineLvl w:val="9"/>
        <w:rPr>
          <w:rFonts w:hint="eastAsia" w:ascii="宋体" w:hAnsi="宋体" w:cs="宋体"/>
          <w:color w:val="000000"/>
          <w:szCs w:val="21"/>
        </w:rPr>
      </w:pPr>
    </w:p>
    <w:p w14:paraId="25D7F3EA">
      <w:pPr>
        <w:ind w:firstLine="540"/>
        <w:outlineLvl w:val="9"/>
        <w:rPr>
          <w:rFonts w:hint="eastAsia" w:ascii="宋体" w:hAnsi="宋体" w:cs="宋体"/>
          <w:color w:val="000000"/>
          <w:szCs w:val="21"/>
        </w:rPr>
      </w:pPr>
      <w:r>
        <w:rPr>
          <w:rFonts w:hint="eastAsia" w:ascii="宋体" w:hAnsi="宋体" w:cs="宋体"/>
          <w:color w:val="000000"/>
          <w:szCs w:val="21"/>
        </w:rPr>
        <w:t>特此承诺。</w:t>
      </w:r>
    </w:p>
    <w:p w14:paraId="187D779D">
      <w:pPr>
        <w:outlineLvl w:val="9"/>
        <w:rPr>
          <w:rFonts w:hint="eastAsia" w:ascii="宋体" w:hAnsi="宋体" w:cs="宋体"/>
          <w:color w:val="000000"/>
          <w:szCs w:val="21"/>
        </w:rPr>
      </w:pPr>
    </w:p>
    <w:p w14:paraId="2F36ACAE">
      <w:pPr>
        <w:outlineLvl w:val="9"/>
        <w:rPr>
          <w:rFonts w:hint="eastAsia" w:ascii="宋体" w:hAnsi="宋体" w:cs="宋体"/>
          <w:color w:val="000000"/>
          <w:szCs w:val="21"/>
        </w:rPr>
      </w:pPr>
    </w:p>
    <w:p w14:paraId="0534AD1B">
      <w:pPr>
        <w:outlineLvl w:val="9"/>
        <w:rPr>
          <w:rFonts w:hint="eastAsia" w:ascii="宋体" w:hAnsi="宋体" w:cs="宋体"/>
          <w:color w:val="000000"/>
          <w:szCs w:val="21"/>
        </w:rPr>
      </w:pPr>
    </w:p>
    <w:p w14:paraId="6F68E832">
      <w:pPr>
        <w:outlineLvl w:val="9"/>
        <w:rPr>
          <w:rFonts w:hint="eastAsia" w:ascii="宋体" w:hAnsi="宋体" w:cs="宋体"/>
          <w:color w:val="000000"/>
          <w:szCs w:val="21"/>
        </w:rPr>
      </w:pPr>
    </w:p>
    <w:p w14:paraId="3E390C36">
      <w:pPr>
        <w:spacing w:line="700" w:lineRule="exact"/>
        <w:jc w:val="left"/>
        <w:outlineLvl w:val="9"/>
        <w:rPr>
          <w:rFonts w:hint="eastAsia" w:ascii="宋体" w:hAnsi="宋体" w:cs="宋体"/>
          <w:color w:val="000000"/>
          <w:szCs w:val="21"/>
        </w:rPr>
      </w:pPr>
      <w:r>
        <w:rPr>
          <w:rFonts w:hint="eastAsia" w:ascii="宋体" w:hAnsi="宋体" w:cs="宋体"/>
          <w:color w:val="000000"/>
          <w:szCs w:val="21"/>
        </w:rPr>
        <w:t>申请人（公章）：</w:t>
      </w:r>
      <w:r>
        <w:rPr>
          <w:rFonts w:hint="eastAsia" w:ascii="宋体" w:hAnsi="宋体" w:cs="宋体"/>
          <w:color w:val="000000"/>
          <w:szCs w:val="21"/>
          <w:u w:val="single"/>
        </w:rPr>
        <w:t xml:space="preserve">                        </w:t>
      </w:r>
    </w:p>
    <w:p w14:paraId="42C8F534">
      <w:pPr>
        <w:spacing w:line="700" w:lineRule="exact"/>
        <w:jc w:val="left"/>
        <w:outlineLvl w:val="9"/>
        <w:rPr>
          <w:rFonts w:hint="eastAsia" w:ascii="宋体" w:hAnsi="宋体" w:cs="宋体"/>
          <w:color w:val="000000"/>
          <w:szCs w:val="21"/>
        </w:rPr>
      </w:pPr>
      <w:r>
        <w:rPr>
          <w:rFonts w:hint="eastAsia" w:ascii="宋体" w:hAnsi="宋体" w:cs="宋体"/>
          <w:color w:val="000000"/>
          <w:szCs w:val="21"/>
        </w:rPr>
        <w:t>承保机构公司负责人或授权代表（签字）：</w:t>
      </w:r>
      <w:r>
        <w:rPr>
          <w:rFonts w:hint="eastAsia" w:ascii="宋体" w:hAnsi="宋体" w:cs="宋体"/>
          <w:color w:val="000000"/>
          <w:szCs w:val="21"/>
          <w:u w:val="single"/>
        </w:rPr>
        <w:t xml:space="preserve">                </w:t>
      </w:r>
    </w:p>
    <w:p w14:paraId="3AB48566">
      <w:pPr>
        <w:spacing w:line="700" w:lineRule="exact"/>
        <w:jc w:val="left"/>
        <w:outlineLvl w:val="9"/>
        <w:rPr>
          <w:rFonts w:hint="eastAsia" w:ascii="宋体" w:hAnsi="宋体" w:cs="宋体"/>
          <w:color w:val="000000"/>
          <w:szCs w:val="21"/>
        </w:rPr>
      </w:pPr>
      <w:r>
        <w:rPr>
          <w:rFonts w:hint="eastAsia" w:ascii="宋体" w:hAnsi="宋体" w:cs="宋体"/>
          <w:color w:val="000000"/>
          <w:szCs w:val="21"/>
        </w:rPr>
        <w:t>日期：</w:t>
      </w:r>
      <w:r>
        <w:rPr>
          <w:rFonts w:hint="eastAsia" w:ascii="宋体" w:hAnsi="宋体" w:cs="宋体"/>
          <w:color w:val="000000"/>
          <w:szCs w:val="21"/>
          <w:u w:val="single"/>
        </w:rPr>
        <w:t xml:space="preserve">                        </w:t>
      </w:r>
    </w:p>
    <w:p w14:paraId="39ACE4AB">
      <w:pPr>
        <w:adjustRightInd w:val="0"/>
        <w:snapToGrid w:val="0"/>
        <w:spacing w:before="156" w:beforeLines="50" w:line="360" w:lineRule="auto"/>
        <w:jc w:val="center"/>
        <w:outlineLvl w:val="1"/>
        <w:rPr>
          <w:rFonts w:hint="eastAsia" w:ascii="宋体" w:hAnsi="宋体" w:cs="宋体"/>
          <w:b/>
          <w:bCs/>
          <w:color w:val="000000"/>
          <w:sz w:val="32"/>
          <w:szCs w:val="32"/>
        </w:rPr>
      </w:pPr>
      <w:r>
        <w:rPr>
          <w:rFonts w:hint="eastAsia" w:ascii="宋体" w:hAnsi="宋体" w:cs="宋体"/>
          <w:b/>
          <w:bCs/>
          <w:color w:val="000000"/>
          <w:szCs w:val="21"/>
        </w:rPr>
        <w:br w:type="page"/>
      </w:r>
      <w:bookmarkStart w:id="61" w:name="_Toc16921"/>
      <w:r>
        <w:rPr>
          <w:rFonts w:hint="eastAsia" w:ascii="宋体" w:hAnsi="宋体" w:cs="宋体"/>
          <w:b/>
          <w:bCs/>
          <w:color w:val="000000"/>
          <w:sz w:val="32"/>
          <w:szCs w:val="32"/>
          <w:lang w:eastAsia="zh-CN"/>
        </w:rPr>
        <w:t>十一、</w:t>
      </w:r>
      <w:r>
        <w:rPr>
          <w:rFonts w:hint="eastAsia" w:ascii="宋体" w:hAnsi="宋体" w:cs="宋体"/>
          <w:b/>
          <w:bCs/>
          <w:color w:val="000000"/>
          <w:sz w:val="32"/>
          <w:szCs w:val="32"/>
        </w:rPr>
        <w:t>其他资料</w:t>
      </w:r>
      <w:bookmarkEnd w:id="61"/>
    </w:p>
    <w:p w14:paraId="7713B035">
      <w:pPr>
        <w:pStyle w:val="7"/>
        <w:jc w:val="center"/>
        <w:outlineLvl w:val="9"/>
        <w:rPr>
          <w:rFonts w:hint="eastAsia" w:hAnsi="宋体" w:cs="宋体"/>
          <w:b/>
          <w:bCs/>
          <w:color w:val="000000"/>
        </w:rPr>
      </w:pPr>
    </w:p>
    <w:p w14:paraId="5B258819">
      <w:pPr>
        <w:pStyle w:val="7"/>
        <w:outlineLvl w:val="9"/>
        <w:rPr>
          <w:rFonts w:hint="eastAsia" w:hAnsi="宋体" w:cs="宋体"/>
          <w:b/>
          <w:bCs/>
          <w:color w:val="000000"/>
        </w:rPr>
        <w:sectPr>
          <w:pgSz w:w="11906" w:h="16838"/>
          <w:pgMar w:top="1440" w:right="1474" w:bottom="1440" w:left="1588" w:header="851" w:footer="992" w:gutter="0"/>
          <w:pgNumType w:fmt="decimal"/>
          <w:cols w:space="720" w:num="1"/>
          <w:docGrid w:type="lines" w:linePitch="312" w:charSpace="0"/>
        </w:sectPr>
      </w:pPr>
      <w:r>
        <w:rPr>
          <w:rFonts w:hint="eastAsia" w:hAnsi="宋体" w:cs="宋体"/>
          <w:b/>
          <w:bCs/>
          <w:color w:val="000000"/>
        </w:rPr>
        <w:t>备注：申请人自行提供</w:t>
      </w:r>
      <w:r>
        <w:rPr>
          <w:rFonts w:hint="eastAsia" w:hAnsi="宋体" w:cs="宋体"/>
          <w:b/>
          <w:bCs/>
          <w:color w:val="000000"/>
          <w:lang w:eastAsia="zh-CN"/>
        </w:rPr>
        <w:t>其它相关</w:t>
      </w:r>
      <w:r>
        <w:rPr>
          <w:rFonts w:hint="eastAsia" w:hAnsi="宋体" w:cs="宋体"/>
          <w:b/>
          <w:bCs/>
          <w:color w:val="000000"/>
        </w:rPr>
        <w:t>资料。</w:t>
      </w:r>
    </w:p>
    <w:p w14:paraId="4F9F7D69">
      <w:pPr>
        <w:pStyle w:val="7"/>
        <w:jc w:val="center"/>
        <w:outlineLvl w:val="0"/>
        <w:rPr>
          <w:rFonts w:hint="eastAsia" w:hAnsi="宋体" w:cs="宋体"/>
          <w:b/>
          <w:bCs/>
          <w:color w:val="000000"/>
          <w:sz w:val="30"/>
          <w:szCs w:val="30"/>
          <w:highlight w:val="none"/>
        </w:rPr>
      </w:pPr>
      <w:bookmarkStart w:id="62" w:name="_Toc21534"/>
      <w:r>
        <w:rPr>
          <w:rFonts w:hint="eastAsia" w:hAnsi="宋体" w:cs="宋体"/>
          <w:b/>
          <w:bCs/>
          <w:color w:val="000000"/>
          <w:sz w:val="30"/>
          <w:szCs w:val="30"/>
          <w:highlight w:val="none"/>
        </w:rPr>
        <w:t>第六章 评审方法及标准</w:t>
      </w:r>
      <w:bookmarkEnd w:id="62"/>
    </w:p>
    <w:p w14:paraId="686EFACF">
      <w:pPr>
        <w:adjustRightInd w:val="0"/>
        <w:snapToGrid w:val="0"/>
        <w:spacing w:line="360" w:lineRule="auto"/>
        <w:outlineLvl w:val="9"/>
        <w:rPr>
          <w:rFonts w:hint="eastAsia" w:ascii="宋体" w:hAnsi="宋体" w:cs="宋体"/>
          <w:color w:val="000000"/>
          <w:szCs w:val="21"/>
          <w:highlight w:val="none"/>
        </w:rPr>
      </w:pPr>
    </w:p>
    <w:p w14:paraId="7156D2E5">
      <w:pPr>
        <w:adjustRightInd w:val="0"/>
        <w:snapToGrid w:val="0"/>
        <w:spacing w:line="360" w:lineRule="auto"/>
        <w:ind w:firstLine="420" w:firstLineChars="200"/>
        <w:outlineLvl w:val="1"/>
        <w:rPr>
          <w:rFonts w:hint="eastAsia" w:ascii="宋体" w:hAnsi="宋体" w:cs="宋体"/>
          <w:color w:val="000000"/>
          <w:szCs w:val="21"/>
          <w:highlight w:val="none"/>
        </w:rPr>
      </w:pPr>
      <w:bookmarkStart w:id="63" w:name="_Toc7396"/>
      <w:r>
        <w:rPr>
          <w:rFonts w:hint="eastAsia" w:ascii="宋体" w:hAnsi="宋体" w:cs="宋体"/>
          <w:color w:val="000000"/>
          <w:szCs w:val="21"/>
          <w:highlight w:val="none"/>
        </w:rPr>
        <w:t>1、遴选评审标准及细则</w:t>
      </w:r>
      <w:bookmarkEnd w:id="63"/>
    </w:p>
    <w:p w14:paraId="32BC6A76">
      <w:pPr>
        <w:adjustRightInd w:val="0"/>
        <w:snapToGrid w:val="0"/>
        <w:spacing w:line="360" w:lineRule="auto"/>
        <w:ind w:firstLine="420" w:firstLineChars="200"/>
        <w:outlineLvl w:val="9"/>
        <w:rPr>
          <w:rFonts w:hint="eastAsia" w:ascii="宋体" w:hAnsi="宋体" w:cs="宋体"/>
          <w:color w:val="auto"/>
          <w:szCs w:val="21"/>
        </w:rPr>
      </w:pPr>
      <w:r>
        <w:rPr>
          <w:rFonts w:hint="eastAsia" w:ascii="宋体" w:hAnsi="宋体" w:cs="宋体"/>
          <w:color w:val="000000"/>
          <w:szCs w:val="21"/>
          <w:highlight w:val="none"/>
        </w:rPr>
        <w:t>根据省财政厅《湖南省财政厅</w:t>
      </w:r>
      <w:r>
        <w:rPr>
          <w:rFonts w:hint="eastAsia" w:ascii="宋体" w:hAnsi="宋体" w:cs="宋体"/>
          <w:color w:val="000000"/>
          <w:szCs w:val="21"/>
          <w:highlight w:val="none"/>
          <w:lang w:eastAsia="zh-CN"/>
        </w:rPr>
        <w:t>湖南省农业农村厅</w:t>
      </w:r>
      <w:r>
        <w:rPr>
          <w:rFonts w:hint="eastAsia" w:ascii="宋体" w:hAnsi="宋体" w:cs="宋体"/>
          <w:color w:val="000000"/>
          <w:szCs w:val="21"/>
          <w:highlight w:val="none"/>
        </w:rPr>
        <w:t>关于印发(公开竞争性遴选政策性农业保险承保机构</w:t>
      </w:r>
      <w:r>
        <w:rPr>
          <w:rFonts w:hint="eastAsia" w:ascii="宋体" w:hAnsi="宋体" w:cs="宋体"/>
          <w:color w:val="000000"/>
          <w:szCs w:val="21"/>
          <w:highlight w:val="none"/>
          <w:lang w:eastAsia="zh-CN"/>
        </w:rPr>
        <w:t>实施办法</w:t>
      </w:r>
      <w:r>
        <w:rPr>
          <w:rFonts w:hint="eastAsia" w:ascii="宋体" w:hAnsi="宋体" w:cs="宋体"/>
          <w:color w:val="000000"/>
          <w:szCs w:val="21"/>
          <w:highlight w:val="none"/>
        </w:rPr>
        <w:t>&gt;的通知》(湘财金(20</w:t>
      </w:r>
      <w:r>
        <w:rPr>
          <w:rFonts w:hint="eastAsia" w:ascii="宋体" w:hAnsi="宋体" w:cs="宋体"/>
          <w:color w:val="000000"/>
          <w:szCs w:val="21"/>
          <w:highlight w:val="none"/>
          <w:lang w:val="en-US" w:eastAsia="zh-CN"/>
        </w:rPr>
        <w:t>22</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64</w:t>
      </w:r>
      <w:r>
        <w:rPr>
          <w:rFonts w:hint="eastAsia" w:ascii="宋体" w:hAnsi="宋体" w:cs="宋体"/>
          <w:color w:val="000000"/>
          <w:szCs w:val="21"/>
          <w:highlight w:val="none"/>
        </w:rPr>
        <w:t>号)精神,</w:t>
      </w:r>
      <w:r>
        <w:rPr>
          <w:rFonts w:hint="eastAsia" w:ascii="宋体" w:hAnsi="宋体" w:cs="宋体"/>
          <w:color w:val="000000"/>
          <w:szCs w:val="21"/>
          <w:highlight w:val="none"/>
          <w:lang w:eastAsia="zh-CN"/>
        </w:rPr>
        <w:t>其中省级指</w:t>
      </w:r>
      <w:r>
        <w:rPr>
          <w:rFonts w:hint="eastAsia" w:ascii="宋体" w:hAnsi="宋体" w:cs="宋体"/>
          <w:color w:val="auto"/>
          <w:szCs w:val="21"/>
          <w:highlight w:val="none"/>
          <w:lang w:eastAsia="zh-CN"/>
        </w:rPr>
        <w:t>标（</w:t>
      </w:r>
      <w:r>
        <w:rPr>
          <w:rFonts w:hint="eastAsia" w:ascii="宋体" w:hAnsi="宋体" w:cs="宋体"/>
          <w:color w:val="auto"/>
          <w:szCs w:val="21"/>
          <w:highlight w:val="none"/>
          <w:lang w:val="en-US" w:eastAsia="zh-CN"/>
        </w:rPr>
        <w:t>80分</w:t>
      </w:r>
      <w:r>
        <w:rPr>
          <w:rFonts w:hint="eastAsia" w:ascii="宋体" w:hAnsi="宋体" w:cs="宋体"/>
          <w:color w:val="auto"/>
          <w:szCs w:val="21"/>
          <w:highlight w:val="none"/>
          <w:lang w:eastAsia="zh-CN"/>
        </w:rPr>
        <w:t>），包括</w:t>
      </w:r>
      <w:r>
        <w:rPr>
          <w:rFonts w:hint="eastAsia" w:ascii="宋体" w:hAnsi="宋体" w:cs="宋体"/>
          <w:color w:val="auto"/>
          <w:szCs w:val="21"/>
          <w:highlight w:val="none"/>
        </w:rPr>
        <w:t>服务能力</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35分</w:t>
      </w:r>
      <w:r>
        <w:rPr>
          <w:rFonts w:hint="eastAsia" w:ascii="宋体" w:hAnsi="宋体" w:cs="宋体"/>
          <w:color w:val="auto"/>
          <w:szCs w:val="21"/>
          <w:highlight w:val="none"/>
          <w:lang w:eastAsia="zh-CN"/>
        </w:rPr>
        <w:t>）</w:t>
      </w:r>
      <w:r>
        <w:rPr>
          <w:rFonts w:hint="eastAsia" w:ascii="宋体" w:hAnsi="宋体" w:cs="宋体"/>
          <w:color w:val="auto"/>
          <w:szCs w:val="21"/>
          <w:highlight w:val="none"/>
        </w:rPr>
        <w:t>、服务业绩</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25分</w:t>
      </w:r>
      <w:r>
        <w:rPr>
          <w:rFonts w:hint="eastAsia" w:ascii="宋体" w:hAnsi="宋体" w:cs="宋体"/>
          <w:color w:val="auto"/>
          <w:szCs w:val="21"/>
          <w:highlight w:val="none"/>
          <w:lang w:eastAsia="zh-CN"/>
        </w:rPr>
        <w:t>）</w:t>
      </w:r>
      <w:r>
        <w:rPr>
          <w:rFonts w:hint="eastAsia" w:ascii="宋体" w:hAnsi="宋体" w:cs="宋体"/>
          <w:color w:val="auto"/>
          <w:szCs w:val="21"/>
          <w:highlight w:val="none"/>
        </w:rPr>
        <w:t>、</w:t>
      </w:r>
      <w:r>
        <w:rPr>
          <w:rFonts w:hint="eastAsia" w:ascii="宋体" w:hAnsi="宋体" w:cs="宋体"/>
          <w:color w:val="auto"/>
          <w:szCs w:val="21"/>
          <w:highlight w:val="none"/>
          <w:lang w:eastAsia="zh-CN"/>
        </w:rPr>
        <w:t>合规经营和风险管控能力（</w:t>
      </w:r>
      <w:r>
        <w:rPr>
          <w:rFonts w:hint="eastAsia" w:ascii="宋体" w:hAnsi="宋体" w:cs="宋体"/>
          <w:color w:val="auto"/>
          <w:szCs w:val="21"/>
          <w:highlight w:val="none"/>
          <w:lang w:val="en-US" w:eastAsia="zh-CN"/>
        </w:rPr>
        <w:t>20分</w:t>
      </w:r>
      <w:r>
        <w:rPr>
          <w:rFonts w:hint="eastAsia" w:ascii="宋体" w:hAnsi="宋体" w:cs="宋体"/>
          <w:color w:val="auto"/>
          <w:szCs w:val="21"/>
          <w:highlight w:val="none"/>
          <w:lang w:eastAsia="zh-CN"/>
        </w:rPr>
        <w:t>）</w:t>
      </w:r>
      <w:r>
        <w:rPr>
          <w:rFonts w:hint="eastAsia" w:ascii="宋体" w:hAnsi="宋体" w:cs="宋体"/>
          <w:color w:val="auto"/>
          <w:szCs w:val="21"/>
          <w:highlight w:val="none"/>
          <w:u w:val="none"/>
          <w:lang w:eastAsia="zh-CN"/>
        </w:rPr>
        <w:t>。县级指标（20分），包括农业保险绩效评价（</w:t>
      </w:r>
      <w:r>
        <w:rPr>
          <w:rFonts w:hint="eastAsia" w:ascii="宋体" w:hAnsi="宋体" w:cs="宋体"/>
          <w:color w:val="auto"/>
          <w:szCs w:val="21"/>
          <w:highlight w:val="none"/>
          <w:u w:val="none"/>
          <w:lang w:val="en-US" w:eastAsia="zh-CN"/>
        </w:rPr>
        <w:t>10</w:t>
      </w:r>
      <w:r>
        <w:rPr>
          <w:rFonts w:hint="eastAsia" w:ascii="宋体" w:hAnsi="宋体" w:cs="宋体"/>
          <w:color w:val="auto"/>
          <w:szCs w:val="21"/>
          <w:highlight w:val="none"/>
          <w:u w:val="none"/>
          <w:lang w:eastAsia="zh-CN"/>
        </w:rPr>
        <w:t>分）、对县域经济的贡献程度（</w:t>
      </w:r>
      <w:r>
        <w:rPr>
          <w:rFonts w:hint="eastAsia" w:ascii="宋体" w:hAnsi="宋体" w:cs="宋体"/>
          <w:color w:val="auto"/>
          <w:szCs w:val="21"/>
          <w:highlight w:val="none"/>
          <w:u w:val="none"/>
          <w:lang w:val="en-US" w:eastAsia="zh-CN"/>
        </w:rPr>
        <w:t>7</w:t>
      </w:r>
      <w:r>
        <w:rPr>
          <w:rFonts w:hint="eastAsia" w:ascii="宋体" w:hAnsi="宋体" w:cs="宋体"/>
          <w:color w:val="auto"/>
          <w:szCs w:val="21"/>
          <w:highlight w:val="none"/>
          <w:u w:val="none"/>
          <w:lang w:eastAsia="zh-CN"/>
        </w:rPr>
        <w:t>分）、对乡村振兴工作的支持（</w:t>
      </w:r>
      <w:r>
        <w:rPr>
          <w:rFonts w:hint="eastAsia" w:ascii="宋体" w:hAnsi="宋体" w:cs="宋体"/>
          <w:color w:val="auto"/>
          <w:szCs w:val="21"/>
          <w:highlight w:val="none"/>
          <w:u w:val="none"/>
          <w:lang w:val="en-US" w:eastAsia="zh-CN"/>
        </w:rPr>
        <w:t>3</w:t>
      </w:r>
      <w:r>
        <w:rPr>
          <w:rFonts w:hint="eastAsia" w:ascii="宋体" w:hAnsi="宋体" w:cs="宋体"/>
          <w:color w:val="auto"/>
          <w:szCs w:val="21"/>
          <w:highlight w:val="none"/>
          <w:u w:val="none"/>
          <w:lang w:eastAsia="zh-CN"/>
        </w:rPr>
        <w:t>分），</w:t>
      </w:r>
      <w:r>
        <w:rPr>
          <w:rFonts w:hint="eastAsia" w:ascii="宋体" w:hAnsi="宋体" w:cs="宋体"/>
          <w:color w:val="auto"/>
          <w:szCs w:val="21"/>
          <w:highlight w:val="none"/>
          <w:lang w:eastAsia="zh-CN"/>
        </w:rPr>
        <w:t>制定公开竞争性遴选政策性农业保险承保机构评审方法及标准。</w:t>
      </w:r>
    </w:p>
    <w:p w14:paraId="51096961">
      <w:pPr>
        <w:adjustRightInd w:val="0"/>
        <w:snapToGrid w:val="0"/>
        <w:spacing w:line="360" w:lineRule="auto"/>
        <w:ind w:firstLine="420" w:firstLineChars="200"/>
        <w:outlineLvl w:val="1"/>
        <w:rPr>
          <w:rFonts w:hint="eastAsia" w:ascii="宋体" w:hAnsi="宋体" w:cs="宋体"/>
          <w:color w:val="000000"/>
          <w:szCs w:val="21"/>
        </w:rPr>
      </w:pPr>
      <w:bookmarkStart w:id="64" w:name="_Toc19072"/>
      <w:r>
        <w:rPr>
          <w:rFonts w:hint="eastAsia" w:ascii="宋体" w:hAnsi="宋体" w:cs="宋体"/>
          <w:color w:val="000000"/>
          <w:szCs w:val="21"/>
        </w:rPr>
        <w:t>2、评审委员会</w:t>
      </w:r>
      <w:bookmarkEnd w:id="64"/>
    </w:p>
    <w:p w14:paraId="5734D38D">
      <w:pPr>
        <w:adjustRightInd w:val="0"/>
        <w:snapToGrid w:val="0"/>
        <w:spacing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评审由依法组成的评审委员会负责。</w:t>
      </w:r>
    </w:p>
    <w:p w14:paraId="5D548708">
      <w:pPr>
        <w:adjustRightInd w:val="0"/>
        <w:snapToGrid w:val="0"/>
        <w:spacing w:line="360" w:lineRule="auto"/>
        <w:ind w:firstLine="420" w:firstLineChars="200"/>
        <w:outlineLvl w:val="1"/>
        <w:rPr>
          <w:rFonts w:hint="eastAsia" w:ascii="宋体" w:hAnsi="宋体" w:cs="宋体"/>
          <w:color w:val="000000"/>
          <w:szCs w:val="21"/>
        </w:rPr>
      </w:pPr>
      <w:bookmarkStart w:id="65" w:name="_Toc23699"/>
      <w:r>
        <w:rPr>
          <w:rFonts w:hint="eastAsia" w:ascii="宋体" w:hAnsi="宋体" w:cs="宋体"/>
          <w:color w:val="000000"/>
          <w:szCs w:val="21"/>
        </w:rPr>
        <w:t>3、评审方法</w:t>
      </w:r>
      <w:bookmarkEnd w:id="65"/>
    </w:p>
    <w:p w14:paraId="23AF3D0C">
      <w:pPr>
        <w:adjustRightInd w:val="0"/>
        <w:snapToGrid w:val="0"/>
        <w:spacing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3.1、评审方法：采用综合评分法，按评审后总得分由高到低确定中选承保机构和优先选包顺序。总分相同的，按服务能力、服务业绩、合规经营及风险管控能力、</w:t>
      </w:r>
      <w:r>
        <w:rPr>
          <w:rFonts w:hint="eastAsia" w:ascii="宋体" w:hAnsi="宋体" w:cs="宋体"/>
          <w:color w:val="000000"/>
          <w:szCs w:val="21"/>
          <w:lang w:val="en-US" w:eastAsia="zh-CN"/>
        </w:rPr>
        <w:t>县级</w:t>
      </w:r>
      <w:r>
        <w:rPr>
          <w:rFonts w:hint="eastAsia" w:ascii="宋体" w:hAnsi="宋体" w:cs="宋体"/>
          <w:color w:val="000000"/>
          <w:szCs w:val="21"/>
        </w:rPr>
        <w:t>自主设置指标的得分依次由高到低确定排名顺序</w:t>
      </w:r>
      <w:r>
        <w:rPr>
          <w:rFonts w:hint="eastAsia" w:ascii="宋体" w:hAnsi="宋体" w:cs="宋体"/>
          <w:color w:val="auto"/>
          <w:szCs w:val="21"/>
          <w:highlight w:val="none"/>
          <w:u w:val="none"/>
        </w:rPr>
        <w:t>。只有1家保险公司参与遴选时，符合遴选条件即可确认中选。</w:t>
      </w:r>
    </w:p>
    <w:p w14:paraId="47512D46">
      <w:pPr>
        <w:adjustRightInd w:val="0"/>
        <w:snapToGrid w:val="0"/>
        <w:spacing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3.2评审因素：服务能力、服务业绩、</w:t>
      </w:r>
      <w:r>
        <w:rPr>
          <w:rFonts w:hint="eastAsia" w:ascii="宋体" w:hAnsi="宋体" w:cs="宋体"/>
          <w:color w:val="000000"/>
          <w:szCs w:val="21"/>
          <w:highlight w:val="none"/>
          <w:lang w:eastAsia="zh-CN"/>
        </w:rPr>
        <w:t>合规经营和风险管控能力</w:t>
      </w:r>
      <w:r>
        <w:rPr>
          <w:rFonts w:hint="eastAsia" w:ascii="宋体" w:hAnsi="宋体" w:cs="宋体"/>
          <w:color w:val="000000"/>
          <w:szCs w:val="21"/>
        </w:rPr>
        <w:t>、</w:t>
      </w:r>
      <w:r>
        <w:rPr>
          <w:rFonts w:hint="eastAsia" w:ascii="宋体" w:hAnsi="宋体" w:cs="宋体"/>
          <w:color w:val="000000"/>
          <w:szCs w:val="21"/>
          <w:highlight w:val="none"/>
          <w:lang w:eastAsia="zh-CN"/>
        </w:rPr>
        <w:t>县级指标</w:t>
      </w:r>
      <w:r>
        <w:rPr>
          <w:rFonts w:hint="eastAsia" w:ascii="宋体" w:hAnsi="宋体" w:cs="宋体"/>
          <w:color w:val="000000"/>
          <w:szCs w:val="21"/>
        </w:rPr>
        <w:t>，以及相应的比重或者权值等。</w:t>
      </w:r>
    </w:p>
    <w:p w14:paraId="74149CEB">
      <w:pPr>
        <w:tabs>
          <w:tab w:val="left" w:pos="0"/>
        </w:tabs>
        <w:adjustRightInd w:val="0"/>
        <w:snapToGrid w:val="0"/>
        <w:spacing w:line="360" w:lineRule="auto"/>
        <w:ind w:firstLine="420" w:firstLineChars="200"/>
        <w:outlineLvl w:val="9"/>
        <w:rPr>
          <w:rFonts w:hint="eastAsia" w:ascii="宋体" w:hAnsi="宋体" w:cs="宋体"/>
          <w:color w:val="000000"/>
          <w:szCs w:val="21"/>
        </w:rPr>
      </w:pPr>
      <w:r>
        <w:rPr>
          <w:rFonts w:hint="eastAsia" w:ascii="宋体" w:hAnsi="宋体" w:cs="宋体"/>
          <w:color w:val="000000"/>
          <w:szCs w:val="21"/>
        </w:rPr>
        <w:t>3.3、</w:t>
      </w:r>
      <w:r>
        <w:rPr>
          <w:rFonts w:hint="eastAsia" w:ascii="宋体" w:hAnsi="宋体" w:cs="宋体"/>
          <w:color w:val="000000"/>
          <w:kern w:val="0"/>
          <w:szCs w:val="21"/>
        </w:rPr>
        <w:t>本项目评审办法权数取值表如下：</w:t>
      </w:r>
    </w:p>
    <w:tbl>
      <w:tblPr>
        <w:tblStyle w:val="12"/>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0"/>
        <w:gridCol w:w="4680"/>
        <w:gridCol w:w="3240"/>
      </w:tblGrid>
      <w:tr w14:paraId="747D2B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20" w:type="dxa"/>
            <w:noWrap w:val="0"/>
            <w:vAlign w:val="center"/>
          </w:tcPr>
          <w:p w14:paraId="623C5B9A">
            <w:pPr>
              <w:adjustRightInd w:val="0"/>
              <w:snapToGrid w:val="0"/>
              <w:spacing w:line="360" w:lineRule="auto"/>
              <w:jc w:val="center"/>
              <w:outlineLvl w:val="9"/>
              <w:rPr>
                <w:rFonts w:hint="eastAsia" w:ascii="宋体" w:hAnsi="宋体" w:cs="宋体"/>
                <w:color w:val="000000"/>
                <w:szCs w:val="21"/>
              </w:rPr>
            </w:pPr>
            <w:r>
              <w:rPr>
                <w:rFonts w:hint="eastAsia" w:ascii="宋体" w:hAnsi="宋体" w:cs="宋体"/>
                <w:color w:val="000000"/>
                <w:szCs w:val="21"/>
              </w:rPr>
              <w:t>序号</w:t>
            </w:r>
          </w:p>
        </w:tc>
        <w:tc>
          <w:tcPr>
            <w:tcW w:w="4680" w:type="dxa"/>
            <w:noWrap w:val="0"/>
            <w:vAlign w:val="center"/>
          </w:tcPr>
          <w:p w14:paraId="7D0633A5">
            <w:pPr>
              <w:adjustRightInd w:val="0"/>
              <w:snapToGrid w:val="0"/>
              <w:spacing w:line="360" w:lineRule="auto"/>
              <w:jc w:val="center"/>
              <w:outlineLvl w:val="9"/>
              <w:rPr>
                <w:rFonts w:hint="eastAsia" w:ascii="宋体" w:hAnsi="宋体" w:cs="宋体"/>
                <w:color w:val="000000"/>
                <w:szCs w:val="21"/>
              </w:rPr>
            </w:pPr>
            <w:r>
              <w:rPr>
                <w:rFonts w:hint="eastAsia" w:ascii="宋体" w:hAnsi="宋体" w:cs="宋体"/>
                <w:color w:val="000000"/>
                <w:szCs w:val="21"/>
              </w:rPr>
              <w:t>项     目</w:t>
            </w:r>
          </w:p>
        </w:tc>
        <w:tc>
          <w:tcPr>
            <w:tcW w:w="3240" w:type="dxa"/>
            <w:noWrap w:val="0"/>
            <w:vAlign w:val="center"/>
          </w:tcPr>
          <w:p w14:paraId="09BB4799">
            <w:pPr>
              <w:adjustRightInd w:val="0"/>
              <w:snapToGrid w:val="0"/>
              <w:spacing w:line="360" w:lineRule="auto"/>
              <w:jc w:val="center"/>
              <w:outlineLvl w:val="9"/>
              <w:rPr>
                <w:rFonts w:hint="eastAsia" w:ascii="宋体" w:hAnsi="宋体" w:cs="宋体"/>
                <w:color w:val="000000"/>
                <w:szCs w:val="21"/>
              </w:rPr>
            </w:pPr>
            <w:r>
              <w:rPr>
                <w:rFonts w:hint="eastAsia" w:ascii="宋体" w:hAnsi="宋体" w:cs="宋体"/>
                <w:color w:val="000000"/>
                <w:szCs w:val="21"/>
              </w:rPr>
              <w:t>权值的取值</w:t>
            </w:r>
          </w:p>
        </w:tc>
      </w:tr>
      <w:tr w14:paraId="3B840B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20" w:type="dxa"/>
            <w:noWrap w:val="0"/>
            <w:vAlign w:val="center"/>
          </w:tcPr>
          <w:p w14:paraId="7D21947B">
            <w:pPr>
              <w:adjustRightInd w:val="0"/>
              <w:snapToGrid w:val="0"/>
              <w:spacing w:line="360" w:lineRule="auto"/>
              <w:jc w:val="center"/>
              <w:outlineLvl w:val="9"/>
              <w:rPr>
                <w:rFonts w:hint="eastAsia" w:ascii="宋体" w:hAnsi="宋体" w:cs="宋体"/>
                <w:color w:val="000000"/>
                <w:szCs w:val="21"/>
              </w:rPr>
            </w:pPr>
            <w:r>
              <w:rPr>
                <w:rFonts w:hint="eastAsia" w:ascii="宋体" w:hAnsi="宋体" w:cs="宋体"/>
                <w:color w:val="000000"/>
                <w:szCs w:val="21"/>
              </w:rPr>
              <w:t>1</w:t>
            </w:r>
          </w:p>
        </w:tc>
        <w:tc>
          <w:tcPr>
            <w:tcW w:w="4680" w:type="dxa"/>
            <w:noWrap w:val="0"/>
            <w:vAlign w:val="center"/>
          </w:tcPr>
          <w:p w14:paraId="3EC11080">
            <w:pPr>
              <w:adjustRightInd w:val="0"/>
              <w:snapToGrid w:val="0"/>
              <w:spacing w:line="360" w:lineRule="auto"/>
              <w:jc w:val="left"/>
              <w:outlineLvl w:val="9"/>
              <w:rPr>
                <w:rFonts w:hint="eastAsia" w:ascii="宋体" w:hAnsi="宋体" w:cs="宋体"/>
                <w:color w:val="000000"/>
                <w:szCs w:val="21"/>
              </w:rPr>
            </w:pPr>
            <w:r>
              <w:rPr>
                <w:rFonts w:hint="eastAsia" w:ascii="宋体" w:hAnsi="宋体" w:cs="宋体"/>
                <w:color w:val="000000"/>
                <w:szCs w:val="21"/>
              </w:rPr>
              <w:t>服务能力</w:t>
            </w:r>
          </w:p>
        </w:tc>
        <w:tc>
          <w:tcPr>
            <w:tcW w:w="3240" w:type="dxa"/>
            <w:noWrap w:val="0"/>
            <w:vAlign w:val="center"/>
          </w:tcPr>
          <w:p w14:paraId="28F5613C">
            <w:pPr>
              <w:adjustRightInd w:val="0"/>
              <w:snapToGrid w:val="0"/>
              <w:spacing w:line="360" w:lineRule="auto"/>
              <w:jc w:val="center"/>
              <w:outlineLvl w:val="9"/>
              <w:rPr>
                <w:rFonts w:hint="default" w:ascii="宋体" w:hAnsi="宋体" w:eastAsia="宋体" w:cs="宋体"/>
                <w:color w:val="000000"/>
                <w:szCs w:val="21"/>
                <w:lang w:val="en-US" w:eastAsia="zh-CN"/>
              </w:rPr>
            </w:pPr>
            <w:r>
              <w:rPr>
                <w:rFonts w:hint="eastAsia" w:ascii="宋体" w:hAnsi="宋体" w:cs="宋体"/>
                <w:color w:val="000000"/>
                <w:szCs w:val="21"/>
              </w:rPr>
              <w:t>0.</w:t>
            </w:r>
            <w:r>
              <w:rPr>
                <w:rFonts w:hint="eastAsia" w:ascii="宋体" w:hAnsi="宋体" w:cs="宋体"/>
                <w:color w:val="000000"/>
                <w:szCs w:val="21"/>
                <w:lang w:val="en-US" w:eastAsia="zh-CN"/>
              </w:rPr>
              <w:t>35</w:t>
            </w:r>
          </w:p>
        </w:tc>
      </w:tr>
      <w:tr w14:paraId="49CF2C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20" w:type="dxa"/>
            <w:noWrap w:val="0"/>
            <w:vAlign w:val="center"/>
          </w:tcPr>
          <w:p w14:paraId="0D1F63BC">
            <w:pPr>
              <w:adjustRightInd w:val="0"/>
              <w:snapToGrid w:val="0"/>
              <w:spacing w:line="360" w:lineRule="auto"/>
              <w:jc w:val="center"/>
              <w:outlineLvl w:val="9"/>
              <w:rPr>
                <w:rFonts w:hint="eastAsia" w:ascii="宋体" w:hAnsi="宋体" w:cs="宋体"/>
                <w:color w:val="000000"/>
                <w:szCs w:val="21"/>
              </w:rPr>
            </w:pPr>
            <w:r>
              <w:rPr>
                <w:rFonts w:hint="eastAsia" w:ascii="宋体" w:hAnsi="宋体" w:cs="宋体"/>
                <w:color w:val="000000"/>
                <w:szCs w:val="21"/>
              </w:rPr>
              <w:t>2</w:t>
            </w:r>
          </w:p>
        </w:tc>
        <w:tc>
          <w:tcPr>
            <w:tcW w:w="4680" w:type="dxa"/>
            <w:noWrap w:val="0"/>
            <w:vAlign w:val="center"/>
          </w:tcPr>
          <w:p w14:paraId="1E9EFD10">
            <w:pPr>
              <w:adjustRightInd w:val="0"/>
              <w:snapToGrid w:val="0"/>
              <w:spacing w:line="360" w:lineRule="auto"/>
              <w:jc w:val="left"/>
              <w:outlineLvl w:val="9"/>
              <w:rPr>
                <w:rFonts w:hint="eastAsia" w:ascii="宋体" w:hAnsi="宋体" w:cs="宋体"/>
                <w:color w:val="000000"/>
                <w:szCs w:val="21"/>
              </w:rPr>
            </w:pPr>
            <w:r>
              <w:rPr>
                <w:rFonts w:hint="eastAsia" w:ascii="宋体" w:hAnsi="宋体" w:cs="宋体"/>
                <w:color w:val="000000"/>
                <w:szCs w:val="21"/>
              </w:rPr>
              <w:t>服务业绩</w:t>
            </w:r>
          </w:p>
        </w:tc>
        <w:tc>
          <w:tcPr>
            <w:tcW w:w="3240" w:type="dxa"/>
            <w:noWrap w:val="0"/>
            <w:vAlign w:val="center"/>
          </w:tcPr>
          <w:p w14:paraId="697CE1E4">
            <w:pPr>
              <w:adjustRightInd w:val="0"/>
              <w:snapToGrid w:val="0"/>
              <w:spacing w:line="360" w:lineRule="auto"/>
              <w:jc w:val="center"/>
              <w:outlineLvl w:val="9"/>
              <w:rPr>
                <w:rFonts w:hint="default" w:ascii="宋体" w:hAnsi="宋体" w:eastAsia="宋体" w:cs="宋体"/>
                <w:color w:val="000000"/>
                <w:szCs w:val="21"/>
                <w:lang w:val="en-US" w:eastAsia="zh-CN"/>
              </w:rPr>
            </w:pPr>
            <w:r>
              <w:rPr>
                <w:rFonts w:hint="eastAsia" w:ascii="宋体" w:hAnsi="宋体" w:cs="宋体"/>
                <w:color w:val="000000"/>
                <w:szCs w:val="21"/>
              </w:rPr>
              <w:t>0.</w:t>
            </w:r>
            <w:r>
              <w:rPr>
                <w:rFonts w:hint="eastAsia" w:ascii="宋体" w:hAnsi="宋体" w:cs="宋体"/>
                <w:color w:val="000000"/>
                <w:szCs w:val="21"/>
                <w:lang w:val="en-US" w:eastAsia="zh-CN"/>
              </w:rPr>
              <w:t>25</w:t>
            </w:r>
          </w:p>
        </w:tc>
      </w:tr>
      <w:tr w14:paraId="4910AD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20" w:type="dxa"/>
            <w:noWrap w:val="0"/>
            <w:vAlign w:val="center"/>
          </w:tcPr>
          <w:p w14:paraId="28C3431C">
            <w:pPr>
              <w:adjustRightInd w:val="0"/>
              <w:snapToGrid w:val="0"/>
              <w:spacing w:line="360" w:lineRule="auto"/>
              <w:jc w:val="center"/>
              <w:outlineLvl w:val="9"/>
              <w:rPr>
                <w:rFonts w:hint="eastAsia" w:ascii="宋体" w:hAnsi="宋体" w:cs="宋体"/>
                <w:color w:val="000000"/>
                <w:szCs w:val="21"/>
              </w:rPr>
            </w:pPr>
            <w:r>
              <w:rPr>
                <w:rFonts w:hint="eastAsia" w:ascii="宋体" w:hAnsi="宋体" w:cs="宋体"/>
                <w:color w:val="000000"/>
                <w:szCs w:val="21"/>
              </w:rPr>
              <w:t>3</w:t>
            </w:r>
          </w:p>
        </w:tc>
        <w:tc>
          <w:tcPr>
            <w:tcW w:w="4680" w:type="dxa"/>
            <w:noWrap w:val="0"/>
            <w:vAlign w:val="center"/>
          </w:tcPr>
          <w:p w14:paraId="2C562C76">
            <w:pPr>
              <w:adjustRightInd w:val="0"/>
              <w:snapToGrid w:val="0"/>
              <w:spacing w:line="360" w:lineRule="auto"/>
              <w:jc w:val="left"/>
              <w:outlineLvl w:val="9"/>
              <w:rPr>
                <w:rFonts w:hint="eastAsia" w:ascii="宋体" w:hAnsi="宋体" w:cs="宋体"/>
                <w:color w:val="000000"/>
                <w:szCs w:val="21"/>
              </w:rPr>
            </w:pPr>
            <w:r>
              <w:rPr>
                <w:rFonts w:hint="eastAsia" w:ascii="宋体" w:hAnsi="宋体" w:cs="宋体"/>
                <w:color w:val="000000"/>
                <w:szCs w:val="21"/>
                <w:highlight w:val="none"/>
                <w:lang w:eastAsia="zh-CN"/>
              </w:rPr>
              <w:t>合规经营和风险管控能力</w:t>
            </w:r>
          </w:p>
        </w:tc>
        <w:tc>
          <w:tcPr>
            <w:tcW w:w="3240" w:type="dxa"/>
            <w:noWrap w:val="0"/>
            <w:vAlign w:val="center"/>
          </w:tcPr>
          <w:p w14:paraId="4FF1E961">
            <w:pPr>
              <w:adjustRightInd w:val="0"/>
              <w:snapToGrid w:val="0"/>
              <w:spacing w:line="360" w:lineRule="auto"/>
              <w:jc w:val="center"/>
              <w:outlineLvl w:val="9"/>
              <w:rPr>
                <w:rFonts w:hint="eastAsia" w:ascii="宋体" w:hAnsi="宋体" w:eastAsia="宋体" w:cs="宋体"/>
                <w:color w:val="000000"/>
                <w:szCs w:val="21"/>
                <w:lang w:val="en-US" w:eastAsia="zh-CN"/>
              </w:rPr>
            </w:pPr>
            <w:r>
              <w:rPr>
                <w:rFonts w:hint="eastAsia" w:ascii="宋体" w:hAnsi="宋体" w:cs="宋体"/>
                <w:color w:val="000000"/>
                <w:szCs w:val="21"/>
              </w:rPr>
              <w:t>0.2</w:t>
            </w:r>
            <w:r>
              <w:rPr>
                <w:rFonts w:hint="eastAsia" w:ascii="宋体" w:hAnsi="宋体" w:cs="宋体"/>
                <w:color w:val="000000"/>
                <w:szCs w:val="21"/>
                <w:lang w:val="en-US" w:eastAsia="zh-CN"/>
              </w:rPr>
              <w:t>0</w:t>
            </w:r>
          </w:p>
        </w:tc>
      </w:tr>
      <w:tr w14:paraId="4BE109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720" w:type="dxa"/>
            <w:noWrap w:val="0"/>
            <w:vAlign w:val="center"/>
          </w:tcPr>
          <w:p w14:paraId="4CCF7F54">
            <w:pPr>
              <w:adjustRightInd w:val="0"/>
              <w:snapToGrid w:val="0"/>
              <w:spacing w:line="360" w:lineRule="auto"/>
              <w:jc w:val="center"/>
              <w:outlineLvl w:val="9"/>
              <w:rPr>
                <w:rFonts w:hint="eastAsia" w:ascii="宋体" w:hAnsi="宋体" w:cs="宋体"/>
                <w:color w:val="000000"/>
                <w:szCs w:val="21"/>
              </w:rPr>
            </w:pPr>
            <w:r>
              <w:rPr>
                <w:rFonts w:hint="eastAsia" w:ascii="宋体" w:hAnsi="宋体" w:cs="宋体"/>
                <w:color w:val="000000"/>
                <w:szCs w:val="21"/>
              </w:rPr>
              <w:t>4</w:t>
            </w:r>
          </w:p>
        </w:tc>
        <w:tc>
          <w:tcPr>
            <w:tcW w:w="4680" w:type="dxa"/>
            <w:noWrap w:val="0"/>
            <w:vAlign w:val="center"/>
          </w:tcPr>
          <w:p w14:paraId="13A16772">
            <w:pPr>
              <w:adjustRightInd w:val="0"/>
              <w:snapToGrid w:val="0"/>
              <w:spacing w:line="360" w:lineRule="auto"/>
              <w:jc w:val="left"/>
              <w:outlineLvl w:val="9"/>
              <w:rPr>
                <w:rFonts w:hint="eastAsia" w:ascii="宋体" w:hAnsi="宋体" w:cs="宋体"/>
                <w:color w:val="000000"/>
                <w:szCs w:val="21"/>
              </w:rPr>
            </w:pPr>
            <w:r>
              <w:rPr>
                <w:rFonts w:hint="eastAsia" w:ascii="宋体" w:hAnsi="宋体" w:cs="宋体"/>
                <w:color w:val="000000"/>
                <w:szCs w:val="21"/>
                <w:highlight w:val="none"/>
                <w:lang w:eastAsia="zh-CN"/>
              </w:rPr>
              <w:t>县级指标</w:t>
            </w:r>
          </w:p>
        </w:tc>
        <w:tc>
          <w:tcPr>
            <w:tcW w:w="3240" w:type="dxa"/>
            <w:noWrap w:val="0"/>
            <w:vAlign w:val="center"/>
          </w:tcPr>
          <w:p w14:paraId="5F480D72">
            <w:pPr>
              <w:adjustRightInd w:val="0"/>
              <w:snapToGrid w:val="0"/>
              <w:spacing w:line="360" w:lineRule="auto"/>
              <w:jc w:val="center"/>
              <w:outlineLvl w:val="9"/>
              <w:rPr>
                <w:rFonts w:hint="default" w:ascii="宋体" w:hAnsi="宋体" w:eastAsia="宋体" w:cs="宋体"/>
                <w:color w:val="000000"/>
                <w:szCs w:val="21"/>
                <w:lang w:val="en-US" w:eastAsia="zh-CN"/>
              </w:rPr>
            </w:pPr>
            <w:r>
              <w:rPr>
                <w:rFonts w:hint="eastAsia" w:ascii="宋体" w:hAnsi="宋体" w:cs="宋体"/>
                <w:color w:val="000000"/>
                <w:szCs w:val="21"/>
              </w:rPr>
              <w:t>0.</w:t>
            </w:r>
            <w:r>
              <w:rPr>
                <w:rFonts w:hint="eastAsia" w:ascii="宋体" w:hAnsi="宋体" w:cs="宋体"/>
                <w:color w:val="000000"/>
                <w:szCs w:val="21"/>
                <w:lang w:val="en-US" w:eastAsia="zh-CN"/>
              </w:rPr>
              <w:t>20</w:t>
            </w:r>
          </w:p>
        </w:tc>
      </w:tr>
      <w:tr w14:paraId="1407B3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trPr>
        <w:tc>
          <w:tcPr>
            <w:tcW w:w="5400" w:type="dxa"/>
            <w:gridSpan w:val="2"/>
            <w:noWrap w:val="0"/>
            <w:vAlign w:val="top"/>
          </w:tcPr>
          <w:p w14:paraId="6819FC38">
            <w:pPr>
              <w:adjustRightInd w:val="0"/>
              <w:snapToGrid w:val="0"/>
              <w:spacing w:line="360" w:lineRule="auto"/>
              <w:jc w:val="center"/>
              <w:outlineLvl w:val="9"/>
              <w:rPr>
                <w:rFonts w:hint="eastAsia" w:ascii="宋体" w:hAnsi="宋体" w:cs="宋体"/>
                <w:color w:val="000000"/>
                <w:szCs w:val="21"/>
              </w:rPr>
            </w:pPr>
            <w:r>
              <w:rPr>
                <w:rFonts w:hint="eastAsia" w:ascii="宋体" w:hAnsi="宋体" w:cs="宋体"/>
                <w:color w:val="000000"/>
                <w:szCs w:val="21"/>
              </w:rPr>
              <w:t>∑(1+2+3+4)=1</w:t>
            </w:r>
          </w:p>
        </w:tc>
        <w:tc>
          <w:tcPr>
            <w:tcW w:w="3240" w:type="dxa"/>
            <w:noWrap w:val="0"/>
            <w:vAlign w:val="center"/>
          </w:tcPr>
          <w:p w14:paraId="27657F5C">
            <w:pPr>
              <w:adjustRightInd w:val="0"/>
              <w:snapToGrid w:val="0"/>
              <w:spacing w:line="360" w:lineRule="auto"/>
              <w:jc w:val="center"/>
              <w:outlineLvl w:val="9"/>
              <w:rPr>
                <w:rFonts w:hint="eastAsia" w:ascii="宋体" w:hAnsi="宋体" w:cs="宋体"/>
                <w:color w:val="000000"/>
                <w:szCs w:val="21"/>
              </w:rPr>
            </w:pPr>
            <w:r>
              <w:rPr>
                <w:rFonts w:hint="eastAsia" w:ascii="宋体" w:hAnsi="宋体" w:cs="宋体"/>
                <w:color w:val="000000"/>
                <w:szCs w:val="21"/>
              </w:rPr>
              <w:t>1</w:t>
            </w:r>
          </w:p>
        </w:tc>
      </w:tr>
    </w:tbl>
    <w:p w14:paraId="5DD765FD">
      <w:pPr>
        <w:spacing w:line="360" w:lineRule="auto"/>
        <w:jc w:val="left"/>
        <w:outlineLvl w:val="1"/>
        <w:rPr>
          <w:rFonts w:hint="eastAsia" w:ascii="宋体" w:hAnsi="宋体" w:cs="宋体"/>
          <w:color w:val="000000"/>
          <w:kern w:val="0"/>
          <w:szCs w:val="21"/>
        </w:rPr>
      </w:pPr>
      <w:bookmarkStart w:id="66" w:name="_Toc32143"/>
      <w:bookmarkStart w:id="67" w:name="_Toc225323647"/>
      <w:r>
        <w:rPr>
          <w:rFonts w:hint="eastAsia" w:ascii="宋体" w:hAnsi="宋体" w:cs="宋体"/>
          <w:color w:val="000000"/>
          <w:kern w:val="0"/>
          <w:szCs w:val="21"/>
        </w:rPr>
        <w:t>4、评审程序</w:t>
      </w:r>
      <w:bookmarkEnd w:id="66"/>
      <w:bookmarkEnd w:id="67"/>
    </w:p>
    <w:p w14:paraId="14BF80DB">
      <w:pPr>
        <w:spacing w:line="360" w:lineRule="auto"/>
        <w:ind w:firstLine="420" w:firstLineChars="200"/>
        <w:jc w:val="left"/>
        <w:outlineLvl w:val="9"/>
        <w:rPr>
          <w:rFonts w:hint="eastAsia" w:ascii="宋体" w:hAnsi="宋体" w:cs="宋体"/>
          <w:color w:val="000000"/>
          <w:kern w:val="0"/>
          <w:szCs w:val="21"/>
        </w:rPr>
      </w:pPr>
      <w:r>
        <w:rPr>
          <w:rFonts w:hint="eastAsia" w:ascii="宋体" w:hAnsi="宋体" w:cs="宋体"/>
          <w:color w:val="000000"/>
          <w:kern w:val="0"/>
          <w:szCs w:val="21"/>
        </w:rPr>
        <w:t>评审程序分为评审准备、资格</w:t>
      </w:r>
      <w:r>
        <w:rPr>
          <w:rFonts w:hint="eastAsia" w:ascii="宋体" w:hAnsi="宋体" w:cs="宋体"/>
          <w:color w:val="000000"/>
          <w:kern w:val="0"/>
          <w:szCs w:val="21"/>
          <w:lang w:eastAsia="zh-CN"/>
        </w:rPr>
        <w:t>审查</w:t>
      </w:r>
      <w:r>
        <w:rPr>
          <w:rFonts w:hint="eastAsia" w:ascii="宋体" w:hAnsi="宋体" w:cs="宋体"/>
          <w:color w:val="000000"/>
          <w:kern w:val="0"/>
          <w:szCs w:val="21"/>
        </w:rPr>
        <w:t>、</w:t>
      </w:r>
      <w:r>
        <w:rPr>
          <w:rFonts w:hint="eastAsia" w:ascii="宋体" w:hAnsi="宋体" w:cs="宋体"/>
          <w:color w:val="000000"/>
          <w:szCs w:val="21"/>
        </w:rPr>
        <w:t>综合</w:t>
      </w:r>
      <w:r>
        <w:rPr>
          <w:rFonts w:hint="eastAsia" w:ascii="宋体" w:hAnsi="宋体" w:cs="宋体"/>
          <w:color w:val="000000"/>
          <w:kern w:val="0"/>
          <w:szCs w:val="21"/>
        </w:rPr>
        <w:t>评审、推荐</w:t>
      </w:r>
      <w:r>
        <w:rPr>
          <w:rFonts w:hint="eastAsia" w:ascii="宋体" w:hAnsi="宋体" w:cs="宋体"/>
          <w:color w:val="000000"/>
          <w:kern w:val="0"/>
          <w:szCs w:val="21"/>
          <w:lang w:val="en-US" w:eastAsia="zh-CN"/>
        </w:rPr>
        <w:t>中选</w:t>
      </w:r>
      <w:r>
        <w:rPr>
          <w:rFonts w:hint="eastAsia" w:ascii="宋体" w:hAnsi="宋体" w:cs="宋体"/>
          <w:color w:val="000000"/>
          <w:kern w:val="0"/>
          <w:szCs w:val="21"/>
        </w:rPr>
        <w:t>单位。评审由评审委员会独立完成。</w:t>
      </w:r>
    </w:p>
    <w:p w14:paraId="62142F06">
      <w:pPr>
        <w:spacing w:line="360" w:lineRule="auto"/>
        <w:jc w:val="left"/>
        <w:outlineLvl w:val="9"/>
        <w:rPr>
          <w:rFonts w:hint="eastAsia" w:ascii="宋体" w:hAnsi="宋体" w:cs="宋体"/>
          <w:color w:val="000000"/>
          <w:kern w:val="0"/>
          <w:szCs w:val="21"/>
        </w:rPr>
      </w:pPr>
      <w:r>
        <w:rPr>
          <w:rFonts w:hint="eastAsia" w:ascii="宋体" w:hAnsi="宋体" w:cs="宋体"/>
          <w:color w:val="000000"/>
          <w:kern w:val="0"/>
          <w:szCs w:val="21"/>
        </w:rPr>
        <w:t>4.1评审准备</w:t>
      </w:r>
    </w:p>
    <w:p w14:paraId="3A02BB48">
      <w:pPr>
        <w:spacing w:line="360" w:lineRule="auto"/>
        <w:ind w:firstLine="420" w:firstLineChars="200"/>
        <w:jc w:val="left"/>
        <w:outlineLvl w:val="9"/>
        <w:rPr>
          <w:rFonts w:hint="eastAsia" w:ascii="宋体" w:hAnsi="宋体" w:cs="宋体"/>
          <w:color w:val="000000"/>
          <w:kern w:val="0"/>
          <w:szCs w:val="21"/>
        </w:rPr>
      </w:pPr>
      <w:r>
        <w:rPr>
          <w:rFonts w:hint="eastAsia" w:ascii="宋体" w:hAnsi="宋体" w:cs="宋体"/>
          <w:color w:val="000000"/>
          <w:kern w:val="0"/>
          <w:szCs w:val="21"/>
        </w:rPr>
        <w:t>4.1.1评审委员会人员进入评审室后，首先推选一名专家担任评审委员会主任。评审委员会主任负责评审过程中的组织工作，引导评审委员会按约定的程序评审。</w:t>
      </w:r>
    </w:p>
    <w:p w14:paraId="6AB49C00">
      <w:pPr>
        <w:spacing w:line="360" w:lineRule="auto"/>
        <w:ind w:firstLine="315" w:firstLineChars="150"/>
        <w:jc w:val="left"/>
        <w:outlineLvl w:val="9"/>
        <w:rPr>
          <w:rFonts w:hint="eastAsia" w:ascii="宋体" w:hAnsi="宋体" w:cs="宋体"/>
          <w:color w:val="000000"/>
          <w:kern w:val="0"/>
          <w:szCs w:val="21"/>
        </w:rPr>
      </w:pPr>
      <w:r>
        <w:rPr>
          <w:rFonts w:hint="eastAsia" w:ascii="宋体" w:hAnsi="宋体" w:cs="宋体"/>
          <w:color w:val="000000"/>
          <w:kern w:val="0"/>
          <w:szCs w:val="21"/>
        </w:rPr>
        <w:t>4.1.2评审委员会人员应当熟悉遴选文件、评审方法等有关文件，包括项目概况、遴选范围、遴选目的、评审方法、评审所用表格、以及打分方法等。</w:t>
      </w:r>
    </w:p>
    <w:p w14:paraId="55817E32">
      <w:pPr>
        <w:spacing w:line="360" w:lineRule="auto"/>
        <w:jc w:val="left"/>
        <w:outlineLvl w:val="9"/>
        <w:rPr>
          <w:rFonts w:hint="eastAsia" w:ascii="宋体" w:hAnsi="宋体" w:cs="宋体"/>
          <w:color w:val="000000"/>
          <w:kern w:val="0"/>
          <w:szCs w:val="21"/>
        </w:rPr>
      </w:pPr>
      <w:bookmarkStart w:id="68" w:name="_Toc218669685"/>
      <w:bookmarkStart w:id="69" w:name="_Toc218669755"/>
      <w:r>
        <w:rPr>
          <w:rFonts w:hint="eastAsia" w:ascii="宋体" w:hAnsi="宋体" w:cs="宋体"/>
          <w:color w:val="000000"/>
          <w:kern w:val="0"/>
          <w:szCs w:val="21"/>
        </w:rPr>
        <w:t>4.</w:t>
      </w:r>
      <w:bookmarkEnd w:id="68"/>
      <w:bookmarkEnd w:id="69"/>
      <w:bookmarkStart w:id="70" w:name="_Toc218669756"/>
      <w:bookmarkStart w:id="71" w:name="_Toc218669686"/>
      <w:r>
        <w:rPr>
          <w:rFonts w:hint="eastAsia" w:ascii="宋体" w:hAnsi="宋体" w:cs="宋体"/>
          <w:color w:val="000000"/>
          <w:kern w:val="0"/>
          <w:szCs w:val="21"/>
        </w:rPr>
        <w:t>2</w:t>
      </w:r>
      <w:bookmarkEnd w:id="70"/>
      <w:bookmarkEnd w:id="71"/>
      <w:r>
        <w:rPr>
          <w:rFonts w:hint="eastAsia" w:ascii="宋体" w:hAnsi="宋体" w:cs="宋体"/>
          <w:color w:val="000000"/>
          <w:kern w:val="0"/>
          <w:szCs w:val="21"/>
        </w:rPr>
        <w:t>资格</w:t>
      </w:r>
      <w:r>
        <w:rPr>
          <w:rFonts w:hint="eastAsia" w:ascii="宋体" w:hAnsi="宋体" w:cs="宋体"/>
          <w:color w:val="000000"/>
          <w:kern w:val="0"/>
          <w:szCs w:val="21"/>
          <w:lang w:eastAsia="zh-CN"/>
        </w:rPr>
        <w:t>审查</w:t>
      </w:r>
    </w:p>
    <w:p w14:paraId="2C8287A4">
      <w:pPr>
        <w:spacing w:line="360" w:lineRule="auto"/>
        <w:ind w:firstLine="420" w:firstLineChars="200"/>
        <w:jc w:val="left"/>
        <w:outlineLvl w:val="9"/>
        <w:rPr>
          <w:rFonts w:hint="eastAsia" w:ascii="宋体" w:hAnsi="宋体" w:cs="宋体"/>
          <w:color w:val="000000"/>
          <w:kern w:val="0"/>
          <w:szCs w:val="21"/>
        </w:rPr>
      </w:pPr>
      <w:r>
        <w:rPr>
          <w:rFonts w:hint="eastAsia" w:ascii="宋体" w:hAnsi="宋体" w:cs="宋体"/>
          <w:color w:val="000000"/>
          <w:kern w:val="0"/>
          <w:szCs w:val="21"/>
        </w:rPr>
        <w:t>4.2.1评审委员会对申请人进行资格后审。</w:t>
      </w:r>
    </w:p>
    <w:p w14:paraId="34BEBA59">
      <w:pPr>
        <w:spacing w:line="360" w:lineRule="auto"/>
        <w:ind w:firstLine="420" w:firstLineChars="200"/>
        <w:jc w:val="left"/>
        <w:outlineLvl w:val="9"/>
        <w:rPr>
          <w:rFonts w:hint="eastAsia" w:ascii="宋体" w:hAnsi="宋体" w:cs="宋体"/>
          <w:color w:val="000000"/>
          <w:szCs w:val="21"/>
        </w:rPr>
      </w:pPr>
      <w:r>
        <w:rPr>
          <w:rFonts w:hint="eastAsia" w:ascii="宋体" w:hAnsi="宋体" w:cs="宋体"/>
          <w:color w:val="000000"/>
          <w:kern w:val="0"/>
          <w:szCs w:val="21"/>
          <w:lang w:val="en-US" w:eastAsia="zh-CN"/>
        </w:rPr>
        <w:t>4.2.2</w:t>
      </w:r>
      <w:r>
        <w:rPr>
          <w:rFonts w:hint="eastAsia" w:ascii="宋体" w:hAnsi="宋体" w:cs="宋体"/>
          <w:color w:val="000000"/>
          <w:szCs w:val="21"/>
        </w:rPr>
        <w:t>申请人按遴选公告和遴选文件要求提交有关证明材料，评审委员会对申请人的资格进行审查，确定合格申请人。申请人的资格条件若有一项不符合标准的，为不合格申请人，不能进入下一轮</w:t>
      </w:r>
      <w:r>
        <w:rPr>
          <w:rFonts w:hint="eastAsia" w:ascii="宋体" w:hAnsi="宋体" w:cs="宋体"/>
          <w:color w:val="000000"/>
          <w:kern w:val="0"/>
          <w:szCs w:val="21"/>
        </w:rPr>
        <w:t>综合</w:t>
      </w:r>
      <w:r>
        <w:rPr>
          <w:rFonts w:hint="eastAsia" w:ascii="宋体" w:hAnsi="宋体" w:cs="宋体"/>
          <w:color w:val="000000"/>
          <w:szCs w:val="21"/>
        </w:rPr>
        <w:t>评审。</w:t>
      </w:r>
    </w:p>
    <w:p w14:paraId="1140E77D">
      <w:pPr>
        <w:spacing w:line="360" w:lineRule="auto"/>
        <w:jc w:val="left"/>
        <w:outlineLvl w:val="9"/>
        <w:rPr>
          <w:rFonts w:hint="eastAsia" w:ascii="宋体" w:hAnsi="宋体" w:cs="宋体"/>
          <w:color w:val="000000"/>
          <w:kern w:val="0"/>
          <w:szCs w:val="21"/>
        </w:rPr>
      </w:pPr>
      <w:r>
        <w:rPr>
          <w:rFonts w:hint="eastAsia" w:ascii="宋体" w:hAnsi="宋体" w:cs="宋体"/>
          <w:color w:val="000000"/>
          <w:kern w:val="0"/>
          <w:szCs w:val="21"/>
        </w:rPr>
        <w:t>4.</w:t>
      </w:r>
      <w:r>
        <w:rPr>
          <w:rFonts w:hint="eastAsia" w:ascii="宋体" w:hAnsi="宋体" w:cs="宋体"/>
          <w:color w:val="000000"/>
          <w:kern w:val="0"/>
          <w:szCs w:val="21"/>
          <w:lang w:val="en-US" w:eastAsia="zh-CN"/>
        </w:rPr>
        <w:t>3</w:t>
      </w:r>
      <w:r>
        <w:rPr>
          <w:rFonts w:hint="eastAsia" w:ascii="宋体" w:hAnsi="宋体" w:cs="宋体"/>
          <w:color w:val="000000"/>
          <w:kern w:val="0"/>
          <w:szCs w:val="21"/>
        </w:rPr>
        <w:t>综合评审</w:t>
      </w:r>
    </w:p>
    <w:p w14:paraId="3620A17C">
      <w:pPr>
        <w:spacing w:line="360" w:lineRule="auto"/>
        <w:ind w:firstLine="420" w:firstLineChars="200"/>
        <w:jc w:val="left"/>
        <w:outlineLvl w:val="9"/>
        <w:rPr>
          <w:rFonts w:hint="eastAsia" w:ascii="宋体" w:hAnsi="宋体" w:cs="宋体"/>
          <w:color w:val="000000"/>
          <w:kern w:val="0"/>
          <w:szCs w:val="21"/>
        </w:rPr>
      </w:pPr>
      <w:r>
        <w:rPr>
          <w:rFonts w:hint="eastAsia" w:ascii="宋体" w:hAnsi="宋体" w:cs="宋体"/>
          <w:color w:val="000000"/>
          <w:kern w:val="0"/>
          <w:szCs w:val="21"/>
        </w:rPr>
        <w:t>评审委员会对合格申请人的申请文件进行综合评审打分。</w:t>
      </w:r>
    </w:p>
    <w:p w14:paraId="55C78517">
      <w:pPr>
        <w:spacing w:line="360" w:lineRule="auto"/>
        <w:jc w:val="left"/>
        <w:outlineLvl w:val="9"/>
        <w:rPr>
          <w:rFonts w:hint="eastAsia" w:ascii="宋体" w:hAnsi="宋体" w:cs="宋体"/>
          <w:color w:val="000000"/>
          <w:kern w:val="0"/>
          <w:szCs w:val="21"/>
        </w:rPr>
      </w:pPr>
      <w:r>
        <w:rPr>
          <w:rFonts w:hint="eastAsia" w:ascii="宋体" w:hAnsi="宋体" w:cs="宋体"/>
          <w:color w:val="000000"/>
          <w:kern w:val="0"/>
          <w:szCs w:val="21"/>
        </w:rPr>
        <w:t>4.</w:t>
      </w:r>
      <w:r>
        <w:rPr>
          <w:rFonts w:hint="eastAsia" w:ascii="宋体" w:hAnsi="宋体" w:cs="宋体"/>
          <w:color w:val="000000"/>
          <w:kern w:val="0"/>
          <w:szCs w:val="21"/>
          <w:lang w:val="en-US" w:eastAsia="zh-CN"/>
        </w:rPr>
        <w:t>4</w:t>
      </w:r>
      <w:r>
        <w:rPr>
          <w:rFonts w:hint="eastAsia" w:ascii="宋体" w:hAnsi="宋体" w:cs="宋体"/>
          <w:color w:val="000000"/>
          <w:kern w:val="0"/>
          <w:szCs w:val="21"/>
        </w:rPr>
        <w:t>推荐</w:t>
      </w:r>
      <w:r>
        <w:rPr>
          <w:rFonts w:hint="eastAsia" w:ascii="宋体" w:hAnsi="宋体" w:cs="宋体"/>
          <w:color w:val="000000"/>
          <w:kern w:val="0"/>
          <w:szCs w:val="21"/>
          <w:lang w:val="en-US" w:eastAsia="zh-CN"/>
        </w:rPr>
        <w:t>中选</w:t>
      </w:r>
      <w:r>
        <w:rPr>
          <w:rFonts w:hint="eastAsia" w:ascii="宋体" w:hAnsi="宋体" w:cs="宋体"/>
          <w:color w:val="000000"/>
          <w:kern w:val="0"/>
          <w:szCs w:val="21"/>
        </w:rPr>
        <w:t>侯选人。</w:t>
      </w:r>
    </w:p>
    <w:p w14:paraId="6B89A213">
      <w:pPr>
        <w:spacing w:line="360" w:lineRule="auto"/>
        <w:jc w:val="left"/>
        <w:outlineLvl w:val="9"/>
        <w:rPr>
          <w:rFonts w:hint="eastAsia" w:ascii="宋体" w:hAnsi="宋体" w:cs="宋体"/>
          <w:color w:val="000000"/>
          <w:kern w:val="0"/>
          <w:szCs w:val="21"/>
        </w:rPr>
      </w:pPr>
      <w:r>
        <w:rPr>
          <w:rFonts w:hint="eastAsia" w:ascii="宋体" w:hAnsi="宋体" w:cs="宋体"/>
          <w:color w:val="000000"/>
          <w:kern w:val="0"/>
          <w:szCs w:val="21"/>
        </w:rPr>
        <w:t xml:space="preserve">    4.</w:t>
      </w:r>
      <w:r>
        <w:rPr>
          <w:rFonts w:hint="eastAsia" w:ascii="宋体" w:hAnsi="宋体" w:cs="宋体"/>
          <w:color w:val="000000"/>
          <w:kern w:val="0"/>
          <w:szCs w:val="21"/>
          <w:lang w:val="en-US" w:eastAsia="zh-CN"/>
        </w:rPr>
        <w:t>4</w:t>
      </w:r>
      <w:r>
        <w:rPr>
          <w:rFonts w:hint="eastAsia" w:ascii="宋体" w:hAnsi="宋体" w:cs="宋体"/>
          <w:color w:val="000000"/>
          <w:kern w:val="0"/>
          <w:szCs w:val="21"/>
        </w:rPr>
        <w:t>.1资格后审不合格的申请人，不能推荐为</w:t>
      </w:r>
      <w:r>
        <w:rPr>
          <w:rFonts w:hint="eastAsia" w:ascii="宋体" w:hAnsi="宋体" w:cs="宋体"/>
          <w:color w:val="000000"/>
          <w:kern w:val="0"/>
          <w:szCs w:val="21"/>
          <w:lang w:val="en-US" w:eastAsia="zh-CN"/>
        </w:rPr>
        <w:t>中选</w:t>
      </w:r>
      <w:r>
        <w:rPr>
          <w:rFonts w:hint="eastAsia" w:ascii="宋体" w:hAnsi="宋体" w:cs="宋体"/>
          <w:color w:val="000000"/>
          <w:kern w:val="0"/>
          <w:szCs w:val="21"/>
        </w:rPr>
        <w:t>侯选人。</w:t>
      </w:r>
    </w:p>
    <w:p w14:paraId="5BD17D98">
      <w:pPr>
        <w:spacing w:line="360" w:lineRule="auto"/>
        <w:jc w:val="left"/>
        <w:outlineLvl w:val="9"/>
        <w:rPr>
          <w:rFonts w:hint="eastAsia" w:ascii="宋体" w:hAnsi="宋体" w:cs="宋体"/>
          <w:color w:val="000000"/>
          <w:kern w:val="0"/>
          <w:szCs w:val="21"/>
          <w:highlight w:val="none"/>
          <w:u w:val="none"/>
        </w:rPr>
      </w:pPr>
      <w:r>
        <w:rPr>
          <w:rFonts w:hint="eastAsia" w:ascii="宋体" w:hAnsi="宋体" w:cs="宋体"/>
          <w:color w:val="000000"/>
          <w:kern w:val="0"/>
          <w:szCs w:val="21"/>
        </w:rPr>
        <w:t xml:space="preserve">    4.</w:t>
      </w:r>
      <w:r>
        <w:rPr>
          <w:rFonts w:hint="eastAsia" w:ascii="宋体" w:hAnsi="宋体" w:cs="宋体"/>
          <w:color w:val="000000"/>
          <w:kern w:val="0"/>
          <w:szCs w:val="21"/>
          <w:lang w:val="en-US" w:eastAsia="zh-CN"/>
        </w:rPr>
        <w:t>4</w:t>
      </w:r>
      <w:r>
        <w:rPr>
          <w:rFonts w:hint="eastAsia" w:ascii="宋体" w:hAnsi="宋体" w:cs="宋体"/>
          <w:color w:val="000000"/>
          <w:kern w:val="0"/>
          <w:szCs w:val="21"/>
        </w:rPr>
        <w:t>.2由评审委员会按本评审内容及标准，</w:t>
      </w:r>
      <w:r>
        <w:rPr>
          <w:rFonts w:hint="eastAsia" w:ascii="宋体" w:hAnsi="宋体" w:cs="宋体"/>
          <w:color w:val="000000"/>
          <w:kern w:val="0"/>
          <w:szCs w:val="21"/>
          <w:highlight w:val="none"/>
          <w:u w:val="none"/>
        </w:rPr>
        <w:t>结合申请文件推荐前</w:t>
      </w:r>
      <w:r>
        <w:rPr>
          <w:rFonts w:hint="eastAsia" w:ascii="宋体" w:hAnsi="宋体" w:cs="宋体"/>
          <w:color w:val="000000"/>
          <w:kern w:val="0"/>
          <w:szCs w:val="21"/>
          <w:highlight w:val="none"/>
          <w:u w:val="none"/>
          <w:lang w:eastAsia="zh-CN"/>
        </w:rPr>
        <w:t>四</w:t>
      </w:r>
      <w:r>
        <w:rPr>
          <w:rFonts w:hint="eastAsia" w:ascii="宋体" w:hAnsi="宋体" w:cs="宋体"/>
          <w:color w:val="000000"/>
          <w:kern w:val="0"/>
          <w:szCs w:val="21"/>
          <w:highlight w:val="none"/>
          <w:u w:val="none"/>
        </w:rPr>
        <w:t>名为</w:t>
      </w:r>
      <w:r>
        <w:rPr>
          <w:rFonts w:hint="eastAsia" w:ascii="宋体" w:hAnsi="宋体" w:cs="宋体"/>
          <w:color w:val="000000"/>
          <w:kern w:val="0"/>
          <w:szCs w:val="21"/>
          <w:highlight w:val="none"/>
          <w:u w:val="none"/>
          <w:lang w:val="en-US" w:eastAsia="zh-CN"/>
        </w:rPr>
        <w:t>中选</w:t>
      </w:r>
      <w:r>
        <w:rPr>
          <w:rFonts w:hint="eastAsia" w:ascii="宋体" w:hAnsi="宋体" w:cs="宋体"/>
          <w:color w:val="000000"/>
          <w:kern w:val="0"/>
          <w:szCs w:val="21"/>
          <w:highlight w:val="none"/>
          <w:u w:val="none"/>
        </w:rPr>
        <w:t>侯选人。</w:t>
      </w:r>
    </w:p>
    <w:p w14:paraId="5A44B36E">
      <w:pPr>
        <w:jc w:val="center"/>
        <w:outlineLvl w:val="9"/>
        <w:rPr>
          <w:rFonts w:hint="eastAsia" w:ascii="宋体" w:hAnsi="宋体" w:cs="宋体"/>
          <w:b/>
          <w:bCs/>
          <w:color w:val="000000"/>
          <w:sz w:val="32"/>
          <w:szCs w:val="32"/>
        </w:rPr>
      </w:pPr>
      <w:r>
        <w:rPr>
          <w:rFonts w:hint="eastAsia" w:ascii="宋体" w:hAnsi="宋体" w:cs="宋体"/>
          <w:b/>
          <w:bCs/>
          <w:color w:val="000000"/>
          <w:sz w:val="32"/>
          <w:szCs w:val="32"/>
        </w:rPr>
        <w:br w:type="page"/>
      </w:r>
      <w:r>
        <w:rPr>
          <w:rFonts w:hint="eastAsia" w:ascii="宋体" w:hAnsi="宋体" w:cs="宋体"/>
          <w:b/>
          <w:bCs/>
          <w:color w:val="000000"/>
          <w:sz w:val="32"/>
          <w:szCs w:val="32"/>
        </w:rPr>
        <w:t>评审计分表</w:t>
      </w:r>
      <w:r>
        <w:rPr>
          <w:rFonts w:hint="eastAsia" w:ascii="宋体" w:hAnsi="宋体" w:cs="宋体"/>
          <w:b/>
          <w:bCs/>
          <w:color w:val="000000"/>
          <w:sz w:val="30"/>
          <w:szCs w:val="30"/>
        </w:rPr>
        <w:t>（基本分100分）</w:t>
      </w:r>
    </w:p>
    <w:tbl>
      <w:tblPr>
        <w:tblStyle w:val="12"/>
        <w:tblW w:w="9239" w:type="dxa"/>
        <w:jc w:val="center"/>
        <w:tblLayout w:type="fixed"/>
        <w:tblCellMar>
          <w:top w:w="0" w:type="dxa"/>
          <w:left w:w="0" w:type="dxa"/>
          <w:bottom w:w="0" w:type="dxa"/>
          <w:right w:w="0" w:type="dxa"/>
        </w:tblCellMar>
      </w:tblPr>
      <w:tblGrid>
        <w:gridCol w:w="543"/>
        <w:gridCol w:w="1048"/>
        <w:gridCol w:w="1916"/>
        <w:gridCol w:w="704"/>
        <w:gridCol w:w="2678"/>
        <w:gridCol w:w="587"/>
        <w:gridCol w:w="587"/>
        <w:gridCol w:w="587"/>
        <w:gridCol w:w="589"/>
      </w:tblGrid>
      <w:tr w14:paraId="2A98014E">
        <w:tblPrEx>
          <w:tblCellMar>
            <w:top w:w="0" w:type="dxa"/>
            <w:left w:w="0" w:type="dxa"/>
            <w:bottom w:w="0" w:type="dxa"/>
            <w:right w:w="0" w:type="dxa"/>
          </w:tblCellMar>
        </w:tblPrEx>
        <w:trPr>
          <w:trHeight w:val="454" w:hRule="atLeast"/>
          <w:jc w:val="center"/>
        </w:trPr>
        <w:tc>
          <w:tcPr>
            <w:tcW w:w="543" w:type="dxa"/>
            <w:vMerge w:val="restart"/>
            <w:tcBorders>
              <w:top w:val="single" w:color="auto" w:sz="8" w:space="0"/>
              <w:left w:val="single" w:color="auto" w:sz="8" w:space="0"/>
              <w:bottom w:val="single" w:color="auto" w:sz="8" w:space="0"/>
              <w:right w:val="single" w:color="auto" w:sz="8" w:space="0"/>
            </w:tcBorders>
            <w:noWrap w:val="0"/>
            <w:vAlign w:val="center"/>
          </w:tcPr>
          <w:p w14:paraId="117D3C6A">
            <w:pPr>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序</w:t>
            </w:r>
          </w:p>
          <w:p w14:paraId="326ACC9F">
            <w:pPr>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号</w:t>
            </w:r>
          </w:p>
        </w:tc>
        <w:tc>
          <w:tcPr>
            <w:tcW w:w="1048" w:type="dxa"/>
            <w:vMerge w:val="restart"/>
            <w:tcBorders>
              <w:top w:val="single" w:color="auto" w:sz="8" w:space="0"/>
              <w:left w:val="single" w:color="auto" w:sz="8" w:space="0"/>
              <w:right w:val="single" w:color="auto" w:sz="4" w:space="0"/>
            </w:tcBorders>
            <w:noWrap w:val="0"/>
            <w:vAlign w:val="center"/>
          </w:tcPr>
          <w:p w14:paraId="4CCCDF71">
            <w:pPr>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一级</w:t>
            </w:r>
          </w:p>
          <w:p w14:paraId="1A219511">
            <w:pPr>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指标</w:t>
            </w:r>
          </w:p>
        </w:tc>
        <w:tc>
          <w:tcPr>
            <w:tcW w:w="1916" w:type="dxa"/>
            <w:vMerge w:val="restart"/>
            <w:tcBorders>
              <w:top w:val="single" w:color="auto" w:sz="8" w:space="0"/>
              <w:left w:val="single" w:color="auto" w:sz="4" w:space="0"/>
              <w:right w:val="single" w:color="auto" w:sz="8" w:space="0"/>
            </w:tcBorders>
            <w:noWrap w:val="0"/>
            <w:vAlign w:val="center"/>
          </w:tcPr>
          <w:p w14:paraId="1F9A87D8">
            <w:pPr>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二级指标</w:t>
            </w:r>
          </w:p>
        </w:tc>
        <w:tc>
          <w:tcPr>
            <w:tcW w:w="704" w:type="dxa"/>
            <w:vMerge w:val="restart"/>
            <w:tcBorders>
              <w:top w:val="single" w:color="auto" w:sz="8" w:space="0"/>
              <w:left w:val="single" w:color="auto" w:sz="8" w:space="0"/>
              <w:bottom w:val="single" w:color="auto" w:sz="8" w:space="0"/>
              <w:right w:val="single" w:color="auto" w:sz="8" w:space="0"/>
            </w:tcBorders>
            <w:noWrap w:val="0"/>
            <w:vAlign w:val="center"/>
          </w:tcPr>
          <w:p w14:paraId="2D295A45">
            <w:pPr>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分</w:t>
            </w:r>
          </w:p>
          <w:p w14:paraId="7844EED3">
            <w:pPr>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值</w:t>
            </w:r>
          </w:p>
        </w:tc>
        <w:tc>
          <w:tcPr>
            <w:tcW w:w="2678" w:type="dxa"/>
            <w:vMerge w:val="restart"/>
            <w:tcBorders>
              <w:top w:val="single" w:color="auto" w:sz="8" w:space="0"/>
              <w:left w:val="single" w:color="auto" w:sz="8" w:space="0"/>
              <w:right w:val="single" w:color="auto" w:sz="8" w:space="0"/>
            </w:tcBorders>
            <w:noWrap w:val="0"/>
            <w:vAlign w:val="center"/>
          </w:tcPr>
          <w:p w14:paraId="1E4255A5">
            <w:pPr>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评分标准及说明（详见</w:t>
            </w:r>
            <w:r>
              <w:rPr>
                <w:rFonts w:hint="eastAsia" w:ascii="宋体" w:hAnsi="宋体" w:eastAsia="宋体" w:cs="宋体"/>
                <w:color w:val="000000"/>
                <w:sz w:val="21"/>
                <w:szCs w:val="21"/>
                <w:lang w:eastAsia="zh-CN"/>
              </w:rPr>
              <w:t>祁东县2023-2025年政策性农业保险承保机构公开竞争性遴选</w:t>
            </w:r>
            <w:r>
              <w:rPr>
                <w:rFonts w:hint="eastAsia" w:ascii="宋体" w:hAnsi="宋体" w:eastAsia="宋体" w:cs="宋体"/>
                <w:color w:val="000000"/>
                <w:sz w:val="21"/>
                <w:szCs w:val="21"/>
              </w:rPr>
              <w:t>评审标准）</w:t>
            </w:r>
          </w:p>
        </w:tc>
        <w:tc>
          <w:tcPr>
            <w:tcW w:w="2350" w:type="dxa"/>
            <w:gridSpan w:val="4"/>
            <w:tcBorders>
              <w:top w:val="single" w:color="auto" w:sz="8" w:space="0"/>
              <w:left w:val="single" w:color="auto" w:sz="4" w:space="0"/>
              <w:bottom w:val="single" w:color="auto" w:sz="4" w:space="0"/>
              <w:right w:val="single" w:color="auto" w:sz="8" w:space="0"/>
            </w:tcBorders>
            <w:noWrap w:val="0"/>
            <w:vAlign w:val="center"/>
          </w:tcPr>
          <w:p w14:paraId="029E2803">
            <w:pPr>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评审计分</w:t>
            </w:r>
          </w:p>
        </w:tc>
      </w:tr>
      <w:tr w14:paraId="4D8F82E4">
        <w:tblPrEx>
          <w:tblCellMar>
            <w:top w:w="0" w:type="dxa"/>
            <w:left w:w="0" w:type="dxa"/>
            <w:bottom w:w="0" w:type="dxa"/>
            <w:right w:w="0" w:type="dxa"/>
          </w:tblCellMar>
        </w:tblPrEx>
        <w:trPr>
          <w:trHeight w:val="454" w:hRule="atLeast"/>
          <w:jc w:val="center"/>
        </w:trPr>
        <w:tc>
          <w:tcPr>
            <w:tcW w:w="543" w:type="dxa"/>
            <w:vMerge w:val="continue"/>
            <w:tcBorders>
              <w:top w:val="single" w:color="auto" w:sz="8" w:space="0"/>
              <w:left w:val="single" w:color="auto" w:sz="8" w:space="0"/>
              <w:bottom w:val="single" w:color="auto" w:sz="8" w:space="0"/>
              <w:right w:val="single" w:color="auto" w:sz="8" w:space="0"/>
            </w:tcBorders>
            <w:noWrap w:val="0"/>
            <w:vAlign w:val="center"/>
          </w:tcPr>
          <w:p w14:paraId="4046623A">
            <w:pPr>
              <w:widowControl/>
              <w:jc w:val="left"/>
              <w:outlineLvl w:val="9"/>
              <w:rPr>
                <w:rFonts w:hint="eastAsia" w:ascii="宋体" w:hAnsi="宋体" w:eastAsia="宋体" w:cs="宋体"/>
                <w:color w:val="000000"/>
                <w:sz w:val="21"/>
                <w:szCs w:val="21"/>
              </w:rPr>
            </w:pPr>
          </w:p>
        </w:tc>
        <w:tc>
          <w:tcPr>
            <w:tcW w:w="1048" w:type="dxa"/>
            <w:vMerge w:val="continue"/>
            <w:tcBorders>
              <w:left w:val="single" w:color="auto" w:sz="8" w:space="0"/>
              <w:bottom w:val="single" w:color="auto" w:sz="8" w:space="0"/>
              <w:right w:val="single" w:color="auto" w:sz="4" w:space="0"/>
            </w:tcBorders>
            <w:noWrap w:val="0"/>
            <w:vAlign w:val="center"/>
          </w:tcPr>
          <w:p w14:paraId="7CCB774D">
            <w:pPr>
              <w:jc w:val="center"/>
              <w:outlineLvl w:val="9"/>
              <w:rPr>
                <w:rFonts w:hint="eastAsia" w:ascii="宋体" w:hAnsi="宋体" w:eastAsia="宋体" w:cs="宋体"/>
                <w:color w:val="000000"/>
                <w:sz w:val="21"/>
                <w:szCs w:val="21"/>
              </w:rPr>
            </w:pPr>
          </w:p>
        </w:tc>
        <w:tc>
          <w:tcPr>
            <w:tcW w:w="1916" w:type="dxa"/>
            <w:vMerge w:val="continue"/>
            <w:tcBorders>
              <w:left w:val="single" w:color="auto" w:sz="4" w:space="0"/>
              <w:bottom w:val="single" w:color="auto" w:sz="8" w:space="0"/>
              <w:right w:val="single" w:color="auto" w:sz="8" w:space="0"/>
            </w:tcBorders>
            <w:noWrap w:val="0"/>
            <w:vAlign w:val="center"/>
          </w:tcPr>
          <w:p w14:paraId="3278B2AD">
            <w:pPr>
              <w:widowControl/>
              <w:jc w:val="left"/>
              <w:outlineLvl w:val="9"/>
              <w:rPr>
                <w:rFonts w:hint="eastAsia" w:ascii="宋体" w:hAnsi="宋体" w:eastAsia="宋体" w:cs="宋体"/>
                <w:color w:val="000000"/>
                <w:sz w:val="21"/>
                <w:szCs w:val="21"/>
              </w:rPr>
            </w:pPr>
          </w:p>
        </w:tc>
        <w:tc>
          <w:tcPr>
            <w:tcW w:w="704" w:type="dxa"/>
            <w:vMerge w:val="continue"/>
            <w:tcBorders>
              <w:top w:val="single" w:color="auto" w:sz="8" w:space="0"/>
              <w:left w:val="single" w:color="auto" w:sz="8" w:space="0"/>
              <w:bottom w:val="single" w:color="auto" w:sz="8" w:space="0"/>
              <w:right w:val="single" w:color="auto" w:sz="8" w:space="0"/>
            </w:tcBorders>
            <w:noWrap w:val="0"/>
            <w:vAlign w:val="center"/>
          </w:tcPr>
          <w:p w14:paraId="74C2C743">
            <w:pPr>
              <w:widowControl/>
              <w:jc w:val="left"/>
              <w:outlineLvl w:val="9"/>
              <w:rPr>
                <w:rFonts w:hint="eastAsia" w:ascii="宋体" w:hAnsi="宋体" w:eastAsia="宋体" w:cs="宋体"/>
                <w:color w:val="000000"/>
                <w:sz w:val="21"/>
                <w:szCs w:val="21"/>
              </w:rPr>
            </w:pPr>
          </w:p>
        </w:tc>
        <w:tc>
          <w:tcPr>
            <w:tcW w:w="2678" w:type="dxa"/>
            <w:vMerge w:val="continue"/>
            <w:tcBorders>
              <w:left w:val="single" w:color="auto" w:sz="8" w:space="0"/>
              <w:bottom w:val="single" w:color="auto" w:sz="8" w:space="0"/>
              <w:right w:val="single" w:color="auto" w:sz="8" w:space="0"/>
            </w:tcBorders>
            <w:noWrap w:val="0"/>
            <w:vAlign w:val="center"/>
          </w:tcPr>
          <w:p w14:paraId="0C2A1909">
            <w:pPr>
              <w:widowControl/>
              <w:jc w:val="left"/>
              <w:outlineLvl w:val="9"/>
              <w:rPr>
                <w:rFonts w:hint="eastAsia" w:ascii="宋体" w:hAnsi="宋体" w:eastAsia="宋体" w:cs="宋体"/>
                <w:color w:val="000000"/>
                <w:sz w:val="21"/>
                <w:szCs w:val="21"/>
              </w:rPr>
            </w:pPr>
          </w:p>
        </w:tc>
        <w:tc>
          <w:tcPr>
            <w:tcW w:w="587" w:type="dxa"/>
            <w:tcBorders>
              <w:top w:val="single" w:color="auto" w:sz="4" w:space="0"/>
              <w:left w:val="single" w:color="auto" w:sz="4" w:space="0"/>
              <w:bottom w:val="single" w:color="auto" w:sz="8" w:space="0"/>
              <w:right w:val="single" w:color="auto" w:sz="4" w:space="0"/>
            </w:tcBorders>
            <w:noWrap w:val="0"/>
            <w:vAlign w:val="center"/>
          </w:tcPr>
          <w:p w14:paraId="2100253A">
            <w:pPr>
              <w:jc w:val="center"/>
              <w:outlineLvl w:val="9"/>
              <w:rPr>
                <w:rFonts w:hint="eastAsia" w:ascii="宋体" w:hAnsi="宋体" w:eastAsia="宋体" w:cs="宋体"/>
                <w:color w:val="000000"/>
                <w:sz w:val="21"/>
                <w:szCs w:val="21"/>
              </w:rPr>
            </w:pPr>
          </w:p>
        </w:tc>
        <w:tc>
          <w:tcPr>
            <w:tcW w:w="587" w:type="dxa"/>
            <w:tcBorders>
              <w:top w:val="single" w:color="auto" w:sz="4" w:space="0"/>
              <w:left w:val="single" w:color="auto" w:sz="4" w:space="0"/>
              <w:bottom w:val="single" w:color="auto" w:sz="8" w:space="0"/>
              <w:right w:val="single" w:color="auto" w:sz="4" w:space="0"/>
            </w:tcBorders>
            <w:noWrap w:val="0"/>
            <w:vAlign w:val="center"/>
          </w:tcPr>
          <w:p w14:paraId="08AFBFF2">
            <w:pPr>
              <w:jc w:val="center"/>
              <w:outlineLvl w:val="9"/>
              <w:rPr>
                <w:rFonts w:hint="eastAsia" w:ascii="宋体" w:hAnsi="宋体" w:eastAsia="宋体" w:cs="宋体"/>
                <w:color w:val="000000"/>
                <w:sz w:val="21"/>
                <w:szCs w:val="21"/>
              </w:rPr>
            </w:pPr>
          </w:p>
        </w:tc>
        <w:tc>
          <w:tcPr>
            <w:tcW w:w="587" w:type="dxa"/>
            <w:tcBorders>
              <w:top w:val="single" w:color="auto" w:sz="4" w:space="0"/>
              <w:left w:val="single" w:color="auto" w:sz="4" w:space="0"/>
              <w:bottom w:val="single" w:color="auto" w:sz="8" w:space="0"/>
              <w:right w:val="single" w:color="auto" w:sz="4" w:space="0"/>
            </w:tcBorders>
            <w:noWrap w:val="0"/>
            <w:vAlign w:val="center"/>
          </w:tcPr>
          <w:p w14:paraId="0F07288C">
            <w:pPr>
              <w:jc w:val="center"/>
              <w:outlineLvl w:val="9"/>
              <w:rPr>
                <w:rFonts w:hint="eastAsia" w:ascii="宋体" w:hAnsi="宋体" w:eastAsia="宋体" w:cs="宋体"/>
                <w:color w:val="000000"/>
                <w:sz w:val="21"/>
                <w:szCs w:val="21"/>
              </w:rPr>
            </w:pPr>
          </w:p>
        </w:tc>
        <w:tc>
          <w:tcPr>
            <w:tcW w:w="589" w:type="dxa"/>
            <w:tcBorders>
              <w:top w:val="single" w:color="auto" w:sz="4" w:space="0"/>
              <w:left w:val="single" w:color="auto" w:sz="4" w:space="0"/>
              <w:bottom w:val="single" w:color="auto" w:sz="8" w:space="0"/>
              <w:right w:val="single" w:color="auto" w:sz="8" w:space="0"/>
            </w:tcBorders>
            <w:noWrap w:val="0"/>
            <w:vAlign w:val="center"/>
          </w:tcPr>
          <w:p w14:paraId="70E6B3D9">
            <w:pPr>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w:t>
            </w:r>
          </w:p>
        </w:tc>
      </w:tr>
      <w:tr w14:paraId="5B4C2216">
        <w:tblPrEx>
          <w:tblCellMar>
            <w:top w:w="0" w:type="dxa"/>
            <w:left w:w="0" w:type="dxa"/>
            <w:bottom w:w="0" w:type="dxa"/>
            <w:right w:w="0" w:type="dxa"/>
          </w:tblCellMar>
        </w:tblPrEx>
        <w:trPr>
          <w:trHeight w:val="454" w:hRule="atLeast"/>
          <w:jc w:val="center"/>
        </w:trPr>
        <w:tc>
          <w:tcPr>
            <w:tcW w:w="543" w:type="dxa"/>
            <w:tcBorders>
              <w:top w:val="single" w:color="auto" w:sz="8" w:space="0"/>
              <w:left w:val="single" w:color="auto" w:sz="8" w:space="0"/>
              <w:bottom w:val="single" w:color="auto" w:sz="8" w:space="0"/>
              <w:right w:val="single" w:color="auto" w:sz="4" w:space="0"/>
            </w:tcBorders>
            <w:noWrap w:val="0"/>
            <w:vAlign w:val="center"/>
          </w:tcPr>
          <w:p w14:paraId="48B1196F">
            <w:pPr>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1048" w:type="dxa"/>
            <w:vMerge w:val="restart"/>
            <w:tcBorders>
              <w:top w:val="single" w:color="auto" w:sz="8" w:space="0"/>
              <w:left w:val="single" w:color="auto" w:sz="4" w:space="0"/>
              <w:right w:val="single" w:color="auto" w:sz="4" w:space="0"/>
            </w:tcBorders>
            <w:noWrap w:val="0"/>
            <w:vAlign w:val="center"/>
          </w:tcPr>
          <w:p w14:paraId="5D88D722">
            <w:pPr>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服务能力</w:t>
            </w:r>
            <w:r>
              <w:rPr>
                <w:rFonts w:hint="eastAsia" w:ascii="宋体" w:hAnsi="宋体" w:eastAsia="宋体" w:cs="宋体"/>
                <w:color w:val="000000"/>
                <w:sz w:val="21"/>
                <w:szCs w:val="21"/>
                <w:lang w:val="en-US" w:eastAsia="zh-CN"/>
              </w:rPr>
              <w:t>35</w:t>
            </w:r>
            <w:r>
              <w:rPr>
                <w:rFonts w:hint="eastAsia" w:ascii="宋体" w:hAnsi="宋体" w:eastAsia="宋体" w:cs="宋体"/>
                <w:color w:val="000000"/>
                <w:sz w:val="21"/>
                <w:szCs w:val="21"/>
              </w:rPr>
              <w:t>分</w:t>
            </w:r>
          </w:p>
        </w:tc>
        <w:tc>
          <w:tcPr>
            <w:tcW w:w="1916" w:type="dxa"/>
            <w:tcBorders>
              <w:top w:val="single" w:color="auto" w:sz="8" w:space="0"/>
              <w:left w:val="single" w:color="auto" w:sz="4" w:space="0"/>
              <w:bottom w:val="single" w:color="auto" w:sz="8" w:space="0"/>
              <w:right w:val="single" w:color="auto" w:sz="4" w:space="0"/>
            </w:tcBorders>
            <w:noWrap w:val="0"/>
            <w:vAlign w:val="center"/>
          </w:tcPr>
          <w:p w14:paraId="529B5510">
            <w:pPr>
              <w:jc w:val="center"/>
              <w:outlineLvl w:val="9"/>
              <w:rPr>
                <w:rFonts w:hint="eastAsia" w:ascii="宋体" w:hAnsi="宋体" w:eastAsia="宋体" w:cs="宋体"/>
                <w:sz w:val="21"/>
                <w:szCs w:val="21"/>
              </w:rPr>
            </w:pPr>
            <w:r>
              <w:rPr>
                <w:rFonts w:hint="eastAsia" w:ascii="宋体" w:hAnsi="宋体" w:eastAsia="宋体" w:cs="宋体"/>
                <w:sz w:val="21"/>
                <w:szCs w:val="21"/>
                <w:lang w:eastAsia="zh-CN"/>
              </w:rPr>
              <w:t>市</w:t>
            </w:r>
            <w:r>
              <w:rPr>
                <w:rFonts w:hint="eastAsia" w:ascii="宋体" w:hAnsi="宋体" w:eastAsia="宋体" w:cs="宋体"/>
                <w:sz w:val="21"/>
                <w:szCs w:val="21"/>
                <w:lang w:val="en-US" w:eastAsia="zh-CN"/>
              </w:rPr>
              <w:t>县</w:t>
            </w:r>
            <w:r>
              <w:rPr>
                <w:rFonts w:hint="eastAsia" w:ascii="宋体" w:hAnsi="宋体" w:eastAsia="宋体" w:cs="宋体"/>
                <w:sz w:val="21"/>
                <w:szCs w:val="21"/>
              </w:rPr>
              <w:t>机构设置</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分</w:t>
            </w:r>
          </w:p>
        </w:tc>
        <w:tc>
          <w:tcPr>
            <w:tcW w:w="704" w:type="dxa"/>
            <w:tcBorders>
              <w:top w:val="single" w:color="auto" w:sz="8" w:space="0"/>
              <w:left w:val="single" w:color="auto" w:sz="4" w:space="0"/>
              <w:bottom w:val="single" w:color="auto" w:sz="8" w:space="0"/>
              <w:right w:val="single" w:color="auto" w:sz="8" w:space="0"/>
            </w:tcBorders>
            <w:noWrap w:val="0"/>
            <w:vAlign w:val="center"/>
          </w:tcPr>
          <w:p w14:paraId="6ADCFCE8">
            <w:pPr>
              <w:jc w:val="center"/>
              <w:outlineLvl w:val="9"/>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4</w:t>
            </w:r>
          </w:p>
        </w:tc>
        <w:tc>
          <w:tcPr>
            <w:tcW w:w="2678" w:type="dxa"/>
            <w:tcBorders>
              <w:top w:val="single" w:color="auto" w:sz="8" w:space="0"/>
              <w:left w:val="single" w:color="auto" w:sz="8" w:space="0"/>
              <w:bottom w:val="single" w:color="auto" w:sz="4" w:space="0"/>
              <w:right w:val="single" w:color="auto" w:sz="4" w:space="0"/>
            </w:tcBorders>
            <w:noWrap w:val="0"/>
            <w:vAlign w:val="center"/>
          </w:tcPr>
          <w:p w14:paraId="2D8B573F">
            <w:pP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bottom w:val="single" w:color="auto" w:sz="4" w:space="0"/>
              <w:right w:val="single" w:color="auto" w:sz="4" w:space="0"/>
            </w:tcBorders>
            <w:noWrap w:val="0"/>
            <w:vAlign w:val="center"/>
          </w:tcPr>
          <w:p w14:paraId="1331312E">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bottom w:val="single" w:color="auto" w:sz="4" w:space="0"/>
              <w:right w:val="single" w:color="auto" w:sz="4" w:space="0"/>
            </w:tcBorders>
            <w:noWrap w:val="0"/>
            <w:vAlign w:val="center"/>
          </w:tcPr>
          <w:p w14:paraId="06FA394C">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bottom w:val="single" w:color="auto" w:sz="4" w:space="0"/>
              <w:right w:val="single" w:color="auto" w:sz="4" w:space="0"/>
            </w:tcBorders>
            <w:noWrap w:val="0"/>
            <w:vAlign w:val="center"/>
          </w:tcPr>
          <w:p w14:paraId="69E752A5">
            <w:pPr>
              <w:jc w:val="center"/>
              <w:outlineLvl w:val="9"/>
              <w:rPr>
                <w:rFonts w:hint="eastAsia" w:ascii="宋体" w:hAnsi="宋体" w:eastAsia="宋体" w:cs="宋体"/>
                <w:color w:val="000000"/>
                <w:sz w:val="21"/>
                <w:szCs w:val="21"/>
              </w:rPr>
            </w:pPr>
          </w:p>
        </w:tc>
        <w:tc>
          <w:tcPr>
            <w:tcW w:w="589" w:type="dxa"/>
            <w:tcBorders>
              <w:top w:val="single" w:color="auto" w:sz="8" w:space="0"/>
              <w:left w:val="single" w:color="auto" w:sz="4" w:space="0"/>
              <w:bottom w:val="single" w:color="auto" w:sz="4" w:space="0"/>
              <w:right w:val="single" w:color="auto" w:sz="8" w:space="0"/>
            </w:tcBorders>
            <w:noWrap w:val="0"/>
            <w:vAlign w:val="center"/>
          </w:tcPr>
          <w:p w14:paraId="46E8FBDF">
            <w:pPr>
              <w:jc w:val="center"/>
              <w:outlineLvl w:val="9"/>
              <w:rPr>
                <w:rFonts w:hint="eastAsia" w:ascii="宋体" w:hAnsi="宋体" w:eastAsia="宋体" w:cs="宋体"/>
                <w:color w:val="000000"/>
                <w:sz w:val="21"/>
                <w:szCs w:val="21"/>
              </w:rPr>
            </w:pPr>
          </w:p>
        </w:tc>
      </w:tr>
      <w:tr w14:paraId="0B6A65EA">
        <w:tblPrEx>
          <w:tblCellMar>
            <w:top w:w="0" w:type="dxa"/>
            <w:left w:w="0" w:type="dxa"/>
            <w:bottom w:w="0" w:type="dxa"/>
            <w:right w:w="0" w:type="dxa"/>
          </w:tblCellMar>
        </w:tblPrEx>
        <w:trPr>
          <w:cantSplit/>
          <w:trHeight w:val="454" w:hRule="atLeast"/>
          <w:jc w:val="center"/>
        </w:trPr>
        <w:tc>
          <w:tcPr>
            <w:tcW w:w="543" w:type="dxa"/>
            <w:tcBorders>
              <w:top w:val="single" w:color="auto" w:sz="8" w:space="0"/>
              <w:left w:val="single" w:color="auto" w:sz="8" w:space="0"/>
              <w:bottom w:val="nil"/>
              <w:right w:val="single" w:color="auto" w:sz="4" w:space="0"/>
            </w:tcBorders>
            <w:noWrap w:val="0"/>
            <w:vAlign w:val="center"/>
          </w:tcPr>
          <w:p w14:paraId="21E5A1D1">
            <w:pPr>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1048" w:type="dxa"/>
            <w:vMerge w:val="continue"/>
            <w:tcBorders>
              <w:left w:val="single" w:color="auto" w:sz="4" w:space="0"/>
              <w:right w:val="single" w:color="auto" w:sz="4" w:space="0"/>
            </w:tcBorders>
            <w:noWrap w:val="0"/>
            <w:vAlign w:val="center"/>
          </w:tcPr>
          <w:p w14:paraId="69B45E01">
            <w:pPr>
              <w:ind w:firstLine="105" w:firstLineChars="50"/>
              <w:jc w:val="center"/>
              <w:outlineLvl w:val="9"/>
              <w:rPr>
                <w:rFonts w:hint="eastAsia" w:ascii="宋体" w:hAnsi="宋体" w:eastAsia="宋体" w:cs="宋体"/>
                <w:color w:val="000000"/>
                <w:sz w:val="21"/>
                <w:szCs w:val="21"/>
              </w:rPr>
            </w:pPr>
          </w:p>
        </w:tc>
        <w:tc>
          <w:tcPr>
            <w:tcW w:w="1916" w:type="dxa"/>
            <w:vMerge w:val="restart"/>
            <w:tcBorders>
              <w:top w:val="single" w:color="auto" w:sz="8" w:space="0"/>
              <w:left w:val="single" w:color="auto" w:sz="4" w:space="0"/>
              <w:right w:val="single" w:color="auto" w:sz="4" w:space="0"/>
            </w:tcBorders>
            <w:noWrap w:val="0"/>
            <w:vAlign w:val="center"/>
          </w:tcPr>
          <w:p w14:paraId="666DF6A1">
            <w:pPr>
              <w:jc w:val="center"/>
              <w:outlineLvl w:val="9"/>
              <w:rPr>
                <w:rFonts w:hint="eastAsia" w:ascii="宋体" w:hAnsi="宋体" w:eastAsia="宋体" w:cs="宋体"/>
                <w:sz w:val="21"/>
                <w:szCs w:val="21"/>
              </w:rPr>
            </w:pPr>
            <w:r>
              <w:rPr>
                <w:rFonts w:hint="eastAsia" w:ascii="宋体" w:hAnsi="宋体" w:eastAsia="宋体" w:cs="宋体"/>
                <w:sz w:val="21"/>
                <w:szCs w:val="21"/>
              </w:rPr>
              <w:t>基层服务体系</w:t>
            </w: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分</w:t>
            </w:r>
          </w:p>
        </w:tc>
        <w:tc>
          <w:tcPr>
            <w:tcW w:w="704" w:type="dxa"/>
            <w:tcBorders>
              <w:top w:val="single" w:color="auto" w:sz="8" w:space="0"/>
              <w:left w:val="single" w:color="auto" w:sz="4" w:space="0"/>
              <w:bottom w:val="nil"/>
              <w:right w:val="single" w:color="auto" w:sz="8" w:space="0"/>
            </w:tcBorders>
            <w:noWrap w:val="0"/>
            <w:vAlign w:val="center"/>
          </w:tcPr>
          <w:p w14:paraId="431E51F4">
            <w:pPr>
              <w:jc w:val="center"/>
              <w:outlineLvl w:val="9"/>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5</w:t>
            </w:r>
          </w:p>
        </w:tc>
        <w:tc>
          <w:tcPr>
            <w:tcW w:w="2678" w:type="dxa"/>
            <w:tcBorders>
              <w:top w:val="single" w:color="auto" w:sz="8" w:space="0"/>
              <w:left w:val="single" w:color="auto" w:sz="8" w:space="0"/>
              <w:bottom w:val="nil"/>
              <w:right w:val="single" w:color="auto" w:sz="4" w:space="0"/>
            </w:tcBorders>
            <w:noWrap w:val="0"/>
            <w:vAlign w:val="center"/>
          </w:tcPr>
          <w:p w14:paraId="5F5F0A70">
            <w:pP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bottom w:val="nil"/>
              <w:right w:val="single" w:color="auto" w:sz="4" w:space="0"/>
            </w:tcBorders>
            <w:noWrap w:val="0"/>
            <w:vAlign w:val="center"/>
          </w:tcPr>
          <w:p w14:paraId="6212F38C">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bottom w:val="nil"/>
              <w:right w:val="single" w:color="auto" w:sz="4" w:space="0"/>
            </w:tcBorders>
            <w:noWrap w:val="0"/>
            <w:vAlign w:val="center"/>
          </w:tcPr>
          <w:p w14:paraId="468C28E7">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bottom w:val="nil"/>
              <w:right w:val="single" w:color="auto" w:sz="4" w:space="0"/>
            </w:tcBorders>
            <w:noWrap w:val="0"/>
            <w:vAlign w:val="center"/>
          </w:tcPr>
          <w:p w14:paraId="4FA5C351">
            <w:pPr>
              <w:jc w:val="center"/>
              <w:outlineLvl w:val="9"/>
              <w:rPr>
                <w:rFonts w:hint="eastAsia" w:ascii="宋体" w:hAnsi="宋体" w:eastAsia="宋体" w:cs="宋体"/>
                <w:color w:val="000000"/>
                <w:sz w:val="21"/>
                <w:szCs w:val="21"/>
              </w:rPr>
            </w:pPr>
          </w:p>
        </w:tc>
        <w:tc>
          <w:tcPr>
            <w:tcW w:w="589" w:type="dxa"/>
            <w:tcBorders>
              <w:top w:val="single" w:color="auto" w:sz="8" w:space="0"/>
              <w:left w:val="single" w:color="auto" w:sz="4" w:space="0"/>
              <w:bottom w:val="nil"/>
              <w:right w:val="single" w:color="auto" w:sz="8" w:space="0"/>
            </w:tcBorders>
            <w:noWrap w:val="0"/>
            <w:vAlign w:val="center"/>
          </w:tcPr>
          <w:p w14:paraId="45F7C4FD">
            <w:pPr>
              <w:jc w:val="center"/>
              <w:outlineLvl w:val="9"/>
              <w:rPr>
                <w:rFonts w:hint="eastAsia" w:ascii="宋体" w:hAnsi="宋体" w:eastAsia="宋体" w:cs="宋体"/>
                <w:color w:val="000000"/>
                <w:sz w:val="21"/>
                <w:szCs w:val="21"/>
              </w:rPr>
            </w:pPr>
          </w:p>
        </w:tc>
      </w:tr>
      <w:tr w14:paraId="5933F9CF">
        <w:tblPrEx>
          <w:tblCellMar>
            <w:top w:w="0" w:type="dxa"/>
            <w:left w:w="0" w:type="dxa"/>
            <w:bottom w:w="0" w:type="dxa"/>
            <w:right w:w="0" w:type="dxa"/>
          </w:tblCellMar>
        </w:tblPrEx>
        <w:trPr>
          <w:cantSplit/>
          <w:trHeight w:val="454" w:hRule="atLeast"/>
          <w:jc w:val="center"/>
        </w:trPr>
        <w:tc>
          <w:tcPr>
            <w:tcW w:w="543" w:type="dxa"/>
            <w:tcBorders>
              <w:top w:val="single" w:color="auto" w:sz="8" w:space="0"/>
              <w:left w:val="single" w:color="auto" w:sz="8" w:space="0"/>
              <w:bottom w:val="nil"/>
              <w:right w:val="single" w:color="auto" w:sz="8" w:space="0"/>
            </w:tcBorders>
            <w:noWrap w:val="0"/>
            <w:vAlign w:val="center"/>
          </w:tcPr>
          <w:p w14:paraId="427B39EC">
            <w:pPr>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1048" w:type="dxa"/>
            <w:vMerge w:val="continue"/>
            <w:tcBorders>
              <w:left w:val="single" w:color="auto" w:sz="4" w:space="0"/>
              <w:right w:val="single" w:color="auto" w:sz="4" w:space="0"/>
            </w:tcBorders>
            <w:noWrap w:val="0"/>
            <w:vAlign w:val="center"/>
          </w:tcPr>
          <w:p w14:paraId="32CF7C34">
            <w:pPr>
              <w:jc w:val="center"/>
              <w:outlineLvl w:val="9"/>
              <w:rPr>
                <w:rFonts w:hint="eastAsia" w:ascii="宋体" w:hAnsi="宋体" w:eastAsia="宋体" w:cs="宋体"/>
                <w:color w:val="000000"/>
                <w:sz w:val="21"/>
                <w:szCs w:val="21"/>
              </w:rPr>
            </w:pPr>
          </w:p>
        </w:tc>
        <w:tc>
          <w:tcPr>
            <w:tcW w:w="1916" w:type="dxa"/>
            <w:vMerge w:val="continue"/>
            <w:tcBorders>
              <w:left w:val="single" w:color="auto" w:sz="4" w:space="0"/>
              <w:bottom w:val="nil"/>
              <w:right w:val="single" w:color="auto" w:sz="4" w:space="0"/>
            </w:tcBorders>
            <w:noWrap w:val="0"/>
            <w:vAlign w:val="center"/>
          </w:tcPr>
          <w:p w14:paraId="62C8D104">
            <w:pPr>
              <w:jc w:val="center"/>
              <w:outlineLvl w:val="9"/>
              <w:rPr>
                <w:rFonts w:hint="eastAsia" w:ascii="宋体" w:hAnsi="宋体" w:eastAsia="宋体" w:cs="宋体"/>
                <w:color w:val="000000"/>
                <w:sz w:val="21"/>
                <w:szCs w:val="21"/>
              </w:rPr>
            </w:pPr>
          </w:p>
        </w:tc>
        <w:tc>
          <w:tcPr>
            <w:tcW w:w="704" w:type="dxa"/>
            <w:tcBorders>
              <w:top w:val="single" w:color="auto" w:sz="8" w:space="0"/>
              <w:left w:val="single" w:color="auto" w:sz="8" w:space="0"/>
              <w:bottom w:val="nil"/>
              <w:right w:val="single" w:color="auto" w:sz="8" w:space="0"/>
            </w:tcBorders>
            <w:noWrap w:val="0"/>
            <w:vAlign w:val="center"/>
          </w:tcPr>
          <w:p w14:paraId="0CF8CE28">
            <w:pPr>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2678" w:type="dxa"/>
            <w:tcBorders>
              <w:top w:val="single" w:color="auto" w:sz="8" w:space="0"/>
              <w:left w:val="single" w:color="auto" w:sz="8" w:space="0"/>
              <w:bottom w:val="nil"/>
              <w:right w:val="single" w:color="auto" w:sz="4" w:space="0"/>
            </w:tcBorders>
            <w:noWrap w:val="0"/>
            <w:vAlign w:val="center"/>
          </w:tcPr>
          <w:p w14:paraId="2C96E13F">
            <w:pP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bottom w:val="nil"/>
              <w:right w:val="single" w:color="auto" w:sz="4" w:space="0"/>
            </w:tcBorders>
            <w:noWrap w:val="0"/>
            <w:vAlign w:val="center"/>
          </w:tcPr>
          <w:p w14:paraId="4668EBF0">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bottom w:val="nil"/>
              <w:right w:val="single" w:color="auto" w:sz="4" w:space="0"/>
            </w:tcBorders>
            <w:noWrap w:val="0"/>
            <w:vAlign w:val="center"/>
          </w:tcPr>
          <w:p w14:paraId="55332D9D">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bottom w:val="nil"/>
              <w:right w:val="single" w:color="auto" w:sz="4" w:space="0"/>
            </w:tcBorders>
            <w:noWrap w:val="0"/>
            <w:vAlign w:val="center"/>
          </w:tcPr>
          <w:p w14:paraId="3168CF93">
            <w:pPr>
              <w:jc w:val="center"/>
              <w:outlineLvl w:val="9"/>
              <w:rPr>
                <w:rFonts w:hint="eastAsia" w:ascii="宋体" w:hAnsi="宋体" w:eastAsia="宋体" w:cs="宋体"/>
                <w:color w:val="000000"/>
                <w:sz w:val="21"/>
                <w:szCs w:val="21"/>
              </w:rPr>
            </w:pPr>
          </w:p>
        </w:tc>
        <w:tc>
          <w:tcPr>
            <w:tcW w:w="589" w:type="dxa"/>
            <w:tcBorders>
              <w:top w:val="single" w:color="auto" w:sz="8" w:space="0"/>
              <w:left w:val="single" w:color="auto" w:sz="4" w:space="0"/>
              <w:bottom w:val="nil"/>
              <w:right w:val="single" w:color="auto" w:sz="8" w:space="0"/>
            </w:tcBorders>
            <w:noWrap w:val="0"/>
            <w:vAlign w:val="center"/>
          </w:tcPr>
          <w:p w14:paraId="102E5584">
            <w:pPr>
              <w:jc w:val="center"/>
              <w:outlineLvl w:val="9"/>
              <w:rPr>
                <w:rFonts w:hint="eastAsia" w:ascii="宋体" w:hAnsi="宋体" w:eastAsia="宋体" w:cs="宋体"/>
                <w:color w:val="000000"/>
                <w:sz w:val="21"/>
                <w:szCs w:val="21"/>
              </w:rPr>
            </w:pPr>
          </w:p>
        </w:tc>
      </w:tr>
      <w:tr w14:paraId="1C5FECA8">
        <w:tblPrEx>
          <w:tblCellMar>
            <w:top w:w="0" w:type="dxa"/>
            <w:left w:w="0" w:type="dxa"/>
            <w:bottom w:w="0" w:type="dxa"/>
            <w:right w:w="0" w:type="dxa"/>
          </w:tblCellMar>
        </w:tblPrEx>
        <w:trPr>
          <w:cantSplit/>
          <w:trHeight w:val="454" w:hRule="atLeast"/>
          <w:jc w:val="center"/>
        </w:trPr>
        <w:tc>
          <w:tcPr>
            <w:tcW w:w="543" w:type="dxa"/>
            <w:tcBorders>
              <w:top w:val="single" w:color="auto" w:sz="8" w:space="0"/>
              <w:left w:val="single" w:color="auto" w:sz="8" w:space="0"/>
              <w:right w:val="single" w:color="auto" w:sz="8" w:space="0"/>
            </w:tcBorders>
            <w:noWrap w:val="0"/>
            <w:vAlign w:val="center"/>
          </w:tcPr>
          <w:p w14:paraId="408F5908">
            <w:pPr>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4</w:t>
            </w:r>
          </w:p>
        </w:tc>
        <w:tc>
          <w:tcPr>
            <w:tcW w:w="1048" w:type="dxa"/>
            <w:vMerge w:val="continue"/>
            <w:tcBorders>
              <w:left w:val="single" w:color="auto" w:sz="4" w:space="0"/>
              <w:right w:val="single" w:color="auto" w:sz="4" w:space="0"/>
            </w:tcBorders>
            <w:noWrap w:val="0"/>
            <w:vAlign w:val="center"/>
          </w:tcPr>
          <w:p w14:paraId="6F91A52C">
            <w:pPr>
              <w:jc w:val="center"/>
              <w:outlineLvl w:val="9"/>
              <w:rPr>
                <w:rFonts w:hint="eastAsia" w:ascii="宋体" w:hAnsi="宋体" w:eastAsia="宋体" w:cs="宋体"/>
                <w:color w:val="000000"/>
                <w:sz w:val="21"/>
                <w:szCs w:val="21"/>
              </w:rPr>
            </w:pPr>
          </w:p>
        </w:tc>
        <w:tc>
          <w:tcPr>
            <w:tcW w:w="1916" w:type="dxa"/>
            <w:vMerge w:val="restart"/>
            <w:tcBorders>
              <w:top w:val="single" w:color="auto" w:sz="8" w:space="0"/>
              <w:left w:val="single" w:color="auto" w:sz="4" w:space="0"/>
              <w:right w:val="single" w:color="auto" w:sz="8" w:space="0"/>
            </w:tcBorders>
            <w:noWrap w:val="0"/>
            <w:vAlign w:val="center"/>
          </w:tcPr>
          <w:p w14:paraId="0AE48A03">
            <w:pPr>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正式人员配备</w:t>
            </w:r>
            <w:r>
              <w:rPr>
                <w:rFonts w:hint="eastAsia" w:ascii="宋体" w:hAnsi="宋体" w:eastAsia="宋体" w:cs="宋体"/>
                <w:color w:val="000000"/>
                <w:sz w:val="21"/>
                <w:szCs w:val="21"/>
                <w:lang w:val="en-US" w:eastAsia="zh-CN"/>
              </w:rPr>
              <w:t>12</w:t>
            </w:r>
            <w:r>
              <w:rPr>
                <w:rFonts w:hint="eastAsia" w:ascii="宋体" w:hAnsi="宋体" w:eastAsia="宋体" w:cs="宋体"/>
                <w:color w:val="000000"/>
                <w:sz w:val="21"/>
                <w:szCs w:val="21"/>
              </w:rPr>
              <w:t>分</w:t>
            </w:r>
          </w:p>
        </w:tc>
        <w:tc>
          <w:tcPr>
            <w:tcW w:w="704" w:type="dxa"/>
            <w:tcBorders>
              <w:top w:val="single" w:color="auto" w:sz="8" w:space="0"/>
              <w:left w:val="single" w:color="auto" w:sz="8" w:space="0"/>
              <w:right w:val="single" w:color="auto" w:sz="8" w:space="0"/>
            </w:tcBorders>
            <w:noWrap w:val="0"/>
            <w:vAlign w:val="center"/>
          </w:tcPr>
          <w:p w14:paraId="6D9341FF">
            <w:pPr>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2678" w:type="dxa"/>
            <w:tcBorders>
              <w:top w:val="single" w:color="auto" w:sz="8" w:space="0"/>
              <w:left w:val="single" w:color="auto" w:sz="8" w:space="0"/>
              <w:right w:val="single" w:color="auto" w:sz="4" w:space="0"/>
            </w:tcBorders>
            <w:noWrap w:val="0"/>
            <w:vAlign w:val="center"/>
          </w:tcPr>
          <w:p w14:paraId="0EEDA961">
            <w:pP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5FB26798">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3E6138DA">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13725284">
            <w:pPr>
              <w:jc w:val="center"/>
              <w:outlineLvl w:val="9"/>
              <w:rPr>
                <w:rFonts w:hint="eastAsia" w:ascii="宋体" w:hAnsi="宋体" w:eastAsia="宋体" w:cs="宋体"/>
                <w:color w:val="000000"/>
                <w:sz w:val="21"/>
                <w:szCs w:val="21"/>
              </w:rPr>
            </w:pPr>
          </w:p>
        </w:tc>
        <w:tc>
          <w:tcPr>
            <w:tcW w:w="589" w:type="dxa"/>
            <w:tcBorders>
              <w:top w:val="single" w:color="auto" w:sz="8" w:space="0"/>
              <w:left w:val="single" w:color="auto" w:sz="4" w:space="0"/>
              <w:bottom w:val="single" w:color="auto" w:sz="4" w:space="0"/>
              <w:right w:val="single" w:color="auto" w:sz="8" w:space="0"/>
            </w:tcBorders>
            <w:noWrap w:val="0"/>
            <w:vAlign w:val="center"/>
          </w:tcPr>
          <w:p w14:paraId="71CBBAF8">
            <w:pPr>
              <w:jc w:val="center"/>
              <w:outlineLvl w:val="9"/>
              <w:rPr>
                <w:rFonts w:hint="eastAsia" w:ascii="宋体" w:hAnsi="宋体" w:eastAsia="宋体" w:cs="宋体"/>
                <w:color w:val="000000"/>
                <w:sz w:val="21"/>
                <w:szCs w:val="21"/>
              </w:rPr>
            </w:pPr>
          </w:p>
        </w:tc>
      </w:tr>
      <w:tr w14:paraId="54026F9E">
        <w:tblPrEx>
          <w:tblCellMar>
            <w:top w:w="0" w:type="dxa"/>
            <w:left w:w="0" w:type="dxa"/>
            <w:bottom w:w="0" w:type="dxa"/>
            <w:right w:w="0" w:type="dxa"/>
          </w:tblCellMar>
        </w:tblPrEx>
        <w:trPr>
          <w:cantSplit/>
          <w:trHeight w:val="454" w:hRule="atLeast"/>
          <w:jc w:val="center"/>
        </w:trPr>
        <w:tc>
          <w:tcPr>
            <w:tcW w:w="543" w:type="dxa"/>
            <w:tcBorders>
              <w:top w:val="single" w:color="auto" w:sz="8" w:space="0"/>
              <w:left w:val="single" w:color="auto" w:sz="8" w:space="0"/>
              <w:right w:val="single" w:color="auto" w:sz="8" w:space="0"/>
            </w:tcBorders>
            <w:noWrap w:val="0"/>
            <w:vAlign w:val="center"/>
          </w:tcPr>
          <w:p w14:paraId="423A263B">
            <w:pPr>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5</w:t>
            </w:r>
          </w:p>
        </w:tc>
        <w:tc>
          <w:tcPr>
            <w:tcW w:w="1048" w:type="dxa"/>
            <w:vMerge w:val="continue"/>
            <w:tcBorders>
              <w:left w:val="single" w:color="auto" w:sz="4" w:space="0"/>
              <w:right w:val="single" w:color="auto" w:sz="4" w:space="0"/>
            </w:tcBorders>
            <w:noWrap w:val="0"/>
            <w:vAlign w:val="center"/>
          </w:tcPr>
          <w:p w14:paraId="6F471AB6">
            <w:pPr>
              <w:jc w:val="center"/>
              <w:outlineLvl w:val="9"/>
              <w:rPr>
                <w:rFonts w:hint="eastAsia" w:ascii="宋体" w:hAnsi="宋体" w:eastAsia="宋体" w:cs="宋体"/>
                <w:color w:val="000000"/>
                <w:sz w:val="21"/>
                <w:szCs w:val="21"/>
              </w:rPr>
            </w:pPr>
          </w:p>
        </w:tc>
        <w:tc>
          <w:tcPr>
            <w:tcW w:w="1916" w:type="dxa"/>
            <w:vMerge w:val="continue"/>
            <w:tcBorders>
              <w:left w:val="single" w:color="auto" w:sz="4" w:space="0"/>
              <w:right w:val="single" w:color="auto" w:sz="8" w:space="0"/>
            </w:tcBorders>
            <w:noWrap w:val="0"/>
            <w:vAlign w:val="center"/>
          </w:tcPr>
          <w:p w14:paraId="2212E489">
            <w:pPr>
              <w:jc w:val="center"/>
              <w:outlineLvl w:val="9"/>
              <w:rPr>
                <w:rFonts w:hint="eastAsia" w:ascii="宋体" w:hAnsi="宋体" w:eastAsia="宋体" w:cs="宋体"/>
                <w:color w:val="000000"/>
                <w:sz w:val="21"/>
                <w:szCs w:val="21"/>
              </w:rPr>
            </w:pPr>
          </w:p>
        </w:tc>
        <w:tc>
          <w:tcPr>
            <w:tcW w:w="704" w:type="dxa"/>
            <w:tcBorders>
              <w:top w:val="single" w:color="auto" w:sz="8" w:space="0"/>
              <w:left w:val="single" w:color="auto" w:sz="8" w:space="0"/>
              <w:right w:val="single" w:color="auto" w:sz="8" w:space="0"/>
            </w:tcBorders>
            <w:noWrap w:val="0"/>
            <w:vAlign w:val="center"/>
          </w:tcPr>
          <w:p w14:paraId="090F4430">
            <w:pPr>
              <w:jc w:val="center"/>
              <w:outlineLvl w:val="9"/>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4</w:t>
            </w:r>
          </w:p>
        </w:tc>
        <w:tc>
          <w:tcPr>
            <w:tcW w:w="2678" w:type="dxa"/>
            <w:tcBorders>
              <w:top w:val="single" w:color="auto" w:sz="8" w:space="0"/>
              <w:left w:val="single" w:color="auto" w:sz="8" w:space="0"/>
              <w:right w:val="single" w:color="auto" w:sz="4" w:space="0"/>
            </w:tcBorders>
            <w:noWrap w:val="0"/>
            <w:vAlign w:val="center"/>
          </w:tcPr>
          <w:p w14:paraId="523EB259">
            <w:pP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552C76EA">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37EFB712">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213394FF">
            <w:pPr>
              <w:jc w:val="center"/>
              <w:outlineLvl w:val="9"/>
              <w:rPr>
                <w:rFonts w:hint="eastAsia" w:ascii="宋体" w:hAnsi="宋体" w:eastAsia="宋体" w:cs="宋体"/>
                <w:color w:val="000000"/>
                <w:sz w:val="21"/>
                <w:szCs w:val="21"/>
              </w:rPr>
            </w:pPr>
          </w:p>
        </w:tc>
        <w:tc>
          <w:tcPr>
            <w:tcW w:w="589" w:type="dxa"/>
            <w:tcBorders>
              <w:top w:val="single" w:color="auto" w:sz="8" w:space="0"/>
              <w:left w:val="single" w:color="auto" w:sz="4" w:space="0"/>
              <w:bottom w:val="single" w:color="auto" w:sz="4" w:space="0"/>
              <w:right w:val="single" w:color="auto" w:sz="8" w:space="0"/>
            </w:tcBorders>
            <w:noWrap w:val="0"/>
            <w:vAlign w:val="center"/>
          </w:tcPr>
          <w:p w14:paraId="3AD7C4A8">
            <w:pPr>
              <w:jc w:val="center"/>
              <w:outlineLvl w:val="9"/>
              <w:rPr>
                <w:rFonts w:hint="eastAsia" w:ascii="宋体" w:hAnsi="宋体" w:eastAsia="宋体" w:cs="宋体"/>
                <w:color w:val="000000"/>
                <w:sz w:val="21"/>
                <w:szCs w:val="21"/>
              </w:rPr>
            </w:pPr>
          </w:p>
        </w:tc>
      </w:tr>
      <w:tr w14:paraId="487AF164">
        <w:tblPrEx>
          <w:tblCellMar>
            <w:top w:w="0" w:type="dxa"/>
            <w:left w:w="0" w:type="dxa"/>
            <w:bottom w:w="0" w:type="dxa"/>
            <w:right w:w="0" w:type="dxa"/>
          </w:tblCellMar>
        </w:tblPrEx>
        <w:trPr>
          <w:cantSplit/>
          <w:trHeight w:val="454" w:hRule="atLeast"/>
          <w:jc w:val="center"/>
        </w:trPr>
        <w:tc>
          <w:tcPr>
            <w:tcW w:w="543" w:type="dxa"/>
            <w:tcBorders>
              <w:top w:val="single" w:color="auto" w:sz="8" w:space="0"/>
              <w:left w:val="single" w:color="auto" w:sz="8" w:space="0"/>
              <w:right w:val="single" w:color="auto" w:sz="8" w:space="0"/>
            </w:tcBorders>
            <w:noWrap w:val="0"/>
            <w:vAlign w:val="center"/>
          </w:tcPr>
          <w:p w14:paraId="76B8EDAD">
            <w:pPr>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6</w:t>
            </w:r>
          </w:p>
        </w:tc>
        <w:tc>
          <w:tcPr>
            <w:tcW w:w="1048" w:type="dxa"/>
            <w:vMerge w:val="continue"/>
            <w:tcBorders>
              <w:left w:val="single" w:color="auto" w:sz="4" w:space="0"/>
              <w:right w:val="single" w:color="auto" w:sz="4" w:space="0"/>
            </w:tcBorders>
            <w:noWrap w:val="0"/>
            <w:vAlign w:val="center"/>
          </w:tcPr>
          <w:p w14:paraId="1E2A6497">
            <w:pPr>
              <w:jc w:val="center"/>
              <w:outlineLvl w:val="9"/>
              <w:rPr>
                <w:rFonts w:hint="eastAsia" w:ascii="宋体" w:hAnsi="宋体" w:eastAsia="宋体" w:cs="宋体"/>
                <w:color w:val="000000"/>
                <w:sz w:val="21"/>
                <w:szCs w:val="21"/>
              </w:rPr>
            </w:pPr>
          </w:p>
        </w:tc>
        <w:tc>
          <w:tcPr>
            <w:tcW w:w="1916" w:type="dxa"/>
            <w:tcBorders>
              <w:top w:val="single" w:color="auto" w:sz="8" w:space="0"/>
              <w:left w:val="single" w:color="auto" w:sz="4" w:space="0"/>
              <w:right w:val="single" w:color="auto" w:sz="8" w:space="0"/>
            </w:tcBorders>
            <w:noWrap w:val="0"/>
            <w:vAlign w:val="center"/>
          </w:tcPr>
          <w:p w14:paraId="10F3B266">
            <w:pPr>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兼职人员配备</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分</w:t>
            </w:r>
          </w:p>
        </w:tc>
        <w:tc>
          <w:tcPr>
            <w:tcW w:w="704" w:type="dxa"/>
            <w:tcBorders>
              <w:top w:val="single" w:color="auto" w:sz="8" w:space="0"/>
              <w:left w:val="single" w:color="auto" w:sz="8" w:space="0"/>
              <w:right w:val="single" w:color="auto" w:sz="8" w:space="0"/>
            </w:tcBorders>
            <w:noWrap w:val="0"/>
            <w:vAlign w:val="center"/>
          </w:tcPr>
          <w:p w14:paraId="5BE6428F">
            <w:pPr>
              <w:jc w:val="center"/>
              <w:outlineLvl w:val="9"/>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5</w:t>
            </w:r>
          </w:p>
        </w:tc>
        <w:tc>
          <w:tcPr>
            <w:tcW w:w="2678" w:type="dxa"/>
            <w:tcBorders>
              <w:top w:val="single" w:color="auto" w:sz="8" w:space="0"/>
              <w:left w:val="single" w:color="auto" w:sz="8" w:space="0"/>
              <w:right w:val="single" w:color="auto" w:sz="4" w:space="0"/>
            </w:tcBorders>
            <w:noWrap w:val="0"/>
            <w:vAlign w:val="center"/>
          </w:tcPr>
          <w:p w14:paraId="6E2B94CA">
            <w:pP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684FA45A">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72F48467">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797B2A6D">
            <w:pPr>
              <w:jc w:val="center"/>
              <w:outlineLvl w:val="9"/>
              <w:rPr>
                <w:rFonts w:hint="eastAsia" w:ascii="宋体" w:hAnsi="宋体" w:eastAsia="宋体" w:cs="宋体"/>
                <w:color w:val="000000"/>
                <w:sz w:val="21"/>
                <w:szCs w:val="21"/>
              </w:rPr>
            </w:pPr>
          </w:p>
        </w:tc>
        <w:tc>
          <w:tcPr>
            <w:tcW w:w="589" w:type="dxa"/>
            <w:tcBorders>
              <w:top w:val="single" w:color="auto" w:sz="8" w:space="0"/>
              <w:left w:val="single" w:color="auto" w:sz="4" w:space="0"/>
              <w:bottom w:val="single" w:color="auto" w:sz="4" w:space="0"/>
              <w:right w:val="single" w:color="auto" w:sz="8" w:space="0"/>
            </w:tcBorders>
            <w:noWrap w:val="0"/>
            <w:vAlign w:val="center"/>
          </w:tcPr>
          <w:p w14:paraId="25AD89C6">
            <w:pPr>
              <w:jc w:val="center"/>
              <w:outlineLvl w:val="9"/>
              <w:rPr>
                <w:rFonts w:hint="eastAsia" w:ascii="宋体" w:hAnsi="宋体" w:eastAsia="宋体" w:cs="宋体"/>
                <w:color w:val="000000"/>
                <w:sz w:val="21"/>
                <w:szCs w:val="21"/>
              </w:rPr>
            </w:pPr>
          </w:p>
        </w:tc>
      </w:tr>
      <w:tr w14:paraId="26CB7B20">
        <w:tblPrEx>
          <w:tblCellMar>
            <w:top w:w="0" w:type="dxa"/>
            <w:left w:w="0" w:type="dxa"/>
            <w:bottom w:w="0" w:type="dxa"/>
            <w:right w:w="0" w:type="dxa"/>
          </w:tblCellMar>
        </w:tblPrEx>
        <w:trPr>
          <w:cantSplit/>
          <w:trHeight w:val="454" w:hRule="atLeast"/>
          <w:jc w:val="center"/>
        </w:trPr>
        <w:tc>
          <w:tcPr>
            <w:tcW w:w="543" w:type="dxa"/>
            <w:tcBorders>
              <w:top w:val="single" w:color="auto" w:sz="8" w:space="0"/>
              <w:left w:val="single" w:color="auto" w:sz="8" w:space="0"/>
              <w:bottom w:val="single" w:color="auto" w:sz="4" w:space="0"/>
              <w:right w:val="single" w:color="auto" w:sz="8" w:space="0"/>
            </w:tcBorders>
            <w:noWrap w:val="0"/>
            <w:vAlign w:val="center"/>
          </w:tcPr>
          <w:p w14:paraId="54DB71C9">
            <w:pPr>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7</w:t>
            </w:r>
          </w:p>
        </w:tc>
        <w:tc>
          <w:tcPr>
            <w:tcW w:w="1048" w:type="dxa"/>
            <w:vMerge w:val="continue"/>
            <w:tcBorders>
              <w:left w:val="single" w:color="auto" w:sz="4" w:space="0"/>
              <w:right w:val="single" w:color="auto" w:sz="4" w:space="0"/>
            </w:tcBorders>
            <w:noWrap w:val="0"/>
            <w:vAlign w:val="center"/>
          </w:tcPr>
          <w:p w14:paraId="5F92B9E9">
            <w:pPr>
              <w:jc w:val="center"/>
              <w:outlineLvl w:val="9"/>
              <w:rPr>
                <w:rFonts w:hint="eastAsia" w:ascii="宋体" w:hAnsi="宋体" w:eastAsia="宋体" w:cs="宋体"/>
                <w:color w:val="000000"/>
                <w:sz w:val="21"/>
                <w:szCs w:val="21"/>
              </w:rPr>
            </w:pPr>
          </w:p>
        </w:tc>
        <w:tc>
          <w:tcPr>
            <w:tcW w:w="1916" w:type="dxa"/>
            <w:tcBorders>
              <w:top w:val="single" w:color="auto" w:sz="8" w:space="0"/>
              <w:left w:val="single" w:color="auto" w:sz="4" w:space="0"/>
              <w:right w:val="single" w:color="auto" w:sz="8" w:space="0"/>
            </w:tcBorders>
            <w:noWrap w:val="0"/>
            <w:vAlign w:val="center"/>
          </w:tcPr>
          <w:p w14:paraId="73615022">
            <w:pPr>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汽车配备</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分</w:t>
            </w:r>
          </w:p>
        </w:tc>
        <w:tc>
          <w:tcPr>
            <w:tcW w:w="704" w:type="dxa"/>
            <w:tcBorders>
              <w:top w:val="single" w:color="auto" w:sz="8" w:space="0"/>
              <w:left w:val="single" w:color="auto" w:sz="8" w:space="0"/>
              <w:right w:val="single" w:color="auto" w:sz="8" w:space="0"/>
            </w:tcBorders>
            <w:noWrap w:val="0"/>
            <w:vAlign w:val="center"/>
          </w:tcPr>
          <w:p w14:paraId="6FA1F7D2">
            <w:pPr>
              <w:jc w:val="center"/>
              <w:outlineLvl w:val="9"/>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2</w:t>
            </w:r>
          </w:p>
        </w:tc>
        <w:tc>
          <w:tcPr>
            <w:tcW w:w="2678" w:type="dxa"/>
            <w:tcBorders>
              <w:top w:val="single" w:color="auto" w:sz="8" w:space="0"/>
              <w:left w:val="single" w:color="auto" w:sz="8" w:space="0"/>
              <w:right w:val="single" w:color="auto" w:sz="4" w:space="0"/>
            </w:tcBorders>
            <w:noWrap w:val="0"/>
            <w:vAlign w:val="center"/>
          </w:tcPr>
          <w:p w14:paraId="6A37BB13">
            <w:pP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1D807A89">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4819A765">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3580FFE6">
            <w:pPr>
              <w:jc w:val="center"/>
              <w:outlineLvl w:val="9"/>
              <w:rPr>
                <w:rFonts w:hint="eastAsia" w:ascii="宋体" w:hAnsi="宋体" w:eastAsia="宋体" w:cs="宋体"/>
                <w:color w:val="000000"/>
                <w:sz w:val="21"/>
                <w:szCs w:val="21"/>
              </w:rPr>
            </w:pPr>
          </w:p>
        </w:tc>
        <w:tc>
          <w:tcPr>
            <w:tcW w:w="589" w:type="dxa"/>
            <w:tcBorders>
              <w:top w:val="single" w:color="auto" w:sz="8" w:space="0"/>
              <w:left w:val="single" w:color="auto" w:sz="4" w:space="0"/>
              <w:bottom w:val="single" w:color="auto" w:sz="4" w:space="0"/>
              <w:right w:val="single" w:color="auto" w:sz="8" w:space="0"/>
            </w:tcBorders>
            <w:noWrap w:val="0"/>
            <w:vAlign w:val="center"/>
          </w:tcPr>
          <w:p w14:paraId="247F90B7">
            <w:pPr>
              <w:jc w:val="center"/>
              <w:outlineLvl w:val="9"/>
              <w:rPr>
                <w:rFonts w:hint="eastAsia" w:ascii="宋体" w:hAnsi="宋体" w:eastAsia="宋体" w:cs="宋体"/>
                <w:color w:val="000000"/>
                <w:sz w:val="21"/>
                <w:szCs w:val="21"/>
              </w:rPr>
            </w:pPr>
          </w:p>
        </w:tc>
      </w:tr>
      <w:tr w14:paraId="2F2EEB3D">
        <w:tblPrEx>
          <w:tblCellMar>
            <w:top w:w="0" w:type="dxa"/>
            <w:left w:w="0" w:type="dxa"/>
            <w:bottom w:w="0" w:type="dxa"/>
            <w:right w:w="0" w:type="dxa"/>
          </w:tblCellMar>
        </w:tblPrEx>
        <w:trPr>
          <w:cantSplit/>
          <w:trHeight w:val="454" w:hRule="atLeast"/>
          <w:jc w:val="center"/>
        </w:trPr>
        <w:tc>
          <w:tcPr>
            <w:tcW w:w="543" w:type="dxa"/>
            <w:tcBorders>
              <w:top w:val="single" w:color="auto" w:sz="8" w:space="0"/>
              <w:left w:val="single" w:color="auto" w:sz="8" w:space="0"/>
              <w:bottom w:val="single" w:color="auto" w:sz="4" w:space="0"/>
              <w:right w:val="single" w:color="auto" w:sz="8" w:space="0"/>
            </w:tcBorders>
            <w:noWrap w:val="0"/>
            <w:vAlign w:val="center"/>
          </w:tcPr>
          <w:p w14:paraId="5A9D7FC8">
            <w:pPr>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8</w:t>
            </w:r>
          </w:p>
        </w:tc>
        <w:tc>
          <w:tcPr>
            <w:tcW w:w="1048" w:type="dxa"/>
            <w:vMerge w:val="continue"/>
            <w:tcBorders>
              <w:left w:val="single" w:color="auto" w:sz="4" w:space="0"/>
              <w:bottom w:val="single" w:color="auto" w:sz="4" w:space="0"/>
              <w:right w:val="single" w:color="auto" w:sz="4" w:space="0"/>
            </w:tcBorders>
            <w:noWrap w:val="0"/>
            <w:vAlign w:val="center"/>
          </w:tcPr>
          <w:p w14:paraId="61BA359C">
            <w:pPr>
              <w:jc w:val="center"/>
              <w:outlineLvl w:val="9"/>
              <w:rPr>
                <w:rFonts w:hint="eastAsia" w:ascii="宋体" w:hAnsi="宋体" w:eastAsia="宋体" w:cs="宋体"/>
                <w:color w:val="000000"/>
                <w:sz w:val="21"/>
                <w:szCs w:val="21"/>
              </w:rPr>
            </w:pPr>
          </w:p>
        </w:tc>
        <w:tc>
          <w:tcPr>
            <w:tcW w:w="1916" w:type="dxa"/>
            <w:tcBorders>
              <w:top w:val="single" w:color="auto" w:sz="8" w:space="0"/>
              <w:left w:val="single" w:color="auto" w:sz="4" w:space="0"/>
              <w:right w:val="single" w:color="auto" w:sz="8" w:space="0"/>
            </w:tcBorders>
            <w:noWrap w:val="0"/>
            <w:vAlign w:val="center"/>
          </w:tcPr>
          <w:p w14:paraId="4389C290">
            <w:pPr>
              <w:jc w:val="center"/>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信息化水平</w:t>
            </w:r>
            <w:r>
              <w:rPr>
                <w:rFonts w:hint="eastAsia" w:ascii="宋体" w:hAnsi="宋体" w:eastAsia="宋体" w:cs="宋体"/>
                <w:color w:val="000000"/>
                <w:sz w:val="21"/>
                <w:szCs w:val="21"/>
                <w:lang w:val="en-US" w:eastAsia="zh-CN"/>
              </w:rPr>
              <w:t>5分</w:t>
            </w:r>
          </w:p>
        </w:tc>
        <w:tc>
          <w:tcPr>
            <w:tcW w:w="704" w:type="dxa"/>
            <w:tcBorders>
              <w:top w:val="single" w:color="auto" w:sz="8" w:space="0"/>
              <w:left w:val="single" w:color="auto" w:sz="8" w:space="0"/>
              <w:right w:val="single" w:color="auto" w:sz="8" w:space="0"/>
            </w:tcBorders>
            <w:noWrap w:val="0"/>
            <w:vAlign w:val="center"/>
          </w:tcPr>
          <w:p w14:paraId="62E8EC2E">
            <w:pPr>
              <w:jc w:val="center"/>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2678" w:type="dxa"/>
            <w:tcBorders>
              <w:top w:val="single" w:color="auto" w:sz="8" w:space="0"/>
              <w:left w:val="single" w:color="auto" w:sz="8" w:space="0"/>
              <w:right w:val="single" w:color="auto" w:sz="4" w:space="0"/>
            </w:tcBorders>
            <w:noWrap w:val="0"/>
            <w:vAlign w:val="center"/>
          </w:tcPr>
          <w:p w14:paraId="5F007550">
            <w:pP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7BDB82E8">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2E1EC334">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2AD7BDF3">
            <w:pPr>
              <w:jc w:val="center"/>
              <w:outlineLvl w:val="9"/>
              <w:rPr>
                <w:rFonts w:hint="eastAsia" w:ascii="宋体" w:hAnsi="宋体" w:eastAsia="宋体" w:cs="宋体"/>
                <w:color w:val="000000"/>
                <w:sz w:val="21"/>
                <w:szCs w:val="21"/>
              </w:rPr>
            </w:pPr>
          </w:p>
        </w:tc>
        <w:tc>
          <w:tcPr>
            <w:tcW w:w="589" w:type="dxa"/>
            <w:tcBorders>
              <w:top w:val="single" w:color="auto" w:sz="8" w:space="0"/>
              <w:left w:val="single" w:color="auto" w:sz="4" w:space="0"/>
              <w:bottom w:val="single" w:color="auto" w:sz="4" w:space="0"/>
              <w:right w:val="single" w:color="auto" w:sz="8" w:space="0"/>
            </w:tcBorders>
            <w:noWrap w:val="0"/>
            <w:vAlign w:val="center"/>
          </w:tcPr>
          <w:p w14:paraId="704F64C5">
            <w:pPr>
              <w:jc w:val="center"/>
              <w:outlineLvl w:val="9"/>
              <w:rPr>
                <w:rFonts w:hint="eastAsia" w:ascii="宋体" w:hAnsi="宋体" w:eastAsia="宋体" w:cs="宋体"/>
                <w:color w:val="000000"/>
                <w:sz w:val="21"/>
                <w:szCs w:val="21"/>
              </w:rPr>
            </w:pPr>
          </w:p>
        </w:tc>
      </w:tr>
      <w:tr w14:paraId="60004D02">
        <w:tblPrEx>
          <w:tblCellMar>
            <w:top w:w="0" w:type="dxa"/>
            <w:left w:w="0" w:type="dxa"/>
            <w:bottom w:w="0" w:type="dxa"/>
            <w:right w:w="0" w:type="dxa"/>
          </w:tblCellMar>
        </w:tblPrEx>
        <w:trPr>
          <w:cantSplit/>
          <w:trHeight w:val="454" w:hRule="atLeast"/>
          <w:jc w:val="center"/>
        </w:trPr>
        <w:tc>
          <w:tcPr>
            <w:tcW w:w="543" w:type="dxa"/>
            <w:tcBorders>
              <w:top w:val="single" w:color="auto" w:sz="4" w:space="0"/>
              <w:left w:val="single" w:color="auto" w:sz="8" w:space="0"/>
              <w:right w:val="single" w:color="auto" w:sz="8" w:space="0"/>
            </w:tcBorders>
            <w:noWrap w:val="0"/>
            <w:vAlign w:val="center"/>
          </w:tcPr>
          <w:p w14:paraId="5FD11A37">
            <w:pPr>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9</w:t>
            </w:r>
          </w:p>
        </w:tc>
        <w:tc>
          <w:tcPr>
            <w:tcW w:w="1048" w:type="dxa"/>
            <w:vMerge w:val="restart"/>
            <w:tcBorders>
              <w:top w:val="single" w:color="auto" w:sz="4" w:space="0"/>
              <w:left w:val="single" w:color="auto" w:sz="4" w:space="0"/>
              <w:right w:val="single" w:color="auto" w:sz="4" w:space="0"/>
            </w:tcBorders>
            <w:noWrap w:val="0"/>
            <w:vAlign w:val="center"/>
          </w:tcPr>
          <w:p w14:paraId="79F30EFA">
            <w:pPr>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服务业绩</w:t>
            </w:r>
            <w:r>
              <w:rPr>
                <w:rFonts w:hint="eastAsia" w:ascii="宋体" w:hAnsi="宋体" w:eastAsia="宋体" w:cs="宋体"/>
                <w:color w:val="000000"/>
                <w:sz w:val="21"/>
                <w:szCs w:val="21"/>
                <w:lang w:val="en-US" w:eastAsia="zh-CN"/>
              </w:rPr>
              <w:t>25</w:t>
            </w:r>
            <w:r>
              <w:rPr>
                <w:rFonts w:hint="eastAsia" w:ascii="宋体" w:hAnsi="宋体" w:eastAsia="宋体" w:cs="宋体"/>
                <w:color w:val="000000"/>
                <w:sz w:val="21"/>
                <w:szCs w:val="21"/>
              </w:rPr>
              <w:t>分</w:t>
            </w:r>
          </w:p>
        </w:tc>
        <w:tc>
          <w:tcPr>
            <w:tcW w:w="1916" w:type="dxa"/>
            <w:vMerge w:val="restart"/>
            <w:tcBorders>
              <w:top w:val="single" w:color="auto" w:sz="8" w:space="0"/>
              <w:left w:val="single" w:color="auto" w:sz="4" w:space="0"/>
              <w:right w:val="single" w:color="auto" w:sz="8" w:space="0"/>
            </w:tcBorders>
            <w:noWrap w:val="0"/>
            <w:vAlign w:val="center"/>
          </w:tcPr>
          <w:p w14:paraId="66B26353">
            <w:pPr>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历史理赔情况1</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分</w:t>
            </w:r>
          </w:p>
        </w:tc>
        <w:tc>
          <w:tcPr>
            <w:tcW w:w="704" w:type="dxa"/>
            <w:tcBorders>
              <w:top w:val="single" w:color="auto" w:sz="8" w:space="0"/>
              <w:left w:val="single" w:color="auto" w:sz="8" w:space="0"/>
              <w:right w:val="single" w:color="auto" w:sz="8" w:space="0"/>
            </w:tcBorders>
            <w:noWrap w:val="0"/>
            <w:vAlign w:val="center"/>
          </w:tcPr>
          <w:p w14:paraId="61F5E20B">
            <w:pPr>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2678" w:type="dxa"/>
            <w:tcBorders>
              <w:top w:val="single" w:color="auto" w:sz="8" w:space="0"/>
              <w:left w:val="single" w:color="auto" w:sz="8" w:space="0"/>
              <w:right w:val="single" w:color="auto" w:sz="4" w:space="0"/>
            </w:tcBorders>
            <w:noWrap w:val="0"/>
            <w:vAlign w:val="center"/>
          </w:tcPr>
          <w:p w14:paraId="7A34D34B">
            <w:pP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580A30D6">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1DB44C6E">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3F6C2277">
            <w:pPr>
              <w:jc w:val="center"/>
              <w:outlineLvl w:val="9"/>
              <w:rPr>
                <w:rFonts w:hint="eastAsia" w:ascii="宋体" w:hAnsi="宋体" w:eastAsia="宋体" w:cs="宋体"/>
                <w:color w:val="000000"/>
                <w:sz w:val="21"/>
                <w:szCs w:val="21"/>
              </w:rPr>
            </w:pPr>
          </w:p>
        </w:tc>
        <w:tc>
          <w:tcPr>
            <w:tcW w:w="589" w:type="dxa"/>
            <w:tcBorders>
              <w:top w:val="single" w:color="auto" w:sz="8" w:space="0"/>
              <w:left w:val="single" w:color="auto" w:sz="4" w:space="0"/>
              <w:bottom w:val="single" w:color="auto" w:sz="4" w:space="0"/>
              <w:right w:val="single" w:color="auto" w:sz="8" w:space="0"/>
            </w:tcBorders>
            <w:noWrap w:val="0"/>
            <w:vAlign w:val="center"/>
          </w:tcPr>
          <w:p w14:paraId="433AB92C">
            <w:pPr>
              <w:jc w:val="center"/>
              <w:outlineLvl w:val="9"/>
              <w:rPr>
                <w:rFonts w:hint="eastAsia" w:ascii="宋体" w:hAnsi="宋体" w:eastAsia="宋体" w:cs="宋体"/>
                <w:color w:val="000000"/>
                <w:sz w:val="21"/>
                <w:szCs w:val="21"/>
              </w:rPr>
            </w:pPr>
          </w:p>
        </w:tc>
      </w:tr>
      <w:tr w14:paraId="391AA2BF">
        <w:tblPrEx>
          <w:tblCellMar>
            <w:top w:w="0" w:type="dxa"/>
            <w:left w:w="0" w:type="dxa"/>
            <w:bottom w:w="0" w:type="dxa"/>
            <w:right w:w="0" w:type="dxa"/>
          </w:tblCellMar>
        </w:tblPrEx>
        <w:trPr>
          <w:cantSplit/>
          <w:trHeight w:val="454" w:hRule="atLeast"/>
          <w:jc w:val="center"/>
        </w:trPr>
        <w:tc>
          <w:tcPr>
            <w:tcW w:w="543" w:type="dxa"/>
            <w:tcBorders>
              <w:top w:val="single" w:color="auto" w:sz="8" w:space="0"/>
              <w:left w:val="single" w:color="auto" w:sz="8" w:space="0"/>
              <w:right w:val="single" w:color="auto" w:sz="8" w:space="0"/>
            </w:tcBorders>
            <w:noWrap w:val="0"/>
            <w:vAlign w:val="center"/>
          </w:tcPr>
          <w:p w14:paraId="7564FBE2">
            <w:pPr>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10</w:t>
            </w:r>
          </w:p>
        </w:tc>
        <w:tc>
          <w:tcPr>
            <w:tcW w:w="1048" w:type="dxa"/>
            <w:vMerge w:val="continue"/>
            <w:tcBorders>
              <w:left w:val="single" w:color="auto" w:sz="4" w:space="0"/>
              <w:right w:val="single" w:color="auto" w:sz="4" w:space="0"/>
            </w:tcBorders>
            <w:noWrap w:val="0"/>
            <w:vAlign w:val="center"/>
          </w:tcPr>
          <w:p w14:paraId="7C1E5E6E">
            <w:pPr>
              <w:jc w:val="center"/>
              <w:outlineLvl w:val="9"/>
              <w:rPr>
                <w:rFonts w:hint="eastAsia" w:ascii="宋体" w:hAnsi="宋体" w:eastAsia="宋体" w:cs="宋体"/>
                <w:color w:val="000000"/>
                <w:sz w:val="21"/>
                <w:szCs w:val="21"/>
              </w:rPr>
            </w:pPr>
          </w:p>
        </w:tc>
        <w:tc>
          <w:tcPr>
            <w:tcW w:w="1916" w:type="dxa"/>
            <w:vMerge w:val="continue"/>
            <w:tcBorders>
              <w:left w:val="single" w:color="auto" w:sz="4" w:space="0"/>
              <w:right w:val="single" w:color="auto" w:sz="8" w:space="0"/>
            </w:tcBorders>
            <w:noWrap w:val="0"/>
            <w:vAlign w:val="center"/>
          </w:tcPr>
          <w:p w14:paraId="20A42B61">
            <w:pPr>
              <w:jc w:val="center"/>
              <w:outlineLvl w:val="9"/>
              <w:rPr>
                <w:rFonts w:hint="eastAsia" w:ascii="宋体" w:hAnsi="宋体" w:eastAsia="宋体" w:cs="宋体"/>
                <w:color w:val="000000"/>
                <w:sz w:val="21"/>
                <w:szCs w:val="21"/>
              </w:rPr>
            </w:pPr>
          </w:p>
        </w:tc>
        <w:tc>
          <w:tcPr>
            <w:tcW w:w="704" w:type="dxa"/>
            <w:tcBorders>
              <w:top w:val="single" w:color="auto" w:sz="8" w:space="0"/>
              <w:left w:val="single" w:color="auto" w:sz="8" w:space="0"/>
              <w:right w:val="single" w:color="auto" w:sz="8" w:space="0"/>
            </w:tcBorders>
            <w:noWrap w:val="0"/>
            <w:vAlign w:val="center"/>
          </w:tcPr>
          <w:p w14:paraId="0BF799A1">
            <w:pPr>
              <w:jc w:val="center"/>
              <w:outlineLvl w:val="9"/>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6</w:t>
            </w:r>
          </w:p>
        </w:tc>
        <w:tc>
          <w:tcPr>
            <w:tcW w:w="2678" w:type="dxa"/>
            <w:tcBorders>
              <w:top w:val="single" w:color="auto" w:sz="8" w:space="0"/>
              <w:left w:val="single" w:color="auto" w:sz="8" w:space="0"/>
              <w:right w:val="single" w:color="auto" w:sz="4" w:space="0"/>
            </w:tcBorders>
            <w:noWrap w:val="0"/>
            <w:vAlign w:val="center"/>
          </w:tcPr>
          <w:p w14:paraId="6E2D2D78">
            <w:pP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4B8F0560">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6DB98434">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7020B1CB">
            <w:pPr>
              <w:jc w:val="center"/>
              <w:outlineLvl w:val="9"/>
              <w:rPr>
                <w:rFonts w:hint="eastAsia" w:ascii="宋体" w:hAnsi="宋体" w:eastAsia="宋体" w:cs="宋体"/>
                <w:color w:val="000000"/>
                <w:sz w:val="21"/>
                <w:szCs w:val="21"/>
              </w:rPr>
            </w:pPr>
          </w:p>
        </w:tc>
        <w:tc>
          <w:tcPr>
            <w:tcW w:w="589" w:type="dxa"/>
            <w:tcBorders>
              <w:top w:val="single" w:color="auto" w:sz="8" w:space="0"/>
              <w:left w:val="single" w:color="auto" w:sz="4" w:space="0"/>
              <w:bottom w:val="single" w:color="auto" w:sz="4" w:space="0"/>
              <w:right w:val="single" w:color="auto" w:sz="8" w:space="0"/>
            </w:tcBorders>
            <w:noWrap w:val="0"/>
            <w:vAlign w:val="center"/>
          </w:tcPr>
          <w:p w14:paraId="5AF075D9">
            <w:pPr>
              <w:jc w:val="center"/>
              <w:outlineLvl w:val="9"/>
              <w:rPr>
                <w:rFonts w:hint="eastAsia" w:ascii="宋体" w:hAnsi="宋体" w:eastAsia="宋体" w:cs="宋体"/>
                <w:color w:val="000000"/>
                <w:sz w:val="21"/>
                <w:szCs w:val="21"/>
              </w:rPr>
            </w:pPr>
          </w:p>
        </w:tc>
      </w:tr>
      <w:tr w14:paraId="32D40FED">
        <w:tblPrEx>
          <w:tblCellMar>
            <w:top w:w="0" w:type="dxa"/>
            <w:left w:w="0" w:type="dxa"/>
            <w:bottom w:w="0" w:type="dxa"/>
            <w:right w:w="0" w:type="dxa"/>
          </w:tblCellMar>
        </w:tblPrEx>
        <w:trPr>
          <w:cantSplit/>
          <w:trHeight w:val="454" w:hRule="atLeast"/>
          <w:jc w:val="center"/>
        </w:trPr>
        <w:tc>
          <w:tcPr>
            <w:tcW w:w="543" w:type="dxa"/>
            <w:tcBorders>
              <w:top w:val="single" w:color="auto" w:sz="8" w:space="0"/>
              <w:left w:val="single" w:color="auto" w:sz="8" w:space="0"/>
              <w:right w:val="single" w:color="auto" w:sz="8" w:space="0"/>
            </w:tcBorders>
            <w:noWrap w:val="0"/>
            <w:vAlign w:val="center"/>
          </w:tcPr>
          <w:p w14:paraId="4FBEC412">
            <w:pPr>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11</w:t>
            </w:r>
          </w:p>
        </w:tc>
        <w:tc>
          <w:tcPr>
            <w:tcW w:w="1048" w:type="dxa"/>
            <w:vMerge w:val="continue"/>
            <w:tcBorders>
              <w:left w:val="single" w:color="auto" w:sz="4" w:space="0"/>
              <w:right w:val="single" w:color="auto" w:sz="4" w:space="0"/>
            </w:tcBorders>
            <w:noWrap w:val="0"/>
            <w:vAlign w:val="center"/>
          </w:tcPr>
          <w:p w14:paraId="2676229C">
            <w:pPr>
              <w:jc w:val="center"/>
              <w:outlineLvl w:val="9"/>
              <w:rPr>
                <w:rFonts w:hint="eastAsia" w:ascii="宋体" w:hAnsi="宋体" w:eastAsia="宋体" w:cs="宋体"/>
                <w:color w:val="000000"/>
                <w:sz w:val="21"/>
                <w:szCs w:val="21"/>
              </w:rPr>
            </w:pPr>
          </w:p>
        </w:tc>
        <w:tc>
          <w:tcPr>
            <w:tcW w:w="1916" w:type="dxa"/>
            <w:tcBorders>
              <w:top w:val="single" w:color="auto" w:sz="8" w:space="0"/>
              <w:left w:val="single" w:color="auto" w:sz="4" w:space="0"/>
              <w:right w:val="single" w:color="auto" w:sz="8" w:space="0"/>
            </w:tcBorders>
            <w:noWrap w:val="0"/>
            <w:vAlign w:val="center"/>
          </w:tcPr>
          <w:p w14:paraId="244CDD87">
            <w:pPr>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历史业绩</w:t>
            </w: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分</w:t>
            </w:r>
          </w:p>
        </w:tc>
        <w:tc>
          <w:tcPr>
            <w:tcW w:w="704" w:type="dxa"/>
            <w:tcBorders>
              <w:top w:val="single" w:color="auto" w:sz="8" w:space="0"/>
              <w:left w:val="single" w:color="auto" w:sz="8" w:space="0"/>
              <w:right w:val="single" w:color="auto" w:sz="8" w:space="0"/>
            </w:tcBorders>
            <w:noWrap w:val="0"/>
            <w:vAlign w:val="center"/>
          </w:tcPr>
          <w:p w14:paraId="30894FE7">
            <w:pPr>
              <w:jc w:val="center"/>
              <w:outlineLvl w:val="9"/>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6</w:t>
            </w:r>
          </w:p>
        </w:tc>
        <w:tc>
          <w:tcPr>
            <w:tcW w:w="2678" w:type="dxa"/>
            <w:tcBorders>
              <w:top w:val="single" w:color="auto" w:sz="8" w:space="0"/>
              <w:left w:val="single" w:color="auto" w:sz="8" w:space="0"/>
              <w:right w:val="single" w:color="auto" w:sz="4" w:space="0"/>
            </w:tcBorders>
            <w:noWrap w:val="0"/>
            <w:vAlign w:val="center"/>
          </w:tcPr>
          <w:p w14:paraId="046DB832">
            <w:pP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7CED4739">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753A1B72">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26276AA0">
            <w:pPr>
              <w:jc w:val="center"/>
              <w:outlineLvl w:val="9"/>
              <w:rPr>
                <w:rFonts w:hint="eastAsia" w:ascii="宋体" w:hAnsi="宋体" w:eastAsia="宋体" w:cs="宋体"/>
                <w:color w:val="000000"/>
                <w:sz w:val="21"/>
                <w:szCs w:val="21"/>
              </w:rPr>
            </w:pPr>
          </w:p>
        </w:tc>
        <w:tc>
          <w:tcPr>
            <w:tcW w:w="589" w:type="dxa"/>
            <w:tcBorders>
              <w:top w:val="single" w:color="auto" w:sz="8" w:space="0"/>
              <w:left w:val="single" w:color="auto" w:sz="4" w:space="0"/>
              <w:bottom w:val="single" w:color="auto" w:sz="4" w:space="0"/>
              <w:right w:val="single" w:color="auto" w:sz="8" w:space="0"/>
            </w:tcBorders>
            <w:noWrap w:val="0"/>
            <w:vAlign w:val="center"/>
          </w:tcPr>
          <w:p w14:paraId="7487A4C9">
            <w:pPr>
              <w:jc w:val="center"/>
              <w:outlineLvl w:val="9"/>
              <w:rPr>
                <w:rFonts w:hint="eastAsia" w:ascii="宋体" w:hAnsi="宋体" w:eastAsia="宋体" w:cs="宋体"/>
                <w:color w:val="000000"/>
                <w:sz w:val="21"/>
                <w:szCs w:val="21"/>
              </w:rPr>
            </w:pPr>
          </w:p>
        </w:tc>
      </w:tr>
      <w:tr w14:paraId="15A20917">
        <w:tblPrEx>
          <w:tblCellMar>
            <w:top w:w="0" w:type="dxa"/>
            <w:left w:w="0" w:type="dxa"/>
            <w:bottom w:w="0" w:type="dxa"/>
            <w:right w:w="0" w:type="dxa"/>
          </w:tblCellMar>
        </w:tblPrEx>
        <w:trPr>
          <w:cantSplit/>
          <w:trHeight w:val="454" w:hRule="atLeast"/>
          <w:jc w:val="center"/>
        </w:trPr>
        <w:tc>
          <w:tcPr>
            <w:tcW w:w="543" w:type="dxa"/>
            <w:tcBorders>
              <w:top w:val="single" w:color="auto" w:sz="8" w:space="0"/>
              <w:left w:val="single" w:color="auto" w:sz="8" w:space="0"/>
              <w:right w:val="single" w:color="auto" w:sz="8" w:space="0"/>
            </w:tcBorders>
            <w:noWrap w:val="0"/>
            <w:vAlign w:val="center"/>
          </w:tcPr>
          <w:p w14:paraId="5844AFAB">
            <w:pPr>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12</w:t>
            </w:r>
          </w:p>
        </w:tc>
        <w:tc>
          <w:tcPr>
            <w:tcW w:w="1048" w:type="dxa"/>
            <w:vMerge w:val="continue"/>
            <w:tcBorders>
              <w:left w:val="single" w:color="auto" w:sz="4" w:space="0"/>
              <w:right w:val="single" w:color="auto" w:sz="4" w:space="0"/>
            </w:tcBorders>
            <w:noWrap w:val="0"/>
            <w:vAlign w:val="center"/>
          </w:tcPr>
          <w:p w14:paraId="72D38C6A">
            <w:pPr>
              <w:jc w:val="center"/>
              <w:outlineLvl w:val="9"/>
              <w:rPr>
                <w:rFonts w:hint="eastAsia" w:ascii="宋体" w:hAnsi="宋体" w:eastAsia="宋体" w:cs="宋体"/>
                <w:color w:val="000000"/>
                <w:sz w:val="21"/>
                <w:szCs w:val="21"/>
              </w:rPr>
            </w:pPr>
          </w:p>
        </w:tc>
        <w:tc>
          <w:tcPr>
            <w:tcW w:w="1916" w:type="dxa"/>
            <w:tcBorders>
              <w:top w:val="single" w:color="auto" w:sz="8" w:space="0"/>
              <w:left w:val="single" w:color="auto" w:sz="4" w:space="0"/>
              <w:right w:val="single" w:color="auto" w:sz="8" w:space="0"/>
            </w:tcBorders>
            <w:noWrap w:val="0"/>
            <w:vAlign w:val="center"/>
          </w:tcPr>
          <w:p w14:paraId="10D5ECF5">
            <w:pPr>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表彰及试点3分</w:t>
            </w:r>
          </w:p>
        </w:tc>
        <w:tc>
          <w:tcPr>
            <w:tcW w:w="704" w:type="dxa"/>
            <w:tcBorders>
              <w:top w:val="single" w:color="auto" w:sz="8" w:space="0"/>
              <w:left w:val="single" w:color="auto" w:sz="8" w:space="0"/>
              <w:right w:val="single" w:color="auto" w:sz="8" w:space="0"/>
            </w:tcBorders>
            <w:noWrap w:val="0"/>
            <w:vAlign w:val="center"/>
          </w:tcPr>
          <w:p w14:paraId="72E97B49">
            <w:pPr>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3</w:t>
            </w:r>
          </w:p>
        </w:tc>
        <w:tc>
          <w:tcPr>
            <w:tcW w:w="2678" w:type="dxa"/>
            <w:tcBorders>
              <w:top w:val="single" w:color="auto" w:sz="8" w:space="0"/>
              <w:left w:val="single" w:color="auto" w:sz="8" w:space="0"/>
              <w:right w:val="single" w:color="auto" w:sz="4" w:space="0"/>
            </w:tcBorders>
            <w:noWrap w:val="0"/>
            <w:vAlign w:val="center"/>
          </w:tcPr>
          <w:p w14:paraId="01D28703">
            <w:pP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71BF3741">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05C34F4A">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268D648A">
            <w:pPr>
              <w:jc w:val="center"/>
              <w:outlineLvl w:val="9"/>
              <w:rPr>
                <w:rFonts w:hint="eastAsia" w:ascii="宋体" w:hAnsi="宋体" w:eastAsia="宋体" w:cs="宋体"/>
                <w:color w:val="000000"/>
                <w:sz w:val="21"/>
                <w:szCs w:val="21"/>
              </w:rPr>
            </w:pPr>
          </w:p>
        </w:tc>
        <w:tc>
          <w:tcPr>
            <w:tcW w:w="589" w:type="dxa"/>
            <w:tcBorders>
              <w:top w:val="single" w:color="auto" w:sz="8" w:space="0"/>
              <w:left w:val="single" w:color="auto" w:sz="4" w:space="0"/>
              <w:bottom w:val="single" w:color="auto" w:sz="4" w:space="0"/>
              <w:right w:val="single" w:color="auto" w:sz="8" w:space="0"/>
            </w:tcBorders>
            <w:noWrap w:val="0"/>
            <w:vAlign w:val="center"/>
          </w:tcPr>
          <w:p w14:paraId="27447877">
            <w:pPr>
              <w:jc w:val="center"/>
              <w:outlineLvl w:val="9"/>
              <w:rPr>
                <w:rFonts w:hint="eastAsia" w:ascii="宋体" w:hAnsi="宋体" w:eastAsia="宋体" w:cs="宋体"/>
                <w:color w:val="000000"/>
                <w:sz w:val="21"/>
                <w:szCs w:val="21"/>
              </w:rPr>
            </w:pPr>
          </w:p>
        </w:tc>
      </w:tr>
      <w:tr w14:paraId="50C07A94">
        <w:tblPrEx>
          <w:tblCellMar>
            <w:top w:w="0" w:type="dxa"/>
            <w:left w:w="0" w:type="dxa"/>
            <w:bottom w:w="0" w:type="dxa"/>
            <w:right w:w="0" w:type="dxa"/>
          </w:tblCellMar>
        </w:tblPrEx>
        <w:trPr>
          <w:cantSplit/>
          <w:trHeight w:val="454" w:hRule="atLeast"/>
          <w:jc w:val="center"/>
        </w:trPr>
        <w:tc>
          <w:tcPr>
            <w:tcW w:w="543" w:type="dxa"/>
            <w:tcBorders>
              <w:top w:val="single" w:color="auto" w:sz="8" w:space="0"/>
              <w:left w:val="single" w:color="auto" w:sz="8" w:space="0"/>
              <w:right w:val="single" w:color="auto" w:sz="8" w:space="0"/>
            </w:tcBorders>
            <w:noWrap w:val="0"/>
            <w:vAlign w:val="center"/>
          </w:tcPr>
          <w:p w14:paraId="7735563C">
            <w:pPr>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13</w:t>
            </w:r>
          </w:p>
        </w:tc>
        <w:tc>
          <w:tcPr>
            <w:tcW w:w="1048" w:type="dxa"/>
            <w:vMerge w:val="restart"/>
            <w:tcBorders>
              <w:top w:val="single" w:color="auto" w:sz="4" w:space="0"/>
              <w:left w:val="single" w:color="auto" w:sz="4" w:space="0"/>
              <w:right w:val="single" w:color="auto" w:sz="4" w:space="0"/>
            </w:tcBorders>
            <w:noWrap w:val="0"/>
            <w:vAlign w:val="center"/>
          </w:tcPr>
          <w:p w14:paraId="3F233820">
            <w:pPr>
              <w:jc w:val="center"/>
              <w:outlineLvl w:val="9"/>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合规经营及风险管控能力</w:t>
            </w:r>
          </w:p>
          <w:p w14:paraId="44DC3B66">
            <w:pPr>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20分</w:t>
            </w:r>
          </w:p>
        </w:tc>
        <w:tc>
          <w:tcPr>
            <w:tcW w:w="1916" w:type="dxa"/>
            <w:tcBorders>
              <w:top w:val="single" w:color="auto" w:sz="8" w:space="0"/>
              <w:left w:val="single" w:color="auto" w:sz="4" w:space="0"/>
              <w:right w:val="single" w:color="auto" w:sz="8" w:space="0"/>
            </w:tcBorders>
            <w:noWrap w:val="0"/>
            <w:vAlign w:val="center"/>
          </w:tcPr>
          <w:p w14:paraId="526D6338">
            <w:pPr>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综合费用率</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分</w:t>
            </w:r>
          </w:p>
        </w:tc>
        <w:tc>
          <w:tcPr>
            <w:tcW w:w="704" w:type="dxa"/>
            <w:tcBorders>
              <w:top w:val="single" w:color="auto" w:sz="8" w:space="0"/>
              <w:left w:val="single" w:color="auto" w:sz="8" w:space="0"/>
              <w:right w:val="single" w:color="auto" w:sz="8" w:space="0"/>
            </w:tcBorders>
            <w:noWrap w:val="0"/>
            <w:vAlign w:val="center"/>
          </w:tcPr>
          <w:p w14:paraId="511BEC4C">
            <w:pPr>
              <w:jc w:val="center"/>
              <w:outlineLvl w:val="9"/>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3</w:t>
            </w:r>
          </w:p>
        </w:tc>
        <w:tc>
          <w:tcPr>
            <w:tcW w:w="2678" w:type="dxa"/>
            <w:tcBorders>
              <w:top w:val="single" w:color="auto" w:sz="8" w:space="0"/>
              <w:left w:val="single" w:color="auto" w:sz="8" w:space="0"/>
              <w:right w:val="single" w:color="auto" w:sz="4" w:space="0"/>
            </w:tcBorders>
            <w:noWrap w:val="0"/>
            <w:vAlign w:val="center"/>
          </w:tcPr>
          <w:p w14:paraId="1CBEA5D9">
            <w:pP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558AF5CE">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75880AD6">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7B491193">
            <w:pPr>
              <w:jc w:val="center"/>
              <w:outlineLvl w:val="9"/>
              <w:rPr>
                <w:rFonts w:hint="eastAsia" w:ascii="宋体" w:hAnsi="宋体" w:eastAsia="宋体" w:cs="宋体"/>
                <w:color w:val="000000"/>
                <w:sz w:val="21"/>
                <w:szCs w:val="21"/>
              </w:rPr>
            </w:pPr>
          </w:p>
        </w:tc>
        <w:tc>
          <w:tcPr>
            <w:tcW w:w="589" w:type="dxa"/>
            <w:tcBorders>
              <w:top w:val="single" w:color="auto" w:sz="8" w:space="0"/>
              <w:left w:val="single" w:color="auto" w:sz="4" w:space="0"/>
              <w:bottom w:val="single" w:color="auto" w:sz="4" w:space="0"/>
              <w:right w:val="single" w:color="auto" w:sz="8" w:space="0"/>
            </w:tcBorders>
            <w:noWrap w:val="0"/>
            <w:vAlign w:val="center"/>
          </w:tcPr>
          <w:p w14:paraId="151FA4A4">
            <w:pPr>
              <w:jc w:val="center"/>
              <w:outlineLvl w:val="9"/>
              <w:rPr>
                <w:rFonts w:hint="eastAsia" w:ascii="宋体" w:hAnsi="宋体" w:eastAsia="宋体" w:cs="宋体"/>
                <w:color w:val="000000"/>
                <w:sz w:val="21"/>
                <w:szCs w:val="21"/>
              </w:rPr>
            </w:pPr>
          </w:p>
        </w:tc>
      </w:tr>
      <w:tr w14:paraId="7E3B8E1F">
        <w:tblPrEx>
          <w:tblCellMar>
            <w:top w:w="0" w:type="dxa"/>
            <w:left w:w="0" w:type="dxa"/>
            <w:bottom w:w="0" w:type="dxa"/>
            <w:right w:w="0" w:type="dxa"/>
          </w:tblCellMar>
        </w:tblPrEx>
        <w:trPr>
          <w:cantSplit/>
          <w:trHeight w:val="454" w:hRule="atLeast"/>
          <w:jc w:val="center"/>
        </w:trPr>
        <w:tc>
          <w:tcPr>
            <w:tcW w:w="543" w:type="dxa"/>
            <w:tcBorders>
              <w:top w:val="single" w:color="auto" w:sz="8" w:space="0"/>
              <w:left w:val="single" w:color="auto" w:sz="8" w:space="0"/>
              <w:right w:val="single" w:color="auto" w:sz="8" w:space="0"/>
            </w:tcBorders>
            <w:noWrap w:val="0"/>
            <w:vAlign w:val="center"/>
          </w:tcPr>
          <w:p w14:paraId="4E8DD40E">
            <w:pPr>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14</w:t>
            </w:r>
          </w:p>
        </w:tc>
        <w:tc>
          <w:tcPr>
            <w:tcW w:w="1048" w:type="dxa"/>
            <w:vMerge w:val="continue"/>
            <w:tcBorders>
              <w:left w:val="single" w:color="auto" w:sz="4" w:space="0"/>
              <w:right w:val="single" w:color="auto" w:sz="4" w:space="0"/>
            </w:tcBorders>
            <w:noWrap w:val="0"/>
            <w:vAlign w:val="center"/>
          </w:tcPr>
          <w:p w14:paraId="513CFA94">
            <w:pPr>
              <w:jc w:val="center"/>
              <w:outlineLvl w:val="9"/>
              <w:rPr>
                <w:rFonts w:hint="eastAsia" w:ascii="宋体" w:hAnsi="宋体" w:eastAsia="宋体" w:cs="宋体"/>
                <w:color w:val="000000"/>
                <w:sz w:val="21"/>
                <w:szCs w:val="21"/>
              </w:rPr>
            </w:pPr>
          </w:p>
        </w:tc>
        <w:tc>
          <w:tcPr>
            <w:tcW w:w="1916" w:type="dxa"/>
            <w:tcBorders>
              <w:top w:val="single" w:color="auto" w:sz="8" w:space="0"/>
              <w:left w:val="single" w:color="auto" w:sz="4" w:space="0"/>
              <w:right w:val="single" w:color="auto" w:sz="8" w:space="0"/>
            </w:tcBorders>
            <w:noWrap w:val="0"/>
            <w:vAlign w:val="center"/>
          </w:tcPr>
          <w:p w14:paraId="03740C3F">
            <w:pPr>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监管检查及处罚</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分</w:t>
            </w:r>
          </w:p>
        </w:tc>
        <w:tc>
          <w:tcPr>
            <w:tcW w:w="704" w:type="dxa"/>
            <w:tcBorders>
              <w:top w:val="single" w:color="auto" w:sz="8" w:space="0"/>
              <w:left w:val="single" w:color="auto" w:sz="8" w:space="0"/>
              <w:right w:val="single" w:color="auto" w:sz="8" w:space="0"/>
            </w:tcBorders>
            <w:noWrap w:val="0"/>
            <w:vAlign w:val="center"/>
          </w:tcPr>
          <w:p w14:paraId="2BF21C5B">
            <w:pPr>
              <w:jc w:val="center"/>
              <w:outlineLvl w:val="9"/>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5</w:t>
            </w:r>
          </w:p>
        </w:tc>
        <w:tc>
          <w:tcPr>
            <w:tcW w:w="2678" w:type="dxa"/>
            <w:tcBorders>
              <w:top w:val="single" w:color="auto" w:sz="8" w:space="0"/>
              <w:left w:val="single" w:color="auto" w:sz="8" w:space="0"/>
              <w:right w:val="single" w:color="auto" w:sz="4" w:space="0"/>
            </w:tcBorders>
            <w:noWrap w:val="0"/>
            <w:vAlign w:val="center"/>
          </w:tcPr>
          <w:p w14:paraId="2B19E574">
            <w:pP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23C5C343">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06A41ADD">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34F60629">
            <w:pPr>
              <w:jc w:val="center"/>
              <w:outlineLvl w:val="9"/>
              <w:rPr>
                <w:rFonts w:hint="eastAsia" w:ascii="宋体" w:hAnsi="宋体" w:eastAsia="宋体" w:cs="宋体"/>
                <w:color w:val="000000"/>
                <w:sz w:val="21"/>
                <w:szCs w:val="21"/>
              </w:rPr>
            </w:pPr>
          </w:p>
        </w:tc>
        <w:tc>
          <w:tcPr>
            <w:tcW w:w="589" w:type="dxa"/>
            <w:tcBorders>
              <w:top w:val="single" w:color="auto" w:sz="8" w:space="0"/>
              <w:left w:val="single" w:color="auto" w:sz="4" w:space="0"/>
              <w:bottom w:val="single" w:color="auto" w:sz="4" w:space="0"/>
              <w:right w:val="single" w:color="auto" w:sz="8" w:space="0"/>
            </w:tcBorders>
            <w:noWrap w:val="0"/>
            <w:vAlign w:val="center"/>
          </w:tcPr>
          <w:p w14:paraId="627E5631">
            <w:pPr>
              <w:jc w:val="center"/>
              <w:outlineLvl w:val="9"/>
              <w:rPr>
                <w:rFonts w:hint="eastAsia" w:ascii="宋体" w:hAnsi="宋体" w:eastAsia="宋体" w:cs="宋体"/>
                <w:color w:val="000000"/>
                <w:sz w:val="21"/>
                <w:szCs w:val="21"/>
              </w:rPr>
            </w:pPr>
          </w:p>
        </w:tc>
      </w:tr>
      <w:tr w14:paraId="498AF475">
        <w:tblPrEx>
          <w:tblCellMar>
            <w:top w:w="0" w:type="dxa"/>
            <w:left w:w="0" w:type="dxa"/>
            <w:bottom w:w="0" w:type="dxa"/>
            <w:right w:w="0" w:type="dxa"/>
          </w:tblCellMar>
        </w:tblPrEx>
        <w:trPr>
          <w:cantSplit/>
          <w:trHeight w:val="454" w:hRule="atLeast"/>
          <w:jc w:val="center"/>
        </w:trPr>
        <w:tc>
          <w:tcPr>
            <w:tcW w:w="543" w:type="dxa"/>
            <w:tcBorders>
              <w:top w:val="single" w:color="auto" w:sz="8" w:space="0"/>
              <w:left w:val="single" w:color="auto" w:sz="8" w:space="0"/>
              <w:right w:val="single" w:color="auto" w:sz="8" w:space="0"/>
            </w:tcBorders>
            <w:noWrap w:val="0"/>
            <w:vAlign w:val="center"/>
          </w:tcPr>
          <w:p w14:paraId="56DEA6A6">
            <w:pPr>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15</w:t>
            </w:r>
          </w:p>
        </w:tc>
        <w:tc>
          <w:tcPr>
            <w:tcW w:w="1048" w:type="dxa"/>
            <w:vMerge w:val="continue"/>
            <w:tcBorders>
              <w:left w:val="single" w:color="auto" w:sz="4" w:space="0"/>
              <w:right w:val="single" w:color="auto" w:sz="4" w:space="0"/>
            </w:tcBorders>
            <w:noWrap w:val="0"/>
            <w:vAlign w:val="center"/>
          </w:tcPr>
          <w:p w14:paraId="4C9FB0FD">
            <w:pPr>
              <w:jc w:val="center"/>
              <w:outlineLvl w:val="9"/>
              <w:rPr>
                <w:rFonts w:hint="eastAsia" w:ascii="宋体" w:hAnsi="宋体" w:eastAsia="宋体" w:cs="宋体"/>
                <w:color w:val="000000"/>
                <w:sz w:val="21"/>
                <w:szCs w:val="21"/>
              </w:rPr>
            </w:pPr>
          </w:p>
        </w:tc>
        <w:tc>
          <w:tcPr>
            <w:tcW w:w="1916" w:type="dxa"/>
            <w:tcBorders>
              <w:top w:val="single" w:color="auto" w:sz="8" w:space="0"/>
              <w:left w:val="single" w:color="auto" w:sz="4" w:space="0"/>
              <w:right w:val="single" w:color="auto" w:sz="8" w:space="0"/>
            </w:tcBorders>
            <w:noWrap w:val="0"/>
            <w:vAlign w:val="center"/>
          </w:tcPr>
          <w:p w14:paraId="58C1D1A3">
            <w:pPr>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亿元保费投诉量</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分</w:t>
            </w:r>
          </w:p>
        </w:tc>
        <w:tc>
          <w:tcPr>
            <w:tcW w:w="704" w:type="dxa"/>
            <w:tcBorders>
              <w:top w:val="single" w:color="auto" w:sz="8" w:space="0"/>
              <w:left w:val="single" w:color="auto" w:sz="8" w:space="0"/>
              <w:right w:val="single" w:color="auto" w:sz="8" w:space="0"/>
            </w:tcBorders>
            <w:noWrap w:val="0"/>
            <w:vAlign w:val="center"/>
          </w:tcPr>
          <w:p w14:paraId="0151FCCD">
            <w:pPr>
              <w:jc w:val="center"/>
              <w:outlineLvl w:val="9"/>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1</w:t>
            </w:r>
          </w:p>
        </w:tc>
        <w:tc>
          <w:tcPr>
            <w:tcW w:w="2678" w:type="dxa"/>
            <w:tcBorders>
              <w:top w:val="single" w:color="auto" w:sz="8" w:space="0"/>
              <w:left w:val="single" w:color="auto" w:sz="8" w:space="0"/>
              <w:right w:val="single" w:color="auto" w:sz="4" w:space="0"/>
            </w:tcBorders>
            <w:noWrap w:val="0"/>
            <w:vAlign w:val="center"/>
          </w:tcPr>
          <w:p w14:paraId="28D4340F">
            <w:pP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02A04989">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49CE4A39">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0EC47054">
            <w:pPr>
              <w:jc w:val="center"/>
              <w:outlineLvl w:val="9"/>
              <w:rPr>
                <w:rFonts w:hint="eastAsia" w:ascii="宋体" w:hAnsi="宋体" w:eastAsia="宋体" w:cs="宋体"/>
                <w:color w:val="000000"/>
                <w:sz w:val="21"/>
                <w:szCs w:val="21"/>
              </w:rPr>
            </w:pPr>
          </w:p>
        </w:tc>
        <w:tc>
          <w:tcPr>
            <w:tcW w:w="589" w:type="dxa"/>
            <w:tcBorders>
              <w:top w:val="single" w:color="auto" w:sz="8" w:space="0"/>
              <w:left w:val="single" w:color="auto" w:sz="4" w:space="0"/>
              <w:bottom w:val="single" w:color="auto" w:sz="4" w:space="0"/>
              <w:right w:val="single" w:color="auto" w:sz="8" w:space="0"/>
            </w:tcBorders>
            <w:noWrap w:val="0"/>
            <w:vAlign w:val="center"/>
          </w:tcPr>
          <w:p w14:paraId="4F5C0AA8">
            <w:pPr>
              <w:jc w:val="center"/>
              <w:outlineLvl w:val="9"/>
              <w:rPr>
                <w:rFonts w:hint="eastAsia" w:ascii="宋体" w:hAnsi="宋体" w:eastAsia="宋体" w:cs="宋体"/>
                <w:color w:val="000000"/>
                <w:sz w:val="21"/>
                <w:szCs w:val="21"/>
              </w:rPr>
            </w:pPr>
          </w:p>
        </w:tc>
      </w:tr>
      <w:tr w14:paraId="14AF09D7">
        <w:tblPrEx>
          <w:tblCellMar>
            <w:top w:w="0" w:type="dxa"/>
            <w:left w:w="0" w:type="dxa"/>
            <w:bottom w:w="0" w:type="dxa"/>
            <w:right w:w="0" w:type="dxa"/>
          </w:tblCellMar>
        </w:tblPrEx>
        <w:trPr>
          <w:cantSplit/>
          <w:trHeight w:val="454" w:hRule="atLeast"/>
          <w:jc w:val="center"/>
        </w:trPr>
        <w:tc>
          <w:tcPr>
            <w:tcW w:w="543" w:type="dxa"/>
            <w:tcBorders>
              <w:top w:val="single" w:color="auto" w:sz="8" w:space="0"/>
              <w:left w:val="single" w:color="auto" w:sz="8" w:space="0"/>
              <w:right w:val="single" w:color="auto" w:sz="8" w:space="0"/>
            </w:tcBorders>
            <w:noWrap w:val="0"/>
            <w:vAlign w:val="center"/>
          </w:tcPr>
          <w:p w14:paraId="2C1B98F2">
            <w:pPr>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16</w:t>
            </w:r>
          </w:p>
        </w:tc>
        <w:tc>
          <w:tcPr>
            <w:tcW w:w="1048" w:type="dxa"/>
            <w:vMerge w:val="continue"/>
            <w:tcBorders>
              <w:left w:val="single" w:color="auto" w:sz="4" w:space="0"/>
              <w:right w:val="single" w:color="auto" w:sz="4" w:space="0"/>
            </w:tcBorders>
            <w:noWrap w:val="0"/>
            <w:vAlign w:val="center"/>
          </w:tcPr>
          <w:p w14:paraId="72CF891D">
            <w:pPr>
              <w:jc w:val="center"/>
              <w:outlineLvl w:val="9"/>
              <w:rPr>
                <w:rFonts w:hint="eastAsia" w:ascii="宋体" w:hAnsi="宋体" w:eastAsia="宋体" w:cs="宋体"/>
                <w:color w:val="000000"/>
                <w:sz w:val="21"/>
                <w:szCs w:val="21"/>
              </w:rPr>
            </w:pPr>
          </w:p>
        </w:tc>
        <w:tc>
          <w:tcPr>
            <w:tcW w:w="1916" w:type="dxa"/>
            <w:tcBorders>
              <w:top w:val="single" w:color="auto" w:sz="8" w:space="0"/>
              <w:left w:val="single" w:color="auto" w:sz="4" w:space="0"/>
              <w:right w:val="single" w:color="auto" w:sz="8" w:space="0"/>
            </w:tcBorders>
            <w:noWrap w:val="0"/>
            <w:vAlign w:val="center"/>
          </w:tcPr>
          <w:p w14:paraId="6953E42C">
            <w:pPr>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lang w:eastAsia="zh-CN"/>
              </w:rPr>
              <w:t>偿付能力充足率</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分</w:t>
            </w:r>
          </w:p>
        </w:tc>
        <w:tc>
          <w:tcPr>
            <w:tcW w:w="704" w:type="dxa"/>
            <w:tcBorders>
              <w:top w:val="single" w:color="auto" w:sz="8" w:space="0"/>
              <w:left w:val="single" w:color="auto" w:sz="8" w:space="0"/>
              <w:right w:val="single" w:color="auto" w:sz="8" w:space="0"/>
            </w:tcBorders>
            <w:noWrap w:val="0"/>
            <w:vAlign w:val="center"/>
          </w:tcPr>
          <w:p w14:paraId="14614B25">
            <w:pPr>
              <w:jc w:val="center"/>
              <w:outlineLvl w:val="9"/>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3</w:t>
            </w:r>
          </w:p>
        </w:tc>
        <w:tc>
          <w:tcPr>
            <w:tcW w:w="2678" w:type="dxa"/>
            <w:tcBorders>
              <w:top w:val="single" w:color="auto" w:sz="8" w:space="0"/>
              <w:left w:val="single" w:color="auto" w:sz="8" w:space="0"/>
              <w:right w:val="single" w:color="auto" w:sz="4" w:space="0"/>
            </w:tcBorders>
            <w:noWrap w:val="0"/>
            <w:vAlign w:val="center"/>
          </w:tcPr>
          <w:p w14:paraId="1D08883A">
            <w:pP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4E8B7A67">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6964F035">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0A39AD89">
            <w:pPr>
              <w:jc w:val="center"/>
              <w:outlineLvl w:val="9"/>
              <w:rPr>
                <w:rFonts w:hint="eastAsia" w:ascii="宋体" w:hAnsi="宋体" w:eastAsia="宋体" w:cs="宋体"/>
                <w:color w:val="000000"/>
                <w:sz w:val="21"/>
                <w:szCs w:val="21"/>
              </w:rPr>
            </w:pPr>
          </w:p>
        </w:tc>
        <w:tc>
          <w:tcPr>
            <w:tcW w:w="589" w:type="dxa"/>
            <w:tcBorders>
              <w:top w:val="single" w:color="auto" w:sz="8" w:space="0"/>
              <w:left w:val="single" w:color="auto" w:sz="4" w:space="0"/>
              <w:bottom w:val="single" w:color="auto" w:sz="4" w:space="0"/>
              <w:right w:val="single" w:color="auto" w:sz="8" w:space="0"/>
            </w:tcBorders>
            <w:noWrap w:val="0"/>
            <w:vAlign w:val="center"/>
          </w:tcPr>
          <w:p w14:paraId="1CF5E8DD">
            <w:pPr>
              <w:jc w:val="center"/>
              <w:outlineLvl w:val="9"/>
              <w:rPr>
                <w:rFonts w:hint="eastAsia" w:ascii="宋体" w:hAnsi="宋体" w:eastAsia="宋体" w:cs="宋体"/>
                <w:color w:val="000000"/>
                <w:sz w:val="21"/>
                <w:szCs w:val="21"/>
              </w:rPr>
            </w:pPr>
          </w:p>
        </w:tc>
      </w:tr>
      <w:tr w14:paraId="149DAB39">
        <w:tblPrEx>
          <w:tblCellMar>
            <w:top w:w="0" w:type="dxa"/>
            <w:left w:w="0" w:type="dxa"/>
            <w:bottom w:w="0" w:type="dxa"/>
            <w:right w:w="0" w:type="dxa"/>
          </w:tblCellMar>
        </w:tblPrEx>
        <w:trPr>
          <w:cantSplit/>
          <w:trHeight w:val="454" w:hRule="atLeast"/>
          <w:jc w:val="center"/>
        </w:trPr>
        <w:tc>
          <w:tcPr>
            <w:tcW w:w="543" w:type="dxa"/>
            <w:tcBorders>
              <w:top w:val="single" w:color="auto" w:sz="8" w:space="0"/>
              <w:left w:val="single" w:color="auto" w:sz="8" w:space="0"/>
              <w:right w:val="single" w:color="auto" w:sz="8" w:space="0"/>
            </w:tcBorders>
            <w:noWrap w:val="0"/>
            <w:vAlign w:val="center"/>
          </w:tcPr>
          <w:p w14:paraId="30E6D98A">
            <w:pPr>
              <w:jc w:val="center"/>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17</w:t>
            </w:r>
          </w:p>
        </w:tc>
        <w:tc>
          <w:tcPr>
            <w:tcW w:w="1048" w:type="dxa"/>
            <w:vMerge w:val="continue"/>
            <w:tcBorders>
              <w:left w:val="single" w:color="auto" w:sz="4" w:space="0"/>
              <w:right w:val="single" w:color="auto" w:sz="4" w:space="0"/>
            </w:tcBorders>
            <w:noWrap w:val="0"/>
            <w:vAlign w:val="center"/>
          </w:tcPr>
          <w:p w14:paraId="081D7A7E">
            <w:pPr>
              <w:jc w:val="center"/>
              <w:outlineLvl w:val="9"/>
              <w:rPr>
                <w:rFonts w:hint="eastAsia" w:ascii="宋体" w:hAnsi="宋体" w:eastAsia="宋体" w:cs="宋体"/>
                <w:color w:val="000000"/>
                <w:sz w:val="21"/>
                <w:szCs w:val="21"/>
              </w:rPr>
            </w:pPr>
          </w:p>
        </w:tc>
        <w:tc>
          <w:tcPr>
            <w:tcW w:w="1916" w:type="dxa"/>
            <w:tcBorders>
              <w:top w:val="single" w:color="auto" w:sz="8" w:space="0"/>
              <w:left w:val="single" w:color="auto" w:sz="4" w:space="0"/>
              <w:right w:val="single" w:color="auto" w:sz="8" w:space="0"/>
            </w:tcBorders>
            <w:noWrap w:val="0"/>
            <w:vAlign w:val="center"/>
          </w:tcPr>
          <w:p w14:paraId="1FDCD0CB">
            <w:pPr>
              <w:jc w:val="center"/>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风险综合评级</w:t>
            </w:r>
            <w:r>
              <w:rPr>
                <w:rFonts w:hint="eastAsia" w:ascii="宋体" w:hAnsi="宋体" w:eastAsia="宋体" w:cs="宋体"/>
                <w:color w:val="000000"/>
                <w:sz w:val="21"/>
                <w:szCs w:val="21"/>
                <w:lang w:val="en-US" w:eastAsia="zh-CN"/>
              </w:rPr>
              <w:t>2分</w:t>
            </w:r>
          </w:p>
        </w:tc>
        <w:tc>
          <w:tcPr>
            <w:tcW w:w="704" w:type="dxa"/>
            <w:tcBorders>
              <w:top w:val="single" w:color="auto" w:sz="8" w:space="0"/>
              <w:left w:val="single" w:color="auto" w:sz="8" w:space="0"/>
              <w:right w:val="single" w:color="auto" w:sz="8" w:space="0"/>
            </w:tcBorders>
            <w:noWrap w:val="0"/>
            <w:vAlign w:val="center"/>
          </w:tcPr>
          <w:p w14:paraId="379D6400">
            <w:pPr>
              <w:jc w:val="center"/>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w:t>
            </w:r>
          </w:p>
        </w:tc>
        <w:tc>
          <w:tcPr>
            <w:tcW w:w="2678" w:type="dxa"/>
            <w:tcBorders>
              <w:top w:val="single" w:color="auto" w:sz="8" w:space="0"/>
              <w:left w:val="single" w:color="auto" w:sz="8" w:space="0"/>
              <w:right w:val="single" w:color="auto" w:sz="4" w:space="0"/>
            </w:tcBorders>
            <w:noWrap w:val="0"/>
            <w:vAlign w:val="center"/>
          </w:tcPr>
          <w:p w14:paraId="362DD325">
            <w:pP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74A87489">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38C80A1B">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420180D7">
            <w:pPr>
              <w:jc w:val="center"/>
              <w:outlineLvl w:val="9"/>
              <w:rPr>
                <w:rFonts w:hint="eastAsia" w:ascii="宋体" w:hAnsi="宋体" w:eastAsia="宋体" w:cs="宋体"/>
                <w:color w:val="000000"/>
                <w:sz w:val="21"/>
                <w:szCs w:val="21"/>
              </w:rPr>
            </w:pPr>
          </w:p>
        </w:tc>
        <w:tc>
          <w:tcPr>
            <w:tcW w:w="589" w:type="dxa"/>
            <w:tcBorders>
              <w:top w:val="single" w:color="auto" w:sz="8" w:space="0"/>
              <w:left w:val="single" w:color="auto" w:sz="4" w:space="0"/>
              <w:bottom w:val="single" w:color="auto" w:sz="4" w:space="0"/>
              <w:right w:val="single" w:color="auto" w:sz="8" w:space="0"/>
            </w:tcBorders>
            <w:noWrap w:val="0"/>
            <w:vAlign w:val="center"/>
          </w:tcPr>
          <w:p w14:paraId="0CB2BC75">
            <w:pPr>
              <w:jc w:val="center"/>
              <w:outlineLvl w:val="9"/>
              <w:rPr>
                <w:rFonts w:hint="eastAsia" w:ascii="宋体" w:hAnsi="宋体" w:eastAsia="宋体" w:cs="宋体"/>
                <w:color w:val="000000"/>
                <w:sz w:val="21"/>
                <w:szCs w:val="21"/>
              </w:rPr>
            </w:pPr>
          </w:p>
        </w:tc>
      </w:tr>
      <w:tr w14:paraId="4F74590F">
        <w:tblPrEx>
          <w:tblCellMar>
            <w:top w:w="0" w:type="dxa"/>
            <w:left w:w="0" w:type="dxa"/>
            <w:bottom w:w="0" w:type="dxa"/>
            <w:right w:w="0" w:type="dxa"/>
          </w:tblCellMar>
        </w:tblPrEx>
        <w:trPr>
          <w:cantSplit/>
          <w:trHeight w:val="454" w:hRule="atLeast"/>
          <w:jc w:val="center"/>
        </w:trPr>
        <w:tc>
          <w:tcPr>
            <w:tcW w:w="543" w:type="dxa"/>
            <w:tcBorders>
              <w:top w:val="single" w:color="auto" w:sz="8" w:space="0"/>
              <w:left w:val="single" w:color="auto" w:sz="8" w:space="0"/>
              <w:right w:val="single" w:color="auto" w:sz="8" w:space="0"/>
            </w:tcBorders>
            <w:noWrap w:val="0"/>
            <w:vAlign w:val="center"/>
          </w:tcPr>
          <w:p w14:paraId="53B6DB25">
            <w:pPr>
              <w:jc w:val="center"/>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18</w:t>
            </w:r>
          </w:p>
        </w:tc>
        <w:tc>
          <w:tcPr>
            <w:tcW w:w="1048" w:type="dxa"/>
            <w:vMerge w:val="continue"/>
            <w:tcBorders>
              <w:left w:val="single" w:color="auto" w:sz="4" w:space="0"/>
              <w:right w:val="single" w:color="auto" w:sz="4" w:space="0"/>
            </w:tcBorders>
            <w:noWrap w:val="0"/>
            <w:vAlign w:val="center"/>
          </w:tcPr>
          <w:p w14:paraId="57536FD6">
            <w:pPr>
              <w:jc w:val="center"/>
              <w:outlineLvl w:val="9"/>
              <w:rPr>
                <w:rFonts w:hint="eastAsia" w:ascii="宋体" w:hAnsi="宋体" w:eastAsia="宋体" w:cs="宋体"/>
                <w:color w:val="000000"/>
                <w:sz w:val="21"/>
                <w:szCs w:val="21"/>
              </w:rPr>
            </w:pPr>
          </w:p>
        </w:tc>
        <w:tc>
          <w:tcPr>
            <w:tcW w:w="1916" w:type="dxa"/>
            <w:tcBorders>
              <w:top w:val="single" w:color="auto" w:sz="8" w:space="0"/>
              <w:left w:val="single" w:color="auto" w:sz="4" w:space="0"/>
              <w:right w:val="single" w:color="auto" w:sz="8" w:space="0"/>
            </w:tcBorders>
            <w:noWrap w:val="0"/>
            <w:vAlign w:val="center"/>
          </w:tcPr>
          <w:p w14:paraId="58379792">
            <w:pPr>
              <w:jc w:val="center"/>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大灾准备金</w:t>
            </w:r>
            <w:r>
              <w:rPr>
                <w:rFonts w:hint="eastAsia" w:ascii="宋体" w:hAnsi="宋体" w:eastAsia="宋体" w:cs="宋体"/>
                <w:color w:val="000000"/>
                <w:sz w:val="21"/>
                <w:szCs w:val="21"/>
                <w:lang w:val="en-US" w:eastAsia="zh-CN"/>
              </w:rPr>
              <w:t>3分</w:t>
            </w:r>
          </w:p>
        </w:tc>
        <w:tc>
          <w:tcPr>
            <w:tcW w:w="704" w:type="dxa"/>
            <w:tcBorders>
              <w:top w:val="single" w:color="auto" w:sz="8" w:space="0"/>
              <w:left w:val="single" w:color="auto" w:sz="8" w:space="0"/>
              <w:right w:val="single" w:color="auto" w:sz="8" w:space="0"/>
            </w:tcBorders>
            <w:noWrap w:val="0"/>
            <w:vAlign w:val="center"/>
          </w:tcPr>
          <w:p w14:paraId="62317EB1">
            <w:pPr>
              <w:jc w:val="center"/>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2678" w:type="dxa"/>
            <w:tcBorders>
              <w:top w:val="single" w:color="auto" w:sz="8" w:space="0"/>
              <w:left w:val="single" w:color="auto" w:sz="8" w:space="0"/>
              <w:right w:val="single" w:color="auto" w:sz="4" w:space="0"/>
            </w:tcBorders>
            <w:noWrap w:val="0"/>
            <w:vAlign w:val="center"/>
          </w:tcPr>
          <w:p w14:paraId="7EDB3601">
            <w:pP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53856A52">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6777C441">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784ECA4F">
            <w:pPr>
              <w:jc w:val="center"/>
              <w:outlineLvl w:val="9"/>
              <w:rPr>
                <w:rFonts w:hint="eastAsia" w:ascii="宋体" w:hAnsi="宋体" w:eastAsia="宋体" w:cs="宋体"/>
                <w:color w:val="000000"/>
                <w:sz w:val="21"/>
                <w:szCs w:val="21"/>
              </w:rPr>
            </w:pPr>
          </w:p>
        </w:tc>
        <w:tc>
          <w:tcPr>
            <w:tcW w:w="589" w:type="dxa"/>
            <w:tcBorders>
              <w:top w:val="single" w:color="auto" w:sz="8" w:space="0"/>
              <w:left w:val="single" w:color="auto" w:sz="4" w:space="0"/>
              <w:bottom w:val="single" w:color="auto" w:sz="4" w:space="0"/>
              <w:right w:val="single" w:color="auto" w:sz="8" w:space="0"/>
            </w:tcBorders>
            <w:noWrap w:val="0"/>
            <w:vAlign w:val="center"/>
          </w:tcPr>
          <w:p w14:paraId="36E4AA39">
            <w:pPr>
              <w:jc w:val="center"/>
              <w:outlineLvl w:val="9"/>
              <w:rPr>
                <w:rFonts w:hint="eastAsia" w:ascii="宋体" w:hAnsi="宋体" w:eastAsia="宋体" w:cs="宋体"/>
                <w:color w:val="000000"/>
                <w:sz w:val="21"/>
                <w:szCs w:val="21"/>
              </w:rPr>
            </w:pPr>
          </w:p>
        </w:tc>
      </w:tr>
      <w:tr w14:paraId="44E5726C">
        <w:tblPrEx>
          <w:tblCellMar>
            <w:top w:w="0" w:type="dxa"/>
            <w:left w:w="0" w:type="dxa"/>
            <w:bottom w:w="0" w:type="dxa"/>
            <w:right w:w="0" w:type="dxa"/>
          </w:tblCellMar>
        </w:tblPrEx>
        <w:trPr>
          <w:cantSplit/>
          <w:trHeight w:val="454" w:hRule="atLeast"/>
          <w:jc w:val="center"/>
        </w:trPr>
        <w:tc>
          <w:tcPr>
            <w:tcW w:w="543" w:type="dxa"/>
            <w:tcBorders>
              <w:top w:val="single" w:color="auto" w:sz="8" w:space="0"/>
              <w:left w:val="single" w:color="auto" w:sz="8" w:space="0"/>
              <w:right w:val="single" w:color="auto" w:sz="8" w:space="0"/>
            </w:tcBorders>
            <w:noWrap w:val="0"/>
            <w:vAlign w:val="center"/>
          </w:tcPr>
          <w:p w14:paraId="2B30802A">
            <w:pPr>
              <w:jc w:val="center"/>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19</w:t>
            </w:r>
          </w:p>
        </w:tc>
        <w:tc>
          <w:tcPr>
            <w:tcW w:w="1048" w:type="dxa"/>
            <w:vMerge w:val="continue"/>
            <w:tcBorders>
              <w:left w:val="single" w:color="auto" w:sz="4" w:space="0"/>
              <w:bottom w:val="single" w:color="auto" w:sz="4" w:space="0"/>
              <w:right w:val="single" w:color="auto" w:sz="4" w:space="0"/>
            </w:tcBorders>
            <w:noWrap w:val="0"/>
            <w:vAlign w:val="center"/>
          </w:tcPr>
          <w:p w14:paraId="146373D3">
            <w:pPr>
              <w:jc w:val="center"/>
              <w:outlineLvl w:val="9"/>
              <w:rPr>
                <w:rFonts w:hint="eastAsia" w:ascii="宋体" w:hAnsi="宋体" w:eastAsia="宋体" w:cs="宋体"/>
                <w:color w:val="000000"/>
                <w:sz w:val="21"/>
                <w:szCs w:val="21"/>
              </w:rPr>
            </w:pPr>
          </w:p>
        </w:tc>
        <w:tc>
          <w:tcPr>
            <w:tcW w:w="1916" w:type="dxa"/>
            <w:tcBorders>
              <w:top w:val="single" w:color="auto" w:sz="8" w:space="0"/>
              <w:left w:val="single" w:color="auto" w:sz="4" w:space="0"/>
              <w:right w:val="single" w:color="auto" w:sz="8" w:space="0"/>
            </w:tcBorders>
            <w:noWrap w:val="0"/>
            <w:vAlign w:val="center"/>
          </w:tcPr>
          <w:p w14:paraId="3CBA2384">
            <w:pPr>
              <w:jc w:val="center"/>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管理制度</w:t>
            </w:r>
            <w:r>
              <w:rPr>
                <w:rFonts w:hint="eastAsia" w:ascii="宋体" w:hAnsi="宋体" w:eastAsia="宋体" w:cs="宋体"/>
                <w:color w:val="000000"/>
                <w:sz w:val="21"/>
                <w:szCs w:val="21"/>
                <w:lang w:val="en-US" w:eastAsia="zh-CN"/>
              </w:rPr>
              <w:t>3分</w:t>
            </w:r>
          </w:p>
        </w:tc>
        <w:tc>
          <w:tcPr>
            <w:tcW w:w="704" w:type="dxa"/>
            <w:tcBorders>
              <w:top w:val="single" w:color="auto" w:sz="8" w:space="0"/>
              <w:left w:val="single" w:color="auto" w:sz="8" w:space="0"/>
              <w:right w:val="single" w:color="auto" w:sz="8" w:space="0"/>
            </w:tcBorders>
            <w:noWrap w:val="0"/>
            <w:vAlign w:val="center"/>
          </w:tcPr>
          <w:p w14:paraId="7A7FA6E8">
            <w:pPr>
              <w:jc w:val="center"/>
              <w:outlineLvl w:val="9"/>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2678" w:type="dxa"/>
            <w:tcBorders>
              <w:top w:val="single" w:color="auto" w:sz="8" w:space="0"/>
              <w:left w:val="single" w:color="auto" w:sz="8" w:space="0"/>
              <w:right w:val="single" w:color="auto" w:sz="4" w:space="0"/>
            </w:tcBorders>
            <w:noWrap w:val="0"/>
            <w:vAlign w:val="center"/>
          </w:tcPr>
          <w:p w14:paraId="4337BDCF">
            <w:pP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03BD43AB">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775CE498">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326A8B92">
            <w:pPr>
              <w:jc w:val="center"/>
              <w:outlineLvl w:val="9"/>
              <w:rPr>
                <w:rFonts w:hint="eastAsia" w:ascii="宋体" w:hAnsi="宋体" w:eastAsia="宋体" w:cs="宋体"/>
                <w:color w:val="000000"/>
                <w:sz w:val="21"/>
                <w:szCs w:val="21"/>
              </w:rPr>
            </w:pPr>
          </w:p>
        </w:tc>
        <w:tc>
          <w:tcPr>
            <w:tcW w:w="589" w:type="dxa"/>
            <w:tcBorders>
              <w:top w:val="single" w:color="auto" w:sz="8" w:space="0"/>
              <w:left w:val="single" w:color="auto" w:sz="4" w:space="0"/>
              <w:bottom w:val="single" w:color="auto" w:sz="4" w:space="0"/>
              <w:right w:val="single" w:color="auto" w:sz="8" w:space="0"/>
            </w:tcBorders>
            <w:noWrap w:val="0"/>
            <w:vAlign w:val="center"/>
          </w:tcPr>
          <w:p w14:paraId="4E90A32A">
            <w:pPr>
              <w:jc w:val="center"/>
              <w:outlineLvl w:val="9"/>
              <w:rPr>
                <w:rFonts w:hint="eastAsia" w:ascii="宋体" w:hAnsi="宋体" w:eastAsia="宋体" w:cs="宋体"/>
                <w:color w:val="000000"/>
                <w:sz w:val="21"/>
                <w:szCs w:val="21"/>
              </w:rPr>
            </w:pPr>
          </w:p>
        </w:tc>
      </w:tr>
      <w:tr w14:paraId="63D3A7C0">
        <w:tblPrEx>
          <w:tblCellMar>
            <w:top w:w="0" w:type="dxa"/>
            <w:left w:w="0" w:type="dxa"/>
            <w:bottom w:w="0" w:type="dxa"/>
            <w:right w:w="0" w:type="dxa"/>
          </w:tblCellMar>
        </w:tblPrEx>
        <w:trPr>
          <w:cantSplit/>
          <w:trHeight w:val="454" w:hRule="atLeast"/>
          <w:jc w:val="center"/>
        </w:trPr>
        <w:tc>
          <w:tcPr>
            <w:tcW w:w="543" w:type="dxa"/>
            <w:tcBorders>
              <w:top w:val="single" w:color="auto" w:sz="8" w:space="0"/>
              <w:left w:val="single" w:color="auto" w:sz="8" w:space="0"/>
              <w:bottom w:val="single" w:color="auto" w:sz="4" w:space="0"/>
              <w:right w:val="single" w:color="auto" w:sz="8" w:space="0"/>
            </w:tcBorders>
            <w:noWrap w:val="0"/>
            <w:vAlign w:val="center"/>
          </w:tcPr>
          <w:p w14:paraId="4383D4E2">
            <w:pPr>
              <w:jc w:val="center"/>
              <w:outlineLvl w:val="9"/>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20</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41956C1B">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农业保险绩效评价</w:t>
            </w:r>
            <w:r>
              <w:rPr>
                <w:rFonts w:hint="eastAsia" w:ascii="宋体" w:hAnsi="宋体" w:eastAsia="宋体" w:cs="宋体"/>
                <w:color w:val="000000"/>
                <w:sz w:val="21"/>
                <w:szCs w:val="21"/>
                <w:lang w:val="en-US" w:eastAsia="zh-CN"/>
              </w:rPr>
              <w:t>10分</w:t>
            </w:r>
          </w:p>
        </w:tc>
        <w:tc>
          <w:tcPr>
            <w:tcW w:w="1916" w:type="dxa"/>
            <w:tcBorders>
              <w:top w:val="single" w:color="auto" w:sz="8" w:space="0"/>
              <w:left w:val="single" w:color="auto" w:sz="4" w:space="0"/>
              <w:bottom w:val="single" w:color="auto" w:sz="4" w:space="0"/>
              <w:right w:val="single" w:color="auto" w:sz="8" w:space="0"/>
            </w:tcBorders>
            <w:noWrap w:val="0"/>
            <w:vAlign w:val="center"/>
          </w:tcPr>
          <w:p w14:paraId="17F3CED4">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农业保险绩效评价 情况</w:t>
            </w:r>
            <w:r>
              <w:rPr>
                <w:rFonts w:hint="eastAsia" w:ascii="宋体" w:hAnsi="宋体" w:eastAsia="宋体" w:cs="宋体"/>
                <w:color w:val="000000"/>
                <w:sz w:val="21"/>
                <w:szCs w:val="21"/>
                <w:lang w:val="en-US" w:eastAsia="zh-CN"/>
              </w:rPr>
              <w:t>10分</w:t>
            </w:r>
          </w:p>
        </w:tc>
        <w:tc>
          <w:tcPr>
            <w:tcW w:w="704" w:type="dxa"/>
            <w:tcBorders>
              <w:top w:val="single" w:color="auto" w:sz="8" w:space="0"/>
              <w:left w:val="single" w:color="auto" w:sz="8" w:space="0"/>
              <w:right w:val="single" w:color="auto" w:sz="8" w:space="0"/>
            </w:tcBorders>
            <w:noWrap w:val="0"/>
            <w:vAlign w:val="center"/>
          </w:tcPr>
          <w:p w14:paraId="268834AF">
            <w:pPr>
              <w:jc w:val="center"/>
              <w:outlineLvl w:val="9"/>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10</w:t>
            </w:r>
          </w:p>
        </w:tc>
        <w:tc>
          <w:tcPr>
            <w:tcW w:w="2678" w:type="dxa"/>
            <w:tcBorders>
              <w:top w:val="single" w:color="auto" w:sz="8" w:space="0"/>
              <w:left w:val="single" w:color="auto" w:sz="8" w:space="0"/>
              <w:right w:val="single" w:color="auto" w:sz="4" w:space="0"/>
            </w:tcBorders>
            <w:noWrap w:val="0"/>
            <w:vAlign w:val="center"/>
          </w:tcPr>
          <w:p w14:paraId="541A3DFF">
            <w:pP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1FDE5A15">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231CB55D">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651D8566">
            <w:pPr>
              <w:jc w:val="center"/>
              <w:outlineLvl w:val="9"/>
              <w:rPr>
                <w:rFonts w:hint="eastAsia" w:ascii="宋体" w:hAnsi="宋体" w:eastAsia="宋体" w:cs="宋体"/>
                <w:color w:val="000000"/>
                <w:sz w:val="21"/>
                <w:szCs w:val="21"/>
              </w:rPr>
            </w:pPr>
          </w:p>
        </w:tc>
        <w:tc>
          <w:tcPr>
            <w:tcW w:w="589" w:type="dxa"/>
            <w:tcBorders>
              <w:top w:val="single" w:color="auto" w:sz="8" w:space="0"/>
              <w:left w:val="single" w:color="auto" w:sz="4" w:space="0"/>
              <w:bottom w:val="single" w:color="auto" w:sz="4" w:space="0"/>
              <w:right w:val="single" w:color="auto" w:sz="8" w:space="0"/>
            </w:tcBorders>
            <w:noWrap w:val="0"/>
            <w:vAlign w:val="center"/>
          </w:tcPr>
          <w:p w14:paraId="599C5F02">
            <w:pPr>
              <w:jc w:val="center"/>
              <w:outlineLvl w:val="9"/>
              <w:rPr>
                <w:rFonts w:hint="eastAsia" w:ascii="宋体" w:hAnsi="宋体" w:eastAsia="宋体" w:cs="宋体"/>
                <w:color w:val="000000"/>
                <w:sz w:val="21"/>
                <w:szCs w:val="21"/>
              </w:rPr>
            </w:pPr>
          </w:p>
        </w:tc>
      </w:tr>
      <w:tr w14:paraId="2C04C8BC">
        <w:tblPrEx>
          <w:tblCellMar>
            <w:top w:w="0" w:type="dxa"/>
            <w:left w:w="0" w:type="dxa"/>
            <w:bottom w:w="0" w:type="dxa"/>
            <w:right w:w="0" w:type="dxa"/>
          </w:tblCellMar>
        </w:tblPrEx>
        <w:trPr>
          <w:cantSplit/>
          <w:trHeight w:val="454" w:hRule="atLeast"/>
          <w:jc w:val="center"/>
        </w:trPr>
        <w:tc>
          <w:tcPr>
            <w:tcW w:w="543" w:type="dxa"/>
            <w:tcBorders>
              <w:top w:val="single" w:color="auto" w:sz="8" w:space="0"/>
              <w:left w:val="single" w:color="auto" w:sz="8" w:space="0"/>
              <w:bottom w:val="single" w:color="auto" w:sz="4" w:space="0"/>
              <w:right w:val="single" w:color="auto" w:sz="8" w:space="0"/>
            </w:tcBorders>
            <w:noWrap w:val="0"/>
            <w:vAlign w:val="center"/>
          </w:tcPr>
          <w:p w14:paraId="43E207B4">
            <w:pPr>
              <w:jc w:val="center"/>
              <w:outlineLvl w:val="9"/>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21</w:t>
            </w:r>
          </w:p>
        </w:tc>
        <w:tc>
          <w:tcPr>
            <w:tcW w:w="1048" w:type="dxa"/>
            <w:vMerge w:val="restart"/>
            <w:tcBorders>
              <w:top w:val="single" w:color="auto" w:sz="4" w:space="0"/>
              <w:left w:val="single" w:color="auto" w:sz="4" w:space="0"/>
              <w:right w:val="single" w:color="auto" w:sz="4" w:space="0"/>
            </w:tcBorders>
            <w:noWrap w:val="0"/>
            <w:vAlign w:val="center"/>
          </w:tcPr>
          <w:p w14:paraId="59A3AF3D">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对县域经济的贡献程度7分</w:t>
            </w:r>
          </w:p>
        </w:tc>
        <w:tc>
          <w:tcPr>
            <w:tcW w:w="1916" w:type="dxa"/>
            <w:tcBorders>
              <w:top w:val="single" w:color="auto" w:sz="8" w:space="0"/>
              <w:left w:val="single" w:color="auto" w:sz="4" w:space="0"/>
              <w:bottom w:val="single" w:color="auto" w:sz="4" w:space="0"/>
              <w:right w:val="single" w:color="auto" w:sz="8" w:space="0"/>
            </w:tcBorders>
            <w:noWrap w:val="0"/>
            <w:vAlign w:val="center"/>
          </w:tcPr>
          <w:p w14:paraId="648011C0">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历年完成税收总额情况</w:t>
            </w:r>
            <w:r>
              <w:rPr>
                <w:rFonts w:hint="eastAsia" w:ascii="宋体" w:hAnsi="宋体" w:eastAsia="宋体" w:cs="宋体"/>
                <w:color w:val="000000"/>
                <w:sz w:val="21"/>
                <w:szCs w:val="21"/>
                <w:lang w:val="en-US" w:eastAsia="zh-CN"/>
              </w:rPr>
              <w:t>4分</w:t>
            </w:r>
          </w:p>
        </w:tc>
        <w:tc>
          <w:tcPr>
            <w:tcW w:w="704" w:type="dxa"/>
            <w:tcBorders>
              <w:top w:val="single" w:color="auto" w:sz="8" w:space="0"/>
              <w:left w:val="single" w:color="auto" w:sz="8" w:space="0"/>
              <w:right w:val="single" w:color="auto" w:sz="8" w:space="0"/>
            </w:tcBorders>
            <w:noWrap w:val="0"/>
            <w:vAlign w:val="center"/>
          </w:tcPr>
          <w:p w14:paraId="08153987">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4</w:t>
            </w:r>
          </w:p>
        </w:tc>
        <w:tc>
          <w:tcPr>
            <w:tcW w:w="2678" w:type="dxa"/>
            <w:tcBorders>
              <w:top w:val="single" w:color="auto" w:sz="8" w:space="0"/>
              <w:left w:val="single" w:color="auto" w:sz="8" w:space="0"/>
              <w:right w:val="single" w:color="auto" w:sz="4" w:space="0"/>
            </w:tcBorders>
            <w:noWrap w:val="0"/>
            <w:vAlign w:val="center"/>
          </w:tcPr>
          <w:p w14:paraId="7E9E218B">
            <w:pP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2856217E">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7E13DBAD">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57B52E0D">
            <w:pPr>
              <w:jc w:val="center"/>
              <w:outlineLvl w:val="9"/>
              <w:rPr>
                <w:rFonts w:hint="eastAsia" w:ascii="宋体" w:hAnsi="宋体" w:eastAsia="宋体" w:cs="宋体"/>
                <w:color w:val="000000"/>
                <w:sz w:val="21"/>
                <w:szCs w:val="21"/>
              </w:rPr>
            </w:pPr>
          </w:p>
        </w:tc>
        <w:tc>
          <w:tcPr>
            <w:tcW w:w="589" w:type="dxa"/>
            <w:tcBorders>
              <w:top w:val="single" w:color="auto" w:sz="8" w:space="0"/>
              <w:left w:val="single" w:color="auto" w:sz="4" w:space="0"/>
              <w:bottom w:val="single" w:color="auto" w:sz="4" w:space="0"/>
              <w:right w:val="single" w:color="auto" w:sz="8" w:space="0"/>
            </w:tcBorders>
            <w:noWrap w:val="0"/>
            <w:vAlign w:val="center"/>
          </w:tcPr>
          <w:p w14:paraId="54E07F3B">
            <w:pPr>
              <w:jc w:val="center"/>
              <w:outlineLvl w:val="9"/>
              <w:rPr>
                <w:rFonts w:hint="eastAsia" w:ascii="宋体" w:hAnsi="宋体" w:eastAsia="宋体" w:cs="宋体"/>
                <w:color w:val="000000"/>
                <w:sz w:val="21"/>
                <w:szCs w:val="21"/>
              </w:rPr>
            </w:pPr>
          </w:p>
        </w:tc>
      </w:tr>
      <w:tr w14:paraId="2ACB1177">
        <w:tblPrEx>
          <w:tblCellMar>
            <w:top w:w="0" w:type="dxa"/>
            <w:left w:w="0" w:type="dxa"/>
            <w:bottom w:w="0" w:type="dxa"/>
            <w:right w:w="0" w:type="dxa"/>
          </w:tblCellMar>
        </w:tblPrEx>
        <w:trPr>
          <w:cantSplit/>
          <w:trHeight w:val="454" w:hRule="atLeast"/>
          <w:jc w:val="center"/>
        </w:trPr>
        <w:tc>
          <w:tcPr>
            <w:tcW w:w="543" w:type="dxa"/>
            <w:tcBorders>
              <w:top w:val="single" w:color="auto" w:sz="8" w:space="0"/>
              <w:left w:val="single" w:color="auto" w:sz="8" w:space="0"/>
              <w:bottom w:val="single" w:color="auto" w:sz="4" w:space="0"/>
              <w:right w:val="single" w:color="auto" w:sz="8" w:space="0"/>
            </w:tcBorders>
            <w:noWrap w:val="0"/>
            <w:vAlign w:val="center"/>
          </w:tcPr>
          <w:p w14:paraId="65D8CF1A">
            <w:pPr>
              <w:jc w:val="center"/>
              <w:outlineLvl w:val="9"/>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22</w:t>
            </w:r>
          </w:p>
        </w:tc>
        <w:tc>
          <w:tcPr>
            <w:tcW w:w="1048" w:type="dxa"/>
            <w:vMerge w:val="continue"/>
            <w:tcBorders>
              <w:left w:val="single" w:color="auto" w:sz="4" w:space="0"/>
              <w:bottom w:val="single" w:color="auto" w:sz="4" w:space="0"/>
              <w:right w:val="single" w:color="auto" w:sz="4" w:space="0"/>
            </w:tcBorders>
            <w:noWrap w:val="0"/>
            <w:vAlign w:val="center"/>
          </w:tcPr>
          <w:p w14:paraId="05129A37">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000000"/>
                <w:sz w:val="21"/>
                <w:szCs w:val="21"/>
                <w:lang w:eastAsia="zh-CN"/>
              </w:rPr>
            </w:pPr>
          </w:p>
        </w:tc>
        <w:tc>
          <w:tcPr>
            <w:tcW w:w="1916" w:type="dxa"/>
            <w:tcBorders>
              <w:top w:val="single" w:color="auto" w:sz="8" w:space="0"/>
              <w:left w:val="single" w:color="auto" w:sz="4" w:space="0"/>
              <w:bottom w:val="single" w:color="auto" w:sz="4" w:space="0"/>
              <w:right w:val="single" w:color="auto" w:sz="8" w:space="0"/>
            </w:tcBorders>
            <w:noWrap w:val="0"/>
            <w:vAlign w:val="center"/>
          </w:tcPr>
          <w:p w14:paraId="2605E168">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近年税收增长率</w:t>
            </w:r>
            <w:r>
              <w:rPr>
                <w:rFonts w:hint="eastAsia" w:ascii="宋体" w:hAnsi="宋体" w:eastAsia="宋体" w:cs="宋体"/>
                <w:color w:val="000000"/>
                <w:sz w:val="21"/>
                <w:szCs w:val="21"/>
                <w:lang w:val="en-US" w:eastAsia="zh-CN"/>
              </w:rPr>
              <w:t>3分</w:t>
            </w:r>
          </w:p>
        </w:tc>
        <w:tc>
          <w:tcPr>
            <w:tcW w:w="704" w:type="dxa"/>
            <w:tcBorders>
              <w:top w:val="single" w:color="auto" w:sz="8" w:space="0"/>
              <w:left w:val="single" w:color="auto" w:sz="8" w:space="0"/>
              <w:right w:val="single" w:color="auto" w:sz="8" w:space="0"/>
            </w:tcBorders>
            <w:noWrap w:val="0"/>
            <w:vAlign w:val="center"/>
          </w:tcPr>
          <w:p w14:paraId="7CBBE9FA">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w:t>
            </w:r>
          </w:p>
        </w:tc>
        <w:tc>
          <w:tcPr>
            <w:tcW w:w="2678" w:type="dxa"/>
            <w:tcBorders>
              <w:top w:val="single" w:color="auto" w:sz="8" w:space="0"/>
              <w:left w:val="single" w:color="auto" w:sz="8" w:space="0"/>
              <w:right w:val="single" w:color="auto" w:sz="4" w:space="0"/>
            </w:tcBorders>
            <w:noWrap w:val="0"/>
            <w:vAlign w:val="center"/>
          </w:tcPr>
          <w:p w14:paraId="4E50365D">
            <w:pP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4C391122">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647786F6">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393413EC">
            <w:pPr>
              <w:jc w:val="center"/>
              <w:outlineLvl w:val="9"/>
              <w:rPr>
                <w:rFonts w:hint="eastAsia" w:ascii="宋体" w:hAnsi="宋体" w:eastAsia="宋体" w:cs="宋体"/>
                <w:color w:val="000000"/>
                <w:sz w:val="21"/>
                <w:szCs w:val="21"/>
              </w:rPr>
            </w:pPr>
          </w:p>
        </w:tc>
        <w:tc>
          <w:tcPr>
            <w:tcW w:w="589" w:type="dxa"/>
            <w:tcBorders>
              <w:top w:val="single" w:color="auto" w:sz="8" w:space="0"/>
              <w:left w:val="single" w:color="auto" w:sz="4" w:space="0"/>
              <w:bottom w:val="single" w:color="auto" w:sz="4" w:space="0"/>
              <w:right w:val="single" w:color="auto" w:sz="8" w:space="0"/>
            </w:tcBorders>
            <w:noWrap w:val="0"/>
            <w:vAlign w:val="center"/>
          </w:tcPr>
          <w:p w14:paraId="313C396A">
            <w:pPr>
              <w:jc w:val="center"/>
              <w:outlineLvl w:val="9"/>
              <w:rPr>
                <w:rFonts w:hint="eastAsia" w:ascii="宋体" w:hAnsi="宋体" w:eastAsia="宋体" w:cs="宋体"/>
                <w:color w:val="000000"/>
                <w:sz w:val="21"/>
                <w:szCs w:val="21"/>
              </w:rPr>
            </w:pPr>
          </w:p>
        </w:tc>
      </w:tr>
      <w:tr w14:paraId="13657F61">
        <w:tblPrEx>
          <w:tblCellMar>
            <w:top w:w="0" w:type="dxa"/>
            <w:left w:w="0" w:type="dxa"/>
            <w:bottom w:w="0" w:type="dxa"/>
            <w:right w:w="0" w:type="dxa"/>
          </w:tblCellMar>
        </w:tblPrEx>
        <w:trPr>
          <w:cantSplit/>
          <w:trHeight w:val="454" w:hRule="atLeast"/>
          <w:jc w:val="center"/>
        </w:trPr>
        <w:tc>
          <w:tcPr>
            <w:tcW w:w="543" w:type="dxa"/>
            <w:tcBorders>
              <w:top w:val="single" w:color="auto" w:sz="8" w:space="0"/>
              <w:left w:val="single" w:color="auto" w:sz="8" w:space="0"/>
              <w:bottom w:val="single" w:color="auto" w:sz="4" w:space="0"/>
              <w:right w:val="single" w:color="auto" w:sz="8" w:space="0"/>
            </w:tcBorders>
            <w:noWrap w:val="0"/>
            <w:vAlign w:val="center"/>
          </w:tcPr>
          <w:p w14:paraId="7445648E">
            <w:pPr>
              <w:jc w:val="center"/>
              <w:outlineLvl w:val="9"/>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23</w:t>
            </w:r>
          </w:p>
        </w:tc>
        <w:tc>
          <w:tcPr>
            <w:tcW w:w="1048" w:type="dxa"/>
            <w:tcBorders>
              <w:top w:val="single" w:color="auto" w:sz="4" w:space="0"/>
              <w:left w:val="single" w:color="auto" w:sz="4" w:space="0"/>
              <w:bottom w:val="single" w:color="auto" w:sz="4" w:space="0"/>
              <w:right w:val="single" w:color="auto" w:sz="4" w:space="0"/>
            </w:tcBorders>
            <w:noWrap w:val="0"/>
            <w:vAlign w:val="center"/>
          </w:tcPr>
          <w:p w14:paraId="07BB14F0">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对乡村振兴工作的支持3分</w:t>
            </w:r>
          </w:p>
        </w:tc>
        <w:tc>
          <w:tcPr>
            <w:tcW w:w="1916" w:type="dxa"/>
            <w:tcBorders>
              <w:top w:val="single" w:color="auto" w:sz="8" w:space="0"/>
              <w:left w:val="single" w:color="auto" w:sz="4" w:space="0"/>
              <w:bottom w:val="single" w:color="auto" w:sz="4" w:space="0"/>
              <w:right w:val="single" w:color="auto" w:sz="8" w:space="0"/>
            </w:tcBorders>
            <w:noWrap w:val="0"/>
            <w:vAlign w:val="center"/>
          </w:tcPr>
          <w:p w14:paraId="2FBC72C9">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乡村振兴方面投入资金情况</w:t>
            </w:r>
            <w:r>
              <w:rPr>
                <w:rFonts w:hint="eastAsia" w:ascii="宋体" w:hAnsi="宋体" w:eastAsia="宋体" w:cs="宋体"/>
                <w:color w:val="000000"/>
                <w:sz w:val="21"/>
                <w:szCs w:val="21"/>
                <w:lang w:val="en-US" w:eastAsia="zh-CN"/>
              </w:rPr>
              <w:t>3分</w:t>
            </w:r>
          </w:p>
        </w:tc>
        <w:tc>
          <w:tcPr>
            <w:tcW w:w="704" w:type="dxa"/>
            <w:tcBorders>
              <w:top w:val="single" w:color="auto" w:sz="8" w:space="0"/>
              <w:left w:val="single" w:color="auto" w:sz="8" w:space="0"/>
              <w:right w:val="single" w:color="auto" w:sz="8" w:space="0"/>
            </w:tcBorders>
            <w:noWrap w:val="0"/>
            <w:vAlign w:val="center"/>
          </w:tcPr>
          <w:p w14:paraId="37D2916D">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3</w:t>
            </w:r>
          </w:p>
        </w:tc>
        <w:tc>
          <w:tcPr>
            <w:tcW w:w="2678" w:type="dxa"/>
            <w:tcBorders>
              <w:top w:val="single" w:color="auto" w:sz="8" w:space="0"/>
              <w:left w:val="single" w:color="auto" w:sz="8" w:space="0"/>
              <w:right w:val="single" w:color="auto" w:sz="4" w:space="0"/>
            </w:tcBorders>
            <w:noWrap w:val="0"/>
            <w:vAlign w:val="center"/>
          </w:tcPr>
          <w:p w14:paraId="0C5213B1">
            <w:pP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607E6E03">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60432B5F">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right w:val="single" w:color="auto" w:sz="4" w:space="0"/>
            </w:tcBorders>
            <w:noWrap w:val="0"/>
            <w:vAlign w:val="center"/>
          </w:tcPr>
          <w:p w14:paraId="37E69B8F">
            <w:pPr>
              <w:jc w:val="center"/>
              <w:outlineLvl w:val="9"/>
              <w:rPr>
                <w:rFonts w:hint="eastAsia" w:ascii="宋体" w:hAnsi="宋体" w:eastAsia="宋体" w:cs="宋体"/>
                <w:color w:val="000000"/>
                <w:sz w:val="21"/>
                <w:szCs w:val="21"/>
              </w:rPr>
            </w:pPr>
          </w:p>
        </w:tc>
        <w:tc>
          <w:tcPr>
            <w:tcW w:w="589" w:type="dxa"/>
            <w:tcBorders>
              <w:top w:val="single" w:color="auto" w:sz="8" w:space="0"/>
              <w:left w:val="single" w:color="auto" w:sz="4" w:space="0"/>
              <w:bottom w:val="single" w:color="auto" w:sz="4" w:space="0"/>
              <w:right w:val="single" w:color="auto" w:sz="8" w:space="0"/>
            </w:tcBorders>
            <w:noWrap w:val="0"/>
            <w:vAlign w:val="center"/>
          </w:tcPr>
          <w:p w14:paraId="5489B39C">
            <w:pPr>
              <w:jc w:val="center"/>
              <w:outlineLvl w:val="9"/>
              <w:rPr>
                <w:rFonts w:hint="eastAsia" w:ascii="宋体" w:hAnsi="宋体" w:eastAsia="宋体" w:cs="宋体"/>
                <w:color w:val="000000"/>
                <w:sz w:val="21"/>
                <w:szCs w:val="21"/>
              </w:rPr>
            </w:pPr>
          </w:p>
        </w:tc>
      </w:tr>
      <w:tr w14:paraId="458CA738">
        <w:tblPrEx>
          <w:tblCellMar>
            <w:top w:w="0" w:type="dxa"/>
            <w:left w:w="0" w:type="dxa"/>
            <w:bottom w:w="0" w:type="dxa"/>
            <w:right w:w="0" w:type="dxa"/>
          </w:tblCellMar>
        </w:tblPrEx>
        <w:trPr>
          <w:trHeight w:val="454" w:hRule="atLeast"/>
          <w:jc w:val="center"/>
        </w:trPr>
        <w:tc>
          <w:tcPr>
            <w:tcW w:w="6889" w:type="dxa"/>
            <w:gridSpan w:val="5"/>
            <w:tcBorders>
              <w:top w:val="single" w:color="auto" w:sz="8" w:space="0"/>
              <w:left w:val="single" w:color="auto" w:sz="8" w:space="0"/>
              <w:bottom w:val="single" w:color="auto" w:sz="8" w:space="0"/>
              <w:right w:val="single" w:color="auto" w:sz="4" w:space="0"/>
            </w:tcBorders>
            <w:noWrap w:val="0"/>
            <w:vAlign w:val="center"/>
          </w:tcPr>
          <w:p w14:paraId="396629D8">
            <w:pPr>
              <w:jc w:val="center"/>
              <w:outlineLvl w:val="9"/>
              <w:rPr>
                <w:rFonts w:hint="eastAsia" w:ascii="宋体" w:hAnsi="宋体" w:eastAsia="宋体" w:cs="宋体"/>
                <w:color w:val="000000"/>
                <w:sz w:val="21"/>
                <w:szCs w:val="21"/>
              </w:rPr>
            </w:pPr>
            <w:r>
              <w:rPr>
                <w:rFonts w:hint="eastAsia" w:ascii="宋体" w:hAnsi="宋体" w:eastAsia="宋体" w:cs="宋体"/>
                <w:color w:val="000000"/>
                <w:sz w:val="21"/>
                <w:szCs w:val="21"/>
              </w:rPr>
              <w:t>合  计</w:t>
            </w:r>
          </w:p>
        </w:tc>
        <w:tc>
          <w:tcPr>
            <w:tcW w:w="587" w:type="dxa"/>
            <w:tcBorders>
              <w:top w:val="single" w:color="auto" w:sz="8" w:space="0"/>
              <w:left w:val="single" w:color="auto" w:sz="4" w:space="0"/>
              <w:bottom w:val="single" w:color="auto" w:sz="8" w:space="0"/>
              <w:right w:val="single" w:color="auto" w:sz="4" w:space="0"/>
            </w:tcBorders>
            <w:noWrap w:val="0"/>
            <w:vAlign w:val="center"/>
          </w:tcPr>
          <w:p w14:paraId="062CF054">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bottom w:val="single" w:color="auto" w:sz="8" w:space="0"/>
              <w:right w:val="single" w:color="auto" w:sz="4" w:space="0"/>
            </w:tcBorders>
            <w:noWrap w:val="0"/>
            <w:vAlign w:val="center"/>
          </w:tcPr>
          <w:p w14:paraId="1ECB37C3">
            <w:pPr>
              <w:jc w:val="center"/>
              <w:outlineLvl w:val="9"/>
              <w:rPr>
                <w:rFonts w:hint="eastAsia" w:ascii="宋体" w:hAnsi="宋体" w:eastAsia="宋体" w:cs="宋体"/>
                <w:color w:val="000000"/>
                <w:sz w:val="21"/>
                <w:szCs w:val="21"/>
              </w:rPr>
            </w:pPr>
          </w:p>
        </w:tc>
        <w:tc>
          <w:tcPr>
            <w:tcW w:w="587" w:type="dxa"/>
            <w:tcBorders>
              <w:top w:val="single" w:color="auto" w:sz="8" w:space="0"/>
              <w:left w:val="single" w:color="auto" w:sz="4" w:space="0"/>
              <w:bottom w:val="single" w:color="auto" w:sz="8" w:space="0"/>
              <w:right w:val="single" w:color="auto" w:sz="4" w:space="0"/>
            </w:tcBorders>
            <w:noWrap w:val="0"/>
            <w:vAlign w:val="center"/>
          </w:tcPr>
          <w:p w14:paraId="0B92019E">
            <w:pPr>
              <w:jc w:val="center"/>
              <w:outlineLvl w:val="9"/>
              <w:rPr>
                <w:rFonts w:hint="eastAsia" w:ascii="宋体" w:hAnsi="宋体" w:eastAsia="宋体" w:cs="宋体"/>
                <w:color w:val="000000"/>
                <w:sz w:val="21"/>
                <w:szCs w:val="21"/>
              </w:rPr>
            </w:pPr>
          </w:p>
        </w:tc>
        <w:tc>
          <w:tcPr>
            <w:tcW w:w="589" w:type="dxa"/>
            <w:tcBorders>
              <w:top w:val="single" w:color="auto" w:sz="8" w:space="0"/>
              <w:left w:val="single" w:color="auto" w:sz="4" w:space="0"/>
              <w:bottom w:val="single" w:color="auto" w:sz="8" w:space="0"/>
              <w:right w:val="single" w:color="auto" w:sz="8" w:space="0"/>
            </w:tcBorders>
            <w:noWrap w:val="0"/>
            <w:vAlign w:val="center"/>
          </w:tcPr>
          <w:p w14:paraId="223E8342">
            <w:pPr>
              <w:jc w:val="center"/>
              <w:outlineLvl w:val="9"/>
              <w:rPr>
                <w:rFonts w:hint="eastAsia" w:ascii="宋体" w:hAnsi="宋体" w:eastAsia="宋体" w:cs="宋体"/>
                <w:color w:val="000000"/>
                <w:sz w:val="21"/>
                <w:szCs w:val="21"/>
              </w:rPr>
            </w:pPr>
          </w:p>
        </w:tc>
      </w:tr>
    </w:tbl>
    <w:p w14:paraId="68981109">
      <w:pPr>
        <w:spacing w:line="480" w:lineRule="exact"/>
        <w:ind w:firstLine="420" w:firstLineChars="200"/>
        <w:outlineLvl w:val="9"/>
        <w:rPr>
          <w:rFonts w:hint="eastAsia" w:ascii="宋体" w:hAnsi="宋体" w:eastAsia="宋体" w:cs="宋体"/>
          <w:color w:val="000000"/>
          <w:szCs w:val="21"/>
          <w:lang w:eastAsia="zh-CN"/>
        </w:rPr>
        <w:sectPr>
          <w:pgSz w:w="11906" w:h="16838"/>
          <w:pgMar w:top="1440" w:right="1474" w:bottom="1440" w:left="1588" w:header="851" w:footer="992" w:gutter="0"/>
          <w:pgNumType w:fmt="decimal"/>
          <w:cols w:space="720" w:num="1"/>
          <w:docGrid w:type="lines" w:linePitch="312" w:charSpace="0"/>
        </w:sectPr>
      </w:pPr>
    </w:p>
    <w:p w14:paraId="4D046479">
      <w:pPr>
        <w:widowControl/>
        <w:jc w:val="center"/>
        <w:outlineLvl w:val="1"/>
        <w:rPr>
          <w:rFonts w:ascii="Times New Roman" w:hAnsi="Times New Roman" w:eastAsia="方正小标宋_GBK" w:cs="Times New Roman"/>
          <w:color w:val="000000"/>
          <w:kern w:val="0"/>
          <w:sz w:val="36"/>
          <w:szCs w:val="36"/>
        </w:rPr>
      </w:pPr>
      <w:bookmarkStart w:id="72" w:name="_Toc24071"/>
      <w:r>
        <w:rPr>
          <w:rFonts w:ascii="Times New Roman" w:hAnsi="Times New Roman" w:eastAsia="方正小标宋_GBK" w:cs="Times New Roman"/>
          <w:color w:val="000000"/>
          <w:kern w:val="0"/>
          <w:sz w:val="36"/>
          <w:szCs w:val="36"/>
        </w:rPr>
        <w:t>公开竞争性遴选政策性农业保险承保机构评审标准</w:t>
      </w:r>
      <w:bookmarkEnd w:id="72"/>
    </w:p>
    <w:tbl>
      <w:tblPr>
        <w:tblStyle w:val="18"/>
        <w:tblW w:w="1394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5"/>
        <w:gridCol w:w="734"/>
        <w:gridCol w:w="886"/>
        <w:gridCol w:w="648"/>
        <w:gridCol w:w="5598"/>
        <w:gridCol w:w="5598"/>
      </w:tblGrid>
      <w:tr w14:paraId="76F57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4" w:hRule="atLeast"/>
        </w:trPr>
        <w:tc>
          <w:tcPr>
            <w:tcW w:w="485" w:type="dxa"/>
            <w:noWrap w:val="0"/>
            <w:textDirection w:val="tbRlV"/>
            <w:vAlign w:val="center"/>
          </w:tcPr>
          <w:p w14:paraId="2EDDBFAE">
            <w:pPr>
              <w:keepNext w:val="0"/>
              <w:keepLines w:val="0"/>
              <w:pageBreakBefore w:val="0"/>
              <w:kinsoku/>
              <w:wordWrap/>
              <w:overflowPunct/>
              <w:topLinePunct w:val="0"/>
              <w:autoSpaceDE/>
              <w:autoSpaceDN/>
              <w:bidi w:val="0"/>
              <w:adjustRightInd/>
              <w:snapToGrid/>
              <w:spacing w:line="228" w:lineRule="auto"/>
              <w:ind w:left="0" w:right="0"/>
              <w:jc w:val="center"/>
              <w:outlineLvl w:val="9"/>
              <w:rPr>
                <w:rFonts w:hint="eastAsia" w:ascii="宋体" w:hAnsi="宋体" w:eastAsia="宋体" w:cs="宋体"/>
                <w:sz w:val="18"/>
                <w:szCs w:val="18"/>
              </w:rPr>
            </w:pPr>
            <w:r>
              <w:rPr>
                <w:rFonts w:hint="eastAsia" w:ascii="宋体" w:hAnsi="宋体" w:eastAsia="宋体" w:cs="宋体"/>
                <w:spacing w:val="7"/>
                <w:sz w:val="18"/>
                <w:szCs w:val="18"/>
              </w:rPr>
              <w:t>序号</w:t>
            </w:r>
          </w:p>
        </w:tc>
        <w:tc>
          <w:tcPr>
            <w:tcW w:w="734" w:type="dxa"/>
            <w:noWrap w:val="0"/>
            <w:vAlign w:val="center"/>
          </w:tcPr>
          <w:p w14:paraId="3555A876">
            <w:pPr>
              <w:keepNext w:val="0"/>
              <w:keepLines w:val="0"/>
              <w:pageBreakBefore w:val="0"/>
              <w:kinsoku/>
              <w:wordWrap/>
              <w:overflowPunct/>
              <w:topLinePunct w:val="0"/>
              <w:autoSpaceDE/>
              <w:autoSpaceDN/>
              <w:bidi w:val="0"/>
              <w:adjustRightInd/>
              <w:snapToGrid/>
              <w:spacing w:line="243" w:lineRule="auto"/>
              <w:ind w:left="0" w:right="0"/>
              <w:jc w:val="center"/>
              <w:outlineLvl w:val="9"/>
              <w:rPr>
                <w:rFonts w:hint="eastAsia" w:ascii="宋体" w:hAnsi="宋体" w:eastAsia="宋体" w:cs="宋体"/>
                <w:sz w:val="18"/>
                <w:szCs w:val="18"/>
              </w:rPr>
            </w:pPr>
            <w:r>
              <w:rPr>
                <w:rFonts w:hint="eastAsia" w:ascii="宋体" w:hAnsi="宋体" w:eastAsia="宋体" w:cs="宋体"/>
                <w:spacing w:val="5"/>
                <w:sz w:val="18"/>
                <w:szCs w:val="18"/>
              </w:rPr>
              <w:t>一级</w:t>
            </w:r>
            <w:r>
              <w:rPr>
                <w:rFonts w:hint="eastAsia" w:ascii="宋体" w:hAnsi="宋体" w:eastAsia="宋体" w:cs="宋体"/>
                <w:sz w:val="18"/>
                <w:szCs w:val="18"/>
              </w:rPr>
              <w:t xml:space="preserve"> </w:t>
            </w:r>
            <w:r>
              <w:rPr>
                <w:rFonts w:hint="eastAsia" w:ascii="宋体" w:hAnsi="宋体" w:eastAsia="宋体" w:cs="宋体"/>
                <w:spacing w:val="-3"/>
                <w:sz w:val="18"/>
                <w:szCs w:val="18"/>
              </w:rPr>
              <w:t>指标</w:t>
            </w:r>
          </w:p>
        </w:tc>
        <w:tc>
          <w:tcPr>
            <w:tcW w:w="886" w:type="dxa"/>
            <w:noWrap w:val="0"/>
            <w:vAlign w:val="center"/>
          </w:tcPr>
          <w:p w14:paraId="5FCCFAA0">
            <w:pPr>
              <w:keepNext w:val="0"/>
              <w:keepLines w:val="0"/>
              <w:pageBreakBefore w:val="0"/>
              <w:kinsoku/>
              <w:wordWrap/>
              <w:overflowPunct/>
              <w:topLinePunct w:val="0"/>
              <w:autoSpaceDE/>
              <w:autoSpaceDN/>
              <w:bidi w:val="0"/>
              <w:adjustRightInd/>
              <w:snapToGrid/>
              <w:spacing w:line="268" w:lineRule="exact"/>
              <w:ind w:left="0" w:right="0"/>
              <w:jc w:val="center"/>
              <w:outlineLvl w:val="9"/>
              <w:rPr>
                <w:rFonts w:hint="eastAsia" w:ascii="宋体" w:hAnsi="宋体" w:eastAsia="宋体" w:cs="宋体"/>
                <w:sz w:val="18"/>
                <w:szCs w:val="18"/>
              </w:rPr>
            </w:pPr>
            <w:r>
              <w:rPr>
                <w:rFonts w:hint="eastAsia" w:ascii="宋体" w:hAnsi="宋体" w:eastAsia="宋体" w:cs="宋体"/>
                <w:spacing w:val="5"/>
                <w:position w:val="6"/>
                <w:sz w:val="18"/>
                <w:szCs w:val="18"/>
              </w:rPr>
              <w:t>二级</w:t>
            </w:r>
          </w:p>
          <w:p w14:paraId="76FB80B4">
            <w:pPr>
              <w:keepNext w:val="0"/>
              <w:keepLines w:val="0"/>
              <w:pageBreakBefore w:val="0"/>
              <w:kinsoku/>
              <w:wordWrap/>
              <w:overflowPunct/>
              <w:topLinePunct w:val="0"/>
              <w:autoSpaceDE/>
              <w:autoSpaceDN/>
              <w:bidi w:val="0"/>
              <w:adjustRightInd/>
              <w:snapToGrid/>
              <w:spacing w:line="220" w:lineRule="auto"/>
              <w:ind w:left="0" w:right="0"/>
              <w:jc w:val="center"/>
              <w:outlineLvl w:val="9"/>
              <w:rPr>
                <w:rFonts w:hint="eastAsia" w:ascii="宋体" w:hAnsi="宋体" w:eastAsia="宋体" w:cs="宋体"/>
                <w:sz w:val="18"/>
                <w:szCs w:val="18"/>
              </w:rPr>
            </w:pPr>
            <w:r>
              <w:rPr>
                <w:rFonts w:hint="eastAsia" w:ascii="宋体" w:hAnsi="宋体" w:eastAsia="宋体" w:cs="宋体"/>
                <w:spacing w:val="-3"/>
                <w:sz w:val="18"/>
                <w:szCs w:val="18"/>
              </w:rPr>
              <w:t>指标</w:t>
            </w:r>
          </w:p>
        </w:tc>
        <w:tc>
          <w:tcPr>
            <w:tcW w:w="648" w:type="dxa"/>
            <w:noWrap w:val="0"/>
            <w:vAlign w:val="center"/>
          </w:tcPr>
          <w:p w14:paraId="7CC44736">
            <w:pPr>
              <w:keepNext w:val="0"/>
              <w:keepLines w:val="0"/>
              <w:pageBreakBefore w:val="0"/>
              <w:kinsoku/>
              <w:wordWrap/>
              <w:overflowPunct/>
              <w:topLinePunct w:val="0"/>
              <w:autoSpaceDE/>
              <w:autoSpaceDN/>
              <w:bidi w:val="0"/>
              <w:adjustRightInd/>
              <w:snapToGrid/>
              <w:spacing w:line="251" w:lineRule="exact"/>
              <w:ind w:left="0" w:right="0"/>
              <w:jc w:val="center"/>
              <w:outlineLvl w:val="9"/>
              <w:rPr>
                <w:rFonts w:hint="eastAsia" w:ascii="宋体" w:hAnsi="宋体" w:eastAsia="宋体" w:cs="宋体"/>
                <w:sz w:val="18"/>
                <w:szCs w:val="18"/>
              </w:rPr>
            </w:pPr>
            <w:r>
              <w:rPr>
                <w:rFonts w:hint="eastAsia" w:ascii="宋体" w:hAnsi="宋体" w:eastAsia="宋体" w:cs="宋体"/>
                <w:spacing w:val="-3"/>
                <w:position w:val="5"/>
                <w:sz w:val="18"/>
                <w:szCs w:val="18"/>
              </w:rPr>
              <w:t>分值</w:t>
            </w:r>
          </w:p>
          <w:p w14:paraId="4BBE8F2A">
            <w:pPr>
              <w:keepNext w:val="0"/>
              <w:keepLines w:val="0"/>
              <w:pageBreakBefore w:val="0"/>
              <w:kinsoku/>
              <w:wordWrap/>
              <w:overflowPunct/>
              <w:topLinePunct w:val="0"/>
              <w:autoSpaceDE/>
              <w:autoSpaceDN/>
              <w:bidi w:val="0"/>
              <w:adjustRightInd/>
              <w:snapToGrid/>
              <w:spacing w:line="220" w:lineRule="auto"/>
              <w:ind w:left="0" w:right="0"/>
              <w:jc w:val="center"/>
              <w:outlineLvl w:val="9"/>
              <w:rPr>
                <w:rFonts w:hint="eastAsia" w:ascii="宋体" w:hAnsi="宋体" w:eastAsia="宋体" w:cs="宋体"/>
                <w:sz w:val="18"/>
                <w:szCs w:val="18"/>
              </w:rPr>
            </w:pPr>
            <w:r>
              <w:rPr>
                <w:rFonts w:hint="eastAsia" w:ascii="宋体" w:hAnsi="宋体" w:eastAsia="宋体" w:cs="宋体"/>
                <w:spacing w:val="13"/>
                <w:sz w:val="18"/>
                <w:szCs w:val="18"/>
              </w:rPr>
              <w:t>(分)</w:t>
            </w:r>
          </w:p>
        </w:tc>
        <w:tc>
          <w:tcPr>
            <w:tcW w:w="5598" w:type="dxa"/>
            <w:noWrap w:val="0"/>
            <w:vAlign w:val="center"/>
          </w:tcPr>
          <w:p w14:paraId="38F08EA4">
            <w:pPr>
              <w:keepNext w:val="0"/>
              <w:keepLines w:val="0"/>
              <w:pageBreakBefore w:val="0"/>
              <w:kinsoku/>
              <w:wordWrap/>
              <w:overflowPunct/>
              <w:topLinePunct w:val="0"/>
              <w:autoSpaceDE/>
              <w:autoSpaceDN/>
              <w:bidi w:val="0"/>
              <w:adjustRightInd/>
              <w:snapToGrid/>
              <w:spacing w:line="220" w:lineRule="auto"/>
              <w:ind w:left="0" w:right="0"/>
              <w:jc w:val="center"/>
              <w:outlineLvl w:val="9"/>
              <w:rPr>
                <w:rFonts w:hint="eastAsia" w:ascii="宋体" w:hAnsi="宋体" w:eastAsia="宋体" w:cs="宋体"/>
                <w:sz w:val="18"/>
                <w:szCs w:val="18"/>
              </w:rPr>
            </w:pPr>
            <w:r>
              <w:rPr>
                <w:rFonts w:hint="eastAsia" w:ascii="宋体" w:hAnsi="宋体" w:eastAsia="宋体" w:cs="宋体"/>
                <w:b/>
                <w:bCs/>
                <w:spacing w:val="-8"/>
                <w:sz w:val="18"/>
                <w:szCs w:val="18"/>
              </w:rPr>
              <w:t>评</w:t>
            </w:r>
            <w:r>
              <w:rPr>
                <w:rFonts w:hint="eastAsia" w:ascii="宋体" w:hAnsi="宋体" w:eastAsia="宋体" w:cs="宋体"/>
                <w:spacing w:val="69"/>
                <w:sz w:val="18"/>
                <w:szCs w:val="18"/>
              </w:rPr>
              <w:t xml:space="preserve"> </w:t>
            </w:r>
            <w:r>
              <w:rPr>
                <w:rFonts w:hint="eastAsia" w:ascii="宋体" w:hAnsi="宋体" w:eastAsia="宋体" w:cs="宋体"/>
                <w:b/>
                <w:bCs/>
                <w:spacing w:val="-8"/>
                <w:sz w:val="18"/>
                <w:szCs w:val="18"/>
              </w:rPr>
              <w:t>分</w:t>
            </w:r>
            <w:r>
              <w:rPr>
                <w:rFonts w:hint="eastAsia" w:ascii="宋体" w:hAnsi="宋体" w:eastAsia="宋体" w:cs="宋体"/>
                <w:spacing w:val="67"/>
                <w:sz w:val="18"/>
                <w:szCs w:val="18"/>
              </w:rPr>
              <w:t xml:space="preserve"> </w:t>
            </w:r>
            <w:r>
              <w:rPr>
                <w:rFonts w:hint="eastAsia" w:ascii="宋体" w:hAnsi="宋体" w:eastAsia="宋体" w:cs="宋体"/>
                <w:b/>
                <w:bCs/>
                <w:spacing w:val="-8"/>
                <w:sz w:val="18"/>
                <w:szCs w:val="18"/>
              </w:rPr>
              <w:t>标</w:t>
            </w:r>
            <w:r>
              <w:rPr>
                <w:rFonts w:hint="eastAsia" w:ascii="宋体" w:hAnsi="宋体" w:eastAsia="宋体" w:cs="宋体"/>
                <w:spacing w:val="69"/>
                <w:sz w:val="18"/>
                <w:szCs w:val="18"/>
              </w:rPr>
              <w:t xml:space="preserve"> </w:t>
            </w:r>
            <w:r>
              <w:rPr>
                <w:rFonts w:hint="eastAsia" w:ascii="宋体" w:hAnsi="宋体" w:eastAsia="宋体" w:cs="宋体"/>
                <w:b/>
                <w:bCs/>
                <w:spacing w:val="-8"/>
                <w:sz w:val="18"/>
                <w:szCs w:val="18"/>
              </w:rPr>
              <w:t>准</w:t>
            </w:r>
          </w:p>
        </w:tc>
        <w:tc>
          <w:tcPr>
            <w:tcW w:w="5598" w:type="dxa"/>
            <w:noWrap w:val="0"/>
            <w:vAlign w:val="center"/>
          </w:tcPr>
          <w:p w14:paraId="4576FE3B">
            <w:pPr>
              <w:keepNext w:val="0"/>
              <w:keepLines w:val="0"/>
              <w:pageBreakBefore w:val="0"/>
              <w:kinsoku/>
              <w:wordWrap/>
              <w:overflowPunct/>
              <w:topLinePunct w:val="0"/>
              <w:autoSpaceDE/>
              <w:autoSpaceDN/>
              <w:bidi w:val="0"/>
              <w:adjustRightInd/>
              <w:snapToGrid/>
              <w:spacing w:line="219" w:lineRule="auto"/>
              <w:ind w:left="0" w:right="0"/>
              <w:jc w:val="center"/>
              <w:outlineLvl w:val="9"/>
              <w:rPr>
                <w:rFonts w:hint="eastAsia" w:ascii="宋体" w:hAnsi="宋体" w:eastAsia="宋体" w:cs="宋体"/>
                <w:sz w:val="18"/>
                <w:szCs w:val="18"/>
              </w:rPr>
            </w:pPr>
            <w:r>
              <w:rPr>
                <w:rFonts w:hint="eastAsia" w:ascii="宋体" w:hAnsi="宋体" w:eastAsia="宋体" w:cs="宋体"/>
                <w:b/>
                <w:bCs/>
                <w:spacing w:val="-9"/>
                <w:sz w:val="18"/>
                <w:szCs w:val="18"/>
              </w:rPr>
              <w:t>评</w:t>
            </w:r>
            <w:r>
              <w:rPr>
                <w:rFonts w:hint="eastAsia" w:ascii="宋体" w:hAnsi="宋体" w:eastAsia="宋体" w:cs="宋体"/>
                <w:spacing w:val="9"/>
                <w:sz w:val="18"/>
                <w:szCs w:val="18"/>
              </w:rPr>
              <w:t xml:space="preserve">  </w:t>
            </w:r>
            <w:r>
              <w:rPr>
                <w:rFonts w:hint="eastAsia" w:ascii="宋体" w:hAnsi="宋体" w:eastAsia="宋体" w:cs="宋体"/>
                <w:b/>
                <w:bCs/>
                <w:spacing w:val="-9"/>
                <w:sz w:val="18"/>
                <w:szCs w:val="18"/>
              </w:rPr>
              <w:t>分</w:t>
            </w:r>
            <w:r>
              <w:rPr>
                <w:rFonts w:hint="eastAsia" w:ascii="宋体" w:hAnsi="宋体" w:eastAsia="宋体" w:cs="宋体"/>
                <w:spacing w:val="8"/>
                <w:sz w:val="18"/>
                <w:szCs w:val="18"/>
              </w:rPr>
              <w:t xml:space="preserve">  </w:t>
            </w:r>
            <w:r>
              <w:rPr>
                <w:rFonts w:hint="eastAsia" w:ascii="宋体" w:hAnsi="宋体" w:eastAsia="宋体" w:cs="宋体"/>
                <w:b/>
                <w:bCs/>
                <w:spacing w:val="-9"/>
                <w:sz w:val="18"/>
                <w:szCs w:val="18"/>
              </w:rPr>
              <w:t>说</w:t>
            </w:r>
            <w:r>
              <w:rPr>
                <w:rFonts w:hint="eastAsia" w:ascii="宋体" w:hAnsi="宋体" w:eastAsia="宋体" w:cs="宋体"/>
                <w:spacing w:val="15"/>
                <w:sz w:val="18"/>
                <w:szCs w:val="18"/>
              </w:rPr>
              <w:t xml:space="preserve">  </w:t>
            </w:r>
            <w:r>
              <w:rPr>
                <w:rFonts w:hint="eastAsia" w:ascii="宋体" w:hAnsi="宋体" w:eastAsia="宋体" w:cs="宋体"/>
                <w:b/>
                <w:bCs/>
                <w:spacing w:val="-9"/>
                <w:sz w:val="18"/>
                <w:szCs w:val="18"/>
              </w:rPr>
              <w:t>明</w:t>
            </w:r>
          </w:p>
        </w:tc>
      </w:tr>
      <w:tr w14:paraId="6D2AE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7" w:hRule="atLeast"/>
        </w:trPr>
        <w:tc>
          <w:tcPr>
            <w:tcW w:w="485" w:type="dxa"/>
            <w:noWrap w:val="0"/>
            <w:vAlign w:val="center"/>
          </w:tcPr>
          <w:p w14:paraId="41AA4C04">
            <w:pPr>
              <w:keepNext w:val="0"/>
              <w:keepLines w:val="0"/>
              <w:pageBreakBefore w:val="0"/>
              <w:kinsoku/>
              <w:wordWrap/>
              <w:overflowPunct/>
              <w:topLinePunct w:val="0"/>
              <w:autoSpaceDE/>
              <w:autoSpaceDN/>
              <w:bidi w:val="0"/>
              <w:adjustRightInd/>
              <w:snapToGrid/>
              <w:spacing w:line="184" w:lineRule="auto"/>
              <w:ind w:left="0" w:right="0"/>
              <w:jc w:val="center"/>
              <w:outlineLvl w:val="9"/>
              <w:rPr>
                <w:rFonts w:hint="eastAsia" w:ascii="宋体" w:hAnsi="宋体" w:eastAsia="宋体" w:cs="宋体"/>
                <w:sz w:val="18"/>
                <w:szCs w:val="18"/>
              </w:rPr>
            </w:pPr>
            <w:r>
              <w:rPr>
                <w:rFonts w:hint="eastAsia" w:ascii="宋体" w:hAnsi="宋体" w:eastAsia="宋体" w:cs="宋体"/>
                <w:sz w:val="18"/>
                <w:szCs w:val="18"/>
              </w:rPr>
              <w:t>1</w:t>
            </w:r>
          </w:p>
        </w:tc>
        <w:tc>
          <w:tcPr>
            <w:tcW w:w="734" w:type="dxa"/>
            <w:vMerge w:val="restart"/>
            <w:noWrap w:val="0"/>
            <w:vAlign w:val="center"/>
          </w:tcPr>
          <w:p w14:paraId="79B2E880">
            <w:pPr>
              <w:keepNext w:val="0"/>
              <w:keepLines w:val="0"/>
              <w:pageBreakBefore w:val="0"/>
              <w:kinsoku/>
              <w:wordWrap/>
              <w:overflowPunct/>
              <w:topLinePunct w:val="0"/>
              <w:autoSpaceDE/>
              <w:autoSpaceDN/>
              <w:bidi w:val="0"/>
              <w:adjustRightInd/>
              <w:snapToGrid/>
              <w:spacing w:line="258" w:lineRule="auto"/>
              <w:ind w:left="0" w:right="0"/>
              <w:jc w:val="center"/>
              <w:outlineLvl w:val="9"/>
              <w:rPr>
                <w:rFonts w:hint="eastAsia" w:ascii="宋体" w:hAnsi="宋体" w:eastAsia="宋体" w:cs="宋体"/>
                <w:sz w:val="18"/>
                <w:szCs w:val="18"/>
              </w:rPr>
            </w:pPr>
            <w:r>
              <w:rPr>
                <w:rFonts w:hint="eastAsia" w:ascii="宋体" w:hAnsi="宋体" w:eastAsia="宋体" w:cs="宋体"/>
                <w:spacing w:val="-4"/>
                <w:sz w:val="18"/>
                <w:szCs w:val="18"/>
              </w:rPr>
              <w:t>服务</w:t>
            </w:r>
            <w:r>
              <w:rPr>
                <w:rFonts w:hint="eastAsia" w:ascii="宋体" w:hAnsi="宋体" w:eastAsia="宋体" w:cs="宋体"/>
                <w:spacing w:val="7"/>
                <w:sz w:val="18"/>
                <w:szCs w:val="18"/>
              </w:rPr>
              <w:t>能力</w:t>
            </w:r>
            <w:r>
              <w:rPr>
                <w:rFonts w:hint="eastAsia" w:ascii="宋体" w:hAnsi="宋体" w:eastAsia="宋体" w:cs="宋体"/>
                <w:spacing w:val="-2"/>
                <w:sz w:val="18"/>
                <w:szCs w:val="18"/>
              </w:rPr>
              <w:t>35分</w:t>
            </w:r>
          </w:p>
        </w:tc>
        <w:tc>
          <w:tcPr>
            <w:tcW w:w="886" w:type="dxa"/>
            <w:noWrap w:val="0"/>
            <w:vAlign w:val="center"/>
          </w:tcPr>
          <w:p w14:paraId="1F547F4D">
            <w:pPr>
              <w:keepNext w:val="0"/>
              <w:keepLines w:val="0"/>
              <w:pageBreakBefore w:val="0"/>
              <w:kinsoku/>
              <w:wordWrap/>
              <w:overflowPunct/>
              <w:topLinePunct w:val="0"/>
              <w:autoSpaceDE/>
              <w:autoSpaceDN/>
              <w:bidi w:val="0"/>
              <w:adjustRightInd/>
              <w:snapToGrid/>
              <w:spacing w:line="219" w:lineRule="auto"/>
              <w:ind w:left="0" w:right="0"/>
              <w:jc w:val="both"/>
              <w:outlineLvl w:val="9"/>
              <w:rPr>
                <w:rFonts w:hint="eastAsia" w:ascii="宋体" w:hAnsi="宋体" w:eastAsia="宋体" w:cs="宋体"/>
                <w:sz w:val="18"/>
                <w:szCs w:val="18"/>
              </w:rPr>
            </w:pPr>
            <w:r>
              <w:rPr>
                <w:rFonts w:hint="eastAsia" w:ascii="宋体" w:hAnsi="宋体" w:eastAsia="宋体" w:cs="宋体"/>
                <w:spacing w:val="-3"/>
                <w:sz w:val="18"/>
                <w:szCs w:val="18"/>
              </w:rPr>
              <w:t>市</w:t>
            </w:r>
            <w:r>
              <w:rPr>
                <w:rFonts w:hint="eastAsia" w:ascii="宋体" w:hAnsi="宋体" w:eastAsia="宋体" w:cs="宋体"/>
                <w:spacing w:val="-3"/>
                <w:sz w:val="18"/>
                <w:szCs w:val="18"/>
                <w:lang w:val="en-US" w:eastAsia="zh-CN"/>
              </w:rPr>
              <w:t>县</w:t>
            </w:r>
            <w:r>
              <w:rPr>
                <w:rFonts w:hint="eastAsia" w:ascii="宋体" w:hAnsi="宋体" w:eastAsia="宋体" w:cs="宋体"/>
                <w:spacing w:val="-3"/>
                <w:sz w:val="18"/>
                <w:szCs w:val="18"/>
              </w:rPr>
              <w:t>机构设置</w:t>
            </w:r>
            <w:r>
              <w:rPr>
                <w:rFonts w:hint="eastAsia" w:ascii="宋体" w:hAnsi="宋体" w:eastAsia="宋体" w:cs="宋体"/>
                <w:spacing w:val="-2"/>
                <w:sz w:val="18"/>
                <w:szCs w:val="18"/>
              </w:rPr>
              <w:t>4分</w:t>
            </w:r>
          </w:p>
        </w:tc>
        <w:tc>
          <w:tcPr>
            <w:tcW w:w="648" w:type="dxa"/>
            <w:noWrap w:val="0"/>
            <w:vAlign w:val="center"/>
          </w:tcPr>
          <w:p w14:paraId="49ADAB6B">
            <w:pPr>
              <w:keepNext w:val="0"/>
              <w:keepLines w:val="0"/>
              <w:pageBreakBefore w:val="0"/>
              <w:kinsoku/>
              <w:wordWrap/>
              <w:overflowPunct/>
              <w:topLinePunct w:val="0"/>
              <w:autoSpaceDE/>
              <w:autoSpaceDN/>
              <w:bidi w:val="0"/>
              <w:adjustRightInd/>
              <w:snapToGrid/>
              <w:spacing w:line="183" w:lineRule="auto"/>
              <w:ind w:left="0" w:right="0"/>
              <w:jc w:val="center"/>
              <w:outlineLvl w:val="9"/>
              <w:rPr>
                <w:rFonts w:hint="eastAsia" w:ascii="宋体" w:hAnsi="宋体" w:eastAsia="宋体" w:cs="宋体"/>
                <w:sz w:val="18"/>
                <w:szCs w:val="18"/>
              </w:rPr>
            </w:pPr>
            <w:r>
              <w:rPr>
                <w:rFonts w:hint="eastAsia" w:ascii="宋体" w:hAnsi="宋体" w:eastAsia="宋体" w:cs="宋体"/>
                <w:sz w:val="18"/>
                <w:szCs w:val="18"/>
              </w:rPr>
              <w:t>4</w:t>
            </w:r>
          </w:p>
        </w:tc>
        <w:tc>
          <w:tcPr>
            <w:tcW w:w="5598" w:type="dxa"/>
            <w:noWrap w:val="0"/>
            <w:vAlign w:val="top"/>
          </w:tcPr>
          <w:p w14:paraId="1E48EB7C">
            <w:pPr>
              <w:keepNext w:val="0"/>
              <w:keepLines w:val="0"/>
              <w:pageBreakBefore w:val="0"/>
              <w:kinsoku/>
              <w:wordWrap/>
              <w:overflowPunct/>
              <w:topLinePunct w:val="0"/>
              <w:autoSpaceDE/>
              <w:autoSpaceDN/>
              <w:bidi w:val="0"/>
              <w:adjustRightInd/>
              <w:snapToGrid/>
              <w:spacing w:line="237" w:lineRule="auto"/>
              <w:ind w:left="0" w:right="0"/>
              <w:jc w:val="both"/>
              <w:rPr>
                <w:rFonts w:hint="eastAsia" w:ascii="宋体" w:hAnsi="宋体" w:eastAsia="宋体" w:cs="宋体"/>
                <w:sz w:val="18"/>
                <w:szCs w:val="18"/>
              </w:rPr>
            </w:pPr>
            <w:r>
              <w:rPr>
                <w:rFonts w:hint="eastAsia" w:ascii="宋体" w:hAnsi="宋体" w:eastAsia="宋体" w:cs="宋体"/>
                <w:spacing w:val="-1"/>
                <w:sz w:val="18"/>
                <w:szCs w:val="18"/>
              </w:rPr>
              <w:t>遴选区域为市州本级及所辖区的，参加遴选的承保机构得分=2分+设立区支公司/所辖区个数×2分+设立区营销服务</w:t>
            </w:r>
            <w:r>
              <w:rPr>
                <w:rFonts w:hint="eastAsia" w:ascii="宋体" w:hAnsi="宋体" w:eastAsia="宋体" w:cs="宋体"/>
                <w:spacing w:val="17"/>
                <w:sz w:val="18"/>
                <w:szCs w:val="18"/>
              </w:rPr>
              <w:t xml:space="preserve"> </w:t>
            </w:r>
            <w:r>
              <w:rPr>
                <w:rFonts w:hint="eastAsia" w:ascii="宋体" w:hAnsi="宋体" w:eastAsia="宋体" w:cs="宋体"/>
                <w:spacing w:val="8"/>
                <w:sz w:val="18"/>
                <w:szCs w:val="18"/>
              </w:rPr>
              <w:t>部/所辖区个数×1分。</w:t>
            </w:r>
          </w:p>
          <w:p w14:paraId="021C5270">
            <w:pPr>
              <w:keepNext w:val="0"/>
              <w:keepLines w:val="0"/>
              <w:pageBreakBefore w:val="0"/>
              <w:kinsoku/>
              <w:wordWrap/>
              <w:overflowPunct/>
              <w:topLinePunct w:val="0"/>
              <w:autoSpaceDE/>
              <w:autoSpaceDN/>
              <w:bidi w:val="0"/>
              <w:adjustRightInd/>
              <w:snapToGrid/>
              <w:spacing w:line="233" w:lineRule="auto"/>
              <w:ind w:left="0" w:leftChars="0" w:right="0" w:rightChars="0"/>
              <w:rPr>
                <w:rFonts w:hint="eastAsia" w:ascii="宋体" w:hAnsi="宋体" w:eastAsia="宋体" w:cs="宋体"/>
                <w:sz w:val="18"/>
                <w:szCs w:val="18"/>
              </w:rPr>
            </w:pPr>
            <w:r>
              <w:rPr>
                <w:rFonts w:hint="eastAsia" w:ascii="宋体" w:hAnsi="宋体" w:eastAsia="宋体" w:cs="宋体"/>
                <w:spacing w:val="3"/>
                <w:sz w:val="18"/>
                <w:szCs w:val="18"/>
              </w:rPr>
              <w:t>遴选区域为省直管县市的，设立县级分支公司的计4分，</w:t>
            </w:r>
            <w:r>
              <w:rPr>
                <w:rFonts w:hint="eastAsia" w:ascii="宋体" w:hAnsi="宋体" w:eastAsia="宋体" w:cs="宋体"/>
                <w:spacing w:val="13"/>
                <w:sz w:val="18"/>
                <w:szCs w:val="18"/>
              </w:rPr>
              <w:t xml:space="preserve"> </w:t>
            </w:r>
            <w:r>
              <w:rPr>
                <w:rFonts w:hint="eastAsia" w:ascii="宋体" w:hAnsi="宋体" w:eastAsia="宋体" w:cs="宋体"/>
                <w:spacing w:val="6"/>
                <w:sz w:val="18"/>
                <w:szCs w:val="18"/>
              </w:rPr>
              <w:t>设立县级营销服务部的计1分。</w:t>
            </w:r>
          </w:p>
        </w:tc>
        <w:tc>
          <w:tcPr>
            <w:tcW w:w="5598" w:type="dxa"/>
            <w:noWrap w:val="0"/>
            <w:vAlign w:val="top"/>
          </w:tcPr>
          <w:p w14:paraId="40DB247C">
            <w:pPr>
              <w:keepNext w:val="0"/>
              <w:keepLines w:val="0"/>
              <w:pageBreakBefore w:val="0"/>
              <w:kinsoku/>
              <w:wordWrap/>
              <w:overflowPunct/>
              <w:topLinePunct w:val="0"/>
              <w:autoSpaceDE/>
              <w:autoSpaceDN/>
              <w:bidi w:val="0"/>
              <w:adjustRightInd/>
              <w:snapToGrid/>
              <w:spacing w:line="249" w:lineRule="auto"/>
              <w:ind w:left="0" w:leftChars="0" w:right="0" w:rightChars="0"/>
              <w:jc w:val="both"/>
              <w:rPr>
                <w:rFonts w:hint="eastAsia" w:ascii="宋体" w:hAnsi="宋体" w:eastAsia="宋体" w:cs="宋体"/>
                <w:sz w:val="18"/>
                <w:szCs w:val="18"/>
              </w:rPr>
            </w:pPr>
            <w:r>
              <w:rPr>
                <w:rFonts w:hint="eastAsia" w:ascii="宋体" w:hAnsi="宋体" w:eastAsia="宋体" w:cs="宋体"/>
                <w:sz w:val="18"/>
                <w:szCs w:val="18"/>
              </w:rPr>
              <w:t>市县级分支公司、县级营销服务部为经中国银行保险监督管理部门(或</w:t>
            </w:r>
            <w:r>
              <w:rPr>
                <w:rFonts w:hint="eastAsia" w:ascii="宋体" w:hAnsi="宋体" w:eastAsia="宋体" w:cs="宋体"/>
                <w:spacing w:val="-1"/>
                <w:sz w:val="18"/>
                <w:szCs w:val="18"/>
              </w:rPr>
              <w:t>原中国保险监督管理部门)批准的具有开办农险资质，并内设专门农业</w:t>
            </w:r>
            <w:r>
              <w:rPr>
                <w:rFonts w:hint="eastAsia" w:ascii="宋体" w:hAnsi="宋体" w:eastAsia="宋体" w:cs="宋体"/>
                <w:sz w:val="18"/>
                <w:szCs w:val="18"/>
              </w:rPr>
              <w:t>保险部门的财产保险公司自有分支机构(含经监管部</w:t>
            </w:r>
            <w:r>
              <w:rPr>
                <w:rFonts w:hint="eastAsia" w:ascii="宋体" w:hAnsi="宋体" w:eastAsia="宋体" w:cs="宋体"/>
                <w:spacing w:val="-1"/>
                <w:sz w:val="18"/>
                <w:szCs w:val="18"/>
              </w:rPr>
              <w:t>门批筹，在合同服</w:t>
            </w:r>
            <w:r>
              <w:rPr>
                <w:rFonts w:hint="eastAsia" w:ascii="宋体" w:hAnsi="宋体" w:eastAsia="宋体" w:cs="宋体"/>
                <w:sz w:val="18"/>
                <w:szCs w:val="18"/>
              </w:rPr>
              <w:t>务期间可以开展业务的)。需提供相应资质证明的</w:t>
            </w:r>
            <w:r>
              <w:rPr>
                <w:rFonts w:hint="eastAsia" w:ascii="宋体" w:hAnsi="宋体" w:eastAsia="宋体" w:cs="宋体"/>
                <w:spacing w:val="-1"/>
                <w:sz w:val="18"/>
                <w:szCs w:val="18"/>
              </w:rPr>
              <w:t>复印件并加盖参加</w:t>
            </w:r>
            <w:r>
              <w:rPr>
                <w:rFonts w:hint="eastAsia" w:ascii="宋体" w:hAnsi="宋体" w:eastAsia="宋体" w:cs="宋体"/>
                <w:spacing w:val="-1"/>
                <w:sz w:val="18"/>
                <w:szCs w:val="18"/>
                <w:lang w:eastAsia="zh-CN"/>
              </w:rPr>
              <w:t>遴选</w:t>
            </w:r>
            <w:r>
              <w:rPr>
                <w:rFonts w:hint="eastAsia" w:ascii="宋体" w:hAnsi="宋体" w:eastAsia="宋体" w:cs="宋体"/>
                <w:spacing w:val="9"/>
                <w:sz w:val="18"/>
                <w:szCs w:val="18"/>
              </w:rPr>
              <w:t>的承保机构公章。</w:t>
            </w:r>
          </w:p>
        </w:tc>
      </w:tr>
      <w:tr w14:paraId="44F8C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6" w:hRule="atLeast"/>
        </w:trPr>
        <w:tc>
          <w:tcPr>
            <w:tcW w:w="485" w:type="dxa"/>
            <w:noWrap w:val="0"/>
            <w:vAlign w:val="center"/>
          </w:tcPr>
          <w:p w14:paraId="799860C6">
            <w:pPr>
              <w:keepNext w:val="0"/>
              <w:keepLines w:val="0"/>
              <w:pageBreakBefore w:val="0"/>
              <w:kinsoku/>
              <w:wordWrap/>
              <w:overflowPunct/>
              <w:topLinePunct w:val="0"/>
              <w:autoSpaceDE/>
              <w:autoSpaceDN/>
              <w:bidi w:val="0"/>
              <w:adjustRightInd/>
              <w:snapToGrid/>
              <w:spacing w:line="183" w:lineRule="auto"/>
              <w:ind w:left="0" w:right="0"/>
              <w:jc w:val="center"/>
              <w:outlineLvl w:val="9"/>
              <w:rPr>
                <w:rFonts w:hint="eastAsia" w:ascii="宋体" w:hAnsi="宋体" w:eastAsia="宋体" w:cs="宋体"/>
                <w:sz w:val="18"/>
                <w:szCs w:val="18"/>
              </w:rPr>
            </w:pPr>
            <w:r>
              <w:rPr>
                <w:rFonts w:hint="eastAsia" w:ascii="宋体" w:hAnsi="宋体" w:eastAsia="宋体" w:cs="宋体"/>
                <w:sz w:val="18"/>
                <w:szCs w:val="18"/>
              </w:rPr>
              <w:t>2</w:t>
            </w:r>
          </w:p>
        </w:tc>
        <w:tc>
          <w:tcPr>
            <w:tcW w:w="734" w:type="dxa"/>
            <w:vMerge w:val="continue"/>
            <w:noWrap w:val="0"/>
            <w:vAlign w:val="center"/>
          </w:tcPr>
          <w:p w14:paraId="7E05A7B0">
            <w:pPr>
              <w:keepNext w:val="0"/>
              <w:keepLines w:val="0"/>
              <w:pageBreakBefore w:val="0"/>
              <w:kinsoku/>
              <w:wordWrap/>
              <w:overflowPunct/>
              <w:topLinePunct w:val="0"/>
              <w:autoSpaceDE/>
              <w:autoSpaceDN/>
              <w:bidi w:val="0"/>
              <w:adjustRightInd/>
              <w:snapToGrid/>
              <w:ind w:left="0" w:right="0"/>
              <w:jc w:val="center"/>
              <w:outlineLvl w:val="9"/>
              <w:rPr>
                <w:rFonts w:hint="eastAsia" w:ascii="宋体" w:hAnsi="宋体" w:eastAsia="宋体" w:cs="宋体"/>
                <w:sz w:val="18"/>
                <w:szCs w:val="18"/>
              </w:rPr>
            </w:pPr>
          </w:p>
        </w:tc>
        <w:tc>
          <w:tcPr>
            <w:tcW w:w="886" w:type="dxa"/>
            <w:vMerge w:val="restart"/>
            <w:tcBorders>
              <w:bottom w:val="nil"/>
            </w:tcBorders>
            <w:noWrap w:val="0"/>
            <w:vAlign w:val="center"/>
          </w:tcPr>
          <w:p w14:paraId="337DB017">
            <w:pPr>
              <w:keepNext w:val="0"/>
              <w:keepLines w:val="0"/>
              <w:pageBreakBefore w:val="0"/>
              <w:kinsoku/>
              <w:wordWrap/>
              <w:overflowPunct/>
              <w:topLinePunct w:val="0"/>
              <w:autoSpaceDE/>
              <w:autoSpaceDN/>
              <w:bidi w:val="0"/>
              <w:adjustRightInd/>
              <w:snapToGrid/>
              <w:spacing w:line="219" w:lineRule="auto"/>
              <w:ind w:left="0" w:right="0"/>
              <w:jc w:val="both"/>
              <w:outlineLvl w:val="9"/>
              <w:rPr>
                <w:rFonts w:hint="eastAsia" w:ascii="宋体" w:hAnsi="宋体" w:eastAsia="宋体" w:cs="宋体"/>
                <w:sz w:val="18"/>
                <w:szCs w:val="18"/>
              </w:rPr>
            </w:pPr>
            <w:r>
              <w:rPr>
                <w:rFonts w:hint="eastAsia" w:ascii="宋体" w:hAnsi="宋体" w:eastAsia="宋体" w:cs="宋体"/>
                <w:spacing w:val="-2"/>
                <w:sz w:val="18"/>
                <w:szCs w:val="18"/>
              </w:rPr>
              <w:t>基层服</w:t>
            </w:r>
            <w:r>
              <w:rPr>
                <w:rFonts w:hint="eastAsia" w:ascii="宋体" w:hAnsi="宋体" w:eastAsia="宋体" w:cs="宋体"/>
                <w:spacing w:val="5"/>
                <w:sz w:val="18"/>
                <w:szCs w:val="18"/>
              </w:rPr>
              <w:t>务体系</w:t>
            </w:r>
            <w:r>
              <w:rPr>
                <w:rFonts w:hint="eastAsia" w:ascii="宋体" w:hAnsi="宋体" w:eastAsia="宋体" w:cs="宋体"/>
                <w:spacing w:val="-2"/>
                <w:sz w:val="18"/>
                <w:szCs w:val="18"/>
              </w:rPr>
              <w:t>7分</w:t>
            </w:r>
          </w:p>
        </w:tc>
        <w:tc>
          <w:tcPr>
            <w:tcW w:w="648" w:type="dxa"/>
            <w:noWrap w:val="0"/>
            <w:vAlign w:val="center"/>
          </w:tcPr>
          <w:p w14:paraId="3BCE176F">
            <w:pPr>
              <w:keepNext w:val="0"/>
              <w:keepLines w:val="0"/>
              <w:pageBreakBefore w:val="0"/>
              <w:kinsoku/>
              <w:wordWrap/>
              <w:overflowPunct/>
              <w:topLinePunct w:val="0"/>
              <w:autoSpaceDE/>
              <w:autoSpaceDN/>
              <w:bidi w:val="0"/>
              <w:adjustRightInd/>
              <w:snapToGrid/>
              <w:spacing w:line="182" w:lineRule="auto"/>
              <w:ind w:left="0" w:right="0"/>
              <w:jc w:val="center"/>
              <w:outlineLvl w:val="9"/>
              <w:rPr>
                <w:rFonts w:hint="eastAsia" w:ascii="宋体" w:hAnsi="宋体" w:eastAsia="宋体" w:cs="宋体"/>
                <w:sz w:val="18"/>
                <w:szCs w:val="18"/>
              </w:rPr>
            </w:pPr>
            <w:r>
              <w:rPr>
                <w:rFonts w:hint="eastAsia" w:ascii="宋体" w:hAnsi="宋体" w:eastAsia="宋体" w:cs="宋体"/>
                <w:sz w:val="18"/>
                <w:szCs w:val="18"/>
              </w:rPr>
              <w:t>5</w:t>
            </w:r>
          </w:p>
        </w:tc>
        <w:tc>
          <w:tcPr>
            <w:tcW w:w="5598" w:type="dxa"/>
            <w:noWrap w:val="0"/>
            <w:vAlign w:val="top"/>
          </w:tcPr>
          <w:p w14:paraId="6F4E9B93">
            <w:pPr>
              <w:keepNext w:val="0"/>
              <w:keepLines w:val="0"/>
              <w:pageBreakBefore w:val="0"/>
              <w:kinsoku/>
              <w:wordWrap/>
              <w:overflowPunct/>
              <w:topLinePunct w:val="0"/>
              <w:autoSpaceDE/>
              <w:autoSpaceDN/>
              <w:bidi w:val="0"/>
              <w:adjustRightInd/>
              <w:snapToGrid/>
              <w:spacing w:line="267" w:lineRule="auto"/>
              <w:ind w:left="0" w:right="0"/>
              <w:rPr>
                <w:rFonts w:hint="eastAsia" w:ascii="宋体" w:hAnsi="宋体" w:eastAsia="宋体" w:cs="宋体"/>
                <w:sz w:val="18"/>
                <w:szCs w:val="18"/>
              </w:rPr>
            </w:pPr>
            <w:r>
              <w:rPr>
                <w:rFonts w:hint="eastAsia" w:ascii="宋体" w:hAnsi="宋体" w:eastAsia="宋体" w:cs="宋体"/>
                <w:spacing w:val="6"/>
                <w:sz w:val="18"/>
                <w:szCs w:val="18"/>
              </w:rPr>
              <w:t>在遴选区域设有乡镇营销服务部或农业保险办公室。乡镇营销服务部据实计算，乡镇农业保险办公室按</w:t>
            </w:r>
            <w:r>
              <w:rPr>
                <w:rFonts w:hint="eastAsia" w:ascii="宋体" w:hAnsi="宋体" w:eastAsia="宋体" w:cs="宋体"/>
                <w:spacing w:val="5"/>
                <w:sz w:val="18"/>
                <w:szCs w:val="18"/>
              </w:rPr>
              <w:t>1×80%计算，</w:t>
            </w:r>
            <w:r>
              <w:rPr>
                <w:rFonts w:hint="eastAsia" w:ascii="宋体" w:hAnsi="宋体" w:eastAsia="宋体" w:cs="宋体"/>
                <w:spacing w:val="7"/>
                <w:sz w:val="18"/>
                <w:szCs w:val="18"/>
              </w:rPr>
              <w:t>同时设置乡镇营销服务部和农业保险办公室的，只计算乡镇营销服务部。以参加遴选的承保机构乡镇营销服务部和</w:t>
            </w:r>
            <w:r>
              <w:rPr>
                <w:rFonts w:hint="eastAsia" w:ascii="宋体" w:hAnsi="宋体" w:eastAsia="宋体" w:cs="宋体"/>
                <w:spacing w:val="6"/>
                <w:sz w:val="18"/>
                <w:szCs w:val="18"/>
              </w:rPr>
              <w:t>农业保险办公室最多数量为评审基准值，该承保机构得满</w:t>
            </w:r>
            <w:r>
              <w:rPr>
                <w:rFonts w:hint="eastAsia" w:ascii="宋体" w:hAnsi="宋体" w:eastAsia="宋体" w:cs="宋体"/>
                <w:spacing w:val="3"/>
                <w:sz w:val="18"/>
                <w:szCs w:val="18"/>
              </w:rPr>
              <w:t>分。其他参加遴选的承保机构按照下列公式计算：得分=(其</w:t>
            </w:r>
            <w:r>
              <w:rPr>
                <w:rFonts w:hint="eastAsia" w:ascii="宋体" w:hAnsi="宋体" w:eastAsia="宋体" w:cs="宋体"/>
                <w:spacing w:val="6"/>
                <w:sz w:val="18"/>
                <w:szCs w:val="18"/>
              </w:rPr>
              <w:t>他参加遴选的承保机构乡镇营销服务部数量+农业保险办</w:t>
            </w:r>
            <w:r>
              <w:rPr>
                <w:rFonts w:hint="eastAsia" w:ascii="宋体" w:hAnsi="宋体" w:eastAsia="宋体" w:cs="宋体"/>
                <w:spacing w:val="4"/>
                <w:sz w:val="18"/>
                <w:szCs w:val="18"/>
              </w:rPr>
              <w:t>公室数量×80%)/评审基准值×5分。</w:t>
            </w:r>
          </w:p>
        </w:tc>
        <w:tc>
          <w:tcPr>
            <w:tcW w:w="5598" w:type="dxa"/>
            <w:noWrap w:val="0"/>
            <w:vAlign w:val="top"/>
          </w:tcPr>
          <w:p w14:paraId="59091C9E">
            <w:pPr>
              <w:keepNext w:val="0"/>
              <w:keepLines w:val="0"/>
              <w:pageBreakBefore w:val="0"/>
              <w:kinsoku/>
              <w:wordWrap/>
              <w:overflowPunct/>
              <w:topLinePunct w:val="0"/>
              <w:autoSpaceDE/>
              <w:autoSpaceDN/>
              <w:bidi w:val="0"/>
              <w:adjustRightInd/>
              <w:snapToGrid/>
              <w:spacing w:line="269" w:lineRule="auto"/>
              <w:ind w:left="0" w:leftChars="0" w:right="0" w:firstLine="39" w:firstLineChars="0"/>
              <w:rPr>
                <w:rFonts w:hint="eastAsia" w:ascii="宋体" w:hAnsi="宋体" w:eastAsia="宋体" w:cs="宋体"/>
                <w:sz w:val="18"/>
                <w:szCs w:val="18"/>
              </w:rPr>
            </w:pPr>
            <w:r>
              <w:rPr>
                <w:rFonts w:hint="eastAsia" w:ascii="宋体" w:hAnsi="宋体" w:eastAsia="宋体" w:cs="宋体"/>
                <w:spacing w:val="8"/>
                <w:sz w:val="18"/>
                <w:szCs w:val="18"/>
              </w:rPr>
              <w:t>乡镇营销服务部为经中国银行保险监督管理部门(</w:t>
            </w:r>
            <w:r>
              <w:rPr>
                <w:rFonts w:hint="eastAsia" w:ascii="宋体" w:hAnsi="宋体" w:eastAsia="宋体" w:cs="宋体"/>
                <w:spacing w:val="7"/>
                <w:sz w:val="18"/>
                <w:szCs w:val="18"/>
              </w:rPr>
              <w:t>或原中国保险监督管</w:t>
            </w:r>
            <w:r>
              <w:rPr>
                <w:rFonts w:hint="eastAsia" w:ascii="宋体" w:hAnsi="宋体" w:eastAsia="宋体" w:cs="宋体"/>
                <w:spacing w:val="11"/>
                <w:sz w:val="18"/>
                <w:szCs w:val="18"/>
              </w:rPr>
              <w:t>理部门)批准的财产保险公司自有五级分支机构(含经监管部门批筹的，不含同一集团内的相互代理),需提供经营许可证复印件、工商行政管</w:t>
            </w:r>
            <w:r>
              <w:rPr>
                <w:rFonts w:hint="eastAsia" w:ascii="宋体" w:hAnsi="宋体" w:eastAsia="宋体" w:cs="宋体"/>
                <w:spacing w:val="8"/>
                <w:sz w:val="18"/>
                <w:szCs w:val="18"/>
              </w:rPr>
              <w:t>理机关核发的营业执照复印件，并加盖参加遴选的承保机构公章。乡镇</w:t>
            </w:r>
            <w:r>
              <w:rPr>
                <w:rFonts w:hint="eastAsia" w:ascii="宋体" w:hAnsi="宋体" w:eastAsia="宋体" w:cs="宋体"/>
                <w:spacing w:val="17"/>
                <w:sz w:val="18"/>
                <w:szCs w:val="18"/>
              </w:rPr>
              <w:t>农业保险办公室以遴选公告发布日期5个月(150个自然日)前已经设</w:t>
            </w:r>
            <w:r>
              <w:rPr>
                <w:rFonts w:hint="eastAsia" w:ascii="宋体" w:hAnsi="宋体" w:eastAsia="宋体" w:cs="宋体"/>
                <w:spacing w:val="8"/>
                <w:sz w:val="18"/>
                <w:szCs w:val="18"/>
              </w:rPr>
              <w:t>立好的机构为准，需提供乡镇及以上人民政府或农业保险工作小组出具</w:t>
            </w:r>
            <w:r>
              <w:rPr>
                <w:rFonts w:hint="eastAsia" w:ascii="宋体" w:hAnsi="宋体" w:eastAsia="宋体" w:cs="宋体"/>
                <w:spacing w:val="9"/>
                <w:sz w:val="18"/>
                <w:szCs w:val="18"/>
              </w:rPr>
              <w:t>的参加遴选的承保机构与该乡镇合作的文件、协议等相关证明复印件加</w:t>
            </w:r>
            <w:r>
              <w:rPr>
                <w:rFonts w:hint="eastAsia" w:ascii="宋体" w:hAnsi="宋体" w:eastAsia="宋体" w:cs="宋体"/>
                <w:spacing w:val="7"/>
                <w:sz w:val="18"/>
                <w:szCs w:val="18"/>
              </w:rPr>
              <w:t>盖证明出具单位公章，提供办公现场实景照片。各公司不得突击、虚假</w:t>
            </w:r>
            <w:r>
              <w:rPr>
                <w:rFonts w:hint="eastAsia" w:ascii="宋体" w:hAnsi="宋体" w:eastAsia="宋体" w:cs="宋体"/>
                <w:spacing w:val="14"/>
                <w:sz w:val="18"/>
                <w:szCs w:val="18"/>
              </w:rPr>
              <w:t>挂牌，如提供虚假材料，则中选资格作废。</w:t>
            </w:r>
          </w:p>
        </w:tc>
      </w:tr>
      <w:tr w14:paraId="07E83F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485" w:type="dxa"/>
            <w:noWrap w:val="0"/>
            <w:vAlign w:val="center"/>
          </w:tcPr>
          <w:p w14:paraId="0987511B">
            <w:pPr>
              <w:keepNext w:val="0"/>
              <w:keepLines w:val="0"/>
              <w:pageBreakBefore w:val="0"/>
              <w:kinsoku/>
              <w:wordWrap/>
              <w:overflowPunct/>
              <w:topLinePunct w:val="0"/>
              <w:autoSpaceDE/>
              <w:autoSpaceDN/>
              <w:bidi w:val="0"/>
              <w:adjustRightInd/>
              <w:snapToGrid/>
              <w:spacing w:line="183" w:lineRule="auto"/>
              <w:ind w:left="0" w:right="0"/>
              <w:jc w:val="center"/>
              <w:outlineLvl w:val="9"/>
              <w:rPr>
                <w:rFonts w:hint="eastAsia" w:ascii="宋体" w:hAnsi="宋体" w:eastAsia="宋体" w:cs="宋体"/>
                <w:sz w:val="18"/>
                <w:szCs w:val="18"/>
              </w:rPr>
            </w:pPr>
            <w:r>
              <w:rPr>
                <w:rFonts w:hint="eastAsia" w:ascii="宋体" w:hAnsi="宋体" w:eastAsia="宋体" w:cs="宋体"/>
                <w:sz w:val="18"/>
                <w:szCs w:val="18"/>
              </w:rPr>
              <w:t>3</w:t>
            </w:r>
          </w:p>
        </w:tc>
        <w:tc>
          <w:tcPr>
            <w:tcW w:w="734" w:type="dxa"/>
            <w:vMerge w:val="continue"/>
            <w:noWrap w:val="0"/>
            <w:vAlign w:val="center"/>
          </w:tcPr>
          <w:p w14:paraId="5E55A8FB">
            <w:pPr>
              <w:keepNext w:val="0"/>
              <w:keepLines w:val="0"/>
              <w:pageBreakBefore w:val="0"/>
              <w:kinsoku/>
              <w:wordWrap/>
              <w:overflowPunct/>
              <w:topLinePunct w:val="0"/>
              <w:autoSpaceDE/>
              <w:autoSpaceDN/>
              <w:bidi w:val="0"/>
              <w:adjustRightInd/>
              <w:snapToGrid/>
              <w:ind w:left="0" w:right="0"/>
              <w:jc w:val="center"/>
              <w:outlineLvl w:val="9"/>
              <w:rPr>
                <w:rFonts w:hint="eastAsia" w:ascii="宋体" w:hAnsi="宋体" w:eastAsia="宋体" w:cs="宋体"/>
                <w:sz w:val="18"/>
                <w:szCs w:val="18"/>
              </w:rPr>
            </w:pPr>
          </w:p>
        </w:tc>
        <w:tc>
          <w:tcPr>
            <w:tcW w:w="886" w:type="dxa"/>
            <w:vMerge w:val="continue"/>
            <w:tcBorders>
              <w:top w:val="nil"/>
            </w:tcBorders>
            <w:noWrap w:val="0"/>
            <w:vAlign w:val="center"/>
          </w:tcPr>
          <w:p w14:paraId="1B55EE9C">
            <w:pPr>
              <w:keepNext w:val="0"/>
              <w:keepLines w:val="0"/>
              <w:pageBreakBefore w:val="0"/>
              <w:kinsoku/>
              <w:wordWrap/>
              <w:overflowPunct/>
              <w:topLinePunct w:val="0"/>
              <w:autoSpaceDE/>
              <w:autoSpaceDN/>
              <w:bidi w:val="0"/>
              <w:adjustRightInd/>
              <w:snapToGrid/>
              <w:ind w:left="0" w:right="0"/>
              <w:jc w:val="center"/>
              <w:outlineLvl w:val="9"/>
              <w:rPr>
                <w:rFonts w:hint="eastAsia" w:ascii="宋体" w:hAnsi="宋体" w:eastAsia="宋体" w:cs="宋体"/>
                <w:sz w:val="18"/>
                <w:szCs w:val="18"/>
              </w:rPr>
            </w:pPr>
          </w:p>
        </w:tc>
        <w:tc>
          <w:tcPr>
            <w:tcW w:w="648" w:type="dxa"/>
            <w:noWrap w:val="0"/>
            <w:vAlign w:val="center"/>
          </w:tcPr>
          <w:p w14:paraId="184EE119">
            <w:pPr>
              <w:keepNext w:val="0"/>
              <w:keepLines w:val="0"/>
              <w:pageBreakBefore w:val="0"/>
              <w:kinsoku/>
              <w:wordWrap/>
              <w:overflowPunct/>
              <w:topLinePunct w:val="0"/>
              <w:autoSpaceDE/>
              <w:autoSpaceDN/>
              <w:bidi w:val="0"/>
              <w:adjustRightInd/>
              <w:snapToGrid/>
              <w:spacing w:line="183" w:lineRule="auto"/>
              <w:ind w:left="0" w:right="0"/>
              <w:jc w:val="center"/>
              <w:outlineLvl w:val="9"/>
              <w:rPr>
                <w:rFonts w:hint="eastAsia" w:ascii="宋体" w:hAnsi="宋体" w:eastAsia="宋体" w:cs="宋体"/>
                <w:sz w:val="18"/>
                <w:szCs w:val="18"/>
              </w:rPr>
            </w:pPr>
            <w:r>
              <w:rPr>
                <w:rFonts w:hint="eastAsia" w:ascii="宋体" w:hAnsi="宋体" w:eastAsia="宋体" w:cs="宋体"/>
                <w:sz w:val="18"/>
                <w:szCs w:val="18"/>
              </w:rPr>
              <w:t>2</w:t>
            </w:r>
          </w:p>
        </w:tc>
        <w:tc>
          <w:tcPr>
            <w:tcW w:w="5598" w:type="dxa"/>
            <w:noWrap w:val="0"/>
            <w:vAlign w:val="top"/>
          </w:tcPr>
          <w:p w14:paraId="54073DD0">
            <w:pPr>
              <w:keepNext w:val="0"/>
              <w:keepLines w:val="0"/>
              <w:pageBreakBefore w:val="0"/>
              <w:kinsoku/>
              <w:wordWrap/>
              <w:overflowPunct/>
              <w:topLinePunct w:val="0"/>
              <w:autoSpaceDE/>
              <w:autoSpaceDN/>
              <w:bidi w:val="0"/>
              <w:adjustRightInd/>
              <w:snapToGrid/>
              <w:spacing w:line="258" w:lineRule="auto"/>
              <w:ind w:left="0" w:leftChars="0" w:right="0" w:firstLine="30" w:firstLineChars="0"/>
              <w:jc w:val="both"/>
              <w:rPr>
                <w:rFonts w:hint="eastAsia" w:ascii="宋体" w:hAnsi="宋体" w:eastAsia="宋体" w:cs="宋体"/>
                <w:sz w:val="18"/>
                <w:szCs w:val="18"/>
              </w:rPr>
            </w:pPr>
            <w:r>
              <w:rPr>
                <w:rFonts w:hint="eastAsia" w:ascii="宋体" w:hAnsi="宋体" w:eastAsia="宋体" w:cs="宋体"/>
                <w:spacing w:val="-1"/>
                <w:sz w:val="18"/>
                <w:szCs w:val="18"/>
              </w:rPr>
              <w:t>在遴选区域设有村级农业保险服务点。以参加遴选的承保</w:t>
            </w:r>
            <w:r>
              <w:rPr>
                <w:rFonts w:hint="eastAsia" w:ascii="宋体" w:hAnsi="宋体" w:eastAsia="宋体" w:cs="宋体"/>
                <w:spacing w:val="2"/>
                <w:sz w:val="18"/>
                <w:szCs w:val="18"/>
              </w:rPr>
              <w:t>机构设立村级农业保险服务点最多数量为评审基准值，该</w:t>
            </w:r>
            <w:r>
              <w:rPr>
                <w:rFonts w:hint="eastAsia" w:ascii="宋体" w:hAnsi="宋体" w:eastAsia="宋体" w:cs="宋体"/>
                <w:spacing w:val="5"/>
                <w:sz w:val="18"/>
                <w:szCs w:val="18"/>
              </w:rPr>
              <w:t>承保机构得满分。其他参加遴选的承保机构该项得分=其</w:t>
            </w:r>
            <w:r>
              <w:rPr>
                <w:rFonts w:hint="eastAsia" w:ascii="宋体" w:hAnsi="宋体" w:eastAsia="宋体" w:cs="宋体"/>
                <w:spacing w:val="1"/>
                <w:sz w:val="18"/>
                <w:szCs w:val="18"/>
              </w:rPr>
              <w:t>他参加遴选的承保机构村级农业保险服务点数量/评</w:t>
            </w:r>
            <w:r>
              <w:rPr>
                <w:rFonts w:hint="eastAsia" w:ascii="宋体" w:hAnsi="宋体" w:eastAsia="宋体" w:cs="宋体"/>
                <w:sz w:val="18"/>
                <w:szCs w:val="18"/>
              </w:rPr>
              <w:t>审基准</w:t>
            </w:r>
            <w:r>
              <w:rPr>
                <w:rFonts w:hint="eastAsia" w:ascii="宋体" w:hAnsi="宋体" w:eastAsia="宋体" w:cs="宋体"/>
                <w:spacing w:val="24"/>
                <w:sz w:val="18"/>
                <w:szCs w:val="18"/>
              </w:rPr>
              <w:t>值×2分。</w:t>
            </w:r>
          </w:p>
        </w:tc>
        <w:tc>
          <w:tcPr>
            <w:tcW w:w="5598" w:type="dxa"/>
            <w:noWrap w:val="0"/>
            <w:vAlign w:val="top"/>
          </w:tcPr>
          <w:p w14:paraId="3BAC9130">
            <w:pPr>
              <w:keepNext w:val="0"/>
              <w:keepLines w:val="0"/>
              <w:pageBreakBefore w:val="0"/>
              <w:kinsoku/>
              <w:wordWrap/>
              <w:overflowPunct/>
              <w:topLinePunct w:val="0"/>
              <w:autoSpaceDE/>
              <w:autoSpaceDN/>
              <w:bidi w:val="0"/>
              <w:adjustRightInd/>
              <w:snapToGrid/>
              <w:spacing w:line="265" w:lineRule="auto"/>
              <w:ind w:left="0" w:leftChars="0" w:right="0" w:hanging="40" w:firstLineChars="0"/>
              <w:jc w:val="both"/>
              <w:rPr>
                <w:rFonts w:hint="eastAsia" w:ascii="宋体" w:hAnsi="宋体" w:eastAsia="宋体" w:cs="宋体"/>
                <w:sz w:val="18"/>
                <w:szCs w:val="18"/>
              </w:rPr>
            </w:pPr>
            <w:r>
              <w:rPr>
                <w:rFonts w:hint="eastAsia" w:ascii="宋体" w:hAnsi="宋体" w:eastAsia="宋体" w:cs="宋体"/>
                <w:spacing w:val="12"/>
                <w:sz w:val="18"/>
                <w:szCs w:val="18"/>
              </w:rPr>
              <w:t>村级农业保险服务点为参加</w:t>
            </w:r>
            <w:r>
              <w:rPr>
                <w:rFonts w:hint="eastAsia" w:ascii="宋体" w:hAnsi="宋体" w:eastAsia="宋体" w:cs="宋体"/>
                <w:spacing w:val="12"/>
                <w:sz w:val="18"/>
                <w:szCs w:val="18"/>
                <w:lang w:eastAsia="zh-CN"/>
              </w:rPr>
              <w:t>遴选</w:t>
            </w:r>
            <w:r>
              <w:rPr>
                <w:rFonts w:hint="eastAsia" w:ascii="宋体" w:hAnsi="宋体" w:eastAsia="宋体" w:cs="宋体"/>
                <w:spacing w:val="12"/>
                <w:sz w:val="18"/>
                <w:szCs w:val="18"/>
              </w:rPr>
              <w:t>的承保机构在避选公告发布日期5个月</w:t>
            </w:r>
            <w:r>
              <w:rPr>
                <w:rFonts w:hint="eastAsia" w:ascii="宋体" w:hAnsi="宋体" w:eastAsia="宋体" w:cs="宋体"/>
                <w:spacing w:val="17"/>
                <w:sz w:val="18"/>
                <w:szCs w:val="18"/>
              </w:rPr>
              <w:t>(150个自然日)前已经设置的行政村服务</w:t>
            </w:r>
            <w:r>
              <w:rPr>
                <w:rFonts w:hint="eastAsia" w:ascii="宋体" w:hAnsi="宋体" w:eastAsia="宋体" w:cs="宋体"/>
                <w:spacing w:val="16"/>
                <w:sz w:val="18"/>
                <w:szCs w:val="18"/>
              </w:rPr>
              <w:t>机构，乡镇政府、农业保险</w:t>
            </w:r>
            <w:r>
              <w:rPr>
                <w:rFonts w:hint="eastAsia" w:ascii="宋体" w:hAnsi="宋体" w:eastAsia="宋体" w:cs="宋体"/>
                <w:spacing w:val="10"/>
                <w:sz w:val="18"/>
                <w:szCs w:val="18"/>
              </w:rPr>
              <w:t>工作小组出具的机构设立文件、协议等相关证明复印件，并加盖证明出</w:t>
            </w:r>
            <w:r>
              <w:rPr>
                <w:rFonts w:hint="eastAsia" w:ascii="宋体" w:hAnsi="宋体" w:eastAsia="宋体" w:cs="宋体"/>
                <w:spacing w:val="13"/>
                <w:sz w:val="18"/>
                <w:szCs w:val="18"/>
              </w:rPr>
              <w:t>具单位的公章，提供办公现场实景照片。各公司</w:t>
            </w:r>
            <w:r>
              <w:rPr>
                <w:rFonts w:hint="eastAsia" w:ascii="宋体" w:hAnsi="宋体" w:eastAsia="宋体" w:cs="宋体"/>
                <w:spacing w:val="12"/>
                <w:sz w:val="18"/>
                <w:szCs w:val="18"/>
              </w:rPr>
              <w:t>不得突击设立(不要求</w:t>
            </w:r>
            <w:r>
              <w:rPr>
                <w:rFonts w:hint="eastAsia" w:ascii="宋体" w:hAnsi="宋体" w:eastAsia="宋体" w:cs="宋体"/>
                <w:spacing w:val="17"/>
                <w:sz w:val="18"/>
                <w:szCs w:val="18"/>
              </w:rPr>
              <w:t>挂牌),如提供虚假材料，则中选资格作废。</w:t>
            </w:r>
          </w:p>
        </w:tc>
      </w:tr>
      <w:tr w14:paraId="0D825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5" w:hRule="atLeast"/>
        </w:trPr>
        <w:tc>
          <w:tcPr>
            <w:tcW w:w="485" w:type="dxa"/>
            <w:noWrap w:val="0"/>
            <w:vAlign w:val="center"/>
          </w:tcPr>
          <w:p w14:paraId="0644F7F3">
            <w:pPr>
              <w:keepNext w:val="0"/>
              <w:keepLines w:val="0"/>
              <w:pageBreakBefore w:val="0"/>
              <w:kinsoku/>
              <w:wordWrap/>
              <w:overflowPunct/>
              <w:topLinePunct w:val="0"/>
              <w:autoSpaceDE/>
              <w:autoSpaceDN/>
              <w:bidi w:val="0"/>
              <w:adjustRightInd/>
              <w:snapToGrid/>
              <w:spacing w:line="183" w:lineRule="auto"/>
              <w:ind w:left="0" w:right="0"/>
              <w:jc w:val="center"/>
              <w:outlineLvl w:val="9"/>
              <w:rPr>
                <w:rFonts w:hint="eastAsia" w:ascii="宋体" w:hAnsi="宋体" w:eastAsia="宋体" w:cs="宋体"/>
                <w:sz w:val="18"/>
                <w:szCs w:val="18"/>
              </w:rPr>
            </w:pPr>
            <w:r>
              <w:rPr>
                <w:rFonts w:hint="eastAsia" w:ascii="宋体" w:hAnsi="宋体" w:eastAsia="宋体" w:cs="宋体"/>
                <w:sz w:val="18"/>
                <w:szCs w:val="18"/>
              </w:rPr>
              <w:t>4</w:t>
            </w:r>
          </w:p>
        </w:tc>
        <w:tc>
          <w:tcPr>
            <w:tcW w:w="734" w:type="dxa"/>
            <w:vMerge w:val="continue"/>
            <w:noWrap w:val="0"/>
            <w:vAlign w:val="center"/>
          </w:tcPr>
          <w:p w14:paraId="425BEFF6">
            <w:pPr>
              <w:keepNext w:val="0"/>
              <w:keepLines w:val="0"/>
              <w:pageBreakBefore w:val="0"/>
              <w:kinsoku/>
              <w:wordWrap/>
              <w:overflowPunct/>
              <w:topLinePunct w:val="0"/>
              <w:autoSpaceDE/>
              <w:autoSpaceDN/>
              <w:bidi w:val="0"/>
              <w:adjustRightInd/>
              <w:snapToGrid/>
              <w:spacing w:line="233" w:lineRule="auto"/>
              <w:ind w:left="0" w:right="0"/>
              <w:jc w:val="center"/>
              <w:outlineLvl w:val="9"/>
              <w:rPr>
                <w:rFonts w:hint="eastAsia" w:ascii="宋体" w:hAnsi="宋体" w:eastAsia="宋体" w:cs="宋体"/>
                <w:sz w:val="18"/>
                <w:szCs w:val="18"/>
              </w:rPr>
            </w:pPr>
          </w:p>
        </w:tc>
        <w:tc>
          <w:tcPr>
            <w:tcW w:w="886" w:type="dxa"/>
            <w:vMerge w:val="restart"/>
            <w:tcBorders>
              <w:bottom w:val="nil"/>
            </w:tcBorders>
            <w:noWrap w:val="0"/>
            <w:vAlign w:val="center"/>
          </w:tcPr>
          <w:p w14:paraId="49415071">
            <w:pPr>
              <w:keepNext w:val="0"/>
              <w:keepLines w:val="0"/>
              <w:pageBreakBefore w:val="0"/>
              <w:kinsoku/>
              <w:wordWrap/>
              <w:overflowPunct/>
              <w:topLinePunct w:val="0"/>
              <w:autoSpaceDE/>
              <w:autoSpaceDN/>
              <w:bidi w:val="0"/>
              <w:adjustRightInd/>
              <w:snapToGrid/>
              <w:spacing w:line="228" w:lineRule="auto"/>
              <w:ind w:left="0" w:right="0"/>
              <w:jc w:val="center"/>
              <w:outlineLvl w:val="9"/>
              <w:rPr>
                <w:rFonts w:hint="eastAsia" w:ascii="宋体" w:hAnsi="宋体" w:eastAsia="宋体" w:cs="宋体"/>
                <w:spacing w:val="2"/>
                <w:sz w:val="18"/>
                <w:szCs w:val="18"/>
              </w:rPr>
            </w:pPr>
            <w:r>
              <w:rPr>
                <w:rFonts w:hint="eastAsia" w:ascii="宋体" w:hAnsi="宋体" w:eastAsia="宋体" w:cs="宋体"/>
                <w:spacing w:val="-3"/>
                <w:sz w:val="18"/>
                <w:szCs w:val="18"/>
              </w:rPr>
              <w:t>正式人</w:t>
            </w:r>
            <w:r>
              <w:rPr>
                <w:rFonts w:hint="eastAsia" w:ascii="宋体" w:hAnsi="宋体" w:eastAsia="宋体" w:cs="宋体"/>
                <w:spacing w:val="2"/>
                <w:sz w:val="18"/>
                <w:szCs w:val="18"/>
              </w:rPr>
              <w:t>员配备</w:t>
            </w:r>
          </w:p>
          <w:p w14:paraId="5B924F67">
            <w:pPr>
              <w:keepNext w:val="0"/>
              <w:keepLines w:val="0"/>
              <w:pageBreakBefore w:val="0"/>
              <w:kinsoku/>
              <w:wordWrap/>
              <w:overflowPunct/>
              <w:topLinePunct w:val="0"/>
              <w:autoSpaceDE/>
              <w:autoSpaceDN/>
              <w:bidi w:val="0"/>
              <w:adjustRightInd/>
              <w:snapToGrid/>
              <w:spacing w:line="228" w:lineRule="auto"/>
              <w:ind w:left="0" w:right="0"/>
              <w:jc w:val="center"/>
              <w:outlineLvl w:val="9"/>
              <w:rPr>
                <w:rFonts w:hint="eastAsia" w:ascii="宋体" w:hAnsi="宋体" w:eastAsia="宋体" w:cs="宋体"/>
                <w:sz w:val="18"/>
                <w:szCs w:val="18"/>
              </w:rPr>
            </w:pPr>
            <w:r>
              <w:rPr>
                <w:rFonts w:hint="eastAsia" w:ascii="宋体" w:hAnsi="宋体" w:eastAsia="宋体" w:cs="宋体"/>
                <w:spacing w:val="2"/>
                <w:sz w:val="18"/>
                <w:szCs w:val="18"/>
              </w:rPr>
              <w:t>12分</w:t>
            </w:r>
          </w:p>
        </w:tc>
        <w:tc>
          <w:tcPr>
            <w:tcW w:w="648" w:type="dxa"/>
            <w:noWrap w:val="0"/>
            <w:vAlign w:val="center"/>
          </w:tcPr>
          <w:p w14:paraId="693E6F13">
            <w:pPr>
              <w:keepNext w:val="0"/>
              <w:keepLines w:val="0"/>
              <w:pageBreakBefore w:val="0"/>
              <w:kinsoku/>
              <w:wordWrap/>
              <w:overflowPunct/>
              <w:topLinePunct w:val="0"/>
              <w:autoSpaceDE/>
              <w:autoSpaceDN/>
              <w:bidi w:val="0"/>
              <w:adjustRightInd/>
              <w:snapToGrid/>
              <w:spacing w:line="183" w:lineRule="auto"/>
              <w:ind w:left="0" w:right="0"/>
              <w:jc w:val="center"/>
              <w:outlineLvl w:val="9"/>
              <w:rPr>
                <w:rFonts w:hint="eastAsia" w:ascii="宋体" w:hAnsi="宋体" w:eastAsia="宋体" w:cs="宋体"/>
                <w:sz w:val="18"/>
                <w:szCs w:val="18"/>
              </w:rPr>
            </w:pPr>
            <w:r>
              <w:rPr>
                <w:rFonts w:hint="eastAsia" w:ascii="宋体" w:hAnsi="宋体" w:eastAsia="宋体" w:cs="宋体"/>
                <w:sz w:val="18"/>
                <w:szCs w:val="18"/>
              </w:rPr>
              <w:t>8</w:t>
            </w:r>
          </w:p>
        </w:tc>
        <w:tc>
          <w:tcPr>
            <w:tcW w:w="5598" w:type="dxa"/>
            <w:noWrap w:val="0"/>
            <w:vAlign w:val="top"/>
          </w:tcPr>
          <w:p w14:paraId="534765D9">
            <w:pPr>
              <w:keepNext w:val="0"/>
              <w:keepLines w:val="0"/>
              <w:pageBreakBefore w:val="0"/>
              <w:kinsoku/>
              <w:wordWrap/>
              <w:overflowPunct/>
              <w:topLinePunct w:val="0"/>
              <w:autoSpaceDE/>
              <w:autoSpaceDN/>
              <w:bidi w:val="0"/>
              <w:adjustRightInd/>
              <w:snapToGrid/>
              <w:spacing w:line="272" w:lineRule="auto"/>
              <w:ind w:left="0" w:leftChars="0" w:right="0" w:rightChars="0"/>
              <w:jc w:val="both"/>
              <w:rPr>
                <w:rFonts w:hint="eastAsia" w:ascii="宋体" w:hAnsi="宋体" w:eastAsia="宋体" w:cs="宋体"/>
                <w:sz w:val="18"/>
                <w:szCs w:val="18"/>
              </w:rPr>
            </w:pPr>
            <w:r>
              <w:rPr>
                <w:rFonts w:hint="eastAsia" w:ascii="宋体" w:hAnsi="宋体" w:eastAsia="宋体" w:cs="宋体"/>
                <w:spacing w:val="8"/>
                <w:sz w:val="18"/>
                <w:szCs w:val="18"/>
              </w:rPr>
              <w:t>在遴选区域配备有专业农险人员。以参加遴选的承保机构</w:t>
            </w:r>
            <w:r>
              <w:rPr>
                <w:rFonts w:hint="eastAsia" w:ascii="宋体" w:hAnsi="宋体" w:eastAsia="宋体" w:cs="宋体"/>
                <w:spacing w:val="11"/>
                <w:sz w:val="18"/>
                <w:szCs w:val="18"/>
              </w:rPr>
              <w:t>专业农险人员最多数量(若实际人数大于按遴选区域上年</w:t>
            </w:r>
            <w:r>
              <w:rPr>
                <w:rFonts w:hint="eastAsia" w:ascii="宋体" w:hAnsi="宋体" w:eastAsia="宋体" w:cs="宋体"/>
                <w:spacing w:val="9"/>
                <w:sz w:val="18"/>
                <w:szCs w:val="18"/>
              </w:rPr>
              <w:t>农业保险保费规模、500万元匹配1人测算值</w:t>
            </w:r>
            <w:r>
              <w:rPr>
                <w:rFonts w:hint="eastAsia" w:ascii="宋体" w:hAnsi="宋体" w:eastAsia="宋体" w:cs="宋体"/>
                <w:spacing w:val="8"/>
                <w:sz w:val="18"/>
                <w:szCs w:val="18"/>
              </w:rPr>
              <w:t>，余数向上取</w:t>
            </w:r>
            <w:r>
              <w:rPr>
                <w:rFonts w:hint="eastAsia" w:ascii="宋体" w:hAnsi="宋体" w:eastAsia="宋体" w:cs="宋体"/>
                <w:spacing w:val="11"/>
                <w:sz w:val="18"/>
                <w:szCs w:val="18"/>
              </w:rPr>
              <w:t>整，超出人数不纳入计算)为评审基准值，达到基准值的</w:t>
            </w:r>
            <w:r>
              <w:rPr>
                <w:rFonts w:hint="eastAsia" w:ascii="宋体" w:hAnsi="宋体" w:eastAsia="宋体" w:cs="宋体"/>
                <w:spacing w:val="4"/>
                <w:sz w:val="18"/>
                <w:szCs w:val="18"/>
              </w:rPr>
              <w:t>承保机构计满分。未达到基准值的承保机构该项得分=参加</w:t>
            </w:r>
            <w:r>
              <w:rPr>
                <w:rFonts w:hint="eastAsia" w:ascii="宋体" w:hAnsi="宋体" w:eastAsia="宋体" w:cs="宋体"/>
                <w:spacing w:val="3"/>
                <w:sz w:val="18"/>
                <w:szCs w:val="18"/>
              </w:rPr>
              <w:t>遴选的承保机构专业农险人员数量/评审基准值×8分。</w:t>
            </w:r>
          </w:p>
        </w:tc>
        <w:tc>
          <w:tcPr>
            <w:tcW w:w="5598" w:type="dxa"/>
            <w:noWrap w:val="0"/>
            <w:vAlign w:val="top"/>
          </w:tcPr>
          <w:p w14:paraId="7B513C81">
            <w:pPr>
              <w:keepNext w:val="0"/>
              <w:keepLines w:val="0"/>
              <w:pageBreakBefore w:val="0"/>
              <w:kinsoku/>
              <w:wordWrap/>
              <w:overflowPunct/>
              <w:topLinePunct w:val="0"/>
              <w:autoSpaceDE/>
              <w:autoSpaceDN/>
              <w:bidi w:val="0"/>
              <w:adjustRightInd/>
              <w:snapToGrid/>
              <w:spacing w:line="270" w:lineRule="auto"/>
              <w:ind w:left="0" w:leftChars="0" w:right="0" w:rightChars="0" w:firstLine="9" w:firstLineChars="0"/>
              <w:jc w:val="both"/>
              <w:rPr>
                <w:rFonts w:hint="eastAsia" w:ascii="宋体" w:hAnsi="宋体" w:eastAsia="宋体" w:cs="宋体"/>
                <w:sz w:val="18"/>
                <w:szCs w:val="18"/>
              </w:rPr>
            </w:pPr>
            <w:r>
              <w:rPr>
                <w:rFonts w:hint="eastAsia" w:ascii="宋体" w:hAnsi="宋体" w:eastAsia="宋体" w:cs="宋体"/>
                <w:spacing w:val="7"/>
                <w:sz w:val="18"/>
                <w:szCs w:val="18"/>
              </w:rPr>
              <w:t>专业农险人员为参加遴选的承保机构市/县级分支机构专职从事农业保险的正式员工。需提供加盖参加遴选的承保机构省公司公章的专业农险</w:t>
            </w:r>
            <w:r>
              <w:rPr>
                <w:rFonts w:hint="eastAsia" w:ascii="宋体" w:hAnsi="宋体" w:eastAsia="宋体" w:cs="宋体"/>
                <w:spacing w:val="17"/>
                <w:sz w:val="18"/>
                <w:szCs w:val="18"/>
              </w:rPr>
              <w:t>人员名单，遴选公告发布日期5个月(150个</w:t>
            </w:r>
            <w:r>
              <w:rPr>
                <w:rFonts w:hint="eastAsia" w:ascii="宋体" w:hAnsi="宋体" w:eastAsia="宋体" w:cs="宋体"/>
                <w:spacing w:val="16"/>
                <w:sz w:val="18"/>
                <w:szCs w:val="18"/>
              </w:rPr>
              <w:t>自然日)前承保机构与员</w:t>
            </w:r>
            <w:r>
              <w:rPr>
                <w:rFonts w:hint="eastAsia" w:ascii="宋体" w:hAnsi="宋体" w:eastAsia="宋体" w:cs="宋体"/>
                <w:spacing w:val="7"/>
                <w:sz w:val="18"/>
                <w:szCs w:val="18"/>
              </w:rPr>
              <w:t>工签订的正式劳动合同及人社部门提供的社保缴纳证明。遴选区域上年农业保险保费规模以银保监部门提供的数据为准。以上信息与实际情况</w:t>
            </w:r>
            <w:r>
              <w:rPr>
                <w:rFonts w:hint="eastAsia" w:ascii="宋体" w:hAnsi="宋体" w:eastAsia="宋体" w:cs="宋体"/>
                <w:spacing w:val="8"/>
                <w:sz w:val="18"/>
                <w:szCs w:val="18"/>
              </w:rPr>
              <w:t>不符，则中选资格作废。</w:t>
            </w:r>
          </w:p>
        </w:tc>
      </w:tr>
      <w:tr w14:paraId="36603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485" w:type="dxa"/>
            <w:noWrap w:val="0"/>
            <w:vAlign w:val="center"/>
          </w:tcPr>
          <w:p w14:paraId="20B2A6AB">
            <w:pPr>
              <w:keepNext w:val="0"/>
              <w:keepLines w:val="0"/>
              <w:pageBreakBefore w:val="0"/>
              <w:kinsoku/>
              <w:wordWrap/>
              <w:overflowPunct/>
              <w:topLinePunct w:val="0"/>
              <w:autoSpaceDE/>
              <w:autoSpaceDN/>
              <w:bidi w:val="0"/>
              <w:adjustRightInd/>
              <w:snapToGrid/>
              <w:spacing w:line="182" w:lineRule="auto"/>
              <w:ind w:left="0" w:right="0"/>
              <w:jc w:val="center"/>
              <w:outlineLvl w:val="9"/>
              <w:rPr>
                <w:rFonts w:hint="eastAsia" w:ascii="宋体" w:hAnsi="宋体" w:eastAsia="宋体" w:cs="宋体"/>
                <w:sz w:val="18"/>
                <w:szCs w:val="18"/>
              </w:rPr>
            </w:pPr>
            <w:r>
              <w:rPr>
                <w:rFonts w:hint="eastAsia" w:ascii="宋体" w:hAnsi="宋体" w:eastAsia="宋体" w:cs="宋体"/>
                <w:sz w:val="18"/>
                <w:szCs w:val="18"/>
              </w:rPr>
              <w:t>5</w:t>
            </w:r>
          </w:p>
        </w:tc>
        <w:tc>
          <w:tcPr>
            <w:tcW w:w="734" w:type="dxa"/>
            <w:vMerge w:val="continue"/>
            <w:noWrap w:val="0"/>
            <w:vAlign w:val="center"/>
          </w:tcPr>
          <w:p w14:paraId="37D8EE9E">
            <w:pPr>
              <w:keepNext w:val="0"/>
              <w:keepLines w:val="0"/>
              <w:pageBreakBefore w:val="0"/>
              <w:kinsoku/>
              <w:wordWrap/>
              <w:overflowPunct/>
              <w:topLinePunct w:val="0"/>
              <w:autoSpaceDE/>
              <w:autoSpaceDN/>
              <w:bidi w:val="0"/>
              <w:adjustRightInd/>
              <w:snapToGrid/>
              <w:ind w:left="0" w:right="0"/>
              <w:jc w:val="center"/>
              <w:outlineLvl w:val="9"/>
              <w:rPr>
                <w:rFonts w:hint="eastAsia" w:ascii="宋体" w:hAnsi="宋体" w:eastAsia="宋体" w:cs="宋体"/>
                <w:sz w:val="18"/>
                <w:szCs w:val="18"/>
              </w:rPr>
            </w:pPr>
          </w:p>
        </w:tc>
        <w:tc>
          <w:tcPr>
            <w:tcW w:w="886" w:type="dxa"/>
            <w:vMerge w:val="continue"/>
            <w:tcBorders>
              <w:top w:val="nil"/>
            </w:tcBorders>
            <w:noWrap w:val="0"/>
            <w:vAlign w:val="center"/>
          </w:tcPr>
          <w:p w14:paraId="27F8C9FF">
            <w:pPr>
              <w:keepNext w:val="0"/>
              <w:keepLines w:val="0"/>
              <w:pageBreakBefore w:val="0"/>
              <w:kinsoku/>
              <w:wordWrap/>
              <w:overflowPunct/>
              <w:topLinePunct w:val="0"/>
              <w:autoSpaceDE/>
              <w:autoSpaceDN/>
              <w:bidi w:val="0"/>
              <w:adjustRightInd/>
              <w:snapToGrid/>
              <w:ind w:left="0" w:right="0"/>
              <w:jc w:val="center"/>
              <w:outlineLvl w:val="9"/>
              <w:rPr>
                <w:rFonts w:hint="eastAsia" w:ascii="宋体" w:hAnsi="宋体" w:eastAsia="宋体" w:cs="宋体"/>
                <w:sz w:val="18"/>
                <w:szCs w:val="18"/>
              </w:rPr>
            </w:pPr>
          </w:p>
        </w:tc>
        <w:tc>
          <w:tcPr>
            <w:tcW w:w="648" w:type="dxa"/>
            <w:noWrap w:val="0"/>
            <w:vAlign w:val="center"/>
          </w:tcPr>
          <w:p w14:paraId="01B11402">
            <w:pPr>
              <w:keepNext w:val="0"/>
              <w:keepLines w:val="0"/>
              <w:pageBreakBefore w:val="0"/>
              <w:kinsoku/>
              <w:wordWrap/>
              <w:overflowPunct/>
              <w:topLinePunct w:val="0"/>
              <w:autoSpaceDE/>
              <w:autoSpaceDN/>
              <w:bidi w:val="0"/>
              <w:adjustRightInd/>
              <w:snapToGrid/>
              <w:spacing w:line="183" w:lineRule="auto"/>
              <w:ind w:left="0" w:right="0"/>
              <w:jc w:val="center"/>
              <w:outlineLvl w:val="9"/>
              <w:rPr>
                <w:rFonts w:hint="eastAsia" w:ascii="宋体" w:hAnsi="宋体" w:eastAsia="宋体" w:cs="宋体"/>
                <w:sz w:val="18"/>
                <w:szCs w:val="18"/>
              </w:rPr>
            </w:pPr>
            <w:r>
              <w:rPr>
                <w:rFonts w:hint="eastAsia" w:ascii="宋体" w:hAnsi="宋体" w:eastAsia="宋体" w:cs="宋体"/>
                <w:sz w:val="18"/>
                <w:szCs w:val="18"/>
              </w:rPr>
              <w:t>4</w:t>
            </w:r>
          </w:p>
        </w:tc>
        <w:tc>
          <w:tcPr>
            <w:tcW w:w="5598" w:type="dxa"/>
            <w:noWrap w:val="0"/>
            <w:vAlign w:val="top"/>
          </w:tcPr>
          <w:p w14:paraId="60EE42BF">
            <w:pPr>
              <w:keepNext w:val="0"/>
              <w:keepLines w:val="0"/>
              <w:pageBreakBefore w:val="0"/>
              <w:widowControl w:val="0"/>
              <w:kinsoku/>
              <w:wordWrap/>
              <w:overflowPunct/>
              <w:topLinePunct w:val="0"/>
              <w:autoSpaceDE/>
              <w:autoSpaceDN/>
              <w:bidi w:val="0"/>
              <w:adjustRightInd/>
              <w:snapToGrid/>
              <w:spacing w:line="221" w:lineRule="auto"/>
              <w:ind w:left="0" w:right="0" w:firstLine="30"/>
              <w:textAlignment w:val="auto"/>
              <w:rPr>
                <w:rFonts w:hint="eastAsia" w:ascii="宋体" w:hAnsi="宋体" w:eastAsia="宋体" w:cs="宋体"/>
                <w:sz w:val="18"/>
                <w:szCs w:val="18"/>
              </w:rPr>
            </w:pPr>
            <w:r>
              <w:rPr>
                <w:rFonts w:hint="eastAsia" w:ascii="宋体" w:hAnsi="宋体" w:eastAsia="宋体" w:cs="宋体"/>
                <w:spacing w:val="6"/>
                <w:sz w:val="18"/>
                <w:szCs w:val="18"/>
              </w:rPr>
              <w:t>在遴选区域配备除专业农险人员以外的其他正式人员。正</w:t>
            </w:r>
            <w:r>
              <w:rPr>
                <w:rFonts w:hint="eastAsia" w:ascii="宋体" w:hAnsi="宋体" w:eastAsia="宋体" w:cs="宋体"/>
                <w:spacing w:val="9"/>
                <w:sz w:val="18"/>
                <w:szCs w:val="18"/>
              </w:rPr>
              <w:t>式编制人员按实计算，劳务派遣人员按50%折算，若二者</w:t>
            </w:r>
            <w:r>
              <w:rPr>
                <w:rFonts w:hint="eastAsia" w:ascii="宋体" w:hAnsi="宋体" w:eastAsia="宋体" w:cs="宋体"/>
                <w:spacing w:val="5"/>
                <w:sz w:val="18"/>
                <w:szCs w:val="18"/>
              </w:rPr>
              <w:t>之和大于该承保机构在迸选区域上年非农险业务保费规</w:t>
            </w:r>
            <w:r>
              <w:rPr>
                <w:rFonts w:hint="eastAsia" w:ascii="宋体" w:hAnsi="宋体" w:eastAsia="宋体" w:cs="宋体"/>
                <w:spacing w:val="11"/>
                <w:sz w:val="18"/>
                <w:szCs w:val="18"/>
              </w:rPr>
              <w:t>模、200万元匹配1人测算值(余数向上取整，测算值不足</w:t>
            </w:r>
            <w:r>
              <w:rPr>
                <w:rFonts w:hint="eastAsia" w:ascii="宋体" w:hAnsi="宋体" w:eastAsia="宋体" w:cs="宋体"/>
                <w:spacing w:val="14"/>
                <w:sz w:val="18"/>
                <w:szCs w:val="18"/>
              </w:rPr>
              <w:t>3人的按3人限高),超出人数不纳入计算。以参加遴选的</w:t>
            </w:r>
            <w:r>
              <w:rPr>
                <w:rFonts w:hint="eastAsia" w:ascii="宋体" w:hAnsi="宋体" w:eastAsia="宋体" w:cs="宋体"/>
                <w:spacing w:val="6"/>
                <w:sz w:val="18"/>
                <w:szCs w:val="18"/>
              </w:rPr>
              <w:t>承保机构除专业农险人员以外的正式员工最多数量为评审</w:t>
            </w:r>
            <w:r>
              <w:rPr>
                <w:rFonts w:hint="eastAsia" w:ascii="宋体" w:hAnsi="宋体" w:eastAsia="宋体" w:cs="宋体"/>
                <w:spacing w:val="13"/>
                <w:sz w:val="18"/>
                <w:szCs w:val="18"/>
              </w:rPr>
              <w:t xml:space="preserve"> </w:t>
            </w:r>
            <w:r>
              <w:rPr>
                <w:rFonts w:hint="eastAsia" w:ascii="宋体" w:hAnsi="宋体" w:eastAsia="宋体" w:cs="宋体"/>
                <w:spacing w:val="6"/>
                <w:sz w:val="18"/>
                <w:szCs w:val="18"/>
              </w:rPr>
              <w:t>基准值，达到基准值的承保机构计满分。未达到基准值的</w:t>
            </w:r>
            <w:r>
              <w:rPr>
                <w:rFonts w:hint="eastAsia" w:ascii="宋体" w:hAnsi="宋体" w:eastAsia="宋体" w:cs="宋体"/>
                <w:spacing w:val="7"/>
                <w:sz w:val="18"/>
                <w:szCs w:val="18"/>
              </w:rPr>
              <w:t>承保机构该项得分=参加遴选的承保机构除专业农险人员</w:t>
            </w:r>
            <w:r>
              <w:rPr>
                <w:rFonts w:hint="eastAsia" w:ascii="宋体" w:hAnsi="宋体" w:eastAsia="宋体" w:cs="宋体"/>
                <w:spacing w:val="4"/>
                <w:sz w:val="18"/>
                <w:szCs w:val="18"/>
              </w:rPr>
              <w:t>以外的正式人员数量/评审基准值×4分。</w:t>
            </w:r>
          </w:p>
        </w:tc>
        <w:tc>
          <w:tcPr>
            <w:tcW w:w="5598" w:type="dxa"/>
            <w:noWrap w:val="0"/>
            <w:vAlign w:val="top"/>
          </w:tcPr>
          <w:p w14:paraId="77BA9B08">
            <w:pPr>
              <w:keepNext w:val="0"/>
              <w:keepLines w:val="0"/>
              <w:pageBreakBefore w:val="0"/>
              <w:widowControl w:val="0"/>
              <w:kinsoku/>
              <w:wordWrap/>
              <w:overflowPunct/>
              <w:topLinePunct w:val="0"/>
              <w:autoSpaceDE/>
              <w:autoSpaceDN/>
              <w:bidi w:val="0"/>
              <w:adjustRightInd/>
              <w:snapToGrid/>
              <w:spacing w:line="233" w:lineRule="auto"/>
              <w:ind w:left="0" w:right="0"/>
              <w:textAlignment w:val="auto"/>
              <w:rPr>
                <w:rFonts w:hint="eastAsia" w:ascii="宋体" w:hAnsi="宋体" w:eastAsia="宋体" w:cs="宋体"/>
                <w:sz w:val="18"/>
                <w:szCs w:val="18"/>
              </w:rPr>
            </w:pPr>
            <w:r>
              <w:rPr>
                <w:rFonts w:hint="eastAsia" w:ascii="宋体" w:hAnsi="宋体" w:eastAsia="宋体" w:cs="宋体"/>
                <w:spacing w:val="6"/>
                <w:sz w:val="18"/>
                <w:szCs w:val="18"/>
              </w:rPr>
              <w:t>其他正式人员为承保机构市/县级分支机构除专业农险人员</w:t>
            </w:r>
            <w:r>
              <w:rPr>
                <w:rFonts w:hint="eastAsia" w:ascii="宋体" w:hAnsi="宋体" w:eastAsia="宋体" w:cs="宋体"/>
                <w:spacing w:val="5"/>
                <w:sz w:val="18"/>
                <w:szCs w:val="18"/>
              </w:rPr>
              <w:t>以外的其他</w:t>
            </w:r>
            <w:r>
              <w:rPr>
                <w:rFonts w:hint="eastAsia" w:ascii="宋体" w:hAnsi="宋体" w:eastAsia="宋体" w:cs="宋体"/>
                <w:spacing w:val="9"/>
                <w:sz w:val="18"/>
                <w:szCs w:val="18"/>
              </w:rPr>
              <w:t>正式员工及乡镇分支机构的正式员工(含正式编制人员和劳务派遣人员)。需提供加盖参加遴选的承保机构省公司公</w:t>
            </w:r>
            <w:r>
              <w:rPr>
                <w:rFonts w:hint="eastAsia" w:ascii="宋体" w:hAnsi="宋体" w:eastAsia="宋体" w:cs="宋体"/>
                <w:spacing w:val="8"/>
                <w:sz w:val="18"/>
                <w:szCs w:val="18"/>
              </w:rPr>
              <w:t>章的除专业农险人员以</w:t>
            </w:r>
            <w:r>
              <w:rPr>
                <w:rFonts w:hint="eastAsia" w:ascii="宋体" w:hAnsi="宋体" w:eastAsia="宋体" w:cs="宋体"/>
                <w:spacing w:val="16"/>
                <w:sz w:val="18"/>
                <w:szCs w:val="18"/>
              </w:rPr>
              <w:t>外的正式员工名单，以及遴选公告发布日期5个月(150个自然日)前</w:t>
            </w:r>
            <w:r>
              <w:rPr>
                <w:rFonts w:hint="eastAsia" w:ascii="宋体" w:hAnsi="宋体" w:eastAsia="宋体" w:cs="宋体"/>
                <w:spacing w:val="7"/>
                <w:sz w:val="18"/>
                <w:szCs w:val="18"/>
              </w:rPr>
              <w:t>承保机构与该员工签订的正式劳动合同以及人社部门提供的社保缴纳</w:t>
            </w:r>
            <w:r>
              <w:rPr>
                <w:rFonts w:hint="eastAsia" w:ascii="宋体" w:hAnsi="宋体" w:eastAsia="宋体" w:cs="宋体"/>
                <w:spacing w:val="6"/>
                <w:sz w:val="18"/>
                <w:szCs w:val="18"/>
              </w:rPr>
              <w:t>证明。承保机构在遴选区域上年非农险业务保</w:t>
            </w:r>
            <w:r>
              <w:rPr>
                <w:rFonts w:hint="eastAsia" w:ascii="宋体" w:hAnsi="宋体" w:eastAsia="宋体" w:cs="宋体"/>
                <w:spacing w:val="5"/>
                <w:sz w:val="18"/>
                <w:szCs w:val="18"/>
              </w:rPr>
              <w:t>费规模由参加遴选的承保</w:t>
            </w:r>
            <w:r>
              <w:rPr>
                <w:rFonts w:hint="eastAsia" w:ascii="宋体" w:hAnsi="宋体" w:eastAsia="宋体" w:cs="宋体"/>
                <w:spacing w:val="6"/>
                <w:sz w:val="18"/>
                <w:szCs w:val="18"/>
              </w:rPr>
              <w:t>机构提供经银保监部门认定的相关报表数据，并加盖证明出具单位公</w:t>
            </w:r>
            <w:r>
              <w:rPr>
                <w:rFonts w:hint="eastAsia" w:ascii="宋体" w:hAnsi="宋体" w:eastAsia="宋体" w:cs="宋体"/>
                <w:spacing w:val="4"/>
                <w:sz w:val="18"/>
                <w:szCs w:val="18"/>
              </w:rPr>
              <w:t>章。以上信息与实际情况不符，则中选资格作废。</w:t>
            </w:r>
          </w:p>
        </w:tc>
      </w:tr>
      <w:tr w14:paraId="48E70F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1" w:hRule="atLeast"/>
        </w:trPr>
        <w:tc>
          <w:tcPr>
            <w:tcW w:w="485" w:type="dxa"/>
            <w:noWrap w:val="0"/>
            <w:vAlign w:val="center"/>
          </w:tcPr>
          <w:p w14:paraId="26B6CBC7">
            <w:pPr>
              <w:keepNext w:val="0"/>
              <w:keepLines w:val="0"/>
              <w:pageBreakBefore w:val="0"/>
              <w:kinsoku/>
              <w:wordWrap/>
              <w:overflowPunct/>
              <w:topLinePunct w:val="0"/>
              <w:autoSpaceDE/>
              <w:autoSpaceDN/>
              <w:bidi w:val="0"/>
              <w:adjustRightInd/>
              <w:snapToGrid/>
              <w:spacing w:line="183" w:lineRule="auto"/>
              <w:ind w:left="0" w:right="0"/>
              <w:jc w:val="center"/>
              <w:outlineLvl w:val="9"/>
              <w:rPr>
                <w:rFonts w:hint="eastAsia" w:ascii="宋体" w:hAnsi="宋体" w:eastAsia="宋体" w:cs="宋体"/>
                <w:sz w:val="18"/>
                <w:szCs w:val="18"/>
              </w:rPr>
            </w:pPr>
            <w:r>
              <w:rPr>
                <w:rFonts w:hint="eastAsia" w:ascii="宋体" w:hAnsi="宋体" w:eastAsia="宋体" w:cs="宋体"/>
                <w:sz w:val="18"/>
                <w:szCs w:val="18"/>
              </w:rPr>
              <w:t>6</w:t>
            </w:r>
          </w:p>
        </w:tc>
        <w:tc>
          <w:tcPr>
            <w:tcW w:w="734" w:type="dxa"/>
            <w:vMerge w:val="continue"/>
            <w:noWrap w:val="0"/>
            <w:vAlign w:val="center"/>
          </w:tcPr>
          <w:p w14:paraId="55454A95">
            <w:pPr>
              <w:keepNext w:val="0"/>
              <w:keepLines w:val="0"/>
              <w:pageBreakBefore w:val="0"/>
              <w:kinsoku/>
              <w:wordWrap/>
              <w:overflowPunct/>
              <w:topLinePunct w:val="0"/>
              <w:autoSpaceDE/>
              <w:autoSpaceDN/>
              <w:bidi w:val="0"/>
              <w:adjustRightInd/>
              <w:snapToGrid/>
              <w:ind w:left="0" w:right="0"/>
              <w:jc w:val="center"/>
              <w:outlineLvl w:val="9"/>
              <w:rPr>
                <w:rFonts w:hint="eastAsia" w:ascii="宋体" w:hAnsi="宋体" w:eastAsia="宋体" w:cs="宋体"/>
                <w:sz w:val="18"/>
                <w:szCs w:val="18"/>
              </w:rPr>
            </w:pPr>
          </w:p>
        </w:tc>
        <w:tc>
          <w:tcPr>
            <w:tcW w:w="886" w:type="dxa"/>
            <w:tcBorders>
              <w:bottom w:val="single" w:color="auto" w:sz="4" w:space="0"/>
            </w:tcBorders>
            <w:noWrap w:val="0"/>
            <w:vAlign w:val="center"/>
          </w:tcPr>
          <w:p w14:paraId="5F430CA7">
            <w:pPr>
              <w:keepNext w:val="0"/>
              <w:keepLines w:val="0"/>
              <w:pageBreakBefore w:val="0"/>
              <w:kinsoku/>
              <w:wordWrap/>
              <w:overflowPunct/>
              <w:topLinePunct w:val="0"/>
              <w:autoSpaceDE/>
              <w:autoSpaceDN/>
              <w:bidi w:val="0"/>
              <w:adjustRightInd/>
              <w:snapToGrid/>
              <w:spacing w:line="219" w:lineRule="auto"/>
              <w:ind w:left="0" w:right="0"/>
              <w:jc w:val="center"/>
              <w:outlineLvl w:val="9"/>
              <w:rPr>
                <w:rFonts w:hint="eastAsia" w:ascii="宋体" w:hAnsi="宋体" w:eastAsia="宋体" w:cs="宋体"/>
                <w:sz w:val="18"/>
                <w:szCs w:val="18"/>
              </w:rPr>
            </w:pPr>
            <w:r>
              <w:rPr>
                <w:rFonts w:hint="eastAsia" w:ascii="宋体" w:hAnsi="宋体" w:eastAsia="宋体" w:cs="宋体"/>
                <w:spacing w:val="-3"/>
                <w:sz w:val="18"/>
                <w:szCs w:val="18"/>
              </w:rPr>
              <w:t>兼职人</w:t>
            </w:r>
            <w:r>
              <w:rPr>
                <w:rFonts w:hint="eastAsia" w:ascii="宋体" w:hAnsi="宋体" w:eastAsia="宋体" w:cs="宋体"/>
                <w:spacing w:val="2"/>
                <w:sz w:val="18"/>
                <w:szCs w:val="18"/>
              </w:rPr>
              <w:t>员配备</w:t>
            </w:r>
            <w:r>
              <w:rPr>
                <w:rFonts w:hint="eastAsia" w:ascii="宋体" w:hAnsi="宋体" w:eastAsia="宋体" w:cs="宋体"/>
                <w:spacing w:val="6"/>
                <w:sz w:val="18"/>
                <w:szCs w:val="18"/>
              </w:rPr>
              <w:t>5分</w:t>
            </w:r>
          </w:p>
        </w:tc>
        <w:tc>
          <w:tcPr>
            <w:tcW w:w="648" w:type="dxa"/>
            <w:noWrap w:val="0"/>
            <w:vAlign w:val="center"/>
          </w:tcPr>
          <w:p w14:paraId="097DA07B">
            <w:pPr>
              <w:keepNext w:val="0"/>
              <w:keepLines w:val="0"/>
              <w:pageBreakBefore w:val="0"/>
              <w:kinsoku/>
              <w:wordWrap/>
              <w:overflowPunct/>
              <w:topLinePunct w:val="0"/>
              <w:autoSpaceDE/>
              <w:autoSpaceDN/>
              <w:bidi w:val="0"/>
              <w:adjustRightInd/>
              <w:snapToGrid/>
              <w:spacing w:line="182" w:lineRule="auto"/>
              <w:ind w:left="0" w:right="0"/>
              <w:jc w:val="center"/>
              <w:outlineLvl w:val="9"/>
              <w:rPr>
                <w:rFonts w:hint="eastAsia" w:ascii="宋体" w:hAnsi="宋体" w:eastAsia="宋体" w:cs="宋体"/>
                <w:sz w:val="18"/>
                <w:szCs w:val="18"/>
              </w:rPr>
            </w:pPr>
            <w:r>
              <w:rPr>
                <w:rFonts w:hint="eastAsia" w:ascii="宋体" w:hAnsi="宋体" w:eastAsia="宋体" w:cs="宋体"/>
                <w:sz w:val="18"/>
                <w:szCs w:val="18"/>
              </w:rPr>
              <w:t>5</w:t>
            </w:r>
          </w:p>
        </w:tc>
        <w:tc>
          <w:tcPr>
            <w:tcW w:w="5598" w:type="dxa"/>
            <w:noWrap w:val="0"/>
            <w:vAlign w:val="top"/>
          </w:tcPr>
          <w:p w14:paraId="49B67CBD">
            <w:pPr>
              <w:keepNext w:val="0"/>
              <w:keepLines w:val="0"/>
              <w:pageBreakBefore w:val="0"/>
              <w:widowControl w:val="0"/>
              <w:kinsoku/>
              <w:wordWrap/>
              <w:overflowPunct/>
              <w:topLinePunct w:val="0"/>
              <w:autoSpaceDE/>
              <w:autoSpaceDN/>
              <w:bidi w:val="0"/>
              <w:adjustRightInd/>
              <w:snapToGrid/>
              <w:spacing w:line="233" w:lineRule="auto"/>
              <w:ind w:left="0" w:leftChars="0" w:right="0" w:rightChars="0"/>
              <w:jc w:val="both"/>
              <w:textAlignment w:val="auto"/>
              <w:rPr>
                <w:rFonts w:hint="eastAsia" w:ascii="宋体" w:hAnsi="宋体" w:eastAsia="宋体" w:cs="宋体"/>
                <w:sz w:val="18"/>
                <w:szCs w:val="18"/>
              </w:rPr>
            </w:pPr>
            <w:r>
              <w:rPr>
                <w:rFonts w:hint="eastAsia" w:ascii="宋体" w:hAnsi="宋体" w:eastAsia="宋体" w:cs="宋体"/>
                <w:spacing w:val="13"/>
                <w:sz w:val="18"/>
                <w:szCs w:val="18"/>
              </w:rPr>
              <w:t>在遴选区域配备服务乡镇、村的农业保险专(兼)干、协</w:t>
            </w:r>
            <w:r>
              <w:rPr>
                <w:rFonts w:hint="eastAsia" w:ascii="宋体" w:hAnsi="宋体" w:eastAsia="宋体" w:cs="宋体"/>
                <w:spacing w:val="14"/>
                <w:sz w:val="18"/>
                <w:szCs w:val="18"/>
              </w:rPr>
              <w:t>保员。乡镇农业保险专(兼)干人数达标标准根据该承保</w:t>
            </w:r>
            <w:r>
              <w:rPr>
                <w:rFonts w:hint="eastAsia" w:ascii="宋体" w:hAnsi="宋体" w:eastAsia="宋体" w:cs="宋体"/>
                <w:spacing w:val="6"/>
                <w:sz w:val="18"/>
                <w:szCs w:val="18"/>
              </w:rPr>
              <w:t>机构在</w:t>
            </w:r>
            <w:r>
              <w:rPr>
                <w:rFonts w:hint="eastAsia" w:ascii="宋体" w:hAnsi="宋体" w:eastAsia="宋体" w:cs="宋体"/>
                <w:spacing w:val="6"/>
                <w:sz w:val="18"/>
                <w:szCs w:val="18"/>
                <w:lang w:eastAsia="zh-CN"/>
              </w:rPr>
              <w:t>遴选</w:t>
            </w:r>
            <w:r>
              <w:rPr>
                <w:rFonts w:hint="eastAsia" w:ascii="宋体" w:hAnsi="宋体" w:eastAsia="宋体" w:cs="宋体"/>
                <w:spacing w:val="6"/>
                <w:sz w:val="18"/>
                <w:szCs w:val="18"/>
              </w:rPr>
              <w:t>区域的上年政策性农业保险承保规模，按种植</w:t>
            </w:r>
            <w:r>
              <w:rPr>
                <w:rFonts w:hint="eastAsia" w:ascii="宋体" w:hAnsi="宋体" w:eastAsia="宋体" w:cs="宋体"/>
                <w:spacing w:val="7"/>
                <w:sz w:val="18"/>
                <w:szCs w:val="18"/>
              </w:rPr>
              <w:t>险及林业等承保规模/200万元，养殖险承保规模/150万元</w:t>
            </w:r>
            <w:r>
              <w:rPr>
                <w:rFonts w:hint="eastAsia" w:ascii="宋体" w:hAnsi="宋体" w:eastAsia="宋体" w:cs="宋体"/>
                <w:spacing w:val="4"/>
                <w:sz w:val="18"/>
                <w:szCs w:val="18"/>
              </w:rPr>
              <w:t>确定，余数向上取整，未达标的不计分。在达标的基础上，</w:t>
            </w:r>
            <w:r>
              <w:rPr>
                <w:rFonts w:hint="eastAsia" w:ascii="宋体" w:hAnsi="宋体" w:eastAsia="宋体" w:cs="宋体"/>
                <w:spacing w:val="10"/>
                <w:sz w:val="18"/>
                <w:szCs w:val="18"/>
              </w:rPr>
              <w:t>以参加遴选的承保机构兼职人员最多数量(若实际人数大</w:t>
            </w:r>
            <w:r>
              <w:rPr>
                <w:rFonts w:hint="eastAsia" w:ascii="宋体" w:hAnsi="宋体" w:eastAsia="宋体" w:cs="宋体"/>
                <w:spacing w:val="7"/>
                <w:sz w:val="18"/>
                <w:szCs w:val="18"/>
              </w:rPr>
              <w:t>于</w:t>
            </w:r>
            <w:r>
              <w:rPr>
                <w:rFonts w:hint="eastAsia" w:ascii="宋体" w:hAnsi="宋体" w:eastAsia="宋体" w:cs="宋体"/>
                <w:spacing w:val="7"/>
                <w:sz w:val="18"/>
                <w:szCs w:val="18"/>
                <w:lang w:eastAsia="zh-CN"/>
              </w:rPr>
              <w:t>遴选</w:t>
            </w:r>
            <w:r>
              <w:rPr>
                <w:rFonts w:hint="eastAsia" w:ascii="宋体" w:hAnsi="宋体" w:eastAsia="宋体" w:cs="宋体"/>
                <w:spacing w:val="7"/>
                <w:sz w:val="18"/>
                <w:szCs w:val="18"/>
              </w:rPr>
              <w:t>区域上年政策性农业保险保费规模，按种植险及林</w:t>
            </w:r>
            <w:r>
              <w:rPr>
                <w:rFonts w:hint="eastAsia" w:ascii="宋体" w:hAnsi="宋体" w:eastAsia="宋体" w:cs="宋体"/>
                <w:spacing w:val="3"/>
                <w:sz w:val="18"/>
                <w:szCs w:val="18"/>
              </w:rPr>
              <w:t>业等承保规模/200万元，养殖险承保规模/150</w:t>
            </w:r>
            <w:r>
              <w:rPr>
                <w:rFonts w:hint="eastAsia" w:ascii="宋体" w:hAnsi="宋体" w:eastAsia="宋体" w:cs="宋体"/>
                <w:spacing w:val="2"/>
                <w:sz w:val="18"/>
                <w:szCs w:val="18"/>
              </w:rPr>
              <w:t>万元测算值，</w:t>
            </w:r>
            <w:r>
              <w:rPr>
                <w:rFonts w:hint="eastAsia" w:ascii="宋体" w:hAnsi="宋体" w:eastAsia="宋体" w:cs="宋体"/>
                <w:spacing w:val="11"/>
                <w:sz w:val="18"/>
                <w:szCs w:val="18"/>
              </w:rPr>
              <w:t>余数向上取整，超出人数不纳入计算)为评审基准值，达</w:t>
            </w:r>
            <w:r>
              <w:rPr>
                <w:rFonts w:hint="eastAsia" w:ascii="宋体" w:hAnsi="宋体" w:eastAsia="宋体" w:cs="宋体"/>
                <w:spacing w:val="8"/>
                <w:sz w:val="18"/>
                <w:szCs w:val="18"/>
              </w:rPr>
              <w:t>到基准值的承保机构计满分。未达到基准值的承保机构</w:t>
            </w:r>
            <w:r>
              <w:rPr>
                <w:rFonts w:hint="eastAsia" w:ascii="宋体" w:hAnsi="宋体" w:eastAsia="宋体" w:cs="宋体"/>
                <w:spacing w:val="7"/>
                <w:sz w:val="18"/>
                <w:szCs w:val="18"/>
              </w:rPr>
              <w:t>该</w:t>
            </w:r>
            <w:r>
              <w:rPr>
                <w:rFonts w:hint="eastAsia" w:ascii="宋体" w:hAnsi="宋体" w:eastAsia="宋体" w:cs="宋体"/>
                <w:spacing w:val="12"/>
                <w:sz w:val="18"/>
                <w:szCs w:val="18"/>
              </w:rPr>
              <w:t>项得分=参加遴选的承保机构乡镇农业保险专(兼)干、协</w:t>
            </w:r>
            <w:r>
              <w:rPr>
                <w:rFonts w:hint="eastAsia" w:ascii="宋体" w:hAnsi="宋体" w:eastAsia="宋体" w:cs="宋体"/>
                <w:spacing w:val="6"/>
                <w:sz w:val="18"/>
                <w:szCs w:val="18"/>
              </w:rPr>
              <w:t>保员数量/评审基准值×5分。</w:t>
            </w:r>
          </w:p>
        </w:tc>
        <w:tc>
          <w:tcPr>
            <w:tcW w:w="5598" w:type="dxa"/>
            <w:noWrap w:val="0"/>
            <w:vAlign w:val="top"/>
          </w:tcPr>
          <w:p w14:paraId="1FFA753A">
            <w:pPr>
              <w:keepNext w:val="0"/>
              <w:keepLines w:val="0"/>
              <w:pageBreakBefore w:val="0"/>
              <w:widowControl w:val="0"/>
              <w:kinsoku/>
              <w:wordWrap/>
              <w:overflowPunct/>
              <w:topLinePunct w:val="0"/>
              <w:autoSpaceDE/>
              <w:autoSpaceDN/>
              <w:bidi w:val="0"/>
              <w:adjustRightInd/>
              <w:snapToGrid/>
              <w:spacing w:line="238" w:lineRule="auto"/>
              <w:ind w:left="0" w:leftChars="0" w:right="0" w:rightChars="0"/>
              <w:jc w:val="both"/>
              <w:textAlignment w:val="auto"/>
              <w:rPr>
                <w:rFonts w:hint="eastAsia" w:ascii="宋体" w:hAnsi="宋体" w:eastAsia="宋体" w:cs="宋体"/>
                <w:sz w:val="18"/>
                <w:szCs w:val="18"/>
              </w:rPr>
            </w:pPr>
            <w:r>
              <w:rPr>
                <w:rFonts w:hint="eastAsia" w:ascii="宋体" w:hAnsi="宋体" w:eastAsia="宋体" w:cs="宋体"/>
                <w:spacing w:val="10"/>
                <w:sz w:val="18"/>
                <w:szCs w:val="18"/>
              </w:rPr>
              <w:t>乡镇、村农业保险专(兼)干、协保员为参加</w:t>
            </w:r>
            <w:r>
              <w:rPr>
                <w:rFonts w:hint="eastAsia" w:ascii="宋体" w:hAnsi="宋体" w:eastAsia="宋体" w:cs="宋体"/>
                <w:spacing w:val="10"/>
                <w:sz w:val="18"/>
                <w:szCs w:val="18"/>
                <w:lang w:eastAsia="zh-CN"/>
              </w:rPr>
              <w:t>遴选</w:t>
            </w:r>
            <w:r>
              <w:rPr>
                <w:rFonts w:hint="eastAsia" w:ascii="宋体" w:hAnsi="宋体" w:eastAsia="宋体" w:cs="宋体"/>
                <w:spacing w:val="10"/>
                <w:sz w:val="18"/>
                <w:szCs w:val="18"/>
              </w:rPr>
              <w:t>的承保机构在遴选区</w:t>
            </w:r>
            <w:r>
              <w:rPr>
                <w:rFonts w:hint="eastAsia" w:ascii="宋体" w:hAnsi="宋体" w:eastAsia="宋体" w:cs="宋体"/>
                <w:spacing w:val="6"/>
                <w:sz w:val="18"/>
                <w:szCs w:val="18"/>
              </w:rPr>
              <w:t>域选聘的乡镇、村级兼职农业保险服务人员。需提供</w:t>
            </w:r>
            <w:r>
              <w:rPr>
                <w:rFonts w:hint="eastAsia" w:ascii="宋体" w:hAnsi="宋体" w:eastAsia="宋体" w:cs="宋体"/>
                <w:spacing w:val="5"/>
                <w:sz w:val="18"/>
                <w:szCs w:val="18"/>
              </w:rPr>
              <w:t>加盖参加进选的承</w:t>
            </w:r>
            <w:r>
              <w:rPr>
                <w:rFonts w:hint="eastAsia" w:ascii="宋体" w:hAnsi="宋体" w:eastAsia="宋体" w:cs="宋体"/>
                <w:sz w:val="18"/>
                <w:szCs w:val="18"/>
              </w:rPr>
              <w:t xml:space="preserve"> </w:t>
            </w:r>
            <w:r>
              <w:rPr>
                <w:rFonts w:hint="eastAsia" w:ascii="宋体" w:hAnsi="宋体" w:eastAsia="宋体" w:cs="宋体"/>
                <w:spacing w:val="15"/>
                <w:sz w:val="18"/>
                <w:szCs w:val="18"/>
              </w:rPr>
              <w:t>保机构公章的乡镇、村农业保险专(兼)干、协保员名单(包括姓名、</w:t>
            </w:r>
            <w:r>
              <w:rPr>
                <w:rFonts w:hint="eastAsia" w:ascii="宋体" w:hAnsi="宋体" w:eastAsia="宋体" w:cs="宋体"/>
                <w:spacing w:val="10"/>
                <w:sz w:val="18"/>
                <w:szCs w:val="18"/>
              </w:rPr>
              <w:t>身份证号码、电话号码、年工资额或工作经费、防疫激励费用等</w:t>
            </w:r>
            <w:r>
              <w:rPr>
                <w:rFonts w:hint="eastAsia" w:ascii="宋体" w:hAnsi="宋体" w:eastAsia="宋体" w:cs="宋体"/>
                <w:spacing w:val="9"/>
                <w:sz w:val="18"/>
                <w:szCs w:val="18"/>
              </w:rPr>
              <w:t>),并</w:t>
            </w:r>
            <w:r>
              <w:rPr>
                <w:rFonts w:hint="eastAsia" w:ascii="宋体" w:hAnsi="宋体" w:eastAsia="宋体" w:cs="宋体"/>
                <w:spacing w:val="12"/>
                <w:sz w:val="18"/>
                <w:szCs w:val="18"/>
              </w:rPr>
              <w:t>提供遴选公告发布日期5个月(150个自然日</w:t>
            </w:r>
            <w:r>
              <w:rPr>
                <w:rFonts w:hint="eastAsia" w:ascii="宋体" w:hAnsi="宋体" w:eastAsia="宋体" w:cs="宋体"/>
                <w:spacing w:val="11"/>
                <w:sz w:val="18"/>
                <w:szCs w:val="18"/>
              </w:rPr>
              <w:t>)前签订的委托代办协议，</w:t>
            </w:r>
            <w:r>
              <w:rPr>
                <w:rFonts w:hint="eastAsia" w:ascii="宋体" w:hAnsi="宋体" w:eastAsia="宋体" w:cs="宋体"/>
                <w:spacing w:val="4"/>
                <w:sz w:val="18"/>
                <w:szCs w:val="18"/>
              </w:rPr>
              <w:t>乡镇政府、村支两委或县级农业保险工作小组相关证明文件复印件并加</w:t>
            </w:r>
            <w:r>
              <w:rPr>
                <w:rFonts w:hint="eastAsia" w:ascii="宋体" w:hAnsi="宋体" w:eastAsia="宋体" w:cs="宋体"/>
                <w:spacing w:val="5"/>
                <w:sz w:val="18"/>
                <w:szCs w:val="18"/>
              </w:rPr>
              <w:t>盖证明出具单位公章。遴选区域的上年政策性农业保险承保规模以财政</w:t>
            </w:r>
            <w:r>
              <w:rPr>
                <w:rFonts w:hint="eastAsia" w:ascii="宋体" w:hAnsi="宋体" w:eastAsia="宋体" w:cs="宋体"/>
                <w:spacing w:val="6"/>
                <w:sz w:val="18"/>
                <w:szCs w:val="18"/>
              </w:rPr>
              <w:t>部门认定的数据为准。以上信息与实际情况不符或弄虚作假的，则中选</w:t>
            </w:r>
            <w:r>
              <w:rPr>
                <w:rFonts w:hint="eastAsia" w:ascii="宋体" w:hAnsi="宋体" w:eastAsia="宋体" w:cs="宋体"/>
                <w:spacing w:val="17"/>
                <w:sz w:val="18"/>
                <w:szCs w:val="18"/>
              </w:rPr>
              <w:t>资格作废。</w:t>
            </w:r>
          </w:p>
        </w:tc>
      </w:tr>
      <w:tr w14:paraId="4A1EF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85" w:type="dxa"/>
            <w:noWrap w:val="0"/>
            <w:vAlign w:val="center"/>
          </w:tcPr>
          <w:p w14:paraId="7C7ACF76">
            <w:pPr>
              <w:keepNext w:val="0"/>
              <w:keepLines w:val="0"/>
              <w:pageBreakBefore w:val="0"/>
              <w:kinsoku/>
              <w:wordWrap/>
              <w:overflowPunct/>
              <w:topLinePunct w:val="0"/>
              <w:autoSpaceDE/>
              <w:autoSpaceDN/>
              <w:bidi w:val="0"/>
              <w:adjustRightInd/>
              <w:snapToGrid/>
              <w:spacing w:line="183" w:lineRule="auto"/>
              <w:ind w:left="0" w:right="0"/>
              <w:jc w:val="center"/>
              <w:outlineLvl w:val="9"/>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7</w:t>
            </w:r>
          </w:p>
        </w:tc>
        <w:tc>
          <w:tcPr>
            <w:tcW w:w="734" w:type="dxa"/>
            <w:vMerge w:val="continue"/>
            <w:noWrap w:val="0"/>
            <w:vAlign w:val="center"/>
          </w:tcPr>
          <w:p w14:paraId="189F73F3">
            <w:pPr>
              <w:keepNext w:val="0"/>
              <w:keepLines w:val="0"/>
              <w:pageBreakBefore w:val="0"/>
              <w:kinsoku/>
              <w:wordWrap/>
              <w:overflowPunct/>
              <w:topLinePunct w:val="0"/>
              <w:autoSpaceDE/>
              <w:autoSpaceDN/>
              <w:bidi w:val="0"/>
              <w:adjustRightInd/>
              <w:snapToGrid/>
              <w:ind w:left="0" w:right="0"/>
              <w:jc w:val="center"/>
              <w:outlineLvl w:val="9"/>
              <w:rPr>
                <w:rFonts w:hint="eastAsia" w:ascii="宋体" w:hAnsi="宋体" w:eastAsia="宋体" w:cs="宋体"/>
                <w:sz w:val="18"/>
                <w:szCs w:val="18"/>
              </w:rPr>
            </w:pPr>
          </w:p>
        </w:tc>
        <w:tc>
          <w:tcPr>
            <w:tcW w:w="886" w:type="dxa"/>
            <w:tcBorders>
              <w:top w:val="single" w:color="auto" w:sz="4" w:space="0"/>
              <w:bottom w:val="single" w:color="auto" w:sz="4" w:space="0"/>
            </w:tcBorders>
            <w:noWrap w:val="0"/>
            <w:vAlign w:val="center"/>
          </w:tcPr>
          <w:p w14:paraId="1E93A3CA">
            <w:pPr>
              <w:keepNext w:val="0"/>
              <w:keepLines w:val="0"/>
              <w:pageBreakBefore w:val="0"/>
              <w:kinsoku/>
              <w:wordWrap/>
              <w:overflowPunct/>
              <w:topLinePunct w:val="0"/>
              <w:autoSpaceDE/>
              <w:autoSpaceDN/>
              <w:bidi w:val="0"/>
              <w:adjustRightInd/>
              <w:snapToGrid/>
              <w:spacing w:line="217" w:lineRule="auto"/>
              <w:ind w:left="0" w:right="0"/>
              <w:jc w:val="center"/>
              <w:outlineLvl w:val="9"/>
              <w:rPr>
                <w:rFonts w:hint="eastAsia" w:ascii="宋体" w:hAnsi="宋体" w:eastAsia="宋体" w:cs="宋体"/>
                <w:sz w:val="18"/>
                <w:szCs w:val="18"/>
              </w:rPr>
            </w:pPr>
            <w:r>
              <w:rPr>
                <w:rFonts w:hint="eastAsia" w:ascii="宋体" w:hAnsi="宋体" w:eastAsia="宋体" w:cs="宋体"/>
                <w:spacing w:val="-3"/>
                <w:sz w:val="18"/>
                <w:szCs w:val="18"/>
              </w:rPr>
              <w:t>车辆</w:t>
            </w:r>
            <w:r>
              <w:rPr>
                <w:rFonts w:hint="eastAsia" w:ascii="宋体" w:hAnsi="宋体" w:eastAsia="宋体" w:cs="宋体"/>
                <w:spacing w:val="-2"/>
                <w:sz w:val="18"/>
                <w:szCs w:val="18"/>
              </w:rPr>
              <w:t>配备</w:t>
            </w:r>
          </w:p>
          <w:p w14:paraId="2D6D19E2">
            <w:pPr>
              <w:keepNext w:val="0"/>
              <w:keepLines w:val="0"/>
              <w:pageBreakBefore w:val="0"/>
              <w:kinsoku/>
              <w:wordWrap/>
              <w:overflowPunct/>
              <w:topLinePunct w:val="0"/>
              <w:autoSpaceDE/>
              <w:autoSpaceDN/>
              <w:bidi w:val="0"/>
              <w:adjustRightInd/>
              <w:snapToGrid/>
              <w:spacing w:line="220" w:lineRule="auto"/>
              <w:ind w:left="0" w:right="0"/>
              <w:jc w:val="center"/>
              <w:outlineLvl w:val="9"/>
              <w:rPr>
                <w:rFonts w:hint="eastAsia" w:ascii="宋体" w:hAnsi="宋体" w:eastAsia="宋体" w:cs="宋体"/>
                <w:spacing w:val="-3"/>
                <w:sz w:val="18"/>
                <w:szCs w:val="18"/>
              </w:rPr>
            </w:pPr>
            <w:r>
              <w:rPr>
                <w:rFonts w:hint="eastAsia" w:ascii="宋体" w:hAnsi="宋体" w:eastAsia="宋体" w:cs="宋体"/>
                <w:spacing w:val="-2"/>
                <w:sz w:val="18"/>
                <w:szCs w:val="18"/>
              </w:rPr>
              <w:t>2分</w:t>
            </w:r>
          </w:p>
        </w:tc>
        <w:tc>
          <w:tcPr>
            <w:tcW w:w="648" w:type="dxa"/>
            <w:noWrap w:val="0"/>
            <w:vAlign w:val="center"/>
          </w:tcPr>
          <w:p w14:paraId="0E93CCC6">
            <w:pPr>
              <w:keepNext w:val="0"/>
              <w:keepLines w:val="0"/>
              <w:pageBreakBefore w:val="0"/>
              <w:kinsoku/>
              <w:wordWrap/>
              <w:overflowPunct/>
              <w:topLinePunct w:val="0"/>
              <w:autoSpaceDE/>
              <w:autoSpaceDN/>
              <w:bidi w:val="0"/>
              <w:adjustRightInd/>
              <w:snapToGrid/>
              <w:spacing w:line="183" w:lineRule="auto"/>
              <w:ind w:left="0" w:leftChars="0" w:right="0"/>
              <w:jc w:val="center"/>
              <w:outlineLvl w:val="9"/>
              <w:rPr>
                <w:rFonts w:hint="eastAsia" w:ascii="宋体" w:hAnsi="宋体" w:eastAsia="宋体" w:cs="宋体"/>
                <w:sz w:val="18"/>
                <w:szCs w:val="18"/>
              </w:rPr>
            </w:pPr>
            <w:r>
              <w:rPr>
                <w:rFonts w:hint="eastAsia" w:ascii="宋体" w:hAnsi="宋体" w:eastAsia="宋体" w:cs="宋体"/>
                <w:sz w:val="18"/>
                <w:szCs w:val="18"/>
              </w:rPr>
              <w:t>2</w:t>
            </w:r>
          </w:p>
        </w:tc>
        <w:tc>
          <w:tcPr>
            <w:tcW w:w="5598" w:type="dxa"/>
            <w:noWrap w:val="0"/>
            <w:vAlign w:val="top"/>
          </w:tcPr>
          <w:p w14:paraId="198F1A7A">
            <w:pPr>
              <w:keepNext w:val="0"/>
              <w:keepLines w:val="0"/>
              <w:pageBreakBefore w:val="0"/>
              <w:kinsoku/>
              <w:wordWrap/>
              <w:overflowPunct/>
              <w:topLinePunct w:val="0"/>
              <w:autoSpaceDE/>
              <w:autoSpaceDN/>
              <w:bidi w:val="0"/>
              <w:adjustRightInd/>
              <w:snapToGrid/>
              <w:spacing w:line="219" w:lineRule="auto"/>
              <w:ind w:left="0" w:leftChars="0" w:right="0" w:rightChars="0"/>
              <w:jc w:val="both"/>
              <w:rPr>
                <w:rFonts w:hint="eastAsia" w:ascii="宋体" w:hAnsi="宋体" w:eastAsia="宋体" w:cs="宋体"/>
                <w:spacing w:val="13"/>
                <w:sz w:val="18"/>
                <w:szCs w:val="18"/>
              </w:rPr>
            </w:pPr>
            <w:r>
              <w:rPr>
                <w:rFonts w:hint="eastAsia" w:ascii="宋体" w:hAnsi="宋体" w:eastAsia="宋体" w:cs="宋体"/>
                <w:spacing w:val="1"/>
                <w:sz w:val="18"/>
                <w:szCs w:val="18"/>
              </w:rPr>
              <w:t>在遴选区域配备农业保险工作车辆至少1台，未配备的不</w:t>
            </w:r>
            <w:r>
              <w:rPr>
                <w:rFonts w:hint="eastAsia" w:ascii="宋体" w:hAnsi="宋体" w:eastAsia="宋体" w:cs="宋体"/>
                <w:sz w:val="18"/>
                <w:szCs w:val="18"/>
              </w:rPr>
              <w:t>计分。以参加遴选的承保机构配备农业保险工作车辆最多</w:t>
            </w:r>
            <w:r>
              <w:rPr>
                <w:rFonts w:hint="eastAsia" w:ascii="宋体" w:hAnsi="宋体" w:eastAsia="宋体" w:cs="宋体"/>
                <w:spacing w:val="2"/>
                <w:sz w:val="18"/>
                <w:szCs w:val="18"/>
              </w:rPr>
              <w:t>数量(若实际数量大于专业农险人员配备数量，超出数量不纳入计算)为评审基准值，该承保机构得满分。其他参</w:t>
            </w:r>
            <w:r>
              <w:rPr>
                <w:rFonts w:hint="eastAsia" w:ascii="宋体" w:hAnsi="宋体" w:eastAsia="宋体" w:cs="宋体"/>
                <w:spacing w:val="1"/>
                <w:sz w:val="18"/>
                <w:szCs w:val="18"/>
              </w:rPr>
              <w:t>加遴选的承保机构按照下列公式计算：得分=其他参加</w:t>
            </w:r>
            <w:r>
              <w:rPr>
                <w:rFonts w:hint="eastAsia" w:ascii="宋体" w:hAnsi="宋体" w:eastAsia="宋体" w:cs="宋体"/>
                <w:spacing w:val="1"/>
                <w:sz w:val="18"/>
                <w:szCs w:val="18"/>
                <w:lang w:eastAsia="zh-CN"/>
              </w:rPr>
              <w:t>遴选</w:t>
            </w:r>
            <w:r>
              <w:rPr>
                <w:rFonts w:hint="eastAsia" w:ascii="宋体" w:hAnsi="宋体" w:eastAsia="宋体" w:cs="宋体"/>
                <w:spacing w:val="-1"/>
                <w:sz w:val="18"/>
                <w:szCs w:val="18"/>
              </w:rPr>
              <w:t>的承保机构配备农业保险工作车辆数量/评审基准值×2</w:t>
            </w:r>
            <w:r>
              <w:rPr>
                <w:rFonts w:hint="eastAsia" w:ascii="宋体" w:hAnsi="宋体" w:eastAsia="宋体" w:cs="宋体"/>
                <w:spacing w:val="-5"/>
                <w:sz w:val="18"/>
                <w:szCs w:val="18"/>
              </w:rPr>
              <w:t>分。</w:t>
            </w:r>
          </w:p>
        </w:tc>
        <w:tc>
          <w:tcPr>
            <w:tcW w:w="5598" w:type="dxa"/>
            <w:noWrap w:val="0"/>
            <w:vAlign w:val="top"/>
          </w:tcPr>
          <w:p w14:paraId="7A738783">
            <w:pPr>
              <w:keepNext w:val="0"/>
              <w:keepLines w:val="0"/>
              <w:pageBreakBefore w:val="0"/>
              <w:kinsoku/>
              <w:wordWrap/>
              <w:overflowPunct/>
              <w:topLinePunct w:val="0"/>
              <w:autoSpaceDE/>
              <w:autoSpaceDN/>
              <w:bidi w:val="0"/>
              <w:adjustRightInd/>
              <w:snapToGrid/>
              <w:spacing w:line="224" w:lineRule="auto"/>
              <w:ind w:left="0" w:leftChars="0" w:right="0" w:rightChars="0"/>
              <w:rPr>
                <w:rFonts w:hint="eastAsia" w:ascii="宋体" w:hAnsi="宋体" w:eastAsia="宋体" w:cs="宋体"/>
                <w:spacing w:val="10"/>
                <w:sz w:val="18"/>
                <w:szCs w:val="18"/>
              </w:rPr>
            </w:pPr>
            <w:r>
              <w:rPr>
                <w:rFonts w:hint="eastAsia" w:ascii="宋体" w:hAnsi="宋体" w:eastAsia="宋体" w:cs="宋体"/>
                <w:spacing w:val="-10"/>
                <w:sz w:val="18"/>
                <w:szCs w:val="18"/>
              </w:rPr>
              <w:t>农业保险工作车辆要求喷有“三农服务”或“理赔查勘”类似字样，行驶证</w:t>
            </w:r>
            <w:r>
              <w:rPr>
                <w:rFonts w:hint="eastAsia" w:ascii="宋体" w:hAnsi="宋体" w:eastAsia="宋体" w:cs="宋体"/>
                <w:sz w:val="18"/>
                <w:szCs w:val="18"/>
              </w:rPr>
              <w:t>所有人为参加遴选的承保机构或其省、市级机构。需</w:t>
            </w:r>
            <w:r>
              <w:rPr>
                <w:rFonts w:hint="eastAsia" w:ascii="宋体" w:hAnsi="宋体" w:eastAsia="宋体" w:cs="宋体"/>
                <w:spacing w:val="-1"/>
                <w:sz w:val="18"/>
                <w:szCs w:val="18"/>
              </w:rPr>
              <w:t>提供加盖参加遴选</w:t>
            </w:r>
            <w:r>
              <w:rPr>
                <w:rFonts w:hint="eastAsia" w:ascii="宋体" w:hAnsi="宋体" w:eastAsia="宋体" w:cs="宋体"/>
                <w:sz w:val="18"/>
                <w:szCs w:val="18"/>
              </w:rPr>
              <w:t>的承保机构省公司公章的农业保险工作车辆清单(含车牌号码、行驶证等信息，并附车辆照片和行驶证复印件)。如发现</w:t>
            </w:r>
            <w:r>
              <w:rPr>
                <w:rFonts w:hint="eastAsia" w:ascii="宋体" w:hAnsi="宋体" w:eastAsia="宋体" w:cs="宋体"/>
                <w:spacing w:val="-1"/>
                <w:sz w:val="18"/>
                <w:szCs w:val="18"/>
              </w:rPr>
              <w:t>在不同进选区域重复</w:t>
            </w:r>
            <w:r>
              <w:rPr>
                <w:rFonts w:hint="eastAsia" w:ascii="宋体" w:hAnsi="宋体" w:eastAsia="宋体" w:cs="宋体"/>
                <w:sz w:val="18"/>
                <w:szCs w:val="18"/>
              </w:rPr>
              <w:t>使用同一台车辆信息，则认定为虚假，涉及的遴选区</w:t>
            </w:r>
            <w:r>
              <w:rPr>
                <w:rFonts w:hint="eastAsia" w:ascii="宋体" w:hAnsi="宋体" w:eastAsia="宋体" w:cs="宋体"/>
                <w:spacing w:val="-1"/>
                <w:sz w:val="18"/>
                <w:szCs w:val="18"/>
              </w:rPr>
              <w:t>域参加避选的承保</w:t>
            </w:r>
            <w:r>
              <w:rPr>
                <w:rFonts w:hint="eastAsia" w:ascii="宋体" w:hAnsi="宋体" w:eastAsia="宋体" w:cs="宋体"/>
                <w:spacing w:val="8"/>
                <w:sz w:val="18"/>
                <w:szCs w:val="18"/>
              </w:rPr>
              <w:t>机构的中选资格作废。</w:t>
            </w:r>
          </w:p>
        </w:tc>
      </w:tr>
      <w:tr w14:paraId="33F12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85" w:type="dxa"/>
            <w:noWrap w:val="0"/>
            <w:vAlign w:val="center"/>
          </w:tcPr>
          <w:p w14:paraId="34E9DB7C">
            <w:pPr>
              <w:keepNext w:val="0"/>
              <w:keepLines w:val="0"/>
              <w:pageBreakBefore w:val="0"/>
              <w:kinsoku/>
              <w:wordWrap/>
              <w:overflowPunct/>
              <w:topLinePunct w:val="0"/>
              <w:autoSpaceDE/>
              <w:autoSpaceDN/>
              <w:bidi w:val="0"/>
              <w:adjustRightInd/>
              <w:snapToGrid/>
              <w:spacing w:line="183" w:lineRule="auto"/>
              <w:ind w:left="0" w:right="0"/>
              <w:jc w:val="center"/>
              <w:outlineLvl w:val="9"/>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8</w:t>
            </w:r>
          </w:p>
        </w:tc>
        <w:tc>
          <w:tcPr>
            <w:tcW w:w="734" w:type="dxa"/>
            <w:vMerge w:val="continue"/>
            <w:noWrap w:val="0"/>
            <w:vAlign w:val="center"/>
          </w:tcPr>
          <w:p w14:paraId="4B6C0128">
            <w:pPr>
              <w:keepNext w:val="0"/>
              <w:keepLines w:val="0"/>
              <w:pageBreakBefore w:val="0"/>
              <w:kinsoku/>
              <w:wordWrap/>
              <w:overflowPunct/>
              <w:topLinePunct w:val="0"/>
              <w:autoSpaceDE/>
              <w:autoSpaceDN/>
              <w:bidi w:val="0"/>
              <w:adjustRightInd/>
              <w:snapToGrid/>
              <w:ind w:left="0" w:right="0"/>
              <w:jc w:val="center"/>
              <w:outlineLvl w:val="9"/>
              <w:rPr>
                <w:rFonts w:hint="eastAsia" w:ascii="宋体" w:hAnsi="宋体" w:eastAsia="宋体" w:cs="宋体"/>
                <w:sz w:val="18"/>
                <w:szCs w:val="18"/>
              </w:rPr>
            </w:pPr>
          </w:p>
        </w:tc>
        <w:tc>
          <w:tcPr>
            <w:tcW w:w="886" w:type="dxa"/>
            <w:tcBorders>
              <w:top w:val="single" w:color="auto" w:sz="4" w:space="0"/>
              <w:bottom w:val="single" w:color="auto" w:sz="4" w:space="0"/>
            </w:tcBorders>
            <w:noWrap w:val="0"/>
            <w:vAlign w:val="center"/>
          </w:tcPr>
          <w:p w14:paraId="1619C0FE">
            <w:pPr>
              <w:keepNext w:val="0"/>
              <w:keepLines w:val="0"/>
              <w:pageBreakBefore w:val="0"/>
              <w:kinsoku/>
              <w:wordWrap/>
              <w:overflowPunct/>
              <w:topLinePunct w:val="0"/>
              <w:autoSpaceDE/>
              <w:autoSpaceDN/>
              <w:bidi w:val="0"/>
              <w:adjustRightInd/>
              <w:snapToGrid/>
              <w:spacing w:line="219" w:lineRule="auto"/>
              <w:ind w:left="0" w:right="0"/>
              <w:jc w:val="center"/>
              <w:outlineLvl w:val="9"/>
              <w:rPr>
                <w:rFonts w:hint="eastAsia" w:ascii="宋体" w:hAnsi="宋体" w:eastAsia="宋体" w:cs="宋体"/>
                <w:spacing w:val="-3"/>
                <w:sz w:val="18"/>
                <w:szCs w:val="18"/>
              </w:rPr>
            </w:pPr>
            <w:r>
              <w:rPr>
                <w:rFonts w:hint="eastAsia" w:ascii="宋体" w:hAnsi="宋体" w:eastAsia="宋体" w:cs="宋体"/>
                <w:spacing w:val="-2"/>
                <w:sz w:val="18"/>
                <w:szCs w:val="18"/>
              </w:rPr>
              <w:t>信息化</w:t>
            </w:r>
            <w:r>
              <w:rPr>
                <w:rFonts w:hint="eastAsia" w:ascii="宋体" w:hAnsi="宋体" w:eastAsia="宋体" w:cs="宋体"/>
                <w:spacing w:val="-3"/>
                <w:sz w:val="18"/>
                <w:szCs w:val="18"/>
              </w:rPr>
              <w:t>水平</w:t>
            </w:r>
            <w:r>
              <w:rPr>
                <w:rFonts w:hint="eastAsia" w:ascii="宋体" w:hAnsi="宋体" w:eastAsia="宋体" w:cs="宋体"/>
                <w:spacing w:val="-2"/>
                <w:sz w:val="18"/>
                <w:szCs w:val="18"/>
              </w:rPr>
              <w:t>5分</w:t>
            </w:r>
          </w:p>
        </w:tc>
        <w:tc>
          <w:tcPr>
            <w:tcW w:w="648" w:type="dxa"/>
            <w:noWrap w:val="0"/>
            <w:vAlign w:val="center"/>
          </w:tcPr>
          <w:p w14:paraId="32605769">
            <w:pPr>
              <w:keepNext w:val="0"/>
              <w:keepLines w:val="0"/>
              <w:pageBreakBefore w:val="0"/>
              <w:kinsoku/>
              <w:wordWrap/>
              <w:overflowPunct/>
              <w:topLinePunct w:val="0"/>
              <w:autoSpaceDE/>
              <w:autoSpaceDN/>
              <w:bidi w:val="0"/>
              <w:adjustRightInd/>
              <w:snapToGrid/>
              <w:spacing w:line="182" w:lineRule="auto"/>
              <w:ind w:left="0" w:leftChars="0" w:right="0"/>
              <w:jc w:val="center"/>
              <w:outlineLvl w:val="9"/>
              <w:rPr>
                <w:rFonts w:hint="eastAsia" w:ascii="宋体" w:hAnsi="宋体" w:eastAsia="宋体" w:cs="宋体"/>
                <w:sz w:val="18"/>
                <w:szCs w:val="18"/>
              </w:rPr>
            </w:pPr>
            <w:r>
              <w:rPr>
                <w:rFonts w:hint="eastAsia" w:ascii="宋体" w:hAnsi="宋体" w:eastAsia="宋体" w:cs="宋体"/>
                <w:sz w:val="18"/>
                <w:szCs w:val="18"/>
              </w:rPr>
              <w:t>5</w:t>
            </w:r>
          </w:p>
        </w:tc>
        <w:tc>
          <w:tcPr>
            <w:tcW w:w="5598" w:type="dxa"/>
            <w:noWrap w:val="0"/>
            <w:vAlign w:val="top"/>
          </w:tcPr>
          <w:p w14:paraId="23E911E7">
            <w:pPr>
              <w:keepNext w:val="0"/>
              <w:keepLines w:val="0"/>
              <w:pageBreakBefore w:val="0"/>
              <w:kinsoku/>
              <w:wordWrap/>
              <w:overflowPunct/>
              <w:topLinePunct w:val="0"/>
              <w:autoSpaceDE/>
              <w:autoSpaceDN/>
              <w:bidi w:val="0"/>
              <w:adjustRightInd/>
              <w:snapToGrid/>
              <w:spacing w:line="224" w:lineRule="auto"/>
              <w:ind w:left="0" w:leftChars="0" w:right="0"/>
              <w:rPr>
                <w:rFonts w:hint="eastAsia" w:ascii="宋体" w:hAnsi="宋体" w:eastAsia="宋体" w:cs="宋体"/>
                <w:spacing w:val="13"/>
                <w:sz w:val="18"/>
                <w:szCs w:val="18"/>
              </w:rPr>
            </w:pPr>
            <w:r>
              <w:rPr>
                <w:rFonts w:hint="eastAsia" w:ascii="宋体" w:hAnsi="宋体" w:eastAsia="宋体" w:cs="宋体"/>
                <w:spacing w:val="6"/>
                <w:sz w:val="18"/>
                <w:szCs w:val="18"/>
              </w:rPr>
              <w:t>信息化建设及创新。参加遴选的承保机构省公司具备较为</w:t>
            </w:r>
            <w:r>
              <w:rPr>
                <w:rFonts w:hint="eastAsia" w:ascii="宋体" w:hAnsi="宋体" w:eastAsia="宋体" w:cs="宋体"/>
                <w:spacing w:val="9"/>
                <w:sz w:val="18"/>
                <w:szCs w:val="18"/>
              </w:rPr>
              <w:t>完善的农业保险信息管理系统，与省财政厅农</w:t>
            </w:r>
            <w:r>
              <w:rPr>
                <w:rFonts w:hint="eastAsia" w:ascii="宋体" w:hAnsi="宋体" w:eastAsia="宋体" w:cs="宋体"/>
                <w:spacing w:val="8"/>
                <w:sz w:val="18"/>
                <w:szCs w:val="18"/>
              </w:rPr>
              <w:t>业保险信息</w:t>
            </w:r>
            <w:r>
              <w:rPr>
                <w:rFonts w:hint="eastAsia" w:ascii="宋体" w:hAnsi="宋体" w:eastAsia="宋体" w:cs="宋体"/>
                <w:spacing w:val="6"/>
                <w:sz w:val="18"/>
                <w:szCs w:val="18"/>
              </w:rPr>
              <w:t>平台实现数据对接，能全面、及时、准确报送农业保险数</w:t>
            </w:r>
            <w:r>
              <w:rPr>
                <w:rFonts w:hint="eastAsia" w:ascii="宋体" w:hAnsi="宋体" w:eastAsia="宋体" w:cs="宋体"/>
                <w:spacing w:val="4"/>
                <w:sz w:val="18"/>
                <w:szCs w:val="18"/>
              </w:rPr>
              <w:t>据信息。优秀计1.5分，良好计1分，一般计0.5分，差不</w:t>
            </w:r>
            <w:r>
              <w:rPr>
                <w:rFonts w:hint="eastAsia" w:ascii="宋体" w:hAnsi="宋体" w:eastAsia="宋体" w:cs="宋体"/>
                <w:spacing w:val="6"/>
                <w:sz w:val="18"/>
                <w:szCs w:val="18"/>
              </w:rPr>
              <w:t>计分。参加遴选的承保机构将技术应用于农业保险承保理</w:t>
            </w:r>
            <w:r>
              <w:rPr>
                <w:rFonts w:hint="eastAsia" w:ascii="宋体" w:hAnsi="宋体" w:eastAsia="宋体" w:cs="宋体"/>
                <w:spacing w:val="7"/>
                <w:sz w:val="18"/>
                <w:szCs w:val="18"/>
              </w:rPr>
              <w:t>赔情况，如无人机、远程查勘、底图工程、生物识别技术、</w:t>
            </w:r>
            <w:r>
              <w:rPr>
                <w:rFonts w:hint="eastAsia" w:ascii="宋体" w:hAnsi="宋体" w:eastAsia="宋体" w:cs="宋体"/>
                <w:spacing w:val="12"/>
                <w:sz w:val="18"/>
                <w:szCs w:val="18"/>
              </w:rPr>
              <w:t>专用水印相机、</w:t>
            </w:r>
            <w:r>
              <w:rPr>
                <w:rFonts w:hint="eastAsia" w:ascii="宋体" w:hAnsi="宋体" w:eastAsia="宋体" w:cs="宋体"/>
                <w:sz w:val="18"/>
                <w:szCs w:val="18"/>
              </w:rPr>
              <w:t>APP</w:t>
            </w:r>
            <w:r>
              <w:rPr>
                <w:rFonts w:hint="eastAsia" w:ascii="宋体" w:hAnsi="宋体" w:eastAsia="宋体" w:cs="宋体"/>
                <w:spacing w:val="12"/>
                <w:sz w:val="18"/>
                <w:szCs w:val="18"/>
              </w:rPr>
              <w:t>开发及运用等，优秀计3.5分，良好</w:t>
            </w:r>
            <w:r>
              <w:rPr>
                <w:rFonts w:hint="eastAsia" w:ascii="宋体" w:hAnsi="宋体" w:eastAsia="宋体" w:cs="宋体"/>
                <w:spacing w:val="2"/>
                <w:sz w:val="18"/>
                <w:szCs w:val="18"/>
              </w:rPr>
              <w:t>计2分，一般计0.5分，差不计分。</w:t>
            </w:r>
          </w:p>
        </w:tc>
        <w:tc>
          <w:tcPr>
            <w:tcW w:w="5598" w:type="dxa"/>
            <w:noWrap w:val="0"/>
            <w:vAlign w:val="top"/>
          </w:tcPr>
          <w:p w14:paraId="425C79DE">
            <w:pPr>
              <w:keepNext w:val="0"/>
              <w:keepLines w:val="0"/>
              <w:pageBreakBefore w:val="0"/>
              <w:kinsoku/>
              <w:wordWrap/>
              <w:overflowPunct/>
              <w:topLinePunct w:val="0"/>
              <w:autoSpaceDE/>
              <w:autoSpaceDN/>
              <w:bidi w:val="0"/>
              <w:adjustRightInd/>
              <w:snapToGrid/>
              <w:spacing w:line="217" w:lineRule="auto"/>
              <w:ind w:left="0" w:leftChars="0" w:right="0" w:rightChars="0"/>
              <w:rPr>
                <w:rFonts w:hint="eastAsia" w:ascii="宋体" w:hAnsi="宋体" w:eastAsia="宋体" w:cs="宋体"/>
                <w:spacing w:val="10"/>
                <w:sz w:val="18"/>
                <w:szCs w:val="18"/>
              </w:rPr>
            </w:pPr>
            <w:r>
              <w:rPr>
                <w:rFonts w:hint="eastAsia" w:ascii="宋体" w:hAnsi="宋体" w:eastAsia="宋体" w:cs="宋体"/>
                <w:sz w:val="18"/>
                <w:szCs w:val="18"/>
              </w:rPr>
              <w:t>由参加遴选的承保机构提供信息系统使用说明、相关创新资料以及相应</w:t>
            </w:r>
            <w:r>
              <w:rPr>
                <w:rFonts w:hint="eastAsia" w:ascii="宋体" w:hAnsi="宋体" w:eastAsia="宋体" w:cs="宋体"/>
                <w:spacing w:val="6"/>
                <w:sz w:val="18"/>
                <w:szCs w:val="18"/>
              </w:rPr>
              <w:t xml:space="preserve"> </w:t>
            </w:r>
            <w:r>
              <w:rPr>
                <w:rFonts w:hint="eastAsia" w:ascii="宋体" w:hAnsi="宋体" w:eastAsia="宋体" w:cs="宋体"/>
                <w:spacing w:val="7"/>
                <w:sz w:val="18"/>
                <w:szCs w:val="18"/>
              </w:rPr>
              <w:t>技术(或设备)的采购合同、合作协议或购置发票。</w:t>
            </w:r>
          </w:p>
        </w:tc>
      </w:tr>
      <w:tr w14:paraId="176766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85" w:type="dxa"/>
            <w:noWrap w:val="0"/>
            <w:vAlign w:val="center"/>
          </w:tcPr>
          <w:p w14:paraId="6F76848A">
            <w:pPr>
              <w:keepNext w:val="0"/>
              <w:keepLines w:val="0"/>
              <w:pageBreakBefore w:val="0"/>
              <w:kinsoku/>
              <w:wordWrap/>
              <w:overflowPunct/>
              <w:topLinePunct w:val="0"/>
              <w:autoSpaceDE/>
              <w:autoSpaceDN/>
              <w:bidi w:val="0"/>
              <w:adjustRightInd/>
              <w:snapToGrid/>
              <w:spacing w:line="183" w:lineRule="auto"/>
              <w:ind w:left="0" w:right="0"/>
              <w:jc w:val="both"/>
              <w:outlineLvl w:val="9"/>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9</w:t>
            </w:r>
          </w:p>
        </w:tc>
        <w:tc>
          <w:tcPr>
            <w:tcW w:w="734" w:type="dxa"/>
            <w:vMerge w:val="restart"/>
            <w:noWrap w:val="0"/>
            <w:vAlign w:val="center"/>
          </w:tcPr>
          <w:p w14:paraId="1266FD14">
            <w:pPr>
              <w:keepNext w:val="0"/>
              <w:keepLines w:val="0"/>
              <w:pageBreakBefore w:val="0"/>
              <w:kinsoku/>
              <w:wordWrap/>
              <w:overflowPunct/>
              <w:topLinePunct w:val="0"/>
              <w:autoSpaceDE/>
              <w:autoSpaceDN/>
              <w:bidi w:val="0"/>
              <w:adjustRightInd/>
              <w:snapToGrid/>
              <w:ind w:left="0" w:right="0"/>
              <w:jc w:val="center"/>
              <w:outlineLvl w:val="9"/>
              <w:rPr>
                <w:rFonts w:hint="eastAsia" w:ascii="宋体" w:hAnsi="宋体" w:eastAsia="宋体" w:cs="宋体"/>
                <w:sz w:val="18"/>
                <w:szCs w:val="18"/>
                <w:lang w:val="en-US" w:eastAsia="zh-CN"/>
              </w:rPr>
            </w:pPr>
            <w:r>
              <w:rPr>
                <w:rFonts w:hint="eastAsia" w:ascii="宋体" w:hAnsi="宋体" w:eastAsia="宋体" w:cs="宋体"/>
                <w:sz w:val="18"/>
                <w:szCs w:val="18"/>
                <w:lang w:eastAsia="zh-CN"/>
              </w:rPr>
              <w:t>服务业绩</w:t>
            </w:r>
            <w:r>
              <w:rPr>
                <w:rFonts w:hint="eastAsia" w:ascii="宋体" w:hAnsi="宋体" w:eastAsia="宋体" w:cs="宋体"/>
                <w:sz w:val="18"/>
                <w:szCs w:val="18"/>
                <w:lang w:val="en-US" w:eastAsia="zh-CN"/>
              </w:rPr>
              <w:t>25分</w:t>
            </w:r>
          </w:p>
        </w:tc>
        <w:tc>
          <w:tcPr>
            <w:tcW w:w="886" w:type="dxa"/>
            <w:vMerge w:val="restart"/>
            <w:tcBorders>
              <w:top w:val="single" w:color="auto" w:sz="4" w:space="0"/>
            </w:tcBorders>
            <w:noWrap w:val="0"/>
            <w:vAlign w:val="center"/>
          </w:tcPr>
          <w:p w14:paraId="36737156">
            <w:pPr>
              <w:keepNext w:val="0"/>
              <w:keepLines w:val="0"/>
              <w:pageBreakBefore w:val="0"/>
              <w:kinsoku/>
              <w:wordWrap/>
              <w:overflowPunct/>
              <w:topLinePunct w:val="0"/>
              <w:autoSpaceDE/>
              <w:autoSpaceDN/>
              <w:bidi w:val="0"/>
              <w:adjustRightInd/>
              <w:snapToGrid/>
              <w:spacing w:line="220" w:lineRule="auto"/>
              <w:ind w:left="0" w:right="0"/>
              <w:jc w:val="center"/>
              <w:outlineLvl w:val="9"/>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eastAsia="zh-CN"/>
              </w:rPr>
              <w:t>历史理赔情况</w:t>
            </w:r>
            <w:r>
              <w:rPr>
                <w:rFonts w:hint="eastAsia" w:ascii="宋体" w:hAnsi="宋体" w:eastAsia="宋体" w:cs="宋体"/>
                <w:spacing w:val="-2"/>
                <w:sz w:val="18"/>
                <w:szCs w:val="18"/>
                <w:lang w:val="en-US" w:eastAsia="zh-CN"/>
              </w:rPr>
              <w:t>16分</w:t>
            </w:r>
          </w:p>
        </w:tc>
        <w:tc>
          <w:tcPr>
            <w:tcW w:w="648" w:type="dxa"/>
            <w:noWrap w:val="0"/>
            <w:vAlign w:val="center"/>
          </w:tcPr>
          <w:p w14:paraId="43688034">
            <w:pPr>
              <w:keepNext w:val="0"/>
              <w:keepLines w:val="0"/>
              <w:pageBreakBefore w:val="0"/>
              <w:kinsoku/>
              <w:wordWrap/>
              <w:overflowPunct/>
              <w:topLinePunct w:val="0"/>
              <w:autoSpaceDE/>
              <w:autoSpaceDN/>
              <w:bidi w:val="0"/>
              <w:adjustRightInd/>
              <w:snapToGrid/>
              <w:spacing w:line="182" w:lineRule="auto"/>
              <w:ind w:left="0" w:right="0"/>
              <w:jc w:val="center"/>
              <w:outlineLvl w:val="9"/>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5598" w:type="dxa"/>
            <w:noWrap w:val="0"/>
            <w:vAlign w:val="top"/>
          </w:tcPr>
          <w:p w14:paraId="1F639BBC">
            <w:pPr>
              <w:keepNext w:val="0"/>
              <w:keepLines w:val="0"/>
              <w:pageBreakBefore w:val="0"/>
              <w:kinsoku/>
              <w:wordWrap/>
              <w:overflowPunct/>
              <w:topLinePunct w:val="0"/>
              <w:autoSpaceDE/>
              <w:autoSpaceDN/>
              <w:bidi w:val="0"/>
              <w:adjustRightInd/>
              <w:snapToGrid/>
              <w:spacing w:line="226" w:lineRule="auto"/>
              <w:ind w:left="0" w:right="0" w:firstLine="30"/>
              <w:rPr>
                <w:rFonts w:hint="eastAsia" w:ascii="宋体" w:hAnsi="宋体" w:eastAsia="宋体" w:cs="宋体"/>
                <w:sz w:val="18"/>
                <w:szCs w:val="18"/>
              </w:rPr>
            </w:pPr>
            <w:r>
              <w:rPr>
                <w:rFonts w:hint="eastAsia" w:ascii="宋体" w:hAnsi="宋体" w:eastAsia="宋体" w:cs="宋体"/>
                <w:spacing w:val="3"/>
                <w:sz w:val="18"/>
                <w:szCs w:val="18"/>
              </w:rPr>
              <w:t>平均简单赔付率。根据参加遴选的承保机构近3年省级公</w:t>
            </w:r>
            <w:r>
              <w:rPr>
                <w:rFonts w:hint="eastAsia" w:ascii="宋体" w:hAnsi="宋体" w:eastAsia="宋体" w:cs="宋体"/>
                <w:spacing w:val="1"/>
                <w:sz w:val="18"/>
                <w:szCs w:val="18"/>
              </w:rPr>
              <w:t>司和</w:t>
            </w:r>
            <w:r>
              <w:rPr>
                <w:rFonts w:hint="eastAsia" w:ascii="宋体" w:hAnsi="宋体" w:eastAsia="宋体" w:cs="宋体"/>
                <w:spacing w:val="1"/>
                <w:sz w:val="18"/>
                <w:szCs w:val="18"/>
                <w:lang w:eastAsia="zh-CN"/>
              </w:rPr>
              <w:t>遴选</w:t>
            </w:r>
            <w:r>
              <w:rPr>
                <w:rFonts w:hint="eastAsia" w:ascii="宋体" w:hAnsi="宋体" w:eastAsia="宋体" w:cs="宋体"/>
                <w:spacing w:val="1"/>
                <w:sz w:val="18"/>
                <w:szCs w:val="18"/>
              </w:rPr>
              <w:t>区域分支机构的农业保险平均简单赔付率计算得</w:t>
            </w:r>
            <w:r>
              <w:rPr>
                <w:rFonts w:hint="eastAsia" w:ascii="宋体" w:hAnsi="宋体" w:eastAsia="宋体" w:cs="宋体"/>
                <w:spacing w:val="4"/>
                <w:sz w:val="18"/>
                <w:szCs w:val="18"/>
              </w:rPr>
              <w:t>出，具体公式为：参加遴选的承保机构近3年农业保险平</w:t>
            </w:r>
            <w:r>
              <w:rPr>
                <w:rFonts w:hint="eastAsia" w:ascii="宋体" w:hAnsi="宋体" w:eastAsia="宋体" w:cs="宋体"/>
                <w:spacing w:val="3"/>
                <w:sz w:val="18"/>
                <w:szCs w:val="18"/>
              </w:rPr>
              <w:t>均简单赔付率=[参加遴选的承保机构省级公司近3年</w:t>
            </w:r>
            <w:r>
              <w:rPr>
                <w:rFonts w:hint="eastAsia" w:ascii="宋体" w:hAnsi="宋体" w:eastAsia="宋体" w:cs="宋体"/>
                <w:spacing w:val="2"/>
                <w:sz w:val="18"/>
                <w:szCs w:val="18"/>
              </w:rPr>
              <w:t>农业</w:t>
            </w:r>
            <w:r>
              <w:rPr>
                <w:rFonts w:hint="eastAsia" w:ascii="宋体" w:hAnsi="宋体" w:eastAsia="宋体" w:cs="宋体"/>
                <w:spacing w:val="6"/>
                <w:sz w:val="18"/>
                <w:szCs w:val="18"/>
              </w:rPr>
              <w:t>保险平均简单赔付率+遴选区域分支机构近3年农业保险平均简单赔付率]/2,当省级公司近3年农业保</w:t>
            </w:r>
            <w:r>
              <w:rPr>
                <w:rFonts w:hint="eastAsia" w:ascii="宋体" w:hAnsi="宋体" w:eastAsia="宋体" w:cs="宋体"/>
                <w:spacing w:val="5"/>
                <w:sz w:val="18"/>
                <w:szCs w:val="18"/>
              </w:rPr>
              <w:t>险平均简单</w:t>
            </w:r>
            <w:r>
              <w:rPr>
                <w:rFonts w:hint="eastAsia" w:ascii="宋体" w:hAnsi="宋体" w:eastAsia="宋体" w:cs="宋体"/>
                <w:sz w:val="18"/>
                <w:szCs w:val="18"/>
              </w:rPr>
              <w:t xml:space="preserve"> </w:t>
            </w:r>
            <w:r>
              <w:rPr>
                <w:rFonts w:hint="eastAsia" w:ascii="宋体" w:hAnsi="宋体" w:eastAsia="宋体" w:cs="宋体"/>
                <w:spacing w:val="10"/>
                <w:sz w:val="18"/>
                <w:szCs w:val="18"/>
              </w:rPr>
              <w:t>赔付率超出80%时，只按80%纳入计算；当遴选区域分支</w:t>
            </w:r>
            <w:r>
              <w:rPr>
                <w:rFonts w:hint="eastAsia" w:ascii="宋体" w:hAnsi="宋体" w:eastAsia="宋体" w:cs="宋体"/>
                <w:spacing w:val="18"/>
                <w:sz w:val="18"/>
                <w:szCs w:val="18"/>
              </w:rPr>
              <w:t xml:space="preserve"> </w:t>
            </w:r>
            <w:r>
              <w:rPr>
                <w:rFonts w:hint="eastAsia" w:ascii="宋体" w:hAnsi="宋体" w:eastAsia="宋体" w:cs="宋体"/>
                <w:spacing w:val="10"/>
                <w:sz w:val="18"/>
                <w:szCs w:val="18"/>
              </w:rPr>
              <w:t>机构近3年农业保险平均简单赔付率超出100%时，只</w:t>
            </w:r>
            <w:r>
              <w:rPr>
                <w:rFonts w:hint="eastAsia" w:ascii="宋体" w:hAnsi="宋体" w:eastAsia="宋体" w:cs="宋体"/>
                <w:spacing w:val="9"/>
                <w:sz w:val="18"/>
                <w:szCs w:val="18"/>
              </w:rPr>
              <w:t>按</w:t>
            </w:r>
            <w:r>
              <w:rPr>
                <w:rFonts w:hint="eastAsia" w:ascii="宋体" w:hAnsi="宋体" w:eastAsia="宋体" w:cs="宋体"/>
                <w:spacing w:val="10"/>
                <w:sz w:val="18"/>
                <w:szCs w:val="18"/>
              </w:rPr>
              <w:t>100%纳入计算。</w:t>
            </w:r>
          </w:p>
          <w:p w14:paraId="7A1F4C84">
            <w:pPr>
              <w:keepNext w:val="0"/>
              <w:keepLines w:val="0"/>
              <w:pageBreakBefore w:val="0"/>
              <w:kinsoku/>
              <w:wordWrap/>
              <w:overflowPunct/>
              <w:topLinePunct w:val="0"/>
              <w:autoSpaceDE/>
              <w:autoSpaceDN/>
              <w:bidi w:val="0"/>
              <w:adjustRightInd/>
              <w:snapToGrid/>
              <w:spacing w:line="235" w:lineRule="auto"/>
              <w:ind w:left="0" w:leftChars="0" w:right="0" w:hanging="9" w:firstLineChars="0"/>
              <w:rPr>
                <w:rFonts w:hint="eastAsia" w:ascii="宋体" w:hAnsi="宋体" w:eastAsia="宋体" w:cs="宋体"/>
                <w:spacing w:val="6"/>
                <w:sz w:val="18"/>
                <w:szCs w:val="18"/>
              </w:rPr>
            </w:pPr>
            <w:r>
              <w:rPr>
                <w:rFonts w:hint="eastAsia" w:ascii="宋体" w:hAnsi="宋体" w:eastAsia="宋体" w:cs="宋体"/>
                <w:spacing w:val="16"/>
                <w:sz w:val="18"/>
                <w:szCs w:val="18"/>
              </w:rPr>
              <w:t>以参加遴选的承保机构近3年农业保险平均简单赔付率最</w:t>
            </w:r>
            <w:r>
              <w:rPr>
                <w:rFonts w:hint="eastAsia" w:ascii="宋体" w:hAnsi="宋体" w:eastAsia="宋体" w:cs="宋体"/>
                <w:sz w:val="18"/>
                <w:szCs w:val="18"/>
              </w:rPr>
              <w:t xml:space="preserve">  </w:t>
            </w:r>
            <w:r>
              <w:rPr>
                <w:rFonts w:hint="eastAsia" w:ascii="宋体" w:hAnsi="宋体" w:eastAsia="宋体" w:cs="宋体"/>
                <w:spacing w:val="14"/>
                <w:sz w:val="18"/>
                <w:szCs w:val="18"/>
              </w:rPr>
              <w:t>高值为评审基准值，该承保机构得满分。其他参加遴选的</w:t>
            </w:r>
            <w:r>
              <w:rPr>
                <w:rFonts w:hint="eastAsia" w:ascii="宋体" w:hAnsi="宋体" w:eastAsia="宋体" w:cs="宋体"/>
                <w:spacing w:val="10"/>
                <w:sz w:val="18"/>
                <w:szCs w:val="18"/>
              </w:rPr>
              <w:t xml:space="preserve"> </w:t>
            </w:r>
            <w:r>
              <w:rPr>
                <w:rFonts w:hint="eastAsia" w:ascii="宋体" w:hAnsi="宋体" w:eastAsia="宋体" w:cs="宋体"/>
                <w:spacing w:val="11"/>
                <w:sz w:val="18"/>
                <w:szCs w:val="18"/>
              </w:rPr>
              <w:t>承保机构按照下列公式计算：得分=其他参加遴选的承保机</w:t>
            </w:r>
            <w:r>
              <w:rPr>
                <w:rFonts w:hint="eastAsia" w:ascii="宋体" w:hAnsi="宋体" w:eastAsia="宋体" w:cs="宋体"/>
                <w:spacing w:val="12"/>
                <w:sz w:val="18"/>
                <w:szCs w:val="18"/>
              </w:rPr>
              <w:t>构近3年农业保险平均简单赔付率/评审基准值×10分。</w:t>
            </w:r>
          </w:p>
        </w:tc>
        <w:tc>
          <w:tcPr>
            <w:tcW w:w="5598" w:type="dxa"/>
            <w:noWrap w:val="0"/>
            <w:vAlign w:val="top"/>
          </w:tcPr>
          <w:p w14:paraId="74159872">
            <w:pPr>
              <w:keepNext w:val="0"/>
              <w:keepLines w:val="0"/>
              <w:pageBreakBefore w:val="0"/>
              <w:kinsoku/>
              <w:wordWrap/>
              <w:overflowPunct/>
              <w:topLinePunct w:val="0"/>
              <w:autoSpaceDE/>
              <w:autoSpaceDN/>
              <w:bidi w:val="0"/>
              <w:adjustRightInd/>
              <w:snapToGrid/>
              <w:spacing w:line="244" w:lineRule="auto"/>
              <w:ind w:left="0" w:right="0"/>
              <w:rPr>
                <w:rFonts w:hint="eastAsia" w:ascii="宋体" w:hAnsi="宋体" w:eastAsia="宋体" w:cs="宋体"/>
                <w:sz w:val="18"/>
                <w:szCs w:val="18"/>
              </w:rPr>
            </w:pPr>
            <w:r>
              <w:rPr>
                <w:rFonts w:hint="eastAsia" w:ascii="宋体" w:hAnsi="宋体" w:eastAsia="宋体" w:cs="宋体"/>
                <w:spacing w:val="25"/>
                <w:sz w:val="18"/>
                <w:szCs w:val="18"/>
              </w:rPr>
              <w:t>近3年农业保险平均简单赔付率=(近3年已决赔款+近</w:t>
            </w:r>
            <w:r>
              <w:rPr>
                <w:rFonts w:hint="eastAsia" w:ascii="宋体" w:hAnsi="宋体" w:eastAsia="宋体" w:cs="宋体"/>
                <w:spacing w:val="24"/>
                <w:sz w:val="18"/>
                <w:szCs w:val="18"/>
              </w:rPr>
              <w:t>3年未决赔款)</w:t>
            </w:r>
            <w:r>
              <w:rPr>
                <w:rFonts w:hint="eastAsia" w:ascii="宋体" w:hAnsi="宋体" w:eastAsia="宋体" w:cs="宋体"/>
                <w:sz w:val="18"/>
                <w:szCs w:val="18"/>
              </w:rPr>
              <w:t xml:space="preserve"> </w:t>
            </w:r>
            <w:r>
              <w:rPr>
                <w:rFonts w:hint="eastAsia" w:ascii="宋体" w:hAnsi="宋体" w:eastAsia="宋体" w:cs="宋体"/>
                <w:spacing w:val="15"/>
                <w:sz w:val="18"/>
                <w:szCs w:val="18"/>
              </w:rPr>
              <w:t>/近3年保费收入，其中未决赔款不含已发生</w:t>
            </w:r>
            <w:r>
              <w:rPr>
                <w:rFonts w:hint="eastAsia" w:ascii="宋体" w:hAnsi="宋体" w:eastAsia="宋体" w:cs="宋体"/>
                <w:spacing w:val="14"/>
                <w:sz w:val="18"/>
                <w:szCs w:val="18"/>
              </w:rPr>
              <w:t>未报告未决赔款准备金，</w:t>
            </w:r>
          </w:p>
          <w:p w14:paraId="27692872">
            <w:pPr>
              <w:keepNext w:val="0"/>
              <w:keepLines w:val="0"/>
              <w:pageBreakBefore w:val="0"/>
              <w:kinsoku/>
              <w:wordWrap/>
              <w:overflowPunct/>
              <w:topLinePunct w:val="0"/>
              <w:autoSpaceDE/>
              <w:autoSpaceDN/>
              <w:bidi w:val="0"/>
              <w:adjustRightInd/>
              <w:snapToGrid/>
              <w:spacing w:line="235" w:lineRule="auto"/>
              <w:ind w:left="0" w:leftChars="0" w:right="0" w:rightChars="0" w:firstLine="70" w:firstLineChars="0"/>
              <w:rPr>
                <w:rFonts w:hint="eastAsia" w:ascii="宋体" w:hAnsi="宋体" w:eastAsia="宋体" w:cs="宋体"/>
                <w:sz w:val="18"/>
                <w:szCs w:val="18"/>
              </w:rPr>
            </w:pPr>
            <w:r>
              <w:rPr>
                <w:rFonts w:hint="eastAsia" w:ascii="宋体" w:hAnsi="宋体" w:eastAsia="宋体" w:cs="宋体"/>
                <w:spacing w:val="1"/>
                <w:sz w:val="18"/>
                <w:szCs w:val="18"/>
              </w:rPr>
              <w:t>若参加遴选的承保机构上年在遴选区域未开展业务，而其省级公司开展</w:t>
            </w:r>
            <w:r>
              <w:rPr>
                <w:rFonts w:hint="eastAsia" w:ascii="宋体" w:hAnsi="宋体" w:eastAsia="宋体" w:cs="宋体"/>
                <w:spacing w:val="7"/>
                <w:sz w:val="18"/>
                <w:szCs w:val="18"/>
              </w:rPr>
              <w:t xml:space="preserve"> </w:t>
            </w:r>
            <w:r>
              <w:rPr>
                <w:rFonts w:hint="eastAsia" w:ascii="宋体" w:hAnsi="宋体" w:eastAsia="宋体" w:cs="宋体"/>
                <w:spacing w:val="3"/>
                <w:sz w:val="18"/>
                <w:szCs w:val="18"/>
              </w:rPr>
              <w:t>过政策性农业保险业务，则按省级公司该指标认定；若其省级公司未开</w:t>
            </w:r>
            <w:r>
              <w:rPr>
                <w:rFonts w:hint="eastAsia" w:ascii="宋体" w:hAnsi="宋体" w:eastAsia="宋体" w:cs="宋体"/>
                <w:spacing w:val="13"/>
                <w:sz w:val="18"/>
                <w:szCs w:val="18"/>
              </w:rPr>
              <w:t xml:space="preserve"> </w:t>
            </w:r>
            <w:r>
              <w:rPr>
                <w:rFonts w:hint="eastAsia" w:ascii="宋体" w:hAnsi="宋体" w:eastAsia="宋体" w:cs="宋体"/>
                <w:spacing w:val="4"/>
                <w:sz w:val="18"/>
                <w:szCs w:val="18"/>
              </w:rPr>
              <w:t>展过政策性农业保险业务，则省级公司和遴选区域分支机构均按总公司</w:t>
            </w:r>
            <w:r>
              <w:rPr>
                <w:rFonts w:hint="eastAsia" w:ascii="宋体" w:hAnsi="宋体" w:eastAsia="宋体" w:cs="宋体"/>
                <w:spacing w:val="3"/>
                <w:sz w:val="18"/>
                <w:szCs w:val="18"/>
              </w:rPr>
              <w:t>该指标认定。保费与赔款均不包括省级共保品种。需提供参加遴选的承</w:t>
            </w:r>
            <w:r>
              <w:rPr>
                <w:rFonts w:hint="eastAsia" w:ascii="宋体" w:hAnsi="宋体" w:eastAsia="宋体" w:cs="宋体"/>
                <w:spacing w:val="-2"/>
                <w:sz w:val="18"/>
                <w:szCs w:val="18"/>
              </w:rPr>
              <w:t>保机构会计报表“已决赔款、未决赔款、保费收入”</w:t>
            </w:r>
            <w:r>
              <w:rPr>
                <w:rFonts w:hint="eastAsia" w:ascii="宋体" w:hAnsi="宋体" w:eastAsia="宋体" w:cs="宋体"/>
                <w:spacing w:val="-3"/>
                <w:sz w:val="18"/>
                <w:szCs w:val="18"/>
              </w:rPr>
              <w:t>相关科目页面复印件</w:t>
            </w:r>
            <w:r>
              <w:rPr>
                <w:rFonts w:hint="eastAsia" w:ascii="宋体" w:hAnsi="宋体" w:eastAsia="宋体" w:cs="宋体"/>
                <w:sz w:val="18"/>
                <w:szCs w:val="18"/>
              </w:rPr>
              <w:t xml:space="preserve"> </w:t>
            </w:r>
            <w:r>
              <w:rPr>
                <w:rFonts w:hint="eastAsia" w:ascii="宋体" w:hAnsi="宋体" w:eastAsia="宋体" w:cs="宋体"/>
                <w:spacing w:val="7"/>
                <w:sz w:val="18"/>
                <w:szCs w:val="18"/>
              </w:rPr>
              <w:t>并加盖参加遴选的承保机构公章，以保险行业协会认定并加盖公章为</w:t>
            </w:r>
            <w:r>
              <w:rPr>
                <w:rFonts w:hint="eastAsia" w:ascii="宋体" w:hAnsi="宋体" w:eastAsia="宋体" w:cs="宋体"/>
                <w:spacing w:val="30"/>
                <w:sz w:val="18"/>
                <w:szCs w:val="18"/>
              </w:rPr>
              <w:t>准。</w:t>
            </w:r>
          </w:p>
        </w:tc>
      </w:tr>
      <w:tr w14:paraId="35A31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85" w:type="dxa"/>
            <w:noWrap w:val="0"/>
            <w:vAlign w:val="center"/>
          </w:tcPr>
          <w:p w14:paraId="0727FA9F">
            <w:pPr>
              <w:keepNext w:val="0"/>
              <w:keepLines w:val="0"/>
              <w:pageBreakBefore w:val="0"/>
              <w:kinsoku/>
              <w:wordWrap/>
              <w:overflowPunct/>
              <w:topLinePunct w:val="0"/>
              <w:autoSpaceDE/>
              <w:autoSpaceDN/>
              <w:bidi w:val="0"/>
              <w:adjustRightInd/>
              <w:snapToGrid/>
              <w:spacing w:line="183" w:lineRule="auto"/>
              <w:ind w:left="0" w:right="0"/>
              <w:jc w:val="both"/>
              <w:outlineLvl w:val="9"/>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10</w:t>
            </w:r>
          </w:p>
        </w:tc>
        <w:tc>
          <w:tcPr>
            <w:tcW w:w="734" w:type="dxa"/>
            <w:vMerge w:val="continue"/>
            <w:noWrap w:val="0"/>
            <w:vAlign w:val="center"/>
          </w:tcPr>
          <w:p w14:paraId="3A8973E3">
            <w:pPr>
              <w:keepNext w:val="0"/>
              <w:keepLines w:val="0"/>
              <w:pageBreakBefore w:val="0"/>
              <w:kinsoku/>
              <w:wordWrap/>
              <w:overflowPunct/>
              <w:topLinePunct w:val="0"/>
              <w:autoSpaceDE/>
              <w:autoSpaceDN/>
              <w:bidi w:val="0"/>
              <w:adjustRightInd/>
              <w:snapToGrid/>
              <w:ind w:left="0" w:right="0"/>
              <w:jc w:val="center"/>
              <w:outlineLvl w:val="9"/>
              <w:rPr>
                <w:rFonts w:hint="eastAsia" w:ascii="宋体" w:hAnsi="宋体" w:eastAsia="宋体" w:cs="宋体"/>
                <w:sz w:val="18"/>
                <w:szCs w:val="18"/>
              </w:rPr>
            </w:pPr>
          </w:p>
        </w:tc>
        <w:tc>
          <w:tcPr>
            <w:tcW w:w="886" w:type="dxa"/>
            <w:vMerge w:val="continue"/>
            <w:tcBorders>
              <w:bottom w:val="single" w:color="auto" w:sz="4" w:space="0"/>
            </w:tcBorders>
            <w:noWrap w:val="0"/>
            <w:vAlign w:val="center"/>
          </w:tcPr>
          <w:p w14:paraId="3B7C48E0">
            <w:pPr>
              <w:keepNext w:val="0"/>
              <w:keepLines w:val="0"/>
              <w:pageBreakBefore w:val="0"/>
              <w:kinsoku/>
              <w:wordWrap/>
              <w:overflowPunct/>
              <w:topLinePunct w:val="0"/>
              <w:autoSpaceDE/>
              <w:autoSpaceDN/>
              <w:bidi w:val="0"/>
              <w:adjustRightInd/>
              <w:snapToGrid/>
              <w:spacing w:line="220" w:lineRule="auto"/>
              <w:ind w:left="0" w:right="0"/>
              <w:jc w:val="center"/>
              <w:outlineLvl w:val="9"/>
              <w:rPr>
                <w:rFonts w:hint="eastAsia" w:ascii="宋体" w:hAnsi="宋体" w:eastAsia="宋体" w:cs="宋体"/>
                <w:spacing w:val="-2"/>
                <w:sz w:val="18"/>
                <w:szCs w:val="18"/>
              </w:rPr>
            </w:pPr>
          </w:p>
        </w:tc>
        <w:tc>
          <w:tcPr>
            <w:tcW w:w="648" w:type="dxa"/>
            <w:noWrap w:val="0"/>
            <w:vAlign w:val="center"/>
          </w:tcPr>
          <w:p w14:paraId="3506B22C">
            <w:pPr>
              <w:keepNext w:val="0"/>
              <w:keepLines w:val="0"/>
              <w:pageBreakBefore w:val="0"/>
              <w:kinsoku/>
              <w:wordWrap/>
              <w:overflowPunct/>
              <w:topLinePunct w:val="0"/>
              <w:autoSpaceDE/>
              <w:autoSpaceDN/>
              <w:bidi w:val="0"/>
              <w:adjustRightInd/>
              <w:snapToGrid/>
              <w:spacing w:line="182" w:lineRule="auto"/>
              <w:ind w:left="0" w:right="0"/>
              <w:jc w:val="center"/>
              <w:outlineLvl w:val="9"/>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5598" w:type="dxa"/>
            <w:noWrap w:val="0"/>
            <w:vAlign w:val="top"/>
          </w:tcPr>
          <w:p w14:paraId="60980FBE">
            <w:pPr>
              <w:keepNext w:val="0"/>
              <w:keepLines w:val="0"/>
              <w:pageBreakBefore w:val="0"/>
              <w:kinsoku/>
              <w:wordWrap/>
              <w:overflowPunct/>
              <w:topLinePunct w:val="0"/>
              <w:autoSpaceDE/>
              <w:autoSpaceDN/>
              <w:bidi w:val="0"/>
              <w:adjustRightInd/>
              <w:snapToGrid/>
              <w:spacing w:line="249" w:lineRule="auto"/>
              <w:ind w:left="0" w:leftChars="0" w:right="0" w:firstLine="19" w:firstLineChars="0"/>
              <w:rPr>
                <w:rFonts w:hint="eastAsia" w:ascii="宋体" w:hAnsi="宋体" w:eastAsia="宋体" w:cs="宋体"/>
                <w:spacing w:val="6"/>
                <w:sz w:val="18"/>
                <w:szCs w:val="18"/>
              </w:rPr>
            </w:pPr>
            <w:r>
              <w:rPr>
                <w:rFonts w:hint="eastAsia" w:ascii="宋体" w:hAnsi="宋体" w:eastAsia="宋体" w:cs="宋体"/>
                <w:spacing w:val="8"/>
                <w:sz w:val="18"/>
                <w:szCs w:val="18"/>
              </w:rPr>
              <w:t>平均结案率。根据参加遴选的承保机构省级公司和遴选区域分支机构上年农业保险结案率计算得出。参加</w:t>
            </w:r>
            <w:r>
              <w:rPr>
                <w:rFonts w:hint="eastAsia" w:ascii="宋体" w:hAnsi="宋体" w:eastAsia="宋体" w:cs="宋体"/>
                <w:spacing w:val="7"/>
                <w:sz w:val="18"/>
                <w:szCs w:val="18"/>
              </w:rPr>
              <w:t>遴选的承</w:t>
            </w:r>
            <w:r>
              <w:rPr>
                <w:rFonts w:hint="eastAsia" w:ascii="宋体" w:hAnsi="宋体" w:eastAsia="宋体" w:cs="宋体"/>
                <w:spacing w:val="8"/>
                <w:sz w:val="18"/>
                <w:szCs w:val="18"/>
              </w:rPr>
              <w:t>保机构在遴选区域上年农业保险结案率在85%以下的不计</w:t>
            </w:r>
            <w:r>
              <w:rPr>
                <w:rFonts w:hint="eastAsia" w:ascii="宋体" w:hAnsi="宋体" w:eastAsia="宋体" w:cs="宋体"/>
                <w:spacing w:val="11"/>
                <w:sz w:val="18"/>
                <w:szCs w:val="18"/>
              </w:rPr>
              <w:t>分。以参加遴选的承保机构结案率最高值为评审基准值，</w:t>
            </w:r>
            <w:r>
              <w:rPr>
                <w:rFonts w:hint="eastAsia" w:ascii="宋体" w:hAnsi="宋体" w:eastAsia="宋体" w:cs="宋体"/>
                <w:spacing w:val="9"/>
                <w:sz w:val="18"/>
                <w:szCs w:val="18"/>
              </w:rPr>
              <w:t>该承保机构得满分。其他参加遴选的承保机构按照下列公</w:t>
            </w:r>
            <w:r>
              <w:rPr>
                <w:rFonts w:hint="eastAsia" w:ascii="宋体" w:hAnsi="宋体" w:eastAsia="宋体" w:cs="宋体"/>
                <w:spacing w:val="8"/>
                <w:sz w:val="18"/>
                <w:szCs w:val="18"/>
              </w:rPr>
              <w:t>式计算：得分=其他参加遴选的承保机构农业保险结案率/</w:t>
            </w:r>
            <w:r>
              <w:rPr>
                <w:rFonts w:hint="eastAsia" w:ascii="宋体" w:hAnsi="宋体" w:eastAsia="宋体" w:cs="宋体"/>
                <w:spacing w:val="17"/>
                <w:sz w:val="18"/>
                <w:szCs w:val="18"/>
              </w:rPr>
              <w:t>评审基准值×6分。</w:t>
            </w:r>
          </w:p>
        </w:tc>
        <w:tc>
          <w:tcPr>
            <w:tcW w:w="5598" w:type="dxa"/>
            <w:noWrap w:val="0"/>
            <w:vAlign w:val="top"/>
          </w:tcPr>
          <w:p w14:paraId="09DFACF9">
            <w:pPr>
              <w:keepNext w:val="0"/>
              <w:keepLines w:val="0"/>
              <w:pageBreakBefore w:val="0"/>
              <w:kinsoku/>
              <w:wordWrap/>
              <w:overflowPunct/>
              <w:topLinePunct w:val="0"/>
              <w:autoSpaceDE/>
              <w:autoSpaceDN/>
              <w:bidi w:val="0"/>
              <w:adjustRightInd/>
              <w:snapToGrid/>
              <w:spacing w:line="245" w:lineRule="auto"/>
              <w:ind w:left="0" w:leftChars="0" w:right="0"/>
              <w:rPr>
                <w:rFonts w:hint="eastAsia" w:ascii="宋体" w:hAnsi="宋体" w:eastAsia="宋体" w:cs="宋体"/>
                <w:sz w:val="18"/>
                <w:szCs w:val="18"/>
              </w:rPr>
            </w:pPr>
            <w:r>
              <w:rPr>
                <w:rFonts w:hint="eastAsia" w:ascii="宋体" w:hAnsi="宋体" w:eastAsia="宋体" w:cs="宋体"/>
                <w:spacing w:val="15"/>
                <w:sz w:val="18"/>
                <w:szCs w:val="18"/>
              </w:rPr>
              <w:t>农业保险结案率=年度已决赔款/(年度已决赔款+期末未</w:t>
            </w:r>
            <w:r>
              <w:rPr>
                <w:rFonts w:hint="eastAsia" w:ascii="宋体" w:hAnsi="宋体" w:eastAsia="宋体" w:cs="宋体"/>
                <w:spacing w:val="14"/>
                <w:sz w:val="18"/>
                <w:szCs w:val="18"/>
              </w:rPr>
              <w:t>决赔款),即</w:t>
            </w:r>
            <w:r>
              <w:rPr>
                <w:rFonts w:hint="eastAsia" w:ascii="宋体" w:hAnsi="宋体" w:eastAsia="宋体" w:cs="宋体"/>
                <w:spacing w:val="7"/>
                <w:sz w:val="18"/>
                <w:szCs w:val="18"/>
              </w:rPr>
              <w:t>参加遴选的承保机构接到报案后，已经按规定程序确定理赔的案件金额</w:t>
            </w:r>
            <w:r>
              <w:rPr>
                <w:rFonts w:hint="eastAsia" w:ascii="宋体" w:hAnsi="宋体" w:eastAsia="宋体" w:cs="宋体"/>
                <w:spacing w:val="9"/>
                <w:sz w:val="18"/>
                <w:szCs w:val="18"/>
              </w:rPr>
              <w:t>占所有报案预计可能赔付的金额比例。平均结案率=(</w:t>
            </w:r>
            <w:r>
              <w:rPr>
                <w:rFonts w:hint="eastAsia" w:ascii="宋体" w:hAnsi="宋体" w:eastAsia="宋体" w:cs="宋体"/>
                <w:spacing w:val="8"/>
                <w:sz w:val="18"/>
                <w:szCs w:val="18"/>
              </w:rPr>
              <w:t>参加遴选的承保</w:t>
            </w:r>
            <w:r>
              <w:rPr>
                <w:rFonts w:hint="eastAsia" w:ascii="宋体" w:hAnsi="宋体" w:eastAsia="宋体" w:cs="宋体"/>
                <w:spacing w:val="9"/>
                <w:sz w:val="18"/>
                <w:szCs w:val="18"/>
              </w:rPr>
              <w:t>机构省级公司农业保险结案率+遴选区域分支机构农业保</w:t>
            </w:r>
            <w:r>
              <w:rPr>
                <w:rFonts w:hint="eastAsia" w:ascii="宋体" w:hAnsi="宋体" w:eastAsia="宋体" w:cs="宋体"/>
                <w:spacing w:val="8"/>
                <w:sz w:val="18"/>
                <w:szCs w:val="18"/>
              </w:rPr>
              <w:t>险结案率)/2。</w:t>
            </w:r>
            <w:r>
              <w:rPr>
                <w:rFonts w:hint="eastAsia" w:ascii="宋体" w:hAnsi="宋体" w:eastAsia="宋体" w:cs="宋体"/>
                <w:spacing w:val="7"/>
                <w:sz w:val="18"/>
                <w:szCs w:val="18"/>
              </w:rPr>
              <w:t>若参加遴选的承保机构上年在遴选区域未开展业务，而其省级公司开展过政策性农业保险业务，则按省级公司该指标认定；若其省级公司未开展过政策性农业保险业务，则省级公司和遴选区域分支机构均按总公司该指标认定。赔款不包括省级共保品种。需提供参加遴选的承保机构最</w:t>
            </w:r>
            <w:r>
              <w:rPr>
                <w:rFonts w:hint="eastAsia" w:ascii="宋体" w:hAnsi="宋体" w:eastAsia="宋体" w:cs="宋体"/>
                <w:spacing w:val="4"/>
                <w:sz w:val="18"/>
                <w:szCs w:val="18"/>
              </w:rPr>
              <w:t>新年度会计报表“当年已决赔款、期末未决赔款"相关科目页面复印</w:t>
            </w:r>
            <w:r>
              <w:rPr>
                <w:rFonts w:hint="eastAsia" w:ascii="宋体" w:hAnsi="宋体" w:eastAsia="宋体" w:cs="宋体"/>
                <w:spacing w:val="3"/>
                <w:sz w:val="18"/>
                <w:szCs w:val="18"/>
              </w:rPr>
              <w:t>件并</w:t>
            </w:r>
            <w:r>
              <w:rPr>
                <w:rFonts w:hint="eastAsia" w:ascii="宋体" w:hAnsi="宋体" w:eastAsia="宋体" w:cs="宋体"/>
                <w:spacing w:val="10"/>
                <w:sz w:val="18"/>
                <w:szCs w:val="18"/>
              </w:rPr>
              <w:t>加盖参加遴选的承保机构公章，以银保监部门认定并加盖公章为准。</w:t>
            </w:r>
          </w:p>
        </w:tc>
      </w:tr>
      <w:tr w14:paraId="70A0E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85" w:type="dxa"/>
            <w:noWrap w:val="0"/>
            <w:vAlign w:val="center"/>
          </w:tcPr>
          <w:p w14:paraId="5AACA36F">
            <w:pPr>
              <w:keepNext w:val="0"/>
              <w:keepLines w:val="0"/>
              <w:pageBreakBefore w:val="0"/>
              <w:kinsoku/>
              <w:wordWrap/>
              <w:overflowPunct/>
              <w:topLinePunct w:val="0"/>
              <w:autoSpaceDE/>
              <w:autoSpaceDN/>
              <w:bidi w:val="0"/>
              <w:adjustRightInd/>
              <w:snapToGrid/>
              <w:spacing w:line="183" w:lineRule="auto"/>
              <w:ind w:left="0" w:right="0"/>
              <w:jc w:val="both"/>
              <w:outlineLvl w:val="9"/>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11</w:t>
            </w:r>
          </w:p>
        </w:tc>
        <w:tc>
          <w:tcPr>
            <w:tcW w:w="734" w:type="dxa"/>
            <w:vMerge w:val="continue"/>
            <w:noWrap w:val="0"/>
            <w:vAlign w:val="center"/>
          </w:tcPr>
          <w:p w14:paraId="3DA6373B">
            <w:pPr>
              <w:keepNext w:val="0"/>
              <w:keepLines w:val="0"/>
              <w:pageBreakBefore w:val="0"/>
              <w:kinsoku/>
              <w:wordWrap/>
              <w:overflowPunct/>
              <w:topLinePunct w:val="0"/>
              <w:autoSpaceDE/>
              <w:autoSpaceDN/>
              <w:bidi w:val="0"/>
              <w:adjustRightInd/>
              <w:snapToGrid/>
              <w:ind w:left="0" w:right="0"/>
              <w:jc w:val="center"/>
              <w:outlineLvl w:val="9"/>
              <w:rPr>
                <w:rFonts w:hint="eastAsia" w:ascii="宋体" w:hAnsi="宋体" w:eastAsia="宋体" w:cs="宋体"/>
                <w:sz w:val="18"/>
                <w:szCs w:val="18"/>
              </w:rPr>
            </w:pPr>
          </w:p>
        </w:tc>
        <w:tc>
          <w:tcPr>
            <w:tcW w:w="886" w:type="dxa"/>
            <w:tcBorders>
              <w:top w:val="single" w:color="auto" w:sz="4" w:space="0"/>
              <w:bottom w:val="single" w:color="auto" w:sz="4" w:space="0"/>
            </w:tcBorders>
            <w:noWrap w:val="0"/>
            <w:vAlign w:val="center"/>
          </w:tcPr>
          <w:p w14:paraId="0F88A9F2">
            <w:pPr>
              <w:keepNext w:val="0"/>
              <w:keepLines w:val="0"/>
              <w:pageBreakBefore w:val="0"/>
              <w:kinsoku/>
              <w:wordWrap/>
              <w:overflowPunct/>
              <w:topLinePunct w:val="0"/>
              <w:autoSpaceDE/>
              <w:autoSpaceDN/>
              <w:bidi w:val="0"/>
              <w:adjustRightInd/>
              <w:snapToGrid/>
              <w:spacing w:line="220" w:lineRule="auto"/>
              <w:ind w:left="0" w:right="0"/>
              <w:jc w:val="center"/>
              <w:outlineLvl w:val="9"/>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eastAsia="zh-CN"/>
              </w:rPr>
              <w:t>历史业绩</w:t>
            </w:r>
            <w:r>
              <w:rPr>
                <w:rFonts w:hint="eastAsia" w:ascii="宋体" w:hAnsi="宋体" w:eastAsia="宋体" w:cs="宋体"/>
                <w:spacing w:val="-2"/>
                <w:sz w:val="18"/>
                <w:szCs w:val="18"/>
                <w:lang w:val="en-US" w:eastAsia="zh-CN"/>
              </w:rPr>
              <w:t>6分</w:t>
            </w:r>
          </w:p>
        </w:tc>
        <w:tc>
          <w:tcPr>
            <w:tcW w:w="648" w:type="dxa"/>
            <w:noWrap w:val="0"/>
            <w:vAlign w:val="center"/>
          </w:tcPr>
          <w:p w14:paraId="19E4C3A7">
            <w:pPr>
              <w:keepNext w:val="0"/>
              <w:keepLines w:val="0"/>
              <w:pageBreakBefore w:val="0"/>
              <w:kinsoku/>
              <w:wordWrap/>
              <w:overflowPunct/>
              <w:topLinePunct w:val="0"/>
              <w:autoSpaceDE/>
              <w:autoSpaceDN/>
              <w:bidi w:val="0"/>
              <w:adjustRightInd/>
              <w:snapToGrid/>
              <w:spacing w:line="182" w:lineRule="auto"/>
              <w:ind w:left="0" w:right="0"/>
              <w:jc w:val="center"/>
              <w:outlineLvl w:val="9"/>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6</w:t>
            </w:r>
          </w:p>
        </w:tc>
        <w:tc>
          <w:tcPr>
            <w:tcW w:w="5598" w:type="dxa"/>
            <w:noWrap w:val="0"/>
            <w:vAlign w:val="top"/>
          </w:tcPr>
          <w:p w14:paraId="2CAE8850">
            <w:pPr>
              <w:keepNext w:val="0"/>
              <w:keepLines w:val="0"/>
              <w:pageBreakBefore w:val="0"/>
              <w:kinsoku/>
              <w:wordWrap/>
              <w:overflowPunct/>
              <w:topLinePunct w:val="0"/>
              <w:autoSpaceDE/>
              <w:autoSpaceDN/>
              <w:bidi w:val="0"/>
              <w:adjustRightInd/>
              <w:snapToGrid/>
              <w:spacing w:line="237" w:lineRule="auto"/>
              <w:ind w:left="0" w:leftChars="0" w:right="0" w:rightChars="0"/>
              <w:rPr>
                <w:rFonts w:hint="eastAsia" w:ascii="宋体" w:hAnsi="宋体" w:eastAsia="宋体" w:cs="宋体"/>
                <w:spacing w:val="6"/>
                <w:sz w:val="18"/>
                <w:szCs w:val="18"/>
              </w:rPr>
            </w:pPr>
            <w:r>
              <w:rPr>
                <w:rFonts w:hint="eastAsia" w:ascii="宋体" w:hAnsi="宋体" w:eastAsia="宋体" w:cs="宋体"/>
                <w:spacing w:val="11"/>
                <w:sz w:val="18"/>
                <w:szCs w:val="18"/>
              </w:rPr>
              <w:t>农业保险(包括政策性和商业性种植险、养殖险、林业险)</w:t>
            </w:r>
            <w:r>
              <w:rPr>
                <w:rFonts w:hint="eastAsia" w:ascii="宋体" w:hAnsi="宋体" w:eastAsia="宋体" w:cs="宋体"/>
                <w:spacing w:val="10"/>
                <w:sz w:val="18"/>
                <w:szCs w:val="18"/>
              </w:rPr>
              <w:t>的承保业绩。以参加避选的承保机构近3年避选区域农业</w:t>
            </w:r>
            <w:r>
              <w:rPr>
                <w:rFonts w:hint="eastAsia" w:ascii="宋体" w:hAnsi="宋体" w:eastAsia="宋体" w:cs="宋体"/>
                <w:spacing w:val="13"/>
                <w:sz w:val="18"/>
                <w:szCs w:val="18"/>
              </w:rPr>
              <w:t>保险年平均保费(按实际开展业务年限计算)最多的为评</w:t>
            </w:r>
            <w:r>
              <w:rPr>
                <w:rFonts w:hint="eastAsia" w:ascii="宋体" w:hAnsi="宋体" w:eastAsia="宋体" w:cs="宋体"/>
                <w:spacing w:val="11"/>
                <w:sz w:val="18"/>
                <w:szCs w:val="18"/>
              </w:rPr>
              <w:t>审基准值，该承保机构得满分。其他参加迸选的承保机构</w:t>
            </w:r>
            <w:r>
              <w:rPr>
                <w:rFonts w:hint="eastAsia" w:ascii="宋体" w:hAnsi="宋体" w:eastAsia="宋体" w:cs="宋体"/>
                <w:spacing w:val="9"/>
                <w:sz w:val="18"/>
                <w:szCs w:val="18"/>
              </w:rPr>
              <w:t>按照下列公式计算：得分=其他参加遴选的承保机构近3年</w:t>
            </w:r>
            <w:r>
              <w:rPr>
                <w:rFonts w:hint="eastAsia" w:ascii="宋体" w:hAnsi="宋体" w:eastAsia="宋体" w:cs="宋体"/>
                <w:spacing w:val="13"/>
                <w:sz w:val="18"/>
                <w:szCs w:val="18"/>
                <w:lang w:eastAsia="zh-CN"/>
              </w:rPr>
              <w:t>遴选</w:t>
            </w:r>
            <w:r>
              <w:rPr>
                <w:rFonts w:hint="eastAsia" w:ascii="宋体" w:hAnsi="宋体" w:eastAsia="宋体" w:cs="宋体"/>
                <w:spacing w:val="13"/>
                <w:sz w:val="18"/>
                <w:szCs w:val="18"/>
              </w:rPr>
              <w:t>区域农业保险平均保费收入/评审基准值×6分。</w:t>
            </w:r>
          </w:p>
        </w:tc>
        <w:tc>
          <w:tcPr>
            <w:tcW w:w="5598" w:type="dxa"/>
            <w:noWrap w:val="0"/>
            <w:vAlign w:val="top"/>
          </w:tcPr>
          <w:p w14:paraId="074AB8BB">
            <w:pPr>
              <w:keepNext w:val="0"/>
              <w:keepLines w:val="0"/>
              <w:pageBreakBefore w:val="0"/>
              <w:kinsoku/>
              <w:wordWrap/>
              <w:overflowPunct/>
              <w:topLinePunct w:val="0"/>
              <w:autoSpaceDE/>
              <w:autoSpaceDN/>
              <w:bidi w:val="0"/>
              <w:adjustRightInd/>
              <w:snapToGrid/>
              <w:spacing w:line="222" w:lineRule="auto"/>
              <w:ind w:left="0" w:leftChars="0" w:right="0" w:rightChars="0"/>
              <w:rPr>
                <w:rFonts w:hint="eastAsia" w:ascii="宋体" w:hAnsi="宋体" w:eastAsia="宋体" w:cs="宋体"/>
                <w:sz w:val="18"/>
                <w:szCs w:val="18"/>
              </w:rPr>
            </w:pPr>
            <w:r>
              <w:rPr>
                <w:rFonts w:hint="eastAsia" w:ascii="宋体" w:hAnsi="宋体" w:eastAsia="宋体" w:cs="宋体"/>
                <w:sz w:val="18"/>
                <w:szCs w:val="18"/>
              </w:rPr>
              <w:t>承保业绩由参加遴选的承保机构提供经银保监部门</w:t>
            </w:r>
            <w:r>
              <w:rPr>
                <w:rFonts w:hint="eastAsia" w:ascii="宋体" w:hAnsi="宋体" w:eastAsia="宋体" w:cs="宋体"/>
                <w:spacing w:val="-1"/>
                <w:sz w:val="18"/>
                <w:szCs w:val="18"/>
              </w:rPr>
              <w:t>认定的相关证明文</w:t>
            </w:r>
            <w:r>
              <w:rPr>
                <w:rFonts w:hint="eastAsia" w:ascii="宋体" w:hAnsi="宋体" w:eastAsia="宋体" w:cs="宋体"/>
                <w:sz w:val="18"/>
                <w:szCs w:val="18"/>
              </w:rPr>
              <w:t xml:space="preserve"> </w:t>
            </w:r>
            <w:r>
              <w:rPr>
                <w:rFonts w:hint="eastAsia" w:ascii="宋体" w:hAnsi="宋体" w:eastAsia="宋体" w:cs="宋体"/>
                <w:spacing w:val="6"/>
                <w:sz w:val="18"/>
                <w:szCs w:val="18"/>
              </w:rPr>
              <w:t>件并加盖证明出具单位公章。</w:t>
            </w:r>
          </w:p>
        </w:tc>
      </w:tr>
      <w:tr w14:paraId="60F3C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85" w:type="dxa"/>
            <w:noWrap w:val="0"/>
            <w:vAlign w:val="center"/>
          </w:tcPr>
          <w:p w14:paraId="34E14097">
            <w:pPr>
              <w:keepNext w:val="0"/>
              <w:keepLines w:val="0"/>
              <w:pageBreakBefore w:val="0"/>
              <w:kinsoku/>
              <w:wordWrap/>
              <w:overflowPunct/>
              <w:topLinePunct w:val="0"/>
              <w:autoSpaceDE/>
              <w:autoSpaceDN/>
              <w:bidi w:val="0"/>
              <w:adjustRightInd/>
              <w:snapToGrid/>
              <w:spacing w:line="183" w:lineRule="auto"/>
              <w:ind w:left="0" w:right="0"/>
              <w:jc w:val="both"/>
              <w:outlineLvl w:val="9"/>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12</w:t>
            </w:r>
          </w:p>
        </w:tc>
        <w:tc>
          <w:tcPr>
            <w:tcW w:w="734" w:type="dxa"/>
            <w:vMerge w:val="continue"/>
            <w:noWrap w:val="0"/>
            <w:vAlign w:val="center"/>
          </w:tcPr>
          <w:p w14:paraId="45E28C0F">
            <w:pPr>
              <w:keepNext w:val="0"/>
              <w:keepLines w:val="0"/>
              <w:pageBreakBefore w:val="0"/>
              <w:kinsoku/>
              <w:wordWrap/>
              <w:overflowPunct/>
              <w:topLinePunct w:val="0"/>
              <w:autoSpaceDE/>
              <w:autoSpaceDN/>
              <w:bidi w:val="0"/>
              <w:adjustRightInd/>
              <w:snapToGrid/>
              <w:ind w:left="0" w:right="0"/>
              <w:jc w:val="center"/>
              <w:outlineLvl w:val="9"/>
              <w:rPr>
                <w:rFonts w:hint="eastAsia" w:ascii="宋体" w:hAnsi="宋体" w:eastAsia="宋体" w:cs="宋体"/>
                <w:sz w:val="18"/>
                <w:szCs w:val="18"/>
              </w:rPr>
            </w:pPr>
          </w:p>
        </w:tc>
        <w:tc>
          <w:tcPr>
            <w:tcW w:w="886" w:type="dxa"/>
            <w:tcBorders>
              <w:top w:val="single" w:color="auto" w:sz="4" w:space="0"/>
              <w:bottom w:val="single" w:color="auto" w:sz="4" w:space="0"/>
            </w:tcBorders>
            <w:noWrap w:val="0"/>
            <w:vAlign w:val="center"/>
          </w:tcPr>
          <w:p w14:paraId="46956F2C">
            <w:pPr>
              <w:keepNext w:val="0"/>
              <w:keepLines w:val="0"/>
              <w:pageBreakBefore w:val="0"/>
              <w:kinsoku/>
              <w:wordWrap/>
              <w:overflowPunct/>
              <w:topLinePunct w:val="0"/>
              <w:autoSpaceDE/>
              <w:autoSpaceDN/>
              <w:bidi w:val="0"/>
              <w:adjustRightInd/>
              <w:snapToGrid/>
              <w:spacing w:line="220" w:lineRule="auto"/>
              <w:ind w:left="0" w:right="0"/>
              <w:jc w:val="center"/>
              <w:outlineLvl w:val="9"/>
              <w:rPr>
                <w:rFonts w:hint="eastAsia" w:ascii="宋体" w:hAnsi="宋体" w:eastAsia="宋体" w:cs="宋体"/>
                <w:spacing w:val="-2"/>
                <w:sz w:val="18"/>
                <w:szCs w:val="18"/>
                <w:lang w:val="en-US" w:eastAsia="zh-CN"/>
              </w:rPr>
            </w:pPr>
            <w:r>
              <w:rPr>
                <w:rFonts w:hint="eastAsia" w:ascii="宋体" w:hAnsi="宋体" w:eastAsia="宋体" w:cs="宋体"/>
                <w:spacing w:val="-2"/>
                <w:sz w:val="18"/>
                <w:szCs w:val="18"/>
                <w:lang w:eastAsia="zh-CN"/>
              </w:rPr>
              <w:t>表彰及试点</w:t>
            </w:r>
            <w:r>
              <w:rPr>
                <w:rFonts w:hint="eastAsia" w:ascii="宋体" w:hAnsi="宋体" w:eastAsia="宋体" w:cs="宋体"/>
                <w:spacing w:val="-2"/>
                <w:sz w:val="18"/>
                <w:szCs w:val="18"/>
                <w:lang w:val="en-US" w:eastAsia="zh-CN"/>
              </w:rPr>
              <w:t>3分</w:t>
            </w:r>
          </w:p>
        </w:tc>
        <w:tc>
          <w:tcPr>
            <w:tcW w:w="648" w:type="dxa"/>
            <w:noWrap w:val="0"/>
            <w:vAlign w:val="center"/>
          </w:tcPr>
          <w:p w14:paraId="05B214B0">
            <w:pPr>
              <w:keepNext w:val="0"/>
              <w:keepLines w:val="0"/>
              <w:pageBreakBefore w:val="0"/>
              <w:kinsoku/>
              <w:wordWrap/>
              <w:overflowPunct/>
              <w:topLinePunct w:val="0"/>
              <w:autoSpaceDE/>
              <w:autoSpaceDN/>
              <w:bidi w:val="0"/>
              <w:adjustRightInd/>
              <w:snapToGrid/>
              <w:spacing w:line="182" w:lineRule="auto"/>
              <w:ind w:left="0" w:right="0"/>
              <w:jc w:val="center"/>
              <w:outlineLvl w:val="9"/>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5598" w:type="dxa"/>
            <w:noWrap w:val="0"/>
            <w:vAlign w:val="top"/>
          </w:tcPr>
          <w:p w14:paraId="6E8E582E">
            <w:pPr>
              <w:keepNext w:val="0"/>
              <w:keepLines w:val="0"/>
              <w:pageBreakBefore w:val="0"/>
              <w:kinsoku/>
              <w:wordWrap/>
              <w:overflowPunct/>
              <w:topLinePunct w:val="0"/>
              <w:autoSpaceDE/>
              <w:autoSpaceDN/>
              <w:bidi w:val="0"/>
              <w:adjustRightInd/>
              <w:snapToGrid/>
              <w:spacing w:line="250" w:lineRule="auto"/>
              <w:ind w:left="0" w:right="0" w:firstLine="30"/>
              <w:rPr>
                <w:rFonts w:hint="eastAsia" w:ascii="宋体" w:hAnsi="宋体" w:eastAsia="宋体" w:cs="宋体"/>
                <w:spacing w:val="6"/>
                <w:sz w:val="18"/>
                <w:szCs w:val="18"/>
              </w:rPr>
            </w:pPr>
            <w:r>
              <w:rPr>
                <w:rFonts w:hint="eastAsia" w:ascii="宋体" w:hAnsi="宋体" w:eastAsia="宋体" w:cs="宋体"/>
                <w:spacing w:val="10"/>
                <w:sz w:val="18"/>
                <w:szCs w:val="18"/>
              </w:rPr>
              <w:t>获得奖励表彰和项目试点的情况。参加遴选的承保机构省</w:t>
            </w:r>
            <w:r>
              <w:rPr>
                <w:rFonts w:hint="eastAsia" w:ascii="宋体" w:hAnsi="宋体" w:eastAsia="宋体" w:cs="宋体"/>
                <w:spacing w:val="14"/>
                <w:sz w:val="18"/>
                <w:szCs w:val="18"/>
              </w:rPr>
              <w:t>级公司近3年获得省级(含)以上有关财政、农业农村、</w:t>
            </w:r>
            <w:r>
              <w:rPr>
                <w:rFonts w:hint="eastAsia" w:ascii="宋体" w:hAnsi="宋体" w:eastAsia="宋体" w:cs="宋体"/>
                <w:spacing w:val="9"/>
                <w:sz w:val="18"/>
                <w:szCs w:val="18"/>
              </w:rPr>
              <w:t>金融管理及监管部门在农业保险工作方面的表彰，以及参</w:t>
            </w:r>
            <w:r>
              <w:rPr>
                <w:rFonts w:hint="eastAsia" w:ascii="宋体" w:hAnsi="宋体" w:eastAsia="宋体" w:cs="宋体"/>
                <w:spacing w:val="15"/>
                <w:sz w:val="18"/>
                <w:szCs w:val="18"/>
              </w:rPr>
              <w:t>加遴选的承保机构近3年在遴选区域承担省级(含)以上</w:t>
            </w:r>
            <w:r>
              <w:rPr>
                <w:rFonts w:hint="eastAsia" w:ascii="宋体" w:hAnsi="宋体" w:eastAsia="宋体" w:cs="宋体"/>
                <w:spacing w:val="13"/>
                <w:sz w:val="18"/>
                <w:szCs w:val="18"/>
              </w:rPr>
              <w:t>职能部门农业保险试点项目或任务的。每一项计1分。</w:t>
            </w:r>
          </w:p>
        </w:tc>
        <w:tc>
          <w:tcPr>
            <w:tcW w:w="5598" w:type="dxa"/>
            <w:noWrap w:val="0"/>
            <w:vAlign w:val="top"/>
          </w:tcPr>
          <w:p w14:paraId="410B7185">
            <w:pPr>
              <w:keepNext w:val="0"/>
              <w:keepLines w:val="0"/>
              <w:pageBreakBefore w:val="0"/>
              <w:kinsoku/>
              <w:wordWrap/>
              <w:overflowPunct/>
              <w:topLinePunct w:val="0"/>
              <w:autoSpaceDE/>
              <w:autoSpaceDN/>
              <w:bidi w:val="0"/>
              <w:adjustRightInd/>
              <w:snapToGrid/>
              <w:spacing w:line="247" w:lineRule="auto"/>
              <w:ind w:left="0" w:leftChars="0" w:right="0"/>
              <w:jc w:val="both"/>
              <w:rPr>
                <w:rFonts w:hint="eastAsia" w:ascii="宋体" w:hAnsi="宋体" w:eastAsia="宋体" w:cs="宋体"/>
                <w:sz w:val="18"/>
                <w:szCs w:val="18"/>
              </w:rPr>
            </w:pPr>
            <w:r>
              <w:rPr>
                <w:rFonts w:hint="eastAsia" w:ascii="宋体" w:hAnsi="宋体" w:eastAsia="宋体" w:cs="宋体"/>
                <w:spacing w:val="11"/>
                <w:sz w:val="18"/>
                <w:szCs w:val="18"/>
              </w:rPr>
              <w:t>参加遴选的承保机构需提供近3年受表彰的证明</w:t>
            </w:r>
            <w:r>
              <w:rPr>
                <w:rFonts w:hint="eastAsia" w:ascii="宋体" w:hAnsi="宋体" w:eastAsia="宋体" w:cs="宋体"/>
                <w:spacing w:val="10"/>
                <w:sz w:val="18"/>
                <w:szCs w:val="18"/>
              </w:rPr>
              <w:t>材料复印件、试点项目</w:t>
            </w:r>
            <w:r>
              <w:rPr>
                <w:rFonts w:hint="eastAsia" w:ascii="宋体" w:hAnsi="宋体" w:eastAsia="宋体" w:cs="宋体"/>
                <w:spacing w:val="9"/>
                <w:sz w:val="18"/>
                <w:szCs w:val="18"/>
              </w:rPr>
              <w:t>或任务的证明材料复印件并加盖参加</w:t>
            </w:r>
            <w:r>
              <w:rPr>
                <w:rFonts w:hint="eastAsia" w:ascii="宋体" w:hAnsi="宋体" w:eastAsia="宋体" w:cs="宋体"/>
                <w:spacing w:val="9"/>
                <w:sz w:val="18"/>
                <w:szCs w:val="18"/>
                <w:lang w:eastAsia="zh-CN"/>
              </w:rPr>
              <w:t>遴选</w:t>
            </w:r>
            <w:r>
              <w:rPr>
                <w:rFonts w:hint="eastAsia" w:ascii="宋体" w:hAnsi="宋体" w:eastAsia="宋体" w:cs="宋体"/>
                <w:spacing w:val="9"/>
                <w:sz w:val="18"/>
                <w:szCs w:val="18"/>
              </w:rPr>
              <w:t>的承保机构公章。如提供虚假</w:t>
            </w:r>
            <w:r>
              <w:rPr>
                <w:rFonts w:hint="eastAsia" w:ascii="宋体" w:hAnsi="宋体" w:eastAsia="宋体" w:cs="宋体"/>
                <w:spacing w:val="17"/>
                <w:sz w:val="18"/>
                <w:szCs w:val="18"/>
              </w:rPr>
              <w:t>材料，则中选资格作废。</w:t>
            </w:r>
          </w:p>
        </w:tc>
      </w:tr>
      <w:tr w14:paraId="6D6DC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85" w:type="dxa"/>
            <w:noWrap w:val="0"/>
            <w:vAlign w:val="center"/>
          </w:tcPr>
          <w:p w14:paraId="5744C955">
            <w:pPr>
              <w:keepNext w:val="0"/>
              <w:keepLines w:val="0"/>
              <w:pageBreakBefore w:val="0"/>
              <w:kinsoku/>
              <w:wordWrap/>
              <w:overflowPunct/>
              <w:topLinePunct w:val="0"/>
              <w:autoSpaceDE/>
              <w:autoSpaceDN/>
              <w:bidi w:val="0"/>
              <w:adjustRightInd/>
              <w:snapToGrid/>
              <w:spacing w:line="183" w:lineRule="auto"/>
              <w:ind w:left="0" w:right="0"/>
              <w:jc w:val="center"/>
              <w:outlineLvl w:val="9"/>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13</w:t>
            </w:r>
          </w:p>
        </w:tc>
        <w:tc>
          <w:tcPr>
            <w:tcW w:w="734" w:type="dxa"/>
            <w:vMerge w:val="restart"/>
            <w:noWrap w:val="0"/>
            <w:vAlign w:val="center"/>
          </w:tcPr>
          <w:p w14:paraId="7FF18866">
            <w:pPr>
              <w:keepNext w:val="0"/>
              <w:keepLines w:val="0"/>
              <w:pageBreakBefore w:val="0"/>
              <w:kinsoku/>
              <w:wordWrap/>
              <w:overflowPunct/>
              <w:topLinePunct w:val="0"/>
              <w:autoSpaceDE/>
              <w:autoSpaceDN/>
              <w:bidi w:val="0"/>
              <w:adjustRightInd/>
              <w:snapToGrid/>
              <w:ind w:left="0" w:right="0"/>
              <w:jc w:val="center"/>
              <w:outlineLvl w:val="9"/>
              <w:rPr>
                <w:rFonts w:hint="eastAsia" w:ascii="宋体" w:hAnsi="宋体" w:eastAsia="宋体" w:cs="宋体"/>
                <w:sz w:val="18"/>
                <w:szCs w:val="18"/>
              </w:rPr>
            </w:pPr>
            <w:r>
              <w:rPr>
                <w:rFonts w:hint="eastAsia" w:ascii="宋体" w:hAnsi="宋体" w:eastAsia="宋体" w:cs="宋体"/>
                <w:sz w:val="18"/>
                <w:szCs w:val="18"/>
              </w:rPr>
              <w:t>合规经营及风险管控能力</w:t>
            </w:r>
          </w:p>
          <w:p w14:paraId="2ACA2EDD">
            <w:pPr>
              <w:keepNext w:val="0"/>
              <w:keepLines w:val="0"/>
              <w:pageBreakBefore w:val="0"/>
              <w:kinsoku/>
              <w:wordWrap/>
              <w:overflowPunct/>
              <w:topLinePunct w:val="0"/>
              <w:autoSpaceDE/>
              <w:autoSpaceDN/>
              <w:bidi w:val="0"/>
              <w:adjustRightInd/>
              <w:snapToGrid/>
              <w:ind w:left="0" w:right="0"/>
              <w:jc w:val="center"/>
              <w:outlineLvl w:val="9"/>
              <w:rPr>
                <w:rFonts w:hint="eastAsia" w:ascii="宋体" w:hAnsi="宋体" w:eastAsia="宋体" w:cs="宋体"/>
                <w:sz w:val="18"/>
                <w:szCs w:val="18"/>
              </w:rPr>
            </w:pPr>
            <w:r>
              <w:rPr>
                <w:rFonts w:hint="eastAsia" w:ascii="宋体" w:hAnsi="宋体" w:eastAsia="宋体" w:cs="宋体"/>
                <w:sz w:val="18"/>
                <w:szCs w:val="18"/>
              </w:rPr>
              <w:t>20分</w:t>
            </w:r>
          </w:p>
        </w:tc>
        <w:tc>
          <w:tcPr>
            <w:tcW w:w="886" w:type="dxa"/>
            <w:tcBorders>
              <w:top w:val="single" w:color="auto" w:sz="4" w:space="0"/>
              <w:bottom w:val="single" w:color="auto" w:sz="4" w:space="0"/>
            </w:tcBorders>
            <w:noWrap w:val="0"/>
            <w:vAlign w:val="center"/>
          </w:tcPr>
          <w:p w14:paraId="6F13A764">
            <w:pPr>
              <w:keepNext w:val="0"/>
              <w:keepLines w:val="0"/>
              <w:pageBreakBefore w:val="0"/>
              <w:kinsoku/>
              <w:wordWrap/>
              <w:overflowPunct/>
              <w:topLinePunct w:val="0"/>
              <w:autoSpaceDE/>
              <w:autoSpaceDN/>
              <w:bidi w:val="0"/>
              <w:adjustRightInd/>
              <w:snapToGrid/>
              <w:spacing w:line="220" w:lineRule="auto"/>
              <w:ind w:left="0" w:right="0"/>
              <w:jc w:val="center"/>
              <w:outlineLvl w:val="9"/>
              <w:rPr>
                <w:rFonts w:hint="eastAsia" w:ascii="宋体" w:hAnsi="宋体" w:eastAsia="宋体" w:cs="宋体"/>
                <w:spacing w:val="-2"/>
                <w:sz w:val="18"/>
                <w:szCs w:val="18"/>
                <w:lang w:eastAsia="zh-CN"/>
              </w:rPr>
            </w:pPr>
            <w:r>
              <w:rPr>
                <w:rFonts w:hint="eastAsia" w:ascii="宋体" w:hAnsi="宋体" w:eastAsia="宋体" w:cs="宋体"/>
                <w:spacing w:val="3"/>
                <w:sz w:val="18"/>
                <w:szCs w:val="18"/>
              </w:rPr>
              <w:t>综合费</w:t>
            </w:r>
            <w:r>
              <w:rPr>
                <w:rFonts w:hint="eastAsia" w:ascii="宋体" w:hAnsi="宋体" w:eastAsia="宋体" w:cs="宋体"/>
                <w:spacing w:val="-3"/>
                <w:sz w:val="18"/>
                <w:szCs w:val="18"/>
              </w:rPr>
              <w:t>用率</w:t>
            </w:r>
            <w:r>
              <w:rPr>
                <w:rFonts w:hint="eastAsia" w:ascii="宋体" w:hAnsi="宋体" w:eastAsia="宋体" w:cs="宋体"/>
                <w:spacing w:val="-2"/>
                <w:sz w:val="18"/>
                <w:szCs w:val="18"/>
              </w:rPr>
              <w:t>3分</w:t>
            </w:r>
          </w:p>
        </w:tc>
        <w:tc>
          <w:tcPr>
            <w:tcW w:w="648" w:type="dxa"/>
            <w:noWrap w:val="0"/>
            <w:vAlign w:val="center"/>
          </w:tcPr>
          <w:p w14:paraId="1D0D23CC">
            <w:pPr>
              <w:keepNext w:val="0"/>
              <w:keepLines w:val="0"/>
              <w:pageBreakBefore w:val="0"/>
              <w:kinsoku/>
              <w:wordWrap/>
              <w:overflowPunct/>
              <w:topLinePunct w:val="0"/>
              <w:autoSpaceDE/>
              <w:autoSpaceDN/>
              <w:bidi w:val="0"/>
              <w:adjustRightInd/>
              <w:snapToGrid/>
              <w:spacing w:line="183" w:lineRule="auto"/>
              <w:ind w:left="0" w:leftChars="0" w:right="0"/>
              <w:jc w:val="center"/>
              <w:outlineLvl w:val="9"/>
              <w:rPr>
                <w:rFonts w:hint="eastAsia" w:ascii="宋体" w:hAnsi="宋体" w:eastAsia="宋体" w:cs="宋体"/>
                <w:sz w:val="18"/>
                <w:szCs w:val="18"/>
                <w:lang w:val="en-US" w:eastAsia="zh-CN"/>
              </w:rPr>
            </w:pPr>
            <w:r>
              <w:rPr>
                <w:rFonts w:hint="eastAsia" w:ascii="宋体" w:hAnsi="宋体" w:eastAsia="宋体" w:cs="宋体"/>
                <w:sz w:val="18"/>
                <w:szCs w:val="18"/>
              </w:rPr>
              <w:t>3</w:t>
            </w:r>
          </w:p>
        </w:tc>
        <w:tc>
          <w:tcPr>
            <w:tcW w:w="5598" w:type="dxa"/>
            <w:noWrap w:val="0"/>
            <w:vAlign w:val="top"/>
          </w:tcPr>
          <w:p w14:paraId="535E697D">
            <w:pPr>
              <w:keepNext w:val="0"/>
              <w:keepLines w:val="0"/>
              <w:pageBreakBefore w:val="0"/>
              <w:kinsoku/>
              <w:wordWrap/>
              <w:overflowPunct/>
              <w:topLinePunct w:val="0"/>
              <w:autoSpaceDE/>
              <w:autoSpaceDN/>
              <w:bidi w:val="0"/>
              <w:adjustRightInd/>
              <w:snapToGrid/>
              <w:spacing w:line="237" w:lineRule="auto"/>
              <w:ind w:left="0" w:leftChars="0" w:right="0" w:rightChars="0" w:firstLine="20" w:firstLineChars="0"/>
              <w:rPr>
                <w:rFonts w:hint="eastAsia" w:ascii="宋体" w:hAnsi="宋体" w:eastAsia="宋体" w:cs="宋体"/>
                <w:spacing w:val="9"/>
                <w:sz w:val="18"/>
                <w:szCs w:val="18"/>
              </w:rPr>
            </w:pPr>
            <w:r>
              <w:rPr>
                <w:rFonts w:hint="eastAsia" w:ascii="宋体" w:hAnsi="宋体" w:eastAsia="宋体" w:cs="宋体"/>
                <w:spacing w:val="-1"/>
                <w:sz w:val="18"/>
                <w:szCs w:val="18"/>
              </w:rPr>
              <w:t>参加遴选的承保机构省级分公司近3年农业保险平均综合</w:t>
            </w:r>
            <w:r>
              <w:rPr>
                <w:rFonts w:hint="eastAsia" w:ascii="宋体" w:hAnsi="宋体" w:eastAsia="宋体" w:cs="宋体"/>
                <w:spacing w:val="17"/>
                <w:sz w:val="18"/>
                <w:szCs w:val="18"/>
              </w:rPr>
              <w:t>费用率，20%(含)以下计3分，20-25%(含)计2分，</w:t>
            </w:r>
            <w:r>
              <w:rPr>
                <w:rFonts w:hint="eastAsia" w:ascii="宋体" w:hAnsi="宋体" w:eastAsia="宋体" w:cs="宋体"/>
                <w:spacing w:val="13"/>
                <w:sz w:val="18"/>
                <w:szCs w:val="18"/>
              </w:rPr>
              <w:t>25-30%(含)计1分，30%以上不计分。</w:t>
            </w:r>
          </w:p>
        </w:tc>
        <w:tc>
          <w:tcPr>
            <w:tcW w:w="5598" w:type="dxa"/>
            <w:noWrap w:val="0"/>
            <w:vAlign w:val="top"/>
          </w:tcPr>
          <w:p w14:paraId="30A2ECA0">
            <w:pPr>
              <w:keepNext w:val="0"/>
              <w:keepLines w:val="0"/>
              <w:pageBreakBefore w:val="0"/>
              <w:kinsoku/>
              <w:wordWrap/>
              <w:overflowPunct/>
              <w:topLinePunct w:val="0"/>
              <w:autoSpaceDE/>
              <w:autoSpaceDN/>
              <w:bidi w:val="0"/>
              <w:adjustRightInd/>
              <w:snapToGrid/>
              <w:spacing w:line="235" w:lineRule="auto"/>
              <w:ind w:left="0" w:leftChars="0" w:right="0" w:rightChars="0" w:firstLine="19" w:firstLineChars="0"/>
              <w:jc w:val="both"/>
              <w:rPr>
                <w:rFonts w:hint="eastAsia" w:ascii="宋体" w:hAnsi="宋体" w:eastAsia="宋体" w:cs="宋体"/>
                <w:spacing w:val="11"/>
                <w:sz w:val="18"/>
                <w:szCs w:val="18"/>
              </w:rPr>
            </w:pPr>
            <w:r>
              <w:rPr>
                <w:rFonts w:hint="eastAsia" w:ascii="宋体" w:hAnsi="宋体" w:eastAsia="宋体" w:cs="宋体"/>
                <w:spacing w:val="12"/>
                <w:sz w:val="18"/>
                <w:szCs w:val="18"/>
              </w:rPr>
              <w:t>综合费用率=(业务及管理费用+手续费及佣金支出+分保费用+营业税金及附加-摊回分保费用)/(本年自留保费-提取未到期责任准备金)。</w:t>
            </w:r>
            <w:r>
              <w:rPr>
                <w:rFonts w:hint="eastAsia" w:ascii="宋体" w:hAnsi="宋体" w:eastAsia="宋体" w:cs="宋体"/>
                <w:spacing w:val="10"/>
                <w:sz w:val="18"/>
                <w:szCs w:val="18"/>
              </w:rPr>
              <w:t>由参加遴选的承保机构提供省级公司农业保险综合费用率相关财务指</w:t>
            </w:r>
            <w:r>
              <w:rPr>
                <w:rFonts w:hint="eastAsia" w:ascii="宋体" w:hAnsi="宋体" w:eastAsia="宋体" w:cs="宋体"/>
                <w:spacing w:val="17"/>
                <w:sz w:val="18"/>
                <w:szCs w:val="18"/>
              </w:rPr>
              <w:t>标证明材料，并加盖公章。</w:t>
            </w:r>
          </w:p>
        </w:tc>
      </w:tr>
      <w:tr w14:paraId="1D50C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85" w:type="dxa"/>
            <w:noWrap w:val="0"/>
            <w:vAlign w:val="center"/>
          </w:tcPr>
          <w:p w14:paraId="531C4DB2">
            <w:pPr>
              <w:keepNext w:val="0"/>
              <w:keepLines w:val="0"/>
              <w:pageBreakBefore w:val="0"/>
              <w:kinsoku/>
              <w:wordWrap/>
              <w:overflowPunct/>
              <w:topLinePunct w:val="0"/>
              <w:autoSpaceDE/>
              <w:autoSpaceDN/>
              <w:bidi w:val="0"/>
              <w:adjustRightInd/>
              <w:snapToGrid/>
              <w:spacing w:line="183" w:lineRule="auto"/>
              <w:ind w:left="0" w:right="0"/>
              <w:jc w:val="center"/>
              <w:outlineLvl w:val="9"/>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14</w:t>
            </w:r>
          </w:p>
        </w:tc>
        <w:tc>
          <w:tcPr>
            <w:tcW w:w="734" w:type="dxa"/>
            <w:vMerge w:val="continue"/>
            <w:noWrap w:val="0"/>
            <w:vAlign w:val="center"/>
          </w:tcPr>
          <w:p w14:paraId="4C88F47D">
            <w:pPr>
              <w:keepNext w:val="0"/>
              <w:keepLines w:val="0"/>
              <w:pageBreakBefore w:val="0"/>
              <w:kinsoku/>
              <w:wordWrap/>
              <w:overflowPunct/>
              <w:topLinePunct w:val="0"/>
              <w:autoSpaceDE/>
              <w:autoSpaceDN/>
              <w:bidi w:val="0"/>
              <w:adjustRightInd/>
              <w:snapToGrid/>
              <w:ind w:left="0" w:right="0"/>
              <w:jc w:val="center"/>
              <w:outlineLvl w:val="9"/>
              <w:rPr>
                <w:rFonts w:hint="eastAsia" w:ascii="宋体" w:hAnsi="宋体" w:eastAsia="宋体" w:cs="宋体"/>
                <w:sz w:val="18"/>
                <w:szCs w:val="18"/>
              </w:rPr>
            </w:pPr>
          </w:p>
        </w:tc>
        <w:tc>
          <w:tcPr>
            <w:tcW w:w="886" w:type="dxa"/>
            <w:tcBorders>
              <w:top w:val="single" w:color="auto" w:sz="4" w:space="0"/>
              <w:bottom w:val="single" w:color="auto" w:sz="4" w:space="0"/>
            </w:tcBorders>
            <w:noWrap w:val="0"/>
            <w:vAlign w:val="center"/>
          </w:tcPr>
          <w:p w14:paraId="719641E4">
            <w:pPr>
              <w:keepNext w:val="0"/>
              <w:keepLines w:val="0"/>
              <w:pageBreakBefore w:val="0"/>
              <w:kinsoku/>
              <w:wordWrap/>
              <w:overflowPunct/>
              <w:topLinePunct w:val="0"/>
              <w:autoSpaceDE/>
              <w:autoSpaceDN/>
              <w:bidi w:val="0"/>
              <w:adjustRightInd/>
              <w:snapToGrid/>
              <w:spacing w:line="229" w:lineRule="auto"/>
              <w:ind w:left="0" w:right="0"/>
              <w:jc w:val="center"/>
              <w:outlineLvl w:val="9"/>
              <w:rPr>
                <w:rFonts w:hint="eastAsia" w:ascii="宋体" w:hAnsi="宋体" w:eastAsia="宋体" w:cs="宋体"/>
                <w:spacing w:val="2"/>
                <w:sz w:val="18"/>
                <w:szCs w:val="18"/>
              </w:rPr>
            </w:pPr>
            <w:r>
              <w:rPr>
                <w:rFonts w:hint="eastAsia" w:ascii="宋体" w:hAnsi="宋体" w:eastAsia="宋体" w:cs="宋体"/>
                <w:spacing w:val="-2"/>
                <w:sz w:val="18"/>
                <w:szCs w:val="18"/>
              </w:rPr>
              <w:t>监管检</w:t>
            </w:r>
            <w:r>
              <w:rPr>
                <w:rFonts w:hint="eastAsia" w:ascii="宋体" w:hAnsi="宋体" w:eastAsia="宋体" w:cs="宋体"/>
                <w:spacing w:val="-3"/>
                <w:sz w:val="18"/>
                <w:szCs w:val="18"/>
              </w:rPr>
              <w:t>查</w:t>
            </w:r>
            <w:r>
              <w:rPr>
                <w:rFonts w:hint="eastAsia" w:ascii="宋体" w:hAnsi="宋体" w:eastAsia="宋体" w:cs="宋体"/>
                <w:spacing w:val="-3"/>
                <w:sz w:val="18"/>
                <w:szCs w:val="18"/>
                <w:lang w:eastAsia="zh-CN"/>
              </w:rPr>
              <w:t>及</w:t>
            </w:r>
            <w:r>
              <w:rPr>
                <w:rFonts w:hint="eastAsia" w:ascii="宋体" w:hAnsi="宋体" w:eastAsia="宋体" w:cs="宋体"/>
                <w:spacing w:val="-3"/>
                <w:sz w:val="18"/>
                <w:szCs w:val="18"/>
              </w:rPr>
              <w:t>处</w:t>
            </w:r>
            <w:r>
              <w:rPr>
                <w:rFonts w:hint="eastAsia" w:ascii="宋体" w:hAnsi="宋体" w:eastAsia="宋体" w:cs="宋体"/>
                <w:spacing w:val="2"/>
                <w:sz w:val="18"/>
                <w:szCs w:val="18"/>
              </w:rPr>
              <w:t>罚</w:t>
            </w:r>
          </w:p>
          <w:p w14:paraId="3EDBDEB1">
            <w:pPr>
              <w:keepNext w:val="0"/>
              <w:keepLines w:val="0"/>
              <w:pageBreakBefore w:val="0"/>
              <w:kinsoku/>
              <w:wordWrap/>
              <w:overflowPunct/>
              <w:topLinePunct w:val="0"/>
              <w:autoSpaceDE/>
              <w:autoSpaceDN/>
              <w:bidi w:val="0"/>
              <w:adjustRightInd/>
              <w:snapToGrid/>
              <w:spacing w:line="229" w:lineRule="auto"/>
              <w:ind w:left="0" w:right="0"/>
              <w:jc w:val="center"/>
              <w:outlineLvl w:val="9"/>
              <w:rPr>
                <w:rFonts w:hint="eastAsia" w:ascii="宋体" w:hAnsi="宋体" w:eastAsia="宋体" w:cs="宋体"/>
                <w:spacing w:val="-2"/>
                <w:sz w:val="18"/>
                <w:szCs w:val="18"/>
                <w:lang w:eastAsia="zh-CN"/>
              </w:rPr>
            </w:pPr>
            <w:r>
              <w:rPr>
                <w:rFonts w:hint="eastAsia" w:ascii="宋体" w:hAnsi="宋体" w:eastAsia="宋体" w:cs="宋体"/>
                <w:spacing w:val="2"/>
                <w:sz w:val="18"/>
                <w:szCs w:val="18"/>
              </w:rPr>
              <w:t>5分</w:t>
            </w:r>
          </w:p>
        </w:tc>
        <w:tc>
          <w:tcPr>
            <w:tcW w:w="648" w:type="dxa"/>
            <w:noWrap w:val="0"/>
            <w:vAlign w:val="center"/>
          </w:tcPr>
          <w:p w14:paraId="62FD6EBF">
            <w:pPr>
              <w:keepNext w:val="0"/>
              <w:keepLines w:val="0"/>
              <w:pageBreakBefore w:val="0"/>
              <w:kinsoku/>
              <w:wordWrap/>
              <w:overflowPunct/>
              <w:topLinePunct w:val="0"/>
              <w:autoSpaceDE/>
              <w:autoSpaceDN/>
              <w:bidi w:val="0"/>
              <w:adjustRightInd/>
              <w:snapToGrid/>
              <w:spacing w:line="182" w:lineRule="auto"/>
              <w:ind w:left="0" w:leftChars="0" w:right="0"/>
              <w:jc w:val="center"/>
              <w:outlineLvl w:val="9"/>
              <w:rPr>
                <w:rFonts w:hint="eastAsia" w:ascii="宋体" w:hAnsi="宋体" w:eastAsia="宋体" w:cs="宋体"/>
                <w:sz w:val="18"/>
                <w:szCs w:val="18"/>
                <w:lang w:val="en-US" w:eastAsia="zh-CN"/>
              </w:rPr>
            </w:pPr>
            <w:r>
              <w:rPr>
                <w:rFonts w:hint="eastAsia" w:ascii="宋体" w:hAnsi="宋体" w:eastAsia="宋体" w:cs="宋体"/>
                <w:sz w:val="18"/>
                <w:szCs w:val="18"/>
              </w:rPr>
              <w:t>5</w:t>
            </w:r>
          </w:p>
        </w:tc>
        <w:tc>
          <w:tcPr>
            <w:tcW w:w="5598" w:type="dxa"/>
            <w:noWrap w:val="0"/>
            <w:vAlign w:val="top"/>
          </w:tcPr>
          <w:p w14:paraId="00689A6B">
            <w:pPr>
              <w:keepNext w:val="0"/>
              <w:keepLines w:val="0"/>
              <w:pageBreakBefore w:val="0"/>
              <w:kinsoku/>
              <w:wordWrap/>
              <w:overflowPunct/>
              <w:topLinePunct w:val="0"/>
              <w:autoSpaceDE/>
              <w:autoSpaceDN/>
              <w:bidi w:val="0"/>
              <w:adjustRightInd/>
              <w:snapToGrid/>
              <w:spacing w:line="246" w:lineRule="auto"/>
              <w:ind w:left="0" w:leftChars="0" w:right="0"/>
              <w:rPr>
                <w:rFonts w:hint="eastAsia" w:ascii="宋体" w:hAnsi="宋体" w:eastAsia="宋体" w:cs="宋体"/>
                <w:spacing w:val="9"/>
                <w:sz w:val="18"/>
                <w:szCs w:val="18"/>
              </w:rPr>
            </w:pPr>
            <w:r>
              <w:rPr>
                <w:rFonts w:hint="eastAsia" w:ascii="宋体" w:hAnsi="宋体" w:eastAsia="宋体" w:cs="宋体"/>
                <w:spacing w:val="8"/>
                <w:sz w:val="18"/>
                <w:szCs w:val="18"/>
              </w:rPr>
              <w:t>参加</w:t>
            </w:r>
            <w:r>
              <w:rPr>
                <w:rFonts w:hint="eastAsia" w:ascii="宋体" w:hAnsi="宋体" w:eastAsia="宋体" w:cs="宋体"/>
                <w:spacing w:val="8"/>
                <w:sz w:val="18"/>
                <w:szCs w:val="18"/>
                <w:lang w:eastAsia="zh-CN"/>
              </w:rPr>
              <w:t>遴选</w:t>
            </w:r>
            <w:r>
              <w:rPr>
                <w:rFonts w:hint="eastAsia" w:ascii="宋体" w:hAnsi="宋体" w:eastAsia="宋体" w:cs="宋体"/>
                <w:spacing w:val="8"/>
                <w:sz w:val="18"/>
                <w:szCs w:val="18"/>
              </w:rPr>
              <w:t>的承保机构近3年被财政、审计、银保监、</w:t>
            </w:r>
            <w:r>
              <w:rPr>
                <w:rFonts w:hint="eastAsia" w:ascii="宋体" w:hAnsi="宋体" w:eastAsia="宋体" w:cs="宋体"/>
                <w:spacing w:val="7"/>
                <w:sz w:val="18"/>
                <w:szCs w:val="18"/>
              </w:rPr>
              <w:t>税务、</w:t>
            </w:r>
            <w:r>
              <w:rPr>
                <w:rFonts w:hint="eastAsia" w:ascii="宋体" w:hAnsi="宋体" w:eastAsia="宋体" w:cs="宋体"/>
                <w:spacing w:val="6"/>
                <w:sz w:val="18"/>
                <w:szCs w:val="18"/>
              </w:rPr>
              <w:t>农业农村等部门检查发现农业保险违规问题、严重损害农</w:t>
            </w:r>
            <w:r>
              <w:rPr>
                <w:rFonts w:hint="eastAsia" w:ascii="宋体" w:hAnsi="宋体" w:eastAsia="宋体" w:cs="宋体"/>
                <w:spacing w:val="7"/>
                <w:sz w:val="18"/>
                <w:szCs w:val="18"/>
              </w:rPr>
              <w:t>民利益造成上访或被省级以上媒体、门户网站曝光负面</w:t>
            </w:r>
            <w:r>
              <w:rPr>
                <w:rFonts w:hint="eastAsia" w:ascii="宋体" w:hAnsi="宋体" w:eastAsia="宋体" w:cs="宋体"/>
                <w:spacing w:val="6"/>
                <w:sz w:val="18"/>
                <w:szCs w:val="18"/>
              </w:rPr>
              <w:t>事</w:t>
            </w:r>
            <w:r>
              <w:rPr>
                <w:rFonts w:hint="eastAsia" w:ascii="宋体" w:hAnsi="宋体" w:eastAsia="宋体" w:cs="宋体"/>
                <w:spacing w:val="14"/>
                <w:sz w:val="18"/>
                <w:szCs w:val="18"/>
              </w:rPr>
              <w:t>件的每一项扣1分，扣完为止。相关问题只涉及3个(含)</w:t>
            </w:r>
            <w:r>
              <w:rPr>
                <w:rFonts w:hint="eastAsia" w:ascii="宋体" w:hAnsi="宋体" w:eastAsia="宋体" w:cs="宋体"/>
                <w:spacing w:val="7"/>
                <w:sz w:val="18"/>
                <w:szCs w:val="18"/>
              </w:rPr>
              <w:t>以下县市区的，只在存在问题的参选地区扣分；涉及3个</w:t>
            </w:r>
            <w:r>
              <w:rPr>
                <w:rFonts w:hint="eastAsia" w:ascii="宋体" w:hAnsi="宋体" w:eastAsia="宋体" w:cs="宋体"/>
                <w:spacing w:val="11"/>
                <w:sz w:val="18"/>
                <w:szCs w:val="18"/>
              </w:rPr>
              <w:t>以上县市区的，在全省范围内扣分。</w:t>
            </w:r>
          </w:p>
        </w:tc>
        <w:tc>
          <w:tcPr>
            <w:tcW w:w="5598" w:type="dxa"/>
            <w:noWrap w:val="0"/>
            <w:vAlign w:val="top"/>
          </w:tcPr>
          <w:p w14:paraId="7FA45C70">
            <w:pPr>
              <w:keepNext w:val="0"/>
              <w:keepLines w:val="0"/>
              <w:pageBreakBefore w:val="0"/>
              <w:kinsoku/>
              <w:wordWrap/>
              <w:overflowPunct/>
              <w:topLinePunct w:val="0"/>
              <w:autoSpaceDE/>
              <w:autoSpaceDN/>
              <w:bidi w:val="0"/>
              <w:adjustRightInd/>
              <w:snapToGrid/>
              <w:spacing w:line="254" w:lineRule="auto"/>
              <w:ind w:left="0" w:leftChars="0" w:right="0"/>
              <w:jc w:val="both"/>
              <w:rPr>
                <w:rFonts w:hint="eastAsia" w:ascii="宋体" w:hAnsi="宋体" w:eastAsia="宋体" w:cs="宋体"/>
                <w:spacing w:val="11"/>
                <w:sz w:val="18"/>
                <w:szCs w:val="18"/>
              </w:rPr>
            </w:pPr>
            <w:r>
              <w:rPr>
                <w:rFonts w:hint="eastAsia" w:ascii="宋体" w:hAnsi="宋体" w:eastAsia="宋体" w:cs="宋体"/>
                <w:spacing w:val="7"/>
                <w:sz w:val="18"/>
                <w:szCs w:val="18"/>
              </w:rPr>
              <w:t>违规问题以检查报告、审计报告、处罚文件以及监管通报等为准，同一</w:t>
            </w:r>
            <w:r>
              <w:rPr>
                <w:rFonts w:hint="eastAsia" w:ascii="宋体" w:hAnsi="宋体" w:eastAsia="宋体" w:cs="宋体"/>
                <w:spacing w:val="4"/>
                <w:sz w:val="18"/>
                <w:szCs w:val="18"/>
              </w:rPr>
              <w:t>违规事实或负面事件不重复扣分。如隐瞒不报或少报</w:t>
            </w:r>
            <w:r>
              <w:rPr>
                <w:rFonts w:hint="eastAsia" w:ascii="宋体" w:hAnsi="宋体" w:eastAsia="宋体" w:cs="宋体"/>
                <w:spacing w:val="3"/>
                <w:sz w:val="18"/>
                <w:szCs w:val="18"/>
              </w:rPr>
              <w:t>，则中选资格作废。</w:t>
            </w:r>
            <w:r>
              <w:rPr>
                <w:rFonts w:hint="eastAsia" w:ascii="宋体" w:hAnsi="宋体" w:eastAsia="宋体" w:cs="宋体"/>
                <w:spacing w:val="12"/>
                <w:sz w:val="18"/>
                <w:szCs w:val="18"/>
              </w:rPr>
              <w:t>违规问题以报告或文件下达的时间为准。</w:t>
            </w:r>
          </w:p>
        </w:tc>
      </w:tr>
      <w:tr w14:paraId="54B1E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85" w:type="dxa"/>
            <w:noWrap w:val="0"/>
            <w:vAlign w:val="center"/>
          </w:tcPr>
          <w:p w14:paraId="18AFA44C">
            <w:pPr>
              <w:keepNext w:val="0"/>
              <w:keepLines w:val="0"/>
              <w:pageBreakBefore w:val="0"/>
              <w:kinsoku/>
              <w:wordWrap/>
              <w:overflowPunct/>
              <w:topLinePunct w:val="0"/>
              <w:autoSpaceDE/>
              <w:autoSpaceDN/>
              <w:bidi w:val="0"/>
              <w:adjustRightInd/>
              <w:snapToGrid/>
              <w:spacing w:line="183" w:lineRule="auto"/>
              <w:ind w:left="0" w:right="0"/>
              <w:jc w:val="center"/>
              <w:outlineLvl w:val="9"/>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w:t>
            </w:r>
          </w:p>
        </w:tc>
        <w:tc>
          <w:tcPr>
            <w:tcW w:w="734" w:type="dxa"/>
            <w:vMerge w:val="continue"/>
            <w:noWrap w:val="0"/>
            <w:vAlign w:val="center"/>
          </w:tcPr>
          <w:p w14:paraId="5984B34F">
            <w:pPr>
              <w:keepNext w:val="0"/>
              <w:keepLines w:val="0"/>
              <w:pageBreakBefore w:val="0"/>
              <w:kinsoku/>
              <w:wordWrap/>
              <w:overflowPunct/>
              <w:topLinePunct w:val="0"/>
              <w:autoSpaceDE/>
              <w:autoSpaceDN/>
              <w:bidi w:val="0"/>
              <w:adjustRightInd/>
              <w:snapToGrid/>
              <w:ind w:left="0" w:right="0"/>
              <w:jc w:val="center"/>
              <w:outlineLvl w:val="9"/>
              <w:rPr>
                <w:rFonts w:hint="eastAsia" w:ascii="宋体" w:hAnsi="宋体" w:eastAsia="宋体" w:cs="宋体"/>
                <w:sz w:val="18"/>
                <w:szCs w:val="18"/>
              </w:rPr>
            </w:pPr>
          </w:p>
        </w:tc>
        <w:tc>
          <w:tcPr>
            <w:tcW w:w="886" w:type="dxa"/>
            <w:tcBorders>
              <w:top w:val="single" w:color="auto" w:sz="4" w:space="0"/>
              <w:bottom w:val="single" w:color="auto" w:sz="4" w:space="0"/>
            </w:tcBorders>
            <w:noWrap w:val="0"/>
            <w:vAlign w:val="center"/>
          </w:tcPr>
          <w:p w14:paraId="0B19B9C6">
            <w:pPr>
              <w:keepNext w:val="0"/>
              <w:keepLines w:val="0"/>
              <w:pageBreakBefore w:val="0"/>
              <w:kinsoku/>
              <w:wordWrap/>
              <w:overflowPunct/>
              <w:topLinePunct w:val="0"/>
              <w:autoSpaceDE/>
              <w:autoSpaceDN/>
              <w:bidi w:val="0"/>
              <w:adjustRightInd/>
              <w:snapToGrid/>
              <w:spacing w:line="222" w:lineRule="auto"/>
              <w:ind w:left="0" w:leftChars="0" w:right="0" w:rightChars="0"/>
              <w:jc w:val="center"/>
              <w:outlineLvl w:val="9"/>
              <w:rPr>
                <w:rFonts w:hint="eastAsia" w:ascii="宋体" w:hAnsi="宋体" w:eastAsia="宋体" w:cs="宋体"/>
                <w:spacing w:val="14"/>
                <w:sz w:val="18"/>
                <w:szCs w:val="18"/>
              </w:rPr>
            </w:pPr>
            <w:r>
              <w:rPr>
                <w:rFonts w:hint="eastAsia" w:ascii="宋体" w:hAnsi="宋体" w:eastAsia="宋体" w:cs="宋体"/>
                <w:spacing w:val="-3"/>
                <w:sz w:val="18"/>
                <w:szCs w:val="18"/>
              </w:rPr>
              <w:t>亿元保</w:t>
            </w:r>
            <w:r>
              <w:rPr>
                <w:rFonts w:hint="eastAsia" w:ascii="宋体" w:hAnsi="宋体" w:eastAsia="宋体" w:cs="宋体"/>
                <w:spacing w:val="2"/>
                <w:sz w:val="18"/>
                <w:szCs w:val="18"/>
              </w:rPr>
              <w:t>费投诉</w:t>
            </w:r>
            <w:r>
              <w:rPr>
                <w:rFonts w:hint="eastAsia" w:ascii="宋体" w:hAnsi="宋体" w:eastAsia="宋体" w:cs="宋体"/>
                <w:spacing w:val="14"/>
                <w:sz w:val="18"/>
                <w:szCs w:val="18"/>
              </w:rPr>
              <w:t>量</w:t>
            </w:r>
          </w:p>
          <w:p w14:paraId="7E266496">
            <w:pPr>
              <w:keepNext w:val="0"/>
              <w:keepLines w:val="0"/>
              <w:pageBreakBefore w:val="0"/>
              <w:kinsoku/>
              <w:wordWrap/>
              <w:overflowPunct/>
              <w:topLinePunct w:val="0"/>
              <w:autoSpaceDE/>
              <w:autoSpaceDN/>
              <w:bidi w:val="0"/>
              <w:adjustRightInd/>
              <w:snapToGrid/>
              <w:spacing w:line="222" w:lineRule="auto"/>
              <w:ind w:left="0" w:leftChars="0" w:right="0" w:rightChars="0"/>
              <w:jc w:val="center"/>
              <w:outlineLvl w:val="9"/>
              <w:rPr>
                <w:rFonts w:hint="eastAsia" w:ascii="宋体" w:hAnsi="宋体" w:eastAsia="宋体" w:cs="宋体"/>
                <w:spacing w:val="-2"/>
                <w:sz w:val="18"/>
                <w:szCs w:val="18"/>
                <w:lang w:eastAsia="zh-CN"/>
              </w:rPr>
            </w:pPr>
            <w:r>
              <w:rPr>
                <w:rFonts w:hint="eastAsia" w:ascii="宋体" w:hAnsi="宋体" w:eastAsia="宋体" w:cs="宋体"/>
                <w:spacing w:val="14"/>
                <w:sz w:val="18"/>
                <w:szCs w:val="18"/>
              </w:rPr>
              <w:t>1分</w:t>
            </w:r>
          </w:p>
        </w:tc>
        <w:tc>
          <w:tcPr>
            <w:tcW w:w="648" w:type="dxa"/>
            <w:noWrap w:val="0"/>
            <w:vAlign w:val="center"/>
          </w:tcPr>
          <w:p w14:paraId="605A963D">
            <w:pPr>
              <w:keepNext w:val="0"/>
              <w:keepLines w:val="0"/>
              <w:pageBreakBefore w:val="0"/>
              <w:kinsoku/>
              <w:wordWrap/>
              <w:overflowPunct/>
              <w:topLinePunct w:val="0"/>
              <w:autoSpaceDE/>
              <w:autoSpaceDN/>
              <w:bidi w:val="0"/>
              <w:adjustRightInd/>
              <w:snapToGrid/>
              <w:spacing w:line="184" w:lineRule="auto"/>
              <w:ind w:left="0" w:leftChars="0" w:right="0"/>
              <w:jc w:val="center"/>
              <w:outlineLvl w:val="9"/>
              <w:rPr>
                <w:rFonts w:hint="eastAsia" w:ascii="宋体" w:hAnsi="宋体" w:eastAsia="宋体" w:cs="宋体"/>
                <w:sz w:val="18"/>
                <w:szCs w:val="18"/>
                <w:lang w:val="en-US" w:eastAsia="zh-CN"/>
              </w:rPr>
            </w:pPr>
            <w:r>
              <w:rPr>
                <w:rFonts w:hint="eastAsia" w:ascii="宋体" w:hAnsi="宋体" w:eastAsia="宋体" w:cs="宋体"/>
                <w:sz w:val="18"/>
                <w:szCs w:val="18"/>
              </w:rPr>
              <w:t>1</w:t>
            </w:r>
          </w:p>
        </w:tc>
        <w:tc>
          <w:tcPr>
            <w:tcW w:w="5598" w:type="dxa"/>
            <w:noWrap w:val="0"/>
            <w:vAlign w:val="top"/>
          </w:tcPr>
          <w:p w14:paraId="086CE571">
            <w:pPr>
              <w:keepNext w:val="0"/>
              <w:keepLines w:val="0"/>
              <w:pageBreakBefore w:val="0"/>
              <w:kinsoku/>
              <w:wordWrap/>
              <w:overflowPunct/>
              <w:topLinePunct w:val="0"/>
              <w:autoSpaceDE/>
              <w:autoSpaceDN/>
              <w:bidi w:val="0"/>
              <w:adjustRightInd/>
              <w:snapToGrid/>
              <w:spacing w:line="216" w:lineRule="auto"/>
              <w:ind w:left="0" w:leftChars="0" w:right="0" w:rightChars="0"/>
              <w:jc w:val="both"/>
              <w:rPr>
                <w:rFonts w:hint="eastAsia" w:ascii="宋体" w:hAnsi="宋体" w:eastAsia="宋体" w:cs="宋体"/>
                <w:spacing w:val="9"/>
                <w:sz w:val="18"/>
                <w:szCs w:val="18"/>
              </w:rPr>
            </w:pPr>
            <w:r>
              <w:rPr>
                <w:rFonts w:hint="eastAsia" w:ascii="宋体" w:hAnsi="宋体" w:eastAsia="宋体" w:cs="宋体"/>
                <w:spacing w:val="-1"/>
                <w:sz w:val="18"/>
                <w:szCs w:val="18"/>
              </w:rPr>
              <w:t>参加遴选的承保机构上年度辖内保险消费投诉情况。按投</w:t>
            </w:r>
            <w:r>
              <w:rPr>
                <w:rFonts w:hint="eastAsia" w:ascii="宋体" w:hAnsi="宋体" w:eastAsia="宋体" w:cs="宋体"/>
                <w:sz w:val="18"/>
                <w:szCs w:val="18"/>
              </w:rPr>
              <w:t>诉量从低到高排名，第一名得1分，按0.2</w:t>
            </w:r>
            <w:r>
              <w:rPr>
                <w:rFonts w:hint="eastAsia" w:ascii="宋体" w:hAnsi="宋体" w:eastAsia="宋体" w:cs="宋体"/>
                <w:spacing w:val="-1"/>
                <w:sz w:val="18"/>
                <w:szCs w:val="18"/>
              </w:rPr>
              <w:t>分依次递减，减</w:t>
            </w:r>
            <w:r>
              <w:rPr>
                <w:rFonts w:hint="eastAsia" w:ascii="宋体" w:hAnsi="宋体" w:eastAsia="宋体" w:cs="宋体"/>
                <w:sz w:val="18"/>
                <w:szCs w:val="18"/>
              </w:rPr>
              <w:t xml:space="preserve"> </w:t>
            </w:r>
            <w:r>
              <w:rPr>
                <w:rFonts w:hint="eastAsia" w:ascii="宋体" w:hAnsi="宋体" w:eastAsia="宋体" w:cs="宋体"/>
                <w:spacing w:val="18"/>
                <w:sz w:val="18"/>
                <w:szCs w:val="18"/>
              </w:rPr>
              <w:t>完为止</w:t>
            </w:r>
            <w:r>
              <w:rPr>
                <w:rFonts w:hint="eastAsia" w:ascii="宋体" w:hAnsi="宋体" w:eastAsia="宋体" w:cs="宋体"/>
                <w:spacing w:val="-47"/>
                <w:sz w:val="18"/>
                <w:szCs w:val="18"/>
              </w:rPr>
              <w:t xml:space="preserve"> </w:t>
            </w:r>
            <w:r>
              <w:rPr>
                <w:rFonts w:hint="eastAsia" w:ascii="宋体" w:hAnsi="宋体" w:eastAsia="宋体" w:cs="宋体"/>
                <w:spacing w:val="18"/>
                <w:sz w:val="18"/>
                <w:szCs w:val="18"/>
              </w:rPr>
              <w:t>。</w:t>
            </w:r>
          </w:p>
        </w:tc>
        <w:tc>
          <w:tcPr>
            <w:tcW w:w="5598" w:type="dxa"/>
            <w:noWrap w:val="0"/>
            <w:vAlign w:val="top"/>
          </w:tcPr>
          <w:p w14:paraId="1796FF84">
            <w:pPr>
              <w:keepNext w:val="0"/>
              <w:keepLines w:val="0"/>
              <w:pageBreakBefore w:val="0"/>
              <w:kinsoku/>
              <w:wordWrap/>
              <w:overflowPunct/>
              <w:topLinePunct w:val="0"/>
              <w:autoSpaceDE/>
              <w:autoSpaceDN/>
              <w:bidi w:val="0"/>
              <w:adjustRightInd/>
              <w:snapToGrid/>
              <w:spacing w:line="239" w:lineRule="auto"/>
              <w:ind w:left="0" w:leftChars="0" w:right="0" w:rightChars="0"/>
              <w:rPr>
                <w:rFonts w:hint="eastAsia" w:ascii="宋体" w:hAnsi="宋体" w:eastAsia="宋体" w:cs="宋体"/>
                <w:spacing w:val="11"/>
                <w:sz w:val="18"/>
                <w:szCs w:val="18"/>
              </w:rPr>
            </w:pPr>
            <w:r>
              <w:rPr>
                <w:rFonts w:hint="eastAsia" w:ascii="宋体" w:hAnsi="宋体" w:eastAsia="宋体" w:cs="宋体"/>
                <w:spacing w:val="1"/>
                <w:sz w:val="18"/>
                <w:szCs w:val="18"/>
              </w:rPr>
              <w:t>参加遴选的承保机构需提供由银保监部门认定的省级公</w:t>
            </w:r>
            <w:r>
              <w:rPr>
                <w:rFonts w:hint="eastAsia" w:ascii="宋体" w:hAnsi="宋体" w:eastAsia="宋体" w:cs="宋体"/>
                <w:sz w:val="18"/>
                <w:szCs w:val="18"/>
              </w:rPr>
              <w:t xml:space="preserve">司上年度辖内 </w:t>
            </w:r>
            <w:r>
              <w:rPr>
                <w:rFonts w:hint="eastAsia" w:ascii="宋体" w:hAnsi="宋体" w:eastAsia="宋体" w:cs="宋体"/>
                <w:spacing w:val="10"/>
                <w:sz w:val="18"/>
                <w:szCs w:val="18"/>
              </w:rPr>
              <w:t>亿元保费投诉情况。</w:t>
            </w:r>
          </w:p>
        </w:tc>
      </w:tr>
      <w:tr w14:paraId="745FC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85" w:type="dxa"/>
            <w:noWrap w:val="0"/>
            <w:vAlign w:val="center"/>
          </w:tcPr>
          <w:p w14:paraId="2B709DB4">
            <w:pPr>
              <w:keepNext w:val="0"/>
              <w:keepLines w:val="0"/>
              <w:pageBreakBefore w:val="0"/>
              <w:kinsoku/>
              <w:wordWrap/>
              <w:overflowPunct/>
              <w:topLinePunct w:val="0"/>
              <w:autoSpaceDE/>
              <w:autoSpaceDN/>
              <w:bidi w:val="0"/>
              <w:adjustRightInd/>
              <w:snapToGrid/>
              <w:spacing w:line="183" w:lineRule="auto"/>
              <w:ind w:left="0" w:right="0"/>
              <w:jc w:val="center"/>
              <w:outlineLvl w:val="9"/>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16</w:t>
            </w:r>
          </w:p>
        </w:tc>
        <w:tc>
          <w:tcPr>
            <w:tcW w:w="734" w:type="dxa"/>
            <w:vMerge w:val="continue"/>
            <w:noWrap w:val="0"/>
            <w:vAlign w:val="center"/>
          </w:tcPr>
          <w:p w14:paraId="17B31552">
            <w:pPr>
              <w:keepNext w:val="0"/>
              <w:keepLines w:val="0"/>
              <w:pageBreakBefore w:val="0"/>
              <w:kinsoku/>
              <w:wordWrap/>
              <w:overflowPunct/>
              <w:topLinePunct w:val="0"/>
              <w:autoSpaceDE/>
              <w:autoSpaceDN/>
              <w:bidi w:val="0"/>
              <w:adjustRightInd/>
              <w:snapToGrid/>
              <w:ind w:left="0" w:right="0"/>
              <w:jc w:val="center"/>
              <w:outlineLvl w:val="9"/>
              <w:rPr>
                <w:rFonts w:hint="eastAsia" w:ascii="宋体" w:hAnsi="宋体" w:eastAsia="宋体" w:cs="宋体"/>
                <w:sz w:val="18"/>
                <w:szCs w:val="18"/>
              </w:rPr>
            </w:pPr>
          </w:p>
        </w:tc>
        <w:tc>
          <w:tcPr>
            <w:tcW w:w="886" w:type="dxa"/>
            <w:tcBorders>
              <w:top w:val="single" w:color="auto" w:sz="4" w:space="0"/>
              <w:bottom w:val="single" w:color="auto" w:sz="4" w:space="0"/>
            </w:tcBorders>
            <w:noWrap w:val="0"/>
            <w:vAlign w:val="center"/>
          </w:tcPr>
          <w:p w14:paraId="4DEE192B">
            <w:pPr>
              <w:keepNext w:val="0"/>
              <w:keepLines w:val="0"/>
              <w:pageBreakBefore w:val="0"/>
              <w:kinsoku/>
              <w:wordWrap/>
              <w:overflowPunct/>
              <w:topLinePunct w:val="0"/>
              <w:autoSpaceDE/>
              <w:autoSpaceDN/>
              <w:bidi w:val="0"/>
              <w:adjustRightInd/>
              <w:snapToGrid/>
              <w:spacing w:line="236" w:lineRule="auto"/>
              <w:ind w:left="0" w:right="0"/>
              <w:jc w:val="center"/>
              <w:outlineLvl w:val="9"/>
              <w:rPr>
                <w:rFonts w:hint="eastAsia" w:ascii="宋体" w:hAnsi="宋体" w:eastAsia="宋体" w:cs="宋体"/>
                <w:spacing w:val="-2"/>
                <w:sz w:val="18"/>
                <w:szCs w:val="18"/>
              </w:rPr>
            </w:pPr>
            <w:r>
              <w:rPr>
                <w:rFonts w:hint="eastAsia" w:ascii="宋体" w:hAnsi="宋体" w:eastAsia="宋体" w:cs="宋体"/>
                <w:spacing w:val="-2"/>
                <w:sz w:val="18"/>
                <w:szCs w:val="18"/>
              </w:rPr>
              <w:t>偿付能</w:t>
            </w:r>
            <w:r>
              <w:rPr>
                <w:rFonts w:hint="eastAsia" w:ascii="宋体" w:hAnsi="宋体" w:eastAsia="宋体" w:cs="宋体"/>
                <w:spacing w:val="-3"/>
                <w:sz w:val="18"/>
                <w:szCs w:val="18"/>
              </w:rPr>
              <w:t>力充足</w:t>
            </w:r>
            <w:r>
              <w:rPr>
                <w:rFonts w:hint="eastAsia" w:ascii="宋体" w:hAnsi="宋体" w:eastAsia="宋体" w:cs="宋体"/>
                <w:spacing w:val="-2"/>
                <w:sz w:val="18"/>
                <w:szCs w:val="18"/>
              </w:rPr>
              <w:t>率</w:t>
            </w:r>
          </w:p>
          <w:p w14:paraId="391EBA97">
            <w:pPr>
              <w:keepNext w:val="0"/>
              <w:keepLines w:val="0"/>
              <w:pageBreakBefore w:val="0"/>
              <w:kinsoku/>
              <w:wordWrap/>
              <w:overflowPunct/>
              <w:topLinePunct w:val="0"/>
              <w:autoSpaceDE/>
              <w:autoSpaceDN/>
              <w:bidi w:val="0"/>
              <w:adjustRightInd/>
              <w:snapToGrid/>
              <w:spacing w:line="236" w:lineRule="auto"/>
              <w:ind w:left="0" w:right="0"/>
              <w:jc w:val="center"/>
              <w:outlineLvl w:val="9"/>
              <w:rPr>
                <w:rFonts w:hint="eastAsia" w:ascii="宋体" w:hAnsi="宋体" w:eastAsia="宋体" w:cs="宋体"/>
                <w:spacing w:val="-2"/>
                <w:sz w:val="18"/>
                <w:szCs w:val="18"/>
                <w:lang w:eastAsia="zh-CN"/>
              </w:rPr>
            </w:pPr>
            <w:r>
              <w:rPr>
                <w:rFonts w:hint="eastAsia" w:ascii="宋体" w:hAnsi="宋体" w:eastAsia="宋体" w:cs="宋体"/>
                <w:spacing w:val="-2"/>
                <w:sz w:val="18"/>
                <w:szCs w:val="18"/>
              </w:rPr>
              <w:t>3分</w:t>
            </w:r>
          </w:p>
        </w:tc>
        <w:tc>
          <w:tcPr>
            <w:tcW w:w="648" w:type="dxa"/>
            <w:noWrap w:val="0"/>
            <w:vAlign w:val="center"/>
          </w:tcPr>
          <w:p w14:paraId="3DC87815">
            <w:pPr>
              <w:keepNext w:val="0"/>
              <w:keepLines w:val="0"/>
              <w:pageBreakBefore w:val="0"/>
              <w:kinsoku/>
              <w:wordWrap/>
              <w:overflowPunct/>
              <w:topLinePunct w:val="0"/>
              <w:autoSpaceDE/>
              <w:autoSpaceDN/>
              <w:bidi w:val="0"/>
              <w:adjustRightInd/>
              <w:snapToGrid/>
              <w:spacing w:line="183" w:lineRule="auto"/>
              <w:ind w:left="0" w:right="0"/>
              <w:jc w:val="center"/>
              <w:outlineLvl w:val="9"/>
              <w:rPr>
                <w:rFonts w:hint="eastAsia" w:ascii="宋体" w:hAnsi="宋体" w:eastAsia="宋体" w:cs="宋体"/>
                <w:sz w:val="18"/>
                <w:szCs w:val="18"/>
                <w:lang w:val="en-US" w:eastAsia="zh-CN"/>
              </w:rPr>
            </w:pPr>
            <w:r>
              <w:rPr>
                <w:rFonts w:hint="eastAsia" w:ascii="宋体" w:hAnsi="宋体" w:eastAsia="宋体" w:cs="宋体"/>
                <w:sz w:val="18"/>
                <w:szCs w:val="18"/>
              </w:rPr>
              <w:t>3</w:t>
            </w:r>
          </w:p>
        </w:tc>
        <w:tc>
          <w:tcPr>
            <w:tcW w:w="5598" w:type="dxa"/>
            <w:noWrap w:val="0"/>
            <w:vAlign w:val="top"/>
          </w:tcPr>
          <w:p w14:paraId="1BA407FA">
            <w:pPr>
              <w:keepNext w:val="0"/>
              <w:keepLines w:val="0"/>
              <w:pageBreakBefore w:val="0"/>
              <w:kinsoku/>
              <w:wordWrap/>
              <w:overflowPunct/>
              <w:topLinePunct w:val="0"/>
              <w:autoSpaceDE/>
              <w:autoSpaceDN/>
              <w:bidi w:val="0"/>
              <w:adjustRightInd/>
              <w:snapToGrid/>
              <w:spacing w:line="239" w:lineRule="auto"/>
              <w:ind w:left="0" w:leftChars="0" w:right="0" w:rightChars="0"/>
              <w:rPr>
                <w:rFonts w:hint="eastAsia" w:ascii="宋体" w:hAnsi="宋体" w:eastAsia="宋体" w:cs="宋体"/>
                <w:spacing w:val="9"/>
                <w:sz w:val="18"/>
                <w:szCs w:val="18"/>
              </w:rPr>
            </w:pPr>
            <w:r>
              <w:rPr>
                <w:rFonts w:hint="eastAsia" w:ascii="宋体" w:hAnsi="宋体" w:eastAsia="宋体" w:cs="宋体"/>
                <w:spacing w:val="10"/>
                <w:sz w:val="18"/>
                <w:szCs w:val="18"/>
              </w:rPr>
              <w:t>参加遴选的承保机构所属总公司上一年度末综合偿付能力</w:t>
            </w:r>
            <w:r>
              <w:rPr>
                <w:rFonts w:hint="eastAsia" w:ascii="宋体" w:hAnsi="宋体" w:eastAsia="宋体" w:cs="宋体"/>
                <w:spacing w:val="14"/>
                <w:sz w:val="18"/>
                <w:szCs w:val="18"/>
              </w:rPr>
              <w:t xml:space="preserve"> </w:t>
            </w:r>
            <w:r>
              <w:rPr>
                <w:rFonts w:hint="eastAsia" w:ascii="宋体" w:hAnsi="宋体" w:eastAsia="宋体" w:cs="宋体"/>
                <w:spacing w:val="11"/>
                <w:sz w:val="18"/>
                <w:szCs w:val="18"/>
              </w:rPr>
              <w:t>充足率230%以上的计满分；180-230%的按排名依次递</w:t>
            </w:r>
            <w:r>
              <w:rPr>
                <w:rFonts w:hint="eastAsia" w:ascii="宋体" w:hAnsi="宋体" w:eastAsia="宋体" w:cs="宋体"/>
                <w:spacing w:val="10"/>
                <w:sz w:val="18"/>
                <w:szCs w:val="18"/>
              </w:rPr>
              <w:t>减</w:t>
            </w:r>
            <w:r>
              <w:rPr>
                <w:rFonts w:hint="eastAsia" w:ascii="宋体" w:hAnsi="宋体" w:eastAsia="宋体" w:cs="宋体"/>
                <w:spacing w:val="13"/>
                <w:sz w:val="18"/>
                <w:szCs w:val="18"/>
              </w:rPr>
              <w:t>0.3分；低于180%的不计分。</w:t>
            </w:r>
          </w:p>
        </w:tc>
        <w:tc>
          <w:tcPr>
            <w:tcW w:w="5598" w:type="dxa"/>
            <w:noWrap w:val="0"/>
            <w:vAlign w:val="top"/>
          </w:tcPr>
          <w:p w14:paraId="40E60FB8">
            <w:pPr>
              <w:keepNext w:val="0"/>
              <w:keepLines w:val="0"/>
              <w:pageBreakBefore w:val="0"/>
              <w:kinsoku/>
              <w:wordWrap/>
              <w:overflowPunct/>
              <w:topLinePunct w:val="0"/>
              <w:autoSpaceDE/>
              <w:autoSpaceDN/>
              <w:bidi w:val="0"/>
              <w:adjustRightInd/>
              <w:snapToGrid/>
              <w:spacing w:line="239" w:lineRule="auto"/>
              <w:ind w:left="0" w:leftChars="0" w:right="0"/>
              <w:jc w:val="both"/>
              <w:rPr>
                <w:rFonts w:hint="eastAsia" w:ascii="宋体" w:hAnsi="宋体" w:eastAsia="宋体" w:cs="宋体"/>
                <w:spacing w:val="11"/>
                <w:sz w:val="18"/>
                <w:szCs w:val="18"/>
              </w:rPr>
            </w:pPr>
            <w:r>
              <w:rPr>
                <w:rFonts w:hint="eastAsia" w:ascii="宋体" w:hAnsi="宋体" w:eastAsia="宋体" w:cs="宋体"/>
                <w:spacing w:val="9"/>
                <w:sz w:val="18"/>
                <w:szCs w:val="18"/>
              </w:rPr>
              <w:t>综合偿付能力充足率=保险公司的实际资本/最低资本，需提供参加遴选</w:t>
            </w:r>
            <w:r>
              <w:rPr>
                <w:rFonts w:hint="eastAsia" w:ascii="宋体" w:hAnsi="宋体" w:eastAsia="宋体" w:cs="宋体"/>
                <w:spacing w:val="11"/>
                <w:sz w:val="18"/>
                <w:szCs w:val="18"/>
              </w:rPr>
              <w:t xml:space="preserve"> </w:t>
            </w:r>
            <w:r>
              <w:rPr>
                <w:rFonts w:hint="eastAsia" w:ascii="宋体" w:hAnsi="宋体" w:eastAsia="宋体" w:cs="宋体"/>
                <w:spacing w:val="10"/>
                <w:sz w:val="18"/>
                <w:szCs w:val="18"/>
              </w:rPr>
              <w:t>的承保公司总公司上年经审计的会计报表中“偿付能力报告含偿付能力</w:t>
            </w:r>
            <w:r>
              <w:rPr>
                <w:rFonts w:hint="eastAsia" w:ascii="宋体" w:hAnsi="宋体" w:eastAsia="宋体" w:cs="宋体"/>
                <w:spacing w:val="13"/>
                <w:sz w:val="18"/>
                <w:szCs w:val="18"/>
              </w:rPr>
              <w:t>充足率相关页面”复印件并加盖参加遴选的承保机构公章。</w:t>
            </w:r>
          </w:p>
        </w:tc>
      </w:tr>
      <w:tr w14:paraId="387F1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85" w:type="dxa"/>
            <w:noWrap w:val="0"/>
            <w:vAlign w:val="center"/>
          </w:tcPr>
          <w:p w14:paraId="5EA221F5">
            <w:pPr>
              <w:keepNext w:val="0"/>
              <w:keepLines w:val="0"/>
              <w:pageBreakBefore w:val="0"/>
              <w:kinsoku/>
              <w:wordWrap/>
              <w:overflowPunct/>
              <w:topLinePunct w:val="0"/>
              <w:autoSpaceDE/>
              <w:autoSpaceDN/>
              <w:bidi w:val="0"/>
              <w:adjustRightInd/>
              <w:snapToGrid/>
              <w:spacing w:line="183" w:lineRule="auto"/>
              <w:ind w:left="0" w:right="0"/>
              <w:jc w:val="center"/>
              <w:outlineLvl w:val="9"/>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17</w:t>
            </w:r>
          </w:p>
        </w:tc>
        <w:tc>
          <w:tcPr>
            <w:tcW w:w="734" w:type="dxa"/>
            <w:vMerge w:val="continue"/>
            <w:noWrap w:val="0"/>
            <w:vAlign w:val="center"/>
          </w:tcPr>
          <w:p w14:paraId="5C5725EC">
            <w:pPr>
              <w:keepNext w:val="0"/>
              <w:keepLines w:val="0"/>
              <w:pageBreakBefore w:val="0"/>
              <w:kinsoku/>
              <w:wordWrap/>
              <w:overflowPunct/>
              <w:topLinePunct w:val="0"/>
              <w:autoSpaceDE/>
              <w:autoSpaceDN/>
              <w:bidi w:val="0"/>
              <w:adjustRightInd/>
              <w:snapToGrid/>
              <w:ind w:left="0" w:right="0"/>
              <w:jc w:val="center"/>
              <w:outlineLvl w:val="9"/>
              <w:rPr>
                <w:rFonts w:hint="eastAsia" w:ascii="宋体" w:hAnsi="宋体" w:eastAsia="宋体" w:cs="宋体"/>
                <w:sz w:val="18"/>
                <w:szCs w:val="18"/>
              </w:rPr>
            </w:pPr>
          </w:p>
        </w:tc>
        <w:tc>
          <w:tcPr>
            <w:tcW w:w="886" w:type="dxa"/>
            <w:tcBorders>
              <w:top w:val="single" w:color="auto" w:sz="4" w:space="0"/>
              <w:bottom w:val="single" w:color="auto" w:sz="4" w:space="0"/>
            </w:tcBorders>
            <w:noWrap w:val="0"/>
            <w:vAlign w:val="center"/>
          </w:tcPr>
          <w:p w14:paraId="2B85F72F">
            <w:pPr>
              <w:keepNext w:val="0"/>
              <w:keepLines w:val="0"/>
              <w:pageBreakBefore w:val="0"/>
              <w:kinsoku/>
              <w:wordWrap/>
              <w:overflowPunct/>
              <w:topLinePunct w:val="0"/>
              <w:autoSpaceDE/>
              <w:autoSpaceDN/>
              <w:bidi w:val="0"/>
              <w:adjustRightInd/>
              <w:snapToGrid/>
              <w:spacing w:line="215" w:lineRule="auto"/>
              <w:ind w:left="0" w:right="0"/>
              <w:jc w:val="center"/>
              <w:outlineLvl w:val="9"/>
              <w:rPr>
                <w:rFonts w:hint="eastAsia" w:ascii="宋体" w:hAnsi="宋体" w:eastAsia="宋体" w:cs="宋体"/>
                <w:spacing w:val="-2"/>
                <w:sz w:val="18"/>
                <w:szCs w:val="18"/>
                <w:lang w:eastAsia="zh-CN"/>
              </w:rPr>
            </w:pPr>
            <w:r>
              <w:rPr>
                <w:rFonts w:hint="eastAsia" w:ascii="宋体" w:hAnsi="宋体" w:eastAsia="宋体" w:cs="宋体"/>
                <w:spacing w:val="-2"/>
                <w:sz w:val="18"/>
                <w:szCs w:val="18"/>
              </w:rPr>
              <w:t>风险综合评级</w:t>
            </w:r>
            <w:r>
              <w:rPr>
                <w:rFonts w:hint="eastAsia" w:ascii="宋体" w:hAnsi="宋体" w:eastAsia="宋体" w:cs="宋体"/>
                <w:spacing w:val="10"/>
                <w:sz w:val="18"/>
                <w:szCs w:val="18"/>
              </w:rPr>
              <w:t>2分</w:t>
            </w:r>
          </w:p>
        </w:tc>
        <w:tc>
          <w:tcPr>
            <w:tcW w:w="648" w:type="dxa"/>
            <w:noWrap w:val="0"/>
            <w:vAlign w:val="center"/>
          </w:tcPr>
          <w:p w14:paraId="6BC35E42">
            <w:pPr>
              <w:keepNext w:val="0"/>
              <w:keepLines w:val="0"/>
              <w:pageBreakBefore w:val="0"/>
              <w:kinsoku/>
              <w:wordWrap/>
              <w:overflowPunct/>
              <w:topLinePunct w:val="0"/>
              <w:autoSpaceDE/>
              <w:autoSpaceDN/>
              <w:bidi w:val="0"/>
              <w:adjustRightInd/>
              <w:snapToGrid/>
              <w:spacing w:line="183" w:lineRule="auto"/>
              <w:ind w:left="0" w:right="0"/>
              <w:jc w:val="center"/>
              <w:outlineLvl w:val="9"/>
              <w:rPr>
                <w:rFonts w:hint="eastAsia" w:ascii="宋体" w:hAnsi="宋体" w:eastAsia="宋体" w:cs="宋体"/>
                <w:sz w:val="18"/>
                <w:szCs w:val="18"/>
                <w:lang w:val="en-US" w:eastAsia="zh-CN"/>
              </w:rPr>
            </w:pPr>
            <w:r>
              <w:rPr>
                <w:rFonts w:hint="eastAsia" w:ascii="宋体" w:hAnsi="宋体" w:eastAsia="宋体" w:cs="宋体"/>
                <w:sz w:val="18"/>
                <w:szCs w:val="18"/>
              </w:rPr>
              <w:t>2</w:t>
            </w:r>
          </w:p>
        </w:tc>
        <w:tc>
          <w:tcPr>
            <w:tcW w:w="5598" w:type="dxa"/>
            <w:noWrap w:val="0"/>
            <w:vAlign w:val="top"/>
          </w:tcPr>
          <w:p w14:paraId="2260CF19">
            <w:pPr>
              <w:keepNext w:val="0"/>
              <w:keepLines w:val="0"/>
              <w:pageBreakBefore w:val="0"/>
              <w:kinsoku/>
              <w:wordWrap/>
              <w:overflowPunct/>
              <w:topLinePunct w:val="0"/>
              <w:autoSpaceDE/>
              <w:autoSpaceDN/>
              <w:bidi w:val="0"/>
              <w:adjustRightInd/>
              <w:snapToGrid/>
              <w:spacing w:line="234" w:lineRule="auto"/>
              <w:ind w:left="0" w:leftChars="0" w:right="0" w:rightChars="0"/>
              <w:rPr>
                <w:rFonts w:hint="eastAsia" w:ascii="宋体" w:hAnsi="宋体" w:eastAsia="宋体" w:cs="宋体"/>
                <w:spacing w:val="9"/>
                <w:sz w:val="18"/>
                <w:szCs w:val="18"/>
              </w:rPr>
            </w:pPr>
            <w:r>
              <w:rPr>
                <w:rFonts w:hint="eastAsia" w:ascii="宋体" w:hAnsi="宋体" w:eastAsia="宋体" w:cs="宋体"/>
                <w:spacing w:val="1"/>
                <w:sz w:val="18"/>
                <w:szCs w:val="18"/>
              </w:rPr>
              <w:t>参加遴选的承保机构所属总公司风险综合评级达到A级的</w:t>
            </w:r>
            <w:r>
              <w:rPr>
                <w:rFonts w:hint="eastAsia" w:ascii="宋体" w:hAnsi="宋体" w:eastAsia="宋体" w:cs="宋体"/>
                <w:spacing w:val="18"/>
                <w:sz w:val="18"/>
                <w:szCs w:val="18"/>
              </w:rPr>
              <w:t xml:space="preserve"> </w:t>
            </w:r>
            <w:r>
              <w:rPr>
                <w:rFonts w:hint="eastAsia" w:ascii="宋体" w:hAnsi="宋体" w:eastAsia="宋体" w:cs="宋体"/>
                <w:spacing w:val="16"/>
                <w:sz w:val="18"/>
                <w:szCs w:val="18"/>
              </w:rPr>
              <w:t>计2分，B级的计1分，C、D级不计分。</w:t>
            </w:r>
          </w:p>
        </w:tc>
        <w:tc>
          <w:tcPr>
            <w:tcW w:w="5598" w:type="dxa"/>
            <w:noWrap w:val="0"/>
            <w:vAlign w:val="top"/>
          </w:tcPr>
          <w:p w14:paraId="4B66F99A">
            <w:pPr>
              <w:keepNext w:val="0"/>
              <w:keepLines w:val="0"/>
              <w:pageBreakBefore w:val="0"/>
              <w:kinsoku/>
              <w:wordWrap/>
              <w:overflowPunct/>
              <w:topLinePunct w:val="0"/>
              <w:autoSpaceDE/>
              <w:autoSpaceDN/>
              <w:bidi w:val="0"/>
              <w:adjustRightInd/>
              <w:snapToGrid/>
              <w:spacing w:line="237" w:lineRule="auto"/>
              <w:ind w:left="0" w:leftChars="0" w:right="0" w:rightChars="0"/>
              <w:rPr>
                <w:rFonts w:hint="eastAsia" w:ascii="宋体" w:hAnsi="宋体" w:eastAsia="宋体" w:cs="宋体"/>
                <w:spacing w:val="11"/>
                <w:sz w:val="18"/>
                <w:szCs w:val="18"/>
              </w:rPr>
            </w:pPr>
            <w:r>
              <w:rPr>
                <w:rFonts w:hint="eastAsia" w:ascii="宋体" w:hAnsi="宋体" w:eastAsia="宋体" w:cs="宋体"/>
                <w:sz w:val="18"/>
                <w:szCs w:val="18"/>
              </w:rPr>
              <w:t>参加递选的承保机构需提供上一年度经银保监部</w:t>
            </w:r>
            <w:r>
              <w:rPr>
                <w:rFonts w:hint="eastAsia" w:ascii="宋体" w:hAnsi="宋体" w:eastAsia="宋体" w:cs="宋体"/>
                <w:spacing w:val="-1"/>
                <w:sz w:val="18"/>
                <w:szCs w:val="18"/>
              </w:rPr>
              <w:t>门评定的风险综合评</w:t>
            </w:r>
            <w:r>
              <w:rPr>
                <w:rFonts w:hint="eastAsia" w:ascii="宋体" w:hAnsi="宋体" w:eastAsia="宋体" w:cs="宋体"/>
                <w:sz w:val="18"/>
                <w:szCs w:val="18"/>
              </w:rPr>
              <w:t xml:space="preserve"> </w:t>
            </w:r>
            <w:r>
              <w:rPr>
                <w:rFonts w:hint="eastAsia" w:ascii="宋体" w:hAnsi="宋体" w:eastAsia="宋体" w:cs="宋体"/>
                <w:spacing w:val="7"/>
                <w:sz w:val="18"/>
                <w:szCs w:val="18"/>
              </w:rPr>
              <w:t>级证明材料，并加盖公章。</w:t>
            </w:r>
          </w:p>
        </w:tc>
      </w:tr>
      <w:tr w14:paraId="60AFF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85" w:type="dxa"/>
            <w:noWrap w:val="0"/>
            <w:vAlign w:val="center"/>
          </w:tcPr>
          <w:p w14:paraId="4E0E8C92">
            <w:pPr>
              <w:keepNext w:val="0"/>
              <w:keepLines w:val="0"/>
              <w:pageBreakBefore w:val="0"/>
              <w:kinsoku/>
              <w:wordWrap/>
              <w:overflowPunct/>
              <w:topLinePunct w:val="0"/>
              <w:autoSpaceDE/>
              <w:autoSpaceDN/>
              <w:bidi w:val="0"/>
              <w:adjustRightInd/>
              <w:snapToGrid/>
              <w:spacing w:line="183" w:lineRule="auto"/>
              <w:ind w:left="0" w:right="0"/>
              <w:jc w:val="center"/>
              <w:outlineLvl w:val="9"/>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18</w:t>
            </w:r>
          </w:p>
        </w:tc>
        <w:tc>
          <w:tcPr>
            <w:tcW w:w="734" w:type="dxa"/>
            <w:vMerge w:val="continue"/>
            <w:noWrap w:val="0"/>
            <w:vAlign w:val="center"/>
          </w:tcPr>
          <w:p w14:paraId="1A5D5713">
            <w:pPr>
              <w:keepNext w:val="0"/>
              <w:keepLines w:val="0"/>
              <w:pageBreakBefore w:val="0"/>
              <w:kinsoku/>
              <w:wordWrap/>
              <w:overflowPunct/>
              <w:topLinePunct w:val="0"/>
              <w:autoSpaceDE/>
              <w:autoSpaceDN/>
              <w:bidi w:val="0"/>
              <w:adjustRightInd/>
              <w:snapToGrid/>
              <w:ind w:left="0" w:right="0"/>
              <w:jc w:val="center"/>
              <w:outlineLvl w:val="9"/>
              <w:rPr>
                <w:rFonts w:hint="eastAsia" w:ascii="宋体" w:hAnsi="宋体" w:eastAsia="宋体" w:cs="宋体"/>
                <w:sz w:val="18"/>
                <w:szCs w:val="18"/>
              </w:rPr>
            </w:pPr>
          </w:p>
        </w:tc>
        <w:tc>
          <w:tcPr>
            <w:tcW w:w="886" w:type="dxa"/>
            <w:tcBorders>
              <w:top w:val="single" w:color="auto" w:sz="4" w:space="0"/>
              <w:bottom w:val="single" w:color="auto" w:sz="4" w:space="0"/>
            </w:tcBorders>
            <w:noWrap w:val="0"/>
            <w:vAlign w:val="center"/>
          </w:tcPr>
          <w:p w14:paraId="5BFBDDD9">
            <w:pPr>
              <w:keepNext w:val="0"/>
              <w:keepLines w:val="0"/>
              <w:pageBreakBefore w:val="0"/>
              <w:kinsoku/>
              <w:wordWrap/>
              <w:overflowPunct/>
              <w:topLinePunct w:val="0"/>
              <w:autoSpaceDE/>
              <w:autoSpaceDN/>
              <w:bidi w:val="0"/>
              <w:adjustRightInd/>
              <w:snapToGrid/>
              <w:spacing w:line="220" w:lineRule="auto"/>
              <w:ind w:left="0" w:right="0"/>
              <w:jc w:val="center"/>
              <w:outlineLvl w:val="9"/>
              <w:rPr>
                <w:rFonts w:hint="eastAsia" w:ascii="宋体" w:hAnsi="宋体" w:eastAsia="宋体" w:cs="宋体"/>
                <w:spacing w:val="-2"/>
                <w:sz w:val="18"/>
                <w:szCs w:val="18"/>
                <w:lang w:eastAsia="zh-CN"/>
              </w:rPr>
            </w:pPr>
            <w:r>
              <w:rPr>
                <w:rFonts w:hint="eastAsia" w:ascii="宋体" w:hAnsi="宋体" w:eastAsia="宋体" w:cs="宋体"/>
                <w:spacing w:val="-3"/>
                <w:sz w:val="18"/>
                <w:szCs w:val="18"/>
              </w:rPr>
              <w:t>大灾准备金</w:t>
            </w:r>
            <w:r>
              <w:rPr>
                <w:rFonts w:hint="eastAsia" w:ascii="宋体" w:hAnsi="宋体" w:eastAsia="宋体" w:cs="宋体"/>
                <w:spacing w:val="-2"/>
                <w:sz w:val="18"/>
                <w:szCs w:val="18"/>
              </w:rPr>
              <w:t>3分</w:t>
            </w:r>
          </w:p>
        </w:tc>
        <w:tc>
          <w:tcPr>
            <w:tcW w:w="648" w:type="dxa"/>
            <w:noWrap w:val="0"/>
            <w:vAlign w:val="center"/>
          </w:tcPr>
          <w:p w14:paraId="6C53668E">
            <w:pPr>
              <w:keepNext w:val="0"/>
              <w:keepLines w:val="0"/>
              <w:pageBreakBefore w:val="0"/>
              <w:kinsoku/>
              <w:wordWrap/>
              <w:overflowPunct/>
              <w:topLinePunct w:val="0"/>
              <w:autoSpaceDE/>
              <w:autoSpaceDN/>
              <w:bidi w:val="0"/>
              <w:adjustRightInd/>
              <w:snapToGrid/>
              <w:spacing w:line="183" w:lineRule="auto"/>
              <w:ind w:left="0" w:leftChars="0" w:right="0"/>
              <w:jc w:val="center"/>
              <w:outlineLvl w:val="9"/>
              <w:rPr>
                <w:rFonts w:hint="eastAsia" w:ascii="宋体" w:hAnsi="宋体" w:eastAsia="宋体" w:cs="宋体"/>
                <w:sz w:val="18"/>
                <w:szCs w:val="18"/>
                <w:lang w:val="en-US" w:eastAsia="zh-CN"/>
              </w:rPr>
            </w:pPr>
            <w:r>
              <w:rPr>
                <w:rFonts w:hint="eastAsia" w:ascii="宋体" w:hAnsi="宋体" w:eastAsia="宋体" w:cs="宋体"/>
                <w:sz w:val="18"/>
                <w:szCs w:val="18"/>
              </w:rPr>
              <w:t>3</w:t>
            </w:r>
          </w:p>
        </w:tc>
        <w:tc>
          <w:tcPr>
            <w:tcW w:w="5598" w:type="dxa"/>
            <w:noWrap w:val="0"/>
            <w:vAlign w:val="top"/>
          </w:tcPr>
          <w:p w14:paraId="213ACEA7">
            <w:pPr>
              <w:keepNext w:val="0"/>
              <w:keepLines w:val="0"/>
              <w:pageBreakBefore w:val="0"/>
              <w:kinsoku/>
              <w:wordWrap/>
              <w:overflowPunct/>
              <w:topLinePunct w:val="0"/>
              <w:autoSpaceDE/>
              <w:autoSpaceDN/>
              <w:bidi w:val="0"/>
              <w:adjustRightInd/>
              <w:snapToGrid/>
              <w:spacing w:line="217" w:lineRule="auto"/>
              <w:ind w:left="0" w:leftChars="0" w:right="0" w:rightChars="0" w:firstLine="10" w:firstLineChars="0"/>
              <w:jc w:val="both"/>
              <w:rPr>
                <w:rFonts w:hint="eastAsia" w:ascii="宋体" w:hAnsi="宋体" w:eastAsia="宋体" w:cs="宋体"/>
                <w:spacing w:val="9"/>
                <w:sz w:val="18"/>
                <w:szCs w:val="18"/>
              </w:rPr>
            </w:pPr>
            <w:r>
              <w:rPr>
                <w:rFonts w:hint="eastAsia" w:ascii="宋体" w:hAnsi="宋体" w:eastAsia="宋体" w:cs="宋体"/>
                <w:spacing w:val="-1"/>
                <w:sz w:val="18"/>
                <w:szCs w:val="18"/>
              </w:rPr>
              <w:t>参加遴选的承保机构所属省级公司按规定足额提取农业保</w:t>
            </w:r>
            <w:r>
              <w:rPr>
                <w:rFonts w:hint="eastAsia" w:ascii="宋体" w:hAnsi="宋体" w:eastAsia="宋体" w:cs="宋体"/>
                <w:spacing w:val="15"/>
                <w:sz w:val="18"/>
                <w:szCs w:val="18"/>
              </w:rPr>
              <w:t xml:space="preserve"> </w:t>
            </w:r>
            <w:r>
              <w:rPr>
                <w:rFonts w:hint="eastAsia" w:ascii="宋体" w:hAnsi="宋体" w:eastAsia="宋体" w:cs="宋体"/>
                <w:spacing w:val="1"/>
                <w:sz w:val="18"/>
                <w:szCs w:val="18"/>
              </w:rPr>
              <w:t>险大灾准备金计2分，未足额提取或未提取不得分；规范</w:t>
            </w:r>
            <w:r>
              <w:rPr>
                <w:rFonts w:hint="eastAsia" w:ascii="宋体" w:hAnsi="宋体" w:eastAsia="宋体" w:cs="宋体"/>
                <w:spacing w:val="14"/>
                <w:sz w:val="18"/>
                <w:szCs w:val="18"/>
              </w:rPr>
              <w:t xml:space="preserve"> </w:t>
            </w:r>
            <w:r>
              <w:rPr>
                <w:rFonts w:hint="eastAsia" w:ascii="宋体" w:hAnsi="宋体" w:eastAsia="宋体" w:cs="宋体"/>
                <w:spacing w:val="1"/>
                <w:sz w:val="18"/>
                <w:szCs w:val="18"/>
              </w:rPr>
              <w:t>使用计1分，未按规范使用不得分。上年省级</w:t>
            </w:r>
            <w:r>
              <w:rPr>
                <w:rFonts w:hint="eastAsia" w:ascii="宋体" w:hAnsi="宋体" w:eastAsia="宋体" w:cs="宋体"/>
                <w:sz w:val="18"/>
                <w:szCs w:val="18"/>
              </w:rPr>
              <w:t xml:space="preserve">公司未开展  </w:t>
            </w:r>
            <w:r>
              <w:rPr>
                <w:rFonts w:hint="eastAsia" w:ascii="宋体" w:hAnsi="宋体" w:eastAsia="宋体" w:cs="宋体"/>
                <w:spacing w:val="4"/>
                <w:sz w:val="18"/>
                <w:szCs w:val="18"/>
              </w:rPr>
              <w:t>政策性农业保险业务的承保机构计1.5分。</w:t>
            </w:r>
          </w:p>
        </w:tc>
        <w:tc>
          <w:tcPr>
            <w:tcW w:w="5598" w:type="dxa"/>
            <w:noWrap w:val="0"/>
            <w:vAlign w:val="top"/>
          </w:tcPr>
          <w:p w14:paraId="337A30F6">
            <w:pPr>
              <w:keepNext w:val="0"/>
              <w:keepLines w:val="0"/>
              <w:pageBreakBefore w:val="0"/>
              <w:kinsoku/>
              <w:wordWrap/>
              <w:overflowPunct/>
              <w:topLinePunct w:val="0"/>
              <w:autoSpaceDE/>
              <w:autoSpaceDN/>
              <w:bidi w:val="0"/>
              <w:adjustRightInd/>
              <w:snapToGrid/>
              <w:spacing w:line="232" w:lineRule="auto"/>
              <w:ind w:left="0" w:leftChars="0" w:right="0" w:rightChars="0"/>
              <w:rPr>
                <w:rFonts w:hint="eastAsia" w:ascii="宋体" w:hAnsi="宋体" w:eastAsia="宋体" w:cs="宋体"/>
                <w:spacing w:val="11"/>
                <w:sz w:val="18"/>
                <w:szCs w:val="18"/>
              </w:rPr>
            </w:pPr>
            <w:r>
              <w:rPr>
                <w:rFonts w:hint="eastAsia" w:ascii="宋体" w:hAnsi="宋体" w:eastAsia="宋体" w:cs="宋体"/>
                <w:spacing w:val="2"/>
                <w:sz w:val="18"/>
                <w:szCs w:val="18"/>
              </w:rPr>
              <w:t>参加遴选的承保机构需提供省级公司近3年农业保险大灾准备金提取证</w:t>
            </w:r>
            <w:r>
              <w:rPr>
                <w:rFonts w:hint="eastAsia" w:ascii="宋体" w:hAnsi="宋体" w:eastAsia="宋体" w:cs="宋体"/>
                <w:spacing w:val="9"/>
                <w:sz w:val="18"/>
                <w:szCs w:val="18"/>
              </w:rPr>
              <w:t>明材料，并加盖公章。</w:t>
            </w:r>
          </w:p>
        </w:tc>
      </w:tr>
      <w:tr w14:paraId="1CCFC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85" w:type="dxa"/>
            <w:noWrap w:val="0"/>
            <w:vAlign w:val="center"/>
          </w:tcPr>
          <w:p w14:paraId="5CCF5C3D">
            <w:pPr>
              <w:keepNext w:val="0"/>
              <w:keepLines w:val="0"/>
              <w:pageBreakBefore w:val="0"/>
              <w:kinsoku/>
              <w:wordWrap/>
              <w:overflowPunct/>
              <w:topLinePunct w:val="0"/>
              <w:autoSpaceDE/>
              <w:autoSpaceDN/>
              <w:bidi w:val="0"/>
              <w:adjustRightInd/>
              <w:snapToGrid/>
              <w:spacing w:line="183" w:lineRule="auto"/>
              <w:ind w:left="0" w:right="0"/>
              <w:jc w:val="center"/>
              <w:outlineLvl w:val="9"/>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19</w:t>
            </w:r>
          </w:p>
        </w:tc>
        <w:tc>
          <w:tcPr>
            <w:tcW w:w="734" w:type="dxa"/>
            <w:vMerge w:val="continue"/>
            <w:noWrap w:val="0"/>
            <w:vAlign w:val="center"/>
          </w:tcPr>
          <w:p w14:paraId="4282C569">
            <w:pPr>
              <w:keepNext w:val="0"/>
              <w:keepLines w:val="0"/>
              <w:pageBreakBefore w:val="0"/>
              <w:kinsoku/>
              <w:wordWrap/>
              <w:overflowPunct/>
              <w:topLinePunct w:val="0"/>
              <w:autoSpaceDE/>
              <w:autoSpaceDN/>
              <w:bidi w:val="0"/>
              <w:adjustRightInd/>
              <w:snapToGrid/>
              <w:ind w:left="0" w:right="0"/>
              <w:jc w:val="center"/>
              <w:outlineLvl w:val="9"/>
              <w:rPr>
                <w:rFonts w:hint="eastAsia" w:ascii="宋体" w:hAnsi="宋体" w:eastAsia="宋体" w:cs="宋体"/>
                <w:sz w:val="18"/>
                <w:szCs w:val="18"/>
              </w:rPr>
            </w:pPr>
          </w:p>
        </w:tc>
        <w:tc>
          <w:tcPr>
            <w:tcW w:w="886" w:type="dxa"/>
            <w:tcBorders>
              <w:top w:val="single" w:color="auto" w:sz="4" w:space="0"/>
              <w:bottom w:val="single" w:color="auto" w:sz="4" w:space="0"/>
            </w:tcBorders>
            <w:noWrap w:val="0"/>
            <w:vAlign w:val="center"/>
          </w:tcPr>
          <w:p w14:paraId="206FF534">
            <w:pPr>
              <w:keepNext w:val="0"/>
              <w:keepLines w:val="0"/>
              <w:pageBreakBefore w:val="0"/>
              <w:kinsoku/>
              <w:wordWrap/>
              <w:overflowPunct/>
              <w:topLinePunct w:val="0"/>
              <w:autoSpaceDE/>
              <w:autoSpaceDN/>
              <w:bidi w:val="0"/>
              <w:adjustRightInd/>
              <w:snapToGrid/>
              <w:spacing w:line="226" w:lineRule="auto"/>
              <w:ind w:left="0" w:right="0"/>
              <w:jc w:val="center"/>
              <w:outlineLvl w:val="9"/>
              <w:rPr>
                <w:rFonts w:hint="eastAsia" w:ascii="宋体" w:hAnsi="宋体" w:eastAsia="宋体" w:cs="宋体"/>
                <w:spacing w:val="6"/>
                <w:sz w:val="18"/>
                <w:szCs w:val="18"/>
              </w:rPr>
            </w:pPr>
            <w:r>
              <w:rPr>
                <w:rFonts w:hint="eastAsia" w:ascii="宋体" w:hAnsi="宋体" w:eastAsia="宋体" w:cs="宋体"/>
                <w:spacing w:val="4"/>
                <w:sz w:val="18"/>
                <w:szCs w:val="18"/>
              </w:rPr>
              <w:t>管理</w:t>
            </w:r>
            <w:r>
              <w:rPr>
                <w:rFonts w:hint="eastAsia" w:ascii="宋体" w:hAnsi="宋体" w:eastAsia="宋体" w:cs="宋体"/>
                <w:spacing w:val="6"/>
                <w:sz w:val="18"/>
                <w:szCs w:val="18"/>
              </w:rPr>
              <w:t>制度</w:t>
            </w:r>
          </w:p>
          <w:p w14:paraId="667625FF">
            <w:pPr>
              <w:keepNext w:val="0"/>
              <w:keepLines w:val="0"/>
              <w:pageBreakBefore w:val="0"/>
              <w:kinsoku/>
              <w:wordWrap/>
              <w:overflowPunct/>
              <w:topLinePunct w:val="0"/>
              <w:autoSpaceDE/>
              <w:autoSpaceDN/>
              <w:bidi w:val="0"/>
              <w:adjustRightInd/>
              <w:snapToGrid/>
              <w:spacing w:line="226" w:lineRule="auto"/>
              <w:ind w:left="0" w:right="0"/>
              <w:jc w:val="center"/>
              <w:outlineLvl w:val="9"/>
              <w:rPr>
                <w:rFonts w:hint="eastAsia" w:ascii="宋体" w:hAnsi="宋体" w:eastAsia="宋体" w:cs="宋体"/>
                <w:spacing w:val="-2"/>
                <w:sz w:val="18"/>
                <w:szCs w:val="18"/>
                <w:lang w:eastAsia="zh-CN"/>
              </w:rPr>
            </w:pPr>
            <w:r>
              <w:rPr>
                <w:rFonts w:hint="eastAsia" w:ascii="宋体" w:hAnsi="宋体" w:eastAsia="宋体" w:cs="宋体"/>
                <w:spacing w:val="2"/>
                <w:sz w:val="18"/>
                <w:szCs w:val="18"/>
              </w:rPr>
              <w:t>3分</w:t>
            </w:r>
          </w:p>
        </w:tc>
        <w:tc>
          <w:tcPr>
            <w:tcW w:w="648" w:type="dxa"/>
            <w:noWrap w:val="0"/>
            <w:vAlign w:val="center"/>
          </w:tcPr>
          <w:p w14:paraId="7589666B">
            <w:pPr>
              <w:keepNext w:val="0"/>
              <w:keepLines w:val="0"/>
              <w:pageBreakBefore w:val="0"/>
              <w:kinsoku/>
              <w:wordWrap/>
              <w:overflowPunct/>
              <w:topLinePunct w:val="0"/>
              <w:autoSpaceDE/>
              <w:autoSpaceDN/>
              <w:bidi w:val="0"/>
              <w:adjustRightInd/>
              <w:snapToGrid/>
              <w:spacing w:line="183" w:lineRule="auto"/>
              <w:ind w:left="0" w:leftChars="0" w:right="0"/>
              <w:jc w:val="center"/>
              <w:outlineLvl w:val="9"/>
              <w:rPr>
                <w:rFonts w:hint="eastAsia" w:ascii="宋体" w:hAnsi="宋体" w:eastAsia="宋体" w:cs="宋体"/>
                <w:sz w:val="18"/>
                <w:szCs w:val="18"/>
                <w:lang w:val="en-US" w:eastAsia="zh-CN"/>
              </w:rPr>
            </w:pPr>
            <w:r>
              <w:rPr>
                <w:rFonts w:hint="eastAsia" w:ascii="宋体" w:hAnsi="宋体" w:eastAsia="宋体" w:cs="宋体"/>
                <w:sz w:val="18"/>
                <w:szCs w:val="18"/>
              </w:rPr>
              <w:t>3</w:t>
            </w:r>
          </w:p>
        </w:tc>
        <w:tc>
          <w:tcPr>
            <w:tcW w:w="5598" w:type="dxa"/>
            <w:noWrap w:val="0"/>
            <w:vAlign w:val="top"/>
          </w:tcPr>
          <w:p w14:paraId="4EEF3774">
            <w:pPr>
              <w:keepNext w:val="0"/>
              <w:keepLines w:val="0"/>
              <w:pageBreakBefore w:val="0"/>
              <w:kinsoku/>
              <w:wordWrap/>
              <w:overflowPunct/>
              <w:topLinePunct w:val="0"/>
              <w:autoSpaceDE/>
              <w:autoSpaceDN/>
              <w:bidi w:val="0"/>
              <w:adjustRightInd/>
              <w:snapToGrid/>
              <w:spacing w:line="217" w:lineRule="auto"/>
              <w:ind w:left="0" w:leftChars="0" w:right="0" w:rightChars="0" w:firstLine="10" w:firstLineChars="0"/>
              <w:jc w:val="both"/>
              <w:rPr>
                <w:rFonts w:hint="eastAsia" w:ascii="宋体" w:hAnsi="宋体" w:eastAsia="宋体" w:cs="宋体"/>
                <w:spacing w:val="9"/>
                <w:sz w:val="18"/>
                <w:szCs w:val="18"/>
              </w:rPr>
            </w:pPr>
            <w:r>
              <w:rPr>
                <w:rFonts w:hint="eastAsia" w:ascii="宋体" w:hAnsi="宋体" w:eastAsia="宋体" w:cs="宋体"/>
                <w:spacing w:val="-1"/>
                <w:sz w:val="18"/>
                <w:szCs w:val="18"/>
              </w:rPr>
              <w:t>农业保险工作相关制度。对内控合规制度、承保查勘理赔制度，客户服务制度、风险控制制度等相关规章制度进行综合评价，优计3分，良计2分，</w:t>
            </w:r>
            <w:r>
              <w:rPr>
                <w:rFonts w:hint="eastAsia" w:ascii="宋体" w:hAnsi="宋体" w:eastAsia="宋体" w:cs="宋体"/>
                <w:spacing w:val="56"/>
                <w:sz w:val="18"/>
                <w:szCs w:val="18"/>
              </w:rPr>
              <w:t xml:space="preserve"> </w:t>
            </w:r>
            <w:r>
              <w:rPr>
                <w:rFonts w:hint="eastAsia" w:ascii="宋体" w:hAnsi="宋体" w:eastAsia="宋体" w:cs="宋体"/>
                <w:spacing w:val="-1"/>
                <w:sz w:val="18"/>
                <w:szCs w:val="18"/>
              </w:rPr>
              <w:t>一般计1分，差不计分</w:t>
            </w:r>
            <w:r>
              <w:rPr>
                <w:rFonts w:hint="eastAsia" w:ascii="宋体" w:hAnsi="宋体" w:eastAsia="宋体" w:cs="宋体"/>
                <w:spacing w:val="-2"/>
                <w:sz w:val="18"/>
                <w:szCs w:val="18"/>
              </w:rPr>
              <w:t>。</w:t>
            </w:r>
          </w:p>
        </w:tc>
        <w:tc>
          <w:tcPr>
            <w:tcW w:w="5598" w:type="dxa"/>
            <w:noWrap w:val="0"/>
            <w:vAlign w:val="top"/>
          </w:tcPr>
          <w:p w14:paraId="6784427B">
            <w:pPr>
              <w:keepNext w:val="0"/>
              <w:keepLines w:val="0"/>
              <w:pageBreakBefore w:val="0"/>
              <w:kinsoku/>
              <w:wordWrap/>
              <w:overflowPunct/>
              <w:topLinePunct w:val="0"/>
              <w:autoSpaceDE/>
              <w:autoSpaceDN/>
              <w:bidi w:val="0"/>
              <w:adjustRightInd/>
              <w:snapToGrid/>
              <w:spacing w:line="219" w:lineRule="auto"/>
              <w:ind w:left="0" w:leftChars="0" w:right="0"/>
              <w:jc w:val="left"/>
              <w:rPr>
                <w:rFonts w:hint="eastAsia" w:ascii="宋体" w:hAnsi="宋体" w:eastAsia="宋体" w:cs="宋体"/>
                <w:spacing w:val="11"/>
                <w:sz w:val="18"/>
                <w:szCs w:val="18"/>
              </w:rPr>
            </w:pPr>
            <w:r>
              <w:rPr>
                <w:rFonts w:hint="eastAsia" w:ascii="宋体" w:hAnsi="宋体" w:eastAsia="宋体" w:cs="宋体"/>
                <w:spacing w:val="4"/>
                <w:sz w:val="18"/>
                <w:szCs w:val="18"/>
              </w:rPr>
              <w:t>以参加遴选的承保机构提供的制度汇编文本为准。</w:t>
            </w:r>
          </w:p>
        </w:tc>
      </w:tr>
      <w:tr w14:paraId="1D1C2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85" w:type="dxa"/>
            <w:noWrap w:val="0"/>
            <w:vAlign w:val="center"/>
          </w:tcPr>
          <w:p w14:paraId="145AEE44">
            <w:pPr>
              <w:keepNext w:val="0"/>
              <w:keepLines w:val="0"/>
              <w:pageBreakBefore w:val="0"/>
              <w:kinsoku/>
              <w:wordWrap/>
              <w:overflowPunct/>
              <w:topLinePunct w:val="0"/>
              <w:autoSpaceDE/>
              <w:autoSpaceDN/>
              <w:bidi w:val="0"/>
              <w:adjustRightInd/>
              <w:snapToGrid/>
              <w:spacing w:line="183" w:lineRule="auto"/>
              <w:ind w:left="0" w:right="0"/>
              <w:jc w:val="center"/>
              <w:outlineLvl w:val="9"/>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20</w:t>
            </w:r>
          </w:p>
        </w:tc>
        <w:tc>
          <w:tcPr>
            <w:tcW w:w="734" w:type="dxa"/>
            <w:tcBorders>
              <w:bottom w:val="single" w:color="auto" w:sz="4" w:space="0"/>
            </w:tcBorders>
            <w:noWrap w:val="0"/>
            <w:vAlign w:val="center"/>
          </w:tcPr>
          <w:p w14:paraId="7E28A3CB">
            <w:pPr>
              <w:keepNext w:val="0"/>
              <w:keepLines w:val="0"/>
              <w:pageBreakBefore w:val="0"/>
              <w:kinsoku/>
              <w:wordWrap/>
              <w:overflowPunct/>
              <w:topLinePunct w:val="0"/>
              <w:autoSpaceDE/>
              <w:autoSpaceDN/>
              <w:bidi w:val="0"/>
              <w:adjustRightInd/>
              <w:snapToGrid/>
              <w:spacing w:line="217" w:lineRule="auto"/>
              <w:ind w:left="0" w:leftChars="0" w:right="0" w:rightChars="0" w:firstLine="10" w:firstLineChars="0"/>
              <w:jc w:val="both"/>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rPr>
              <w:t>农业保险绩效评价10分</w:t>
            </w:r>
          </w:p>
        </w:tc>
        <w:tc>
          <w:tcPr>
            <w:tcW w:w="886" w:type="dxa"/>
            <w:tcBorders>
              <w:top w:val="single" w:color="auto" w:sz="4" w:space="0"/>
              <w:bottom w:val="single" w:color="auto" w:sz="4" w:space="0"/>
            </w:tcBorders>
            <w:noWrap w:val="0"/>
            <w:vAlign w:val="center"/>
          </w:tcPr>
          <w:p w14:paraId="0BDA25AA">
            <w:pPr>
              <w:keepNext w:val="0"/>
              <w:keepLines w:val="0"/>
              <w:pageBreakBefore w:val="0"/>
              <w:kinsoku/>
              <w:wordWrap/>
              <w:overflowPunct/>
              <w:topLinePunct w:val="0"/>
              <w:autoSpaceDE/>
              <w:autoSpaceDN/>
              <w:bidi w:val="0"/>
              <w:adjustRightInd/>
              <w:snapToGrid/>
              <w:spacing w:line="217" w:lineRule="auto"/>
              <w:ind w:left="0" w:leftChars="0" w:right="0" w:rightChars="0" w:firstLine="10" w:firstLineChars="0"/>
              <w:jc w:val="both"/>
              <w:rPr>
                <w:rFonts w:hint="default" w:ascii="宋体" w:hAnsi="宋体" w:eastAsia="宋体" w:cs="宋体"/>
                <w:spacing w:val="-1"/>
                <w:sz w:val="18"/>
                <w:szCs w:val="18"/>
                <w:lang w:val="en-US" w:eastAsia="zh-CN"/>
              </w:rPr>
            </w:pPr>
            <w:r>
              <w:rPr>
                <w:rFonts w:hint="eastAsia" w:ascii="宋体" w:hAnsi="宋体" w:eastAsia="宋体" w:cs="宋体"/>
                <w:spacing w:val="-1"/>
                <w:sz w:val="18"/>
                <w:szCs w:val="18"/>
              </w:rPr>
              <w:t>农业保险绩效评价 情况</w:t>
            </w:r>
            <w:r>
              <w:rPr>
                <w:rFonts w:hint="eastAsia" w:ascii="宋体" w:hAnsi="宋体" w:eastAsia="宋体" w:cs="宋体"/>
                <w:spacing w:val="-1"/>
                <w:sz w:val="18"/>
                <w:szCs w:val="18"/>
                <w:lang w:val="en-US" w:eastAsia="zh-CN"/>
              </w:rPr>
              <w:t>10分</w:t>
            </w:r>
          </w:p>
        </w:tc>
        <w:tc>
          <w:tcPr>
            <w:tcW w:w="648" w:type="dxa"/>
            <w:noWrap w:val="0"/>
            <w:vAlign w:val="center"/>
          </w:tcPr>
          <w:p w14:paraId="14E839F3">
            <w:pPr>
              <w:keepNext w:val="0"/>
              <w:keepLines w:val="0"/>
              <w:pageBreakBefore w:val="0"/>
              <w:kinsoku/>
              <w:wordWrap/>
              <w:overflowPunct/>
              <w:topLinePunct w:val="0"/>
              <w:autoSpaceDE/>
              <w:autoSpaceDN/>
              <w:bidi w:val="0"/>
              <w:adjustRightInd/>
              <w:snapToGrid/>
              <w:spacing w:line="217" w:lineRule="auto"/>
              <w:ind w:left="0" w:leftChars="0" w:right="0" w:rightChars="0" w:firstLine="10" w:firstLineChar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rPr>
              <w:t>10</w:t>
            </w:r>
          </w:p>
        </w:tc>
        <w:tc>
          <w:tcPr>
            <w:tcW w:w="5598" w:type="dxa"/>
            <w:noWrap w:val="0"/>
            <w:vAlign w:val="center"/>
          </w:tcPr>
          <w:p w14:paraId="2BD29577">
            <w:pPr>
              <w:keepNext w:val="0"/>
              <w:keepLines w:val="0"/>
              <w:pageBreakBefore w:val="0"/>
              <w:kinsoku/>
              <w:wordWrap/>
              <w:overflowPunct/>
              <w:topLinePunct w:val="0"/>
              <w:autoSpaceDE/>
              <w:autoSpaceDN/>
              <w:bidi w:val="0"/>
              <w:adjustRightInd/>
              <w:snapToGrid/>
              <w:spacing w:line="217" w:lineRule="auto"/>
              <w:ind w:left="0" w:leftChars="0" w:right="0" w:rightChars="0" w:firstLine="10" w:firstLineChars="0"/>
              <w:jc w:val="both"/>
              <w:rPr>
                <w:rFonts w:hint="eastAsia" w:ascii="宋体" w:hAnsi="宋体" w:eastAsia="宋体" w:cs="宋体"/>
                <w:spacing w:val="-1"/>
                <w:sz w:val="18"/>
                <w:szCs w:val="18"/>
                <w:lang w:eastAsia="zh-CN"/>
              </w:rPr>
            </w:pPr>
            <w:r>
              <w:rPr>
                <w:rFonts w:hint="eastAsia" w:ascii="宋体" w:hAnsi="宋体" w:eastAsia="宋体" w:cs="宋体"/>
                <w:spacing w:val="-1"/>
                <w:sz w:val="18"/>
                <w:szCs w:val="18"/>
              </w:rPr>
              <w:t>根据2020-2021年农业保险承保机构绩效评价结果得分进行排名，每年最高得分5分，依排名先后分别记5分、4分、3分、2分，两年累计得分计入遴选结果。没有纳入2020-2021年农业保险承保机构绩效评价范围的两家公司不记分。</w:t>
            </w:r>
          </w:p>
        </w:tc>
        <w:tc>
          <w:tcPr>
            <w:tcW w:w="5598" w:type="dxa"/>
            <w:noWrap w:val="0"/>
            <w:vAlign w:val="center"/>
          </w:tcPr>
          <w:p w14:paraId="01ACA0BD">
            <w:pPr>
              <w:keepNext w:val="0"/>
              <w:keepLines w:val="0"/>
              <w:pageBreakBefore w:val="0"/>
              <w:kinsoku/>
              <w:wordWrap/>
              <w:overflowPunct/>
              <w:topLinePunct w:val="0"/>
              <w:autoSpaceDE/>
              <w:autoSpaceDN/>
              <w:bidi w:val="0"/>
              <w:adjustRightInd/>
              <w:snapToGrid/>
              <w:spacing w:line="217" w:lineRule="auto"/>
              <w:ind w:left="0" w:leftChars="0" w:right="0" w:rightChars="0" w:firstLine="10" w:firstLineChars="0"/>
              <w:jc w:val="both"/>
              <w:rPr>
                <w:rFonts w:hint="eastAsia" w:ascii="宋体" w:hAnsi="宋体" w:eastAsia="宋体" w:cs="宋体"/>
                <w:spacing w:val="-1"/>
                <w:sz w:val="18"/>
                <w:szCs w:val="18"/>
              </w:rPr>
            </w:pPr>
            <w:r>
              <w:rPr>
                <w:rFonts w:hint="eastAsia" w:ascii="宋体" w:hAnsi="宋体" w:eastAsia="宋体" w:cs="宋体"/>
                <w:spacing w:val="-1"/>
                <w:sz w:val="18"/>
                <w:szCs w:val="18"/>
              </w:rPr>
              <w:t>由遴选人提供提供各遴选的承保机构近2年（遴选公告发布年度的前2年）参与县级农业保险绩效评价结果盖公章。</w:t>
            </w:r>
          </w:p>
        </w:tc>
      </w:tr>
      <w:tr w14:paraId="2A6F4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2" w:hRule="atLeast"/>
        </w:trPr>
        <w:tc>
          <w:tcPr>
            <w:tcW w:w="485" w:type="dxa"/>
            <w:noWrap w:val="0"/>
            <w:vAlign w:val="center"/>
          </w:tcPr>
          <w:p w14:paraId="0F3B07C6">
            <w:pPr>
              <w:keepNext w:val="0"/>
              <w:keepLines w:val="0"/>
              <w:pageBreakBefore w:val="0"/>
              <w:kinsoku/>
              <w:wordWrap/>
              <w:overflowPunct/>
              <w:topLinePunct w:val="0"/>
              <w:autoSpaceDE/>
              <w:autoSpaceDN/>
              <w:bidi w:val="0"/>
              <w:adjustRightInd/>
              <w:snapToGrid/>
              <w:spacing w:line="183" w:lineRule="auto"/>
              <w:ind w:left="0" w:right="0"/>
              <w:jc w:val="center"/>
              <w:outlineLvl w:val="9"/>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21</w:t>
            </w:r>
          </w:p>
        </w:tc>
        <w:tc>
          <w:tcPr>
            <w:tcW w:w="734" w:type="dxa"/>
            <w:vMerge w:val="restart"/>
            <w:tcBorders>
              <w:top w:val="single" w:color="auto" w:sz="4" w:space="0"/>
            </w:tcBorders>
            <w:noWrap w:val="0"/>
            <w:vAlign w:val="center"/>
          </w:tcPr>
          <w:p w14:paraId="1E2739AE">
            <w:pPr>
              <w:keepNext w:val="0"/>
              <w:keepLines w:val="0"/>
              <w:pageBreakBefore w:val="0"/>
              <w:kinsoku/>
              <w:wordWrap/>
              <w:overflowPunct/>
              <w:topLinePunct w:val="0"/>
              <w:autoSpaceDE/>
              <w:autoSpaceDN/>
              <w:bidi w:val="0"/>
              <w:adjustRightInd/>
              <w:snapToGrid/>
              <w:spacing w:line="217" w:lineRule="auto"/>
              <w:ind w:left="0" w:leftChars="0" w:right="0" w:rightChars="0" w:firstLine="10" w:firstLineChars="0"/>
              <w:jc w:val="both"/>
              <w:rPr>
                <w:rFonts w:hint="eastAsia" w:ascii="宋体" w:hAnsi="宋体" w:eastAsia="宋体" w:cs="宋体"/>
                <w:spacing w:val="-1"/>
                <w:sz w:val="18"/>
                <w:szCs w:val="18"/>
              </w:rPr>
            </w:pPr>
            <w:r>
              <w:rPr>
                <w:rFonts w:hint="eastAsia" w:ascii="宋体" w:hAnsi="宋体" w:eastAsia="宋体" w:cs="宋体"/>
                <w:spacing w:val="-1"/>
                <w:sz w:val="18"/>
                <w:szCs w:val="18"/>
              </w:rPr>
              <w:t>对县域经济的贡献程度7分</w:t>
            </w:r>
          </w:p>
        </w:tc>
        <w:tc>
          <w:tcPr>
            <w:tcW w:w="886" w:type="dxa"/>
            <w:tcBorders>
              <w:top w:val="single" w:color="auto" w:sz="4" w:space="0"/>
              <w:bottom w:val="single" w:color="auto" w:sz="4" w:space="0"/>
            </w:tcBorders>
            <w:noWrap w:val="0"/>
            <w:vAlign w:val="center"/>
          </w:tcPr>
          <w:p w14:paraId="06D352DC">
            <w:pPr>
              <w:keepNext w:val="0"/>
              <w:keepLines w:val="0"/>
              <w:pageBreakBefore w:val="0"/>
              <w:kinsoku/>
              <w:wordWrap/>
              <w:overflowPunct/>
              <w:topLinePunct w:val="0"/>
              <w:autoSpaceDE/>
              <w:autoSpaceDN/>
              <w:bidi w:val="0"/>
              <w:adjustRightInd/>
              <w:snapToGrid/>
              <w:spacing w:line="217" w:lineRule="auto"/>
              <w:ind w:left="0" w:leftChars="0" w:right="0" w:rightChars="0" w:firstLine="10" w:firstLineChars="0"/>
              <w:jc w:val="both"/>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rPr>
              <w:t>历年完成税收总额情况</w:t>
            </w:r>
            <w:r>
              <w:rPr>
                <w:rFonts w:hint="eastAsia" w:ascii="宋体" w:hAnsi="宋体" w:eastAsia="宋体" w:cs="宋体"/>
                <w:spacing w:val="-1"/>
                <w:sz w:val="18"/>
                <w:szCs w:val="18"/>
                <w:lang w:val="en-US" w:eastAsia="zh-CN"/>
              </w:rPr>
              <w:t>4分</w:t>
            </w:r>
          </w:p>
        </w:tc>
        <w:tc>
          <w:tcPr>
            <w:tcW w:w="648" w:type="dxa"/>
            <w:noWrap w:val="0"/>
            <w:vAlign w:val="center"/>
          </w:tcPr>
          <w:p w14:paraId="24D4F820">
            <w:pPr>
              <w:keepNext w:val="0"/>
              <w:keepLines w:val="0"/>
              <w:pageBreakBefore w:val="0"/>
              <w:kinsoku/>
              <w:wordWrap/>
              <w:overflowPunct/>
              <w:topLinePunct w:val="0"/>
              <w:autoSpaceDE/>
              <w:autoSpaceDN/>
              <w:bidi w:val="0"/>
              <w:adjustRightInd/>
              <w:snapToGrid/>
              <w:spacing w:line="217" w:lineRule="auto"/>
              <w:ind w:left="0" w:leftChars="0" w:right="0" w:rightChars="0" w:firstLine="10" w:firstLineChar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rPr>
              <w:t>4</w:t>
            </w:r>
          </w:p>
        </w:tc>
        <w:tc>
          <w:tcPr>
            <w:tcW w:w="5598" w:type="dxa"/>
            <w:noWrap w:val="0"/>
            <w:vAlign w:val="center"/>
          </w:tcPr>
          <w:p w14:paraId="54F4BC3D">
            <w:pPr>
              <w:keepNext w:val="0"/>
              <w:keepLines w:val="0"/>
              <w:pageBreakBefore w:val="0"/>
              <w:kinsoku/>
              <w:wordWrap/>
              <w:overflowPunct/>
              <w:topLinePunct w:val="0"/>
              <w:autoSpaceDE/>
              <w:autoSpaceDN/>
              <w:bidi w:val="0"/>
              <w:adjustRightInd/>
              <w:snapToGrid/>
              <w:spacing w:line="217" w:lineRule="auto"/>
              <w:ind w:left="0" w:leftChars="0" w:right="0" w:rightChars="0" w:firstLine="10" w:firstLineChars="0"/>
              <w:jc w:val="both"/>
              <w:rPr>
                <w:rFonts w:hint="eastAsia" w:ascii="宋体" w:hAnsi="宋体" w:eastAsia="宋体" w:cs="宋体"/>
                <w:spacing w:val="-1"/>
                <w:sz w:val="18"/>
                <w:szCs w:val="18"/>
              </w:rPr>
            </w:pPr>
            <w:r>
              <w:rPr>
                <w:rFonts w:hint="eastAsia" w:ascii="宋体" w:hAnsi="宋体" w:eastAsia="宋体" w:cs="宋体"/>
                <w:spacing w:val="-1"/>
                <w:sz w:val="18"/>
                <w:szCs w:val="18"/>
              </w:rPr>
              <w:t>参加遴选的承保机构2019-2021年三年完成税收总额排名，一至六名分别记4分、3.5分、3分、2.5分，2分、1.5分。</w:t>
            </w:r>
          </w:p>
        </w:tc>
        <w:tc>
          <w:tcPr>
            <w:tcW w:w="5598" w:type="dxa"/>
            <w:noWrap w:val="0"/>
            <w:vAlign w:val="center"/>
          </w:tcPr>
          <w:p w14:paraId="6E60E687">
            <w:pPr>
              <w:keepNext w:val="0"/>
              <w:keepLines w:val="0"/>
              <w:pageBreakBefore w:val="0"/>
              <w:kinsoku/>
              <w:wordWrap/>
              <w:overflowPunct/>
              <w:topLinePunct w:val="0"/>
              <w:autoSpaceDE/>
              <w:autoSpaceDN/>
              <w:bidi w:val="0"/>
              <w:adjustRightInd/>
              <w:snapToGrid/>
              <w:spacing w:line="217" w:lineRule="auto"/>
              <w:ind w:left="0" w:leftChars="0" w:right="0" w:rightChars="0" w:firstLine="10" w:firstLineChars="0"/>
              <w:jc w:val="both"/>
              <w:rPr>
                <w:rFonts w:hint="eastAsia" w:ascii="宋体" w:hAnsi="宋体" w:eastAsia="宋体" w:cs="宋体"/>
                <w:spacing w:val="-1"/>
                <w:sz w:val="18"/>
                <w:szCs w:val="18"/>
              </w:rPr>
            </w:pPr>
            <w:r>
              <w:rPr>
                <w:rFonts w:hint="eastAsia" w:ascii="宋体" w:hAnsi="宋体" w:eastAsia="宋体" w:cs="宋体"/>
                <w:spacing w:val="-1"/>
                <w:sz w:val="18"/>
                <w:szCs w:val="18"/>
              </w:rPr>
              <w:t>由遴选人提供各遴选的承保机构近3年（遴选公告发布年度的前3年）在本县完成税收证明材料，并加盖遴选人和县税务局公章。</w:t>
            </w:r>
          </w:p>
        </w:tc>
      </w:tr>
      <w:tr w14:paraId="21196D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85" w:type="dxa"/>
            <w:noWrap w:val="0"/>
            <w:vAlign w:val="center"/>
          </w:tcPr>
          <w:p w14:paraId="4A4CE5BA">
            <w:pPr>
              <w:keepNext w:val="0"/>
              <w:keepLines w:val="0"/>
              <w:pageBreakBefore w:val="0"/>
              <w:kinsoku/>
              <w:wordWrap/>
              <w:overflowPunct/>
              <w:topLinePunct w:val="0"/>
              <w:autoSpaceDE/>
              <w:autoSpaceDN/>
              <w:bidi w:val="0"/>
              <w:adjustRightInd/>
              <w:snapToGrid/>
              <w:spacing w:line="183" w:lineRule="auto"/>
              <w:ind w:left="0" w:right="0"/>
              <w:jc w:val="center"/>
              <w:outlineLvl w:val="9"/>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22</w:t>
            </w:r>
          </w:p>
        </w:tc>
        <w:tc>
          <w:tcPr>
            <w:tcW w:w="734" w:type="dxa"/>
            <w:vMerge w:val="continue"/>
            <w:tcBorders>
              <w:bottom w:val="single" w:color="auto" w:sz="4" w:space="0"/>
            </w:tcBorders>
            <w:noWrap w:val="0"/>
            <w:vAlign w:val="center"/>
          </w:tcPr>
          <w:p w14:paraId="5AA509C4">
            <w:pPr>
              <w:keepNext w:val="0"/>
              <w:keepLines w:val="0"/>
              <w:pageBreakBefore w:val="0"/>
              <w:kinsoku/>
              <w:wordWrap/>
              <w:overflowPunct/>
              <w:topLinePunct w:val="0"/>
              <w:autoSpaceDE/>
              <w:autoSpaceDN/>
              <w:bidi w:val="0"/>
              <w:adjustRightInd/>
              <w:snapToGrid/>
              <w:spacing w:line="217" w:lineRule="auto"/>
              <w:ind w:left="0" w:leftChars="0" w:right="0" w:rightChars="0" w:firstLine="10" w:firstLineChars="0"/>
              <w:jc w:val="both"/>
              <w:rPr>
                <w:rFonts w:hint="eastAsia" w:ascii="宋体" w:hAnsi="宋体" w:eastAsia="宋体" w:cs="宋体"/>
                <w:spacing w:val="-1"/>
                <w:sz w:val="18"/>
                <w:szCs w:val="18"/>
              </w:rPr>
            </w:pPr>
          </w:p>
        </w:tc>
        <w:tc>
          <w:tcPr>
            <w:tcW w:w="886" w:type="dxa"/>
            <w:tcBorders>
              <w:top w:val="single" w:color="auto" w:sz="4" w:space="0"/>
              <w:bottom w:val="single" w:color="auto" w:sz="4" w:space="0"/>
            </w:tcBorders>
            <w:noWrap w:val="0"/>
            <w:vAlign w:val="center"/>
          </w:tcPr>
          <w:p w14:paraId="227B1C98">
            <w:pPr>
              <w:keepNext w:val="0"/>
              <w:keepLines w:val="0"/>
              <w:pageBreakBefore w:val="0"/>
              <w:kinsoku/>
              <w:wordWrap/>
              <w:overflowPunct/>
              <w:topLinePunct w:val="0"/>
              <w:autoSpaceDE/>
              <w:autoSpaceDN/>
              <w:bidi w:val="0"/>
              <w:adjustRightInd/>
              <w:snapToGrid/>
              <w:spacing w:line="217" w:lineRule="auto"/>
              <w:ind w:left="0" w:leftChars="0" w:right="0" w:rightChars="0" w:firstLine="10" w:firstLineChars="0"/>
              <w:jc w:val="both"/>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rPr>
              <w:t>近年税收增长率</w:t>
            </w:r>
            <w:r>
              <w:rPr>
                <w:rFonts w:hint="eastAsia" w:ascii="宋体" w:hAnsi="宋体" w:eastAsia="宋体" w:cs="宋体"/>
                <w:spacing w:val="-1"/>
                <w:sz w:val="18"/>
                <w:szCs w:val="18"/>
                <w:lang w:val="en-US" w:eastAsia="zh-CN"/>
              </w:rPr>
              <w:t>3分</w:t>
            </w:r>
          </w:p>
        </w:tc>
        <w:tc>
          <w:tcPr>
            <w:tcW w:w="648" w:type="dxa"/>
            <w:noWrap w:val="0"/>
            <w:vAlign w:val="center"/>
          </w:tcPr>
          <w:p w14:paraId="286C3BDE">
            <w:pPr>
              <w:keepNext w:val="0"/>
              <w:keepLines w:val="0"/>
              <w:pageBreakBefore w:val="0"/>
              <w:kinsoku/>
              <w:wordWrap/>
              <w:overflowPunct/>
              <w:topLinePunct w:val="0"/>
              <w:autoSpaceDE/>
              <w:autoSpaceDN/>
              <w:bidi w:val="0"/>
              <w:adjustRightInd/>
              <w:snapToGrid/>
              <w:spacing w:line="217" w:lineRule="auto"/>
              <w:ind w:left="0" w:leftChars="0" w:right="0" w:rightChars="0" w:firstLine="10" w:firstLineChar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rPr>
              <w:t>3</w:t>
            </w:r>
          </w:p>
        </w:tc>
        <w:tc>
          <w:tcPr>
            <w:tcW w:w="5598" w:type="dxa"/>
            <w:noWrap w:val="0"/>
            <w:vAlign w:val="center"/>
          </w:tcPr>
          <w:p w14:paraId="197B545A">
            <w:pPr>
              <w:keepNext w:val="0"/>
              <w:keepLines w:val="0"/>
              <w:pageBreakBefore w:val="0"/>
              <w:kinsoku/>
              <w:wordWrap/>
              <w:overflowPunct/>
              <w:topLinePunct w:val="0"/>
              <w:autoSpaceDE/>
              <w:autoSpaceDN/>
              <w:bidi w:val="0"/>
              <w:adjustRightInd/>
              <w:snapToGrid/>
              <w:spacing w:line="217" w:lineRule="auto"/>
              <w:ind w:left="0" w:leftChars="0" w:right="0" w:rightChars="0" w:firstLine="10" w:firstLineChars="0"/>
              <w:jc w:val="both"/>
              <w:rPr>
                <w:rFonts w:hint="eastAsia" w:ascii="宋体" w:hAnsi="宋体" w:eastAsia="宋体" w:cs="宋体"/>
                <w:spacing w:val="-1"/>
                <w:sz w:val="18"/>
                <w:szCs w:val="18"/>
              </w:rPr>
            </w:pPr>
            <w:r>
              <w:rPr>
                <w:rFonts w:hint="eastAsia" w:ascii="宋体" w:hAnsi="宋体" w:eastAsia="宋体" w:cs="宋体"/>
                <w:spacing w:val="-1"/>
                <w:sz w:val="18"/>
                <w:szCs w:val="18"/>
              </w:rPr>
              <w:t>参加遴选的承保机构2020-2021年两年完成税收平均增长率进行排名，一至六名分别记3分、2.5分、2分、1.5分，1分、0.5分。</w:t>
            </w:r>
          </w:p>
        </w:tc>
        <w:tc>
          <w:tcPr>
            <w:tcW w:w="5598" w:type="dxa"/>
            <w:noWrap w:val="0"/>
            <w:vAlign w:val="center"/>
          </w:tcPr>
          <w:p w14:paraId="5EF9EAF0">
            <w:pPr>
              <w:keepNext w:val="0"/>
              <w:keepLines w:val="0"/>
              <w:pageBreakBefore w:val="0"/>
              <w:kinsoku/>
              <w:wordWrap/>
              <w:overflowPunct/>
              <w:topLinePunct w:val="0"/>
              <w:autoSpaceDE/>
              <w:autoSpaceDN/>
              <w:bidi w:val="0"/>
              <w:adjustRightInd/>
              <w:snapToGrid/>
              <w:spacing w:line="217" w:lineRule="auto"/>
              <w:ind w:left="0" w:leftChars="0" w:right="0" w:rightChars="0" w:firstLine="10" w:firstLineChars="0"/>
              <w:jc w:val="both"/>
              <w:rPr>
                <w:rFonts w:hint="eastAsia" w:ascii="宋体" w:hAnsi="宋体" w:eastAsia="宋体" w:cs="宋体"/>
                <w:spacing w:val="-1"/>
                <w:sz w:val="18"/>
                <w:szCs w:val="18"/>
              </w:rPr>
            </w:pPr>
            <w:r>
              <w:rPr>
                <w:rFonts w:hint="eastAsia" w:ascii="宋体" w:hAnsi="宋体" w:eastAsia="宋体" w:cs="宋体"/>
                <w:spacing w:val="-1"/>
                <w:sz w:val="18"/>
                <w:szCs w:val="18"/>
              </w:rPr>
              <w:t>由遴选人提供各遴选的承保机构近2年（遴选公告发布年度的前2年）在本县完成税收增长率证明材料，并加盖遴选人和县税务局公章。</w:t>
            </w:r>
          </w:p>
        </w:tc>
      </w:tr>
      <w:tr w14:paraId="536456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485" w:type="dxa"/>
            <w:noWrap w:val="0"/>
            <w:vAlign w:val="center"/>
          </w:tcPr>
          <w:p w14:paraId="1210F6E8">
            <w:pPr>
              <w:keepNext w:val="0"/>
              <w:keepLines w:val="0"/>
              <w:pageBreakBefore w:val="0"/>
              <w:kinsoku/>
              <w:wordWrap/>
              <w:overflowPunct/>
              <w:topLinePunct w:val="0"/>
              <w:autoSpaceDE/>
              <w:autoSpaceDN/>
              <w:bidi w:val="0"/>
              <w:adjustRightInd/>
              <w:snapToGrid/>
              <w:spacing w:line="183" w:lineRule="auto"/>
              <w:ind w:left="0" w:right="0"/>
              <w:jc w:val="center"/>
              <w:outlineLvl w:val="9"/>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23</w:t>
            </w:r>
          </w:p>
        </w:tc>
        <w:tc>
          <w:tcPr>
            <w:tcW w:w="734" w:type="dxa"/>
            <w:tcBorders>
              <w:top w:val="single" w:color="auto" w:sz="4" w:space="0"/>
              <w:bottom w:val="single" w:color="auto" w:sz="4" w:space="0"/>
            </w:tcBorders>
            <w:noWrap w:val="0"/>
            <w:vAlign w:val="center"/>
          </w:tcPr>
          <w:p w14:paraId="2C206E1A">
            <w:pPr>
              <w:keepNext w:val="0"/>
              <w:keepLines w:val="0"/>
              <w:pageBreakBefore w:val="0"/>
              <w:kinsoku/>
              <w:wordWrap/>
              <w:overflowPunct/>
              <w:topLinePunct w:val="0"/>
              <w:autoSpaceDE/>
              <w:autoSpaceDN/>
              <w:bidi w:val="0"/>
              <w:adjustRightInd/>
              <w:snapToGrid/>
              <w:spacing w:line="217" w:lineRule="auto"/>
              <w:ind w:left="0" w:leftChars="0" w:right="0" w:rightChars="0" w:firstLine="10" w:firstLineChars="0"/>
              <w:jc w:val="both"/>
              <w:rPr>
                <w:rFonts w:hint="eastAsia" w:ascii="宋体" w:hAnsi="宋体" w:eastAsia="宋体" w:cs="宋体"/>
                <w:spacing w:val="-1"/>
                <w:sz w:val="18"/>
                <w:szCs w:val="18"/>
              </w:rPr>
            </w:pPr>
            <w:r>
              <w:rPr>
                <w:rFonts w:hint="eastAsia" w:ascii="宋体" w:hAnsi="宋体" w:eastAsia="宋体" w:cs="宋体"/>
                <w:spacing w:val="-1"/>
                <w:sz w:val="18"/>
                <w:szCs w:val="18"/>
              </w:rPr>
              <w:t>对乡村振兴工作的支持3分</w:t>
            </w:r>
          </w:p>
        </w:tc>
        <w:tc>
          <w:tcPr>
            <w:tcW w:w="886" w:type="dxa"/>
            <w:tcBorders>
              <w:top w:val="single" w:color="auto" w:sz="4" w:space="0"/>
              <w:bottom w:val="single" w:color="auto" w:sz="4" w:space="0"/>
            </w:tcBorders>
            <w:noWrap w:val="0"/>
            <w:vAlign w:val="center"/>
          </w:tcPr>
          <w:p w14:paraId="58D46357">
            <w:pPr>
              <w:keepNext w:val="0"/>
              <w:keepLines w:val="0"/>
              <w:pageBreakBefore w:val="0"/>
              <w:kinsoku/>
              <w:wordWrap/>
              <w:overflowPunct/>
              <w:topLinePunct w:val="0"/>
              <w:autoSpaceDE/>
              <w:autoSpaceDN/>
              <w:bidi w:val="0"/>
              <w:adjustRightInd/>
              <w:snapToGrid/>
              <w:spacing w:line="217" w:lineRule="auto"/>
              <w:ind w:left="0" w:leftChars="0" w:right="0" w:rightChars="0" w:firstLine="10" w:firstLineChars="0"/>
              <w:jc w:val="both"/>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rPr>
              <w:t>乡村振兴方面投入资金情况</w:t>
            </w:r>
            <w:r>
              <w:rPr>
                <w:rFonts w:hint="eastAsia" w:ascii="宋体" w:hAnsi="宋体" w:eastAsia="宋体" w:cs="宋体"/>
                <w:spacing w:val="-1"/>
                <w:sz w:val="18"/>
                <w:szCs w:val="18"/>
                <w:lang w:val="en-US" w:eastAsia="zh-CN"/>
              </w:rPr>
              <w:t>3分</w:t>
            </w:r>
          </w:p>
        </w:tc>
        <w:tc>
          <w:tcPr>
            <w:tcW w:w="648" w:type="dxa"/>
            <w:noWrap w:val="0"/>
            <w:vAlign w:val="center"/>
          </w:tcPr>
          <w:p w14:paraId="657D28A8">
            <w:pPr>
              <w:keepNext w:val="0"/>
              <w:keepLines w:val="0"/>
              <w:pageBreakBefore w:val="0"/>
              <w:kinsoku/>
              <w:wordWrap/>
              <w:overflowPunct/>
              <w:topLinePunct w:val="0"/>
              <w:autoSpaceDE/>
              <w:autoSpaceDN/>
              <w:bidi w:val="0"/>
              <w:adjustRightInd/>
              <w:snapToGrid/>
              <w:spacing w:line="217" w:lineRule="auto"/>
              <w:ind w:left="0" w:leftChars="0" w:right="0" w:rightChars="0" w:firstLine="10" w:firstLineChars="0"/>
              <w:jc w:val="center"/>
              <w:rPr>
                <w:rFonts w:hint="eastAsia" w:ascii="宋体" w:hAnsi="宋体" w:eastAsia="宋体" w:cs="宋体"/>
                <w:spacing w:val="-1"/>
                <w:sz w:val="18"/>
                <w:szCs w:val="18"/>
                <w:lang w:val="en-US" w:eastAsia="zh-CN"/>
              </w:rPr>
            </w:pPr>
            <w:r>
              <w:rPr>
                <w:rFonts w:hint="eastAsia" w:ascii="宋体" w:hAnsi="宋体" w:eastAsia="宋体" w:cs="宋体"/>
                <w:spacing w:val="-1"/>
                <w:sz w:val="18"/>
                <w:szCs w:val="18"/>
              </w:rPr>
              <w:t>3</w:t>
            </w:r>
          </w:p>
        </w:tc>
        <w:tc>
          <w:tcPr>
            <w:tcW w:w="5598" w:type="dxa"/>
            <w:noWrap w:val="0"/>
            <w:vAlign w:val="center"/>
          </w:tcPr>
          <w:p w14:paraId="03B46255">
            <w:pPr>
              <w:keepNext w:val="0"/>
              <w:keepLines w:val="0"/>
              <w:pageBreakBefore w:val="0"/>
              <w:kinsoku/>
              <w:wordWrap/>
              <w:overflowPunct/>
              <w:topLinePunct w:val="0"/>
              <w:autoSpaceDE/>
              <w:autoSpaceDN/>
              <w:bidi w:val="0"/>
              <w:adjustRightInd/>
              <w:snapToGrid/>
              <w:spacing w:line="217" w:lineRule="auto"/>
              <w:ind w:left="0" w:leftChars="0" w:right="0" w:rightChars="0" w:firstLine="10" w:firstLineChars="0"/>
              <w:jc w:val="both"/>
              <w:rPr>
                <w:rFonts w:hint="eastAsia" w:ascii="宋体" w:hAnsi="宋体" w:eastAsia="宋体" w:cs="宋体"/>
                <w:spacing w:val="-1"/>
                <w:sz w:val="18"/>
                <w:szCs w:val="18"/>
              </w:rPr>
            </w:pPr>
            <w:r>
              <w:rPr>
                <w:rFonts w:hint="eastAsia" w:ascii="宋体" w:hAnsi="宋体" w:eastAsia="宋体" w:cs="宋体"/>
                <w:spacing w:val="-1"/>
                <w:sz w:val="18"/>
                <w:szCs w:val="18"/>
              </w:rPr>
              <w:t>参加遴选的承保机构2020-2022年三年来对我县乡村振兴方面投入资金总额情况进行排名，一至六名分别记3分、2.5分、2分、1.5分、1分、0.5分。</w:t>
            </w:r>
          </w:p>
        </w:tc>
        <w:tc>
          <w:tcPr>
            <w:tcW w:w="5598" w:type="dxa"/>
            <w:noWrap w:val="0"/>
            <w:vAlign w:val="center"/>
          </w:tcPr>
          <w:p w14:paraId="0A1E7F8A">
            <w:pPr>
              <w:keepNext w:val="0"/>
              <w:keepLines w:val="0"/>
              <w:pageBreakBefore w:val="0"/>
              <w:kinsoku/>
              <w:wordWrap/>
              <w:overflowPunct/>
              <w:topLinePunct w:val="0"/>
              <w:autoSpaceDE/>
              <w:autoSpaceDN/>
              <w:bidi w:val="0"/>
              <w:adjustRightInd/>
              <w:snapToGrid/>
              <w:spacing w:line="217" w:lineRule="auto"/>
              <w:ind w:left="0" w:leftChars="0" w:right="0" w:rightChars="0" w:firstLine="10" w:firstLineChars="0"/>
              <w:jc w:val="both"/>
              <w:rPr>
                <w:rFonts w:hint="eastAsia" w:ascii="宋体" w:hAnsi="宋体" w:eastAsia="宋体" w:cs="宋体"/>
                <w:spacing w:val="-1"/>
                <w:sz w:val="18"/>
                <w:szCs w:val="18"/>
              </w:rPr>
            </w:pPr>
            <w:r>
              <w:rPr>
                <w:rFonts w:hint="eastAsia" w:ascii="宋体" w:hAnsi="宋体" w:eastAsia="宋体" w:cs="宋体"/>
                <w:spacing w:val="-1"/>
                <w:sz w:val="18"/>
                <w:szCs w:val="18"/>
              </w:rPr>
              <w:t>参加遴选的承保机构需提供近3年来</w:t>
            </w:r>
            <w:r>
              <w:rPr>
                <w:rFonts w:hint="eastAsia" w:ascii="宋体" w:hAnsi="宋体" w:eastAsia="宋体" w:cs="宋体"/>
                <w:spacing w:val="-1"/>
                <w:sz w:val="18"/>
                <w:szCs w:val="18"/>
                <w:lang w:eastAsia="zh-CN"/>
              </w:rPr>
              <w:t>经</w:t>
            </w:r>
            <w:r>
              <w:rPr>
                <w:rFonts w:hint="eastAsia" w:ascii="宋体" w:hAnsi="宋体" w:eastAsia="宋体" w:cs="宋体"/>
                <w:spacing w:val="-1"/>
                <w:sz w:val="18"/>
                <w:szCs w:val="18"/>
              </w:rPr>
              <w:t>县人民政府或县驻村帮扶工作领导小组</w:t>
            </w:r>
            <w:r>
              <w:rPr>
                <w:rFonts w:hint="eastAsia" w:ascii="宋体" w:hAnsi="宋体" w:eastAsia="宋体" w:cs="宋体"/>
                <w:spacing w:val="-1"/>
                <w:sz w:val="18"/>
                <w:szCs w:val="18"/>
                <w:lang w:eastAsia="zh-CN"/>
              </w:rPr>
              <w:t>办公室</w:t>
            </w:r>
            <w:r>
              <w:rPr>
                <w:rFonts w:hint="eastAsia" w:ascii="宋体" w:hAnsi="宋体" w:eastAsia="宋体" w:cs="宋体"/>
                <w:spacing w:val="-1"/>
                <w:sz w:val="18"/>
                <w:szCs w:val="18"/>
              </w:rPr>
              <w:t>认可，对我县乡村振兴方面投入资金情况的佐证材料。</w:t>
            </w:r>
          </w:p>
        </w:tc>
      </w:tr>
    </w:tbl>
    <w:p w14:paraId="774E5C31">
      <w:pPr>
        <w:spacing w:before="43" w:line="217" w:lineRule="auto"/>
        <w:ind w:left="101" w:leftChars="0" w:right="33" w:rightChars="0" w:firstLine="10" w:firstLineChars="0"/>
        <w:jc w:val="both"/>
        <w:outlineLvl w:val="9"/>
        <w:rPr>
          <w:rFonts w:hint="eastAsia" w:ascii="宋体" w:hAnsi="宋体" w:eastAsia="宋体" w:cs="宋体"/>
          <w:spacing w:val="-1"/>
          <w:sz w:val="21"/>
          <w:szCs w:val="21"/>
        </w:rPr>
      </w:pPr>
      <w:r>
        <w:rPr>
          <w:rFonts w:hint="eastAsia" w:ascii="宋体" w:hAnsi="宋体" w:eastAsia="宋体" w:cs="宋体"/>
          <w:spacing w:val="-1"/>
          <w:sz w:val="21"/>
          <w:szCs w:val="21"/>
        </w:rPr>
        <w:t>注：1、参加市本级及所辖区遴选的承保机构市级分支机构，人员、车辆、信息设备、历史理赔情况及历史业绩指标数据统计范围包含遴选区域范围内的所有的市辖区分支机构。</w:t>
      </w:r>
    </w:p>
    <w:p w14:paraId="3F047CC4">
      <w:pPr>
        <w:pStyle w:val="2"/>
        <w:numPr>
          <w:ilvl w:val="0"/>
          <w:numId w:val="3"/>
        </w:numPr>
        <w:ind w:left="0" w:leftChars="0" w:firstLine="416" w:firstLineChars="200"/>
        <w:outlineLvl w:val="1"/>
        <w:rPr>
          <w:rFonts w:hint="eastAsia" w:ascii="宋体" w:hAnsi="宋体" w:eastAsia="宋体" w:cs="宋体"/>
          <w:spacing w:val="-1"/>
          <w:sz w:val="21"/>
          <w:szCs w:val="21"/>
          <w:lang w:eastAsia="zh-CN"/>
        </w:rPr>
      </w:pPr>
      <w:bookmarkStart w:id="73" w:name="_Toc1545"/>
      <w:r>
        <w:rPr>
          <w:rFonts w:hint="eastAsia" w:ascii="宋体" w:hAnsi="宋体" w:eastAsia="宋体" w:cs="宋体"/>
          <w:spacing w:val="-1"/>
          <w:sz w:val="21"/>
          <w:szCs w:val="21"/>
        </w:rPr>
        <w:t>近3年指2019-2021年，上年指2021年</w:t>
      </w:r>
      <w:r>
        <w:rPr>
          <w:rFonts w:hint="eastAsia" w:ascii="宋体" w:hAnsi="宋体" w:eastAsia="宋体" w:cs="宋体"/>
          <w:spacing w:val="-1"/>
          <w:sz w:val="21"/>
          <w:szCs w:val="21"/>
          <w:lang w:eastAsia="zh-CN"/>
        </w:rPr>
        <w:t>。</w:t>
      </w:r>
      <w:bookmarkEnd w:id="73"/>
    </w:p>
    <w:p w14:paraId="1F7E5746">
      <w:pPr>
        <w:outlineLvl w:val="9"/>
        <w:rPr>
          <w:rFonts w:hint="eastAsia"/>
        </w:rPr>
      </w:pPr>
    </w:p>
    <w:p w14:paraId="21FF8DF1">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eastAsia" w:ascii="宋体" w:hAnsi="宋体" w:eastAsia="宋体" w:cs="宋体"/>
          <w:sz w:val="24"/>
          <w:szCs w:val="24"/>
          <w:lang w:val="en-US" w:eastAsia="zh-CN"/>
        </w:rPr>
      </w:pPr>
    </w:p>
    <w:p w14:paraId="32016E23">
      <w:pPr>
        <w:pStyle w:val="10"/>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auto"/>
        <w:ind w:left="0" w:right="0" w:firstLine="420"/>
        <w:jc w:val="left"/>
        <w:textAlignment w:val="auto"/>
        <w:rPr>
          <w:rFonts w:hint="eastAsia" w:ascii="宋体" w:hAnsi="宋体" w:eastAsia="宋体" w:cs="宋体"/>
          <w:sz w:val="24"/>
          <w:szCs w:val="24"/>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altName w:val="宋体"/>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93CE5">
    <w:pPr>
      <w:pStyle w:val="8"/>
      <w:rPr>
        <w:rFonts w:hint="eastAsia" w:eastAsia="宋体"/>
        <w:lang w:val="en-US" w:eastAsia="zh-CN"/>
      </w:rPr>
    </w:pPr>
    <w:r>
      <w:rPr>
        <w:rFonts w:hint="eastAsia"/>
        <w:sz w:val="21"/>
        <w:szCs w:val="21"/>
        <w:lang w:val="en-US" w:eastAsia="zh-CN"/>
      </w:rPr>
      <w:t>湖南中泰项目管理有限公司</w:t>
    </w:r>
    <w:r>
      <w:rPr>
        <w:rFonts w:hint="eastAsia"/>
        <w:sz w:val="21"/>
        <w:szCs w:val="21"/>
      </w:rPr>
      <w:t xml:space="preserve">                                     电话：</w:t>
    </w:r>
    <w:r>
      <w:rPr>
        <w:rFonts w:hint="eastAsia"/>
        <w:sz w:val="21"/>
        <w:szCs w:val="21"/>
        <w:lang w:eastAsia="zh-CN"/>
      </w:rPr>
      <w:t>0734-8202780</w:t>
    </w:r>
  </w:p>
  <w:p w14:paraId="6713D03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E6832">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DBAB13">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OwyWMo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jOwyWMoBAACbAwAADgAAAAAAAAABACAAAAAeAQAAZHJzL2Uyb0Rv&#10;Yy54bWxQSwUGAAAAAAYABgBZAQAAWgUAAAAA&#10;">
              <v:fill on="f" focussize="0,0"/>
              <v:stroke on="f"/>
              <v:imagedata o:title=""/>
              <o:lock v:ext="edit" aspectratio="f"/>
              <v:textbox inset="0mm,0mm,0mm,0mm" style="mso-fit-shape-to-text:t;">
                <w:txbxContent>
                  <w:p w14:paraId="3ADBAB13">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E5D479">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4CA0DF">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8z7AMoBAACb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ocRxixM///xx/vV4fvhO&#10;0IcC9QFqzLsLmJmG937AtZn9gM7Me1DR5i8yIhhHeU8XeeWQiMiPVsvVqsKQwNh8QXz29DxESB+k&#10;tyQbDY04vyIrP36CNKbOKbma87famDJD4/5yIGb2sNz72GO20rAbJkI7356QT4+jb6jDTafEfHSo&#10;bN6S2YizsZuNQ4h635U1yvUgvDskbKL0liuMsFNhnFlhN+1XXoo/7yXr6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8z7AMoBAACbAwAADgAAAAAAAAABACAAAAAeAQAAZHJzL2Uyb0Rv&#10;Yy54bWxQSwUGAAAAAAYABgBZAQAAWgUAAAAA&#10;">
              <v:fill on="f" focussize="0,0"/>
              <v:stroke on="f"/>
              <v:imagedata o:title=""/>
              <o:lock v:ext="edit" aspectratio="f"/>
              <v:textbox inset="0mm,0mm,0mm,0mm" style="mso-fit-shape-to-text:t;">
                <w:txbxContent>
                  <w:p w14:paraId="464CA0DF">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B76BC">
    <w:pPr>
      <w:pStyle w:val="8"/>
      <w:ind w:left="180" w:right="360" w:hanging="180" w:hangingChars="100"/>
      <w:jc w:val="right"/>
      <w:rPr>
        <w:rFonts w:hint="eastAsia" w:eastAsia="楷体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0FC356">
                          <w:pPr>
                            <w:pStyle w:val="8"/>
                          </w:pPr>
                          <w:r>
                            <w:fldChar w:fldCharType="begin"/>
                          </w:r>
                          <w:r>
                            <w:instrText xml:space="preserve"> PAGE  \* MERGEFORMAT </w:instrText>
                          </w:r>
                          <w:r>
                            <w:fldChar w:fldCharType="separate"/>
                          </w:r>
                          <w:r>
                            <w:t>23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I/3icgBAACb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teUOG5x4pcf3y8/f19+fSPo&#10;Q4GGAA3m3QfMTONbP+LaLH5AZ+Y9qmjzFxkRjKO856u8ckxE5Efrer2uMCQwtlwQnz08DxHSO+kt&#10;yUZLI86vyMpPHyBNqUtKrub8nTamzNC4vxyImT0s9z71mK007seZ0N53Z+Qz4Ohb6nDTKTHvHSqb&#10;t2Qx4mLsF+MYoj70ZY1yPQhvjgmbKL3lChPsXBhnVtjN+5WX4vG9ZD38U9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SP94nIAQAAmwMAAA4AAAAAAAAAAQAgAAAAHgEAAGRycy9lMm9Eb2Mu&#10;eG1sUEsFBgAAAAAGAAYAWQEAAFgFAAAAAA==&#10;">
              <v:fill on="f" focussize="0,0"/>
              <v:stroke on="f"/>
              <v:imagedata o:title=""/>
              <o:lock v:ext="edit" aspectratio="f"/>
              <v:textbox inset="0mm,0mm,0mm,0mm" style="mso-fit-shape-to-text:t;">
                <w:txbxContent>
                  <w:p w14:paraId="7B0FC356">
                    <w:pPr>
                      <w:pStyle w:val="8"/>
                    </w:pPr>
                    <w:r>
                      <w:fldChar w:fldCharType="begin"/>
                    </w:r>
                    <w:r>
                      <w:instrText xml:space="preserve"> PAGE  \* MERGEFORMAT </w:instrText>
                    </w:r>
                    <w:r>
                      <w:fldChar w:fldCharType="separate"/>
                    </w:r>
                    <w:r>
                      <w:t>23</w:t>
                    </w:r>
                    <w:r>
                      <w:fldChar w:fldCharType="end"/>
                    </w:r>
                  </w:p>
                </w:txbxContent>
              </v:textbox>
            </v:shape>
          </w:pict>
        </mc:Fallback>
      </mc:AlternateContent>
    </w:r>
    <w:r>
      <w:rPr>
        <w:rFonts w:hint="eastAsia" w:eastAsia="楷体_GB2312"/>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5819B">
    <w:pPr>
      <w:pStyle w:val="9"/>
      <w:pBdr>
        <w:bottom w:val="single" w:color="auto" w:sz="4" w:space="1"/>
      </w:pBdr>
      <w:jc w:val="left"/>
      <w:rPr>
        <w:rFonts w:hint="default"/>
        <w:sz w:val="21"/>
        <w:szCs w:val="21"/>
        <w:lang w:val="en-US"/>
      </w:rPr>
    </w:pPr>
    <w:r>
      <w:rPr>
        <w:rFonts w:hint="eastAsia"/>
        <w:sz w:val="21"/>
        <w:szCs w:val="21"/>
        <w:lang w:eastAsia="zh-CN"/>
      </w:rPr>
      <w:t>祁东县2023-2025年政策性农业保险承保机构公开竞争性遴选</w:t>
    </w:r>
    <w:r>
      <w:rPr>
        <w:rFonts w:hint="eastAsia"/>
        <w:sz w:val="21"/>
        <w:szCs w:val="21"/>
        <w:lang w:val="en-US" w:eastAsia="zh-CN"/>
      </w:rPr>
      <w:t xml:space="preserve">                     遴选文件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7130EA">
    <w:pPr>
      <w:pStyle w:val="9"/>
      <w:pBdr>
        <w:bottom w:val="single" w:color="auto" w:sz="4" w:space="1"/>
      </w:pBdr>
      <w:rPr>
        <w:rFonts w:hint="eastAsia"/>
      </w:rPr>
    </w:pPr>
    <w:r>
      <w:rPr>
        <w:rFonts w:hint="eastAsia" w:ascii="宋体" w:hAnsi="宋体" w:cs="宋体"/>
        <w:color w:val="000000"/>
        <w:sz w:val="21"/>
        <w:szCs w:val="21"/>
        <w:lang w:eastAsia="zh-CN"/>
      </w:rPr>
      <w:t>祁东县2023-2025年政策性农业保险承保机构公开竞争性遴选</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FFD88">
    <w:pPr>
      <w:pStyle w:val="9"/>
      <w:pBdr>
        <w:bottom w:val="thickThinMediumGap" w:color="auto" w:sz="18" w:space="1"/>
      </w:pBdr>
      <w:tabs>
        <w:tab w:val="left" w:pos="1820"/>
      </w:tabs>
      <w:jc w:val="left"/>
    </w:pPr>
    <w:r>
      <w:rPr>
        <w:rFonts w:hint="eastAsia" w:ascii="宋体" w:hAnsi="宋体" w:cs="宋体"/>
        <w:color w:val="000000"/>
        <w:sz w:val="21"/>
        <w:szCs w:val="21"/>
        <w:lang w:eastAsia="zh-CN"/>
      </w:rPr>
      <w:t>祁东县2023-2025年政策性农业保险承保机构公开竞争性遴选</w:t>
    </w:r>
    <w:r>
      <w:rPr>
        <w:rFonts w:hint="eastAsia" w:ascii="宋体" w:hAnsi="宋体" w:cs="宋体"/>
        <w:color w:val="000000"/>
        <w:sz w:val="21"/>
        <w:szCs w:val="21"/>
      </w:rPr>
      <w:t xml:space="preserve">                    遴选文件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5D66ED"/>
    <w:multiLevelType w:val="singleLevel"/>
    <w:tmpl w:val="E55D66ED"/>
    <w:lvl w:ilvl="0" w:tentative="0">
      <w:start w:val="1"/>
      <w:numFmt w:val="decimal"/>
      <w:suff w:val="nothing"/>
      <w:lvlText w:val="%1、"/>
      <w:lvlJc w:val="left"/>
    </w:lvl>
  </w:abstractNum>
  <w:abstractNum w:abstractNumId="1">
    <w:nsid w:val="EA90B992"/>
    <w:multiLevelType w:val="singleLevel"/>
    <w:tmpl w:val="EA90B992"/>
    <w:lvl w:ilvl="0" w:tentative="0">
      <w:start w:val="1"/>
      <w:numFmt w:val="decimal"/>
      <w:suff w:val="nothing"/>
      <w:lvlText w:val="%1、"/>
      <w:lvlJc w:val="left"/>
    </w:lvl>
  </w:abstractNum>
  <w:abstractNum w:abstractNumId="2">
    <w:nsid w:val="4D4FF72B"/>
    <w:multiLevelType w:val="singleLevel"/>
    <w:tmpl w:val="4D4FF72B"/>
    <w:lvl w:ilvl="0" w:tentative="0">
      <w:start w:val="1"/>
      <w:numFmt w:val="decimal"/>
      <w:suff w:val="nothing"/>
      <w:lvlText w:val="%1、"/>
      <w:lvlJc w:val="left"/>
    </w:lvl>
  </w:abstractNum>
  <w:abstractNum w:abstractNumId="3">
    <w:nsid w:val="5E4B888A"/>
    <w:multiLevelType w:val="singleLevel"/>
    <w:tmpl w:val="5E4B888A"/>
    <w:lvl w:ilvl="0" w:tentative="0">
      <w:start w:val="1"/>
      <w:numFmt w:val="decimal"/>
      <w:suff w:val="nothing"/>
      <w:lvlText w:val="%1、"/>
      <w:lvlJc w:val="left"/>
    </w:lvl>
  </w:abstractNum>
  <w:abstractNum w:abstractNumId="4">
    <w:nsid w:val="5E4BA95A"/>
    <w:multiLevelType w:val="singleLevel"/>
    <w:tmpl w:val="5E4BA95A"/>
    <w:lvl w:ilvl="0" w:tentative="0">
      <w:start w:val="1"/>
      <w:numFmt w:val="chineseCounting"/>
      <w:suff w:val="nothing"/>
      <w:lvlText w:val="%1、"/>
      <w:lvlJc w:val="left"/>
    </w:lvl>
  </w:abstractNum>
  <w:abstractNum w:abstractNumId="5">
    <w:nsid w:val="5E4BA973"/>
    <w:multiLevelType w:val="singleLevel"/>
    <w:tmpl w:val="5E4BA973"/>
    <w:lvl w:ilvl="0" w:tentative="0">
      <w:start w:val="1"/>
      <w:numFmt w:val="decimal"/>
      <w:suff w:val="nothing"/>
      <w:lvlText w:val="%1、"/>
      <w:lvlJc w:val="left"/>
    </w:lvl>
  </w:abstractNum>
  <w:abstractNum w:abstractNumId="6">
    <w:nsid w:val="5E4BAA0D"/>
    <w:multiLevelType w:val="singleLevel"/>
    <w:tmpl w:val="5E4BAA0D"/>
    <w:lvl w:ilvl="0" w:tentative="0">
      <w:start w:val="3"/>
      <w:numFmt w:val="chineseCounting"/>
      <w:suff w:val="nothing"/>
      <w:lvlText w:val="%1、"/>
      <w:lvlJc w:val="left"/>
    </w:lvl>
  </w:abstractNum>
  <w:abstractNum w:abstractNumId="7">
    <w:nsid w:val="5FE0F81B"/>
    <w:multiLevelType w:val="singleLevel"/>
    <w:tmpl w:val="5FE0F81B"/>
    <w:lvl w:ilvl="0" w:tentative="0">
      <w:start w:val="1"/>
      <w:numFmt w:val="decimal"/>
      <w:suff w:val="nothing"/>
      <w:lvlText w:val="%1、"/>
      <w:lvlJc w:val="left"/>
    </w:lvl>
  </w:abstractNum>
  <w:num w:numId="1">
    <w:abstractNumId w:val="3"/>
  </w:num>
  <w:num w:numId="2">
    <w:abstractNumId w:val="4"/>
  </w:num>
  <w:num w:numId="3">
    <w:abstractNumId w:val="5"/>
  </w:num>
  <w:num w:numId="4">
    <w:abstractNumId w:val="6"/>
  </w:num>
  <w:num w:numId="5">
    <w:abstractNumId w:val="7"/>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Q1YmNlYzcwMGI0MDUxZDhjODVhMWU4MzlhOTFiODUifQ=="/>
  </w:docVars>
  <w:rsids>
    <w:rsidRoot w:val="0F1F2662"/>
    <w:rsid w:val="073F7CDE"/>
    <w:rsid w:val="09646FF2"/>
    <w:rsid w:val="0F1F2662"/>
    <w:rsid w:val="0F2C495D"/>
    <w:rsid w:val="12026D81"/>
    <w:rsid w:val="12FE2B88"/>
    <w:rsid w:val="16241594"/>
    <w:rsid w:val="171765BF"/>
    <w:rsid w:val="21ED6577"/>
    <w:rsid w:val="21F42BA8"/>
    <w:rsid w:val="228615A4"/>
    <w:rsid w:val="25CF27AB"/>
    <w:rsid w:val="277C5D00"/>
    <w:rsid w:val="34DC26EA"/>
    <w:rsid w:val="43567E50"/>
    <w:rsid w:val="4F990D77"/>
    <w:rsid w:val="52C97007"/>
    <w:rsid w:val="65674A25"/>
    <w:rsid w:val="6EB123AF"/>
    <w:rsid w:val="72912870"/>
    <w:rsid w:val="7C9D3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Body Text First Indent 2"/>
    <w:basedOn w:val="3"/>
    <w:next w:val="5"/>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customStyle="1" w:styleId="4">
    <w:name w:val="font5"/>
    <w:basedOn w:val="1"/>
    <w:qFormat/>
    <w:uiPriority w:val="0"/>
    <w:pPr>
      <w:widowControl/>
      <w:spacing w:before="100" w:beforeAutospacing="1" w:after="100" w:afterAutospacing="1"/>
      <w:jc w:val="left"/>
    </w:pPr>
    <w:rPr>
      <w:rFonts w:hint="eastAsia" w:ascii="宋体" w:hAnsi="宋体"/>
      <w:kern w:val="0"/>
      <w:sz w:val="24"/>
      <w:szCs w:val="20"/>
    </w:rPr>
  </w:style>
  <w:style w:type="paragraph" w:styleId="5">
    <w:name w:val="Normal Indent"/>
    <w:basedOn w:val="1"/>
    <w:next w:val="1"/>
    <w:qFormat/>
    <w:uiPriority w:val="0"/>
    <w:pPr>
      <w:widowControl/>
      <w:ind w:firstLine="420"/>
      <w:jc w:val="left"/>
    </w:pPr>
    <w:rPr>
      <w:rFonts w:ascii="Times New Roman" w:hAnsi="Times New Roman" w:eastAsia="Times New Roman" w:cs="Times New Roman"/>
      <w:sz w:val="20"/>
      <w:szCs w:val="20"/>
    </w:rPr>
  </w:style>
  <w:style w:type="paragraph" w:styleId="6">
    <w:name w:val="Body Text"/>
    <w:basedOn w:val="1"/>
    <w:qFormat/>
    <w:uiPriority w:val="0"/>
    <w:pPr>
      <w:spacing w:after="12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index 1"/>
    <w:basedOn w:val="1"/>
    <w:next w:val="1"/>
    <w:qFormat/>
    <w:uiPriority w:val="0"/>
    <w:pPr>
      <w:spacing w:line="220" w:lineRule="exact"/>
      <w:jc w:val="center"/>
    </w:pPr>
    <w:rPr>
      <w:rFonts w:ascii="仿宋_GB2312" w:eastAsia="仿宋_GB2312"/>
      <w:szCs w:val="2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 w:type="paragraph" w:customStyle="1" w:styleId="17">
    <w:name w:val="列出段落1"/>
    <w:basedOn w:val="1"/>
    <w:qFormat/>
    <w:uiPriority w:val="0"/>
    <w:pPr>
      <w:ind w:firstLine="420" w:firstLineChars="200"/>
    </w:pPr>
    <w:rPr>
      <w:szCs w:val="20"/>
    </w:rPr>
  </w:style>
  <w:style w:type="table" w:customStyle="1" w:styleId="1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913</Words>
  <Characters>1062</Characters>
  <Lines>0</Lines>
  <Paragraphs>0</Paragraphs>
  <TotalTime>2</TotalTime>
  <ScaleCrop>false</ScaleCrop>
  <LinksUpToDate>false</LinksUpToDate>
  <CharactersWithSpaces>1096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2023-01-14T03:15:00Z</dcterms:created>
  <dc:creator>Administrator</dc:creator>
  <cp:lastModifiedBy>邓婷</cp:lastModifiedBy>
  <cp:lastPrinted>2023-01-16T01:40:00Z</cp:lastPrinted>
  <dcterms:modified xsi:type="dcterms:W3CDTF">2025-05-06T12:20:45Z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3711170C2C454CD7A5B4410663CCF354</vt:lpwstr>
  </property>
  <property fmtid="{D5CDD505-2E9C-101B-9397-08002B2CF9AE}" pid="4" name="KSOTemplateDocerSaveRecord">
    <vt:lpwstr>eyJoZGlkIjoiMjlkYmVmNzcyZGNmYmM0MTU3MjkzMDFiMDc4YjhlMzMiLCJ1c2VySWQiOiIxMDY5MjgzMDcxIn0=</vt:lpwstr>
  </property>
</Properties>
</file>