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基本信息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不动产系统迁移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 本级申报项目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750000.00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 保运转</w:t>
            </w:r>
          </w:p>
        </w:tc>
      </w:tr>
      <w:tr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不动产系统迁移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项目测算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430571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Z01577 不动产系统迁移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不动产系统迁移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分年支出计划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89"/>
        <w:gridCol w:w="1389"/>
      </w:tblGrid>
      <w:tr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社会投入资金</w:t>
            </w:r>
          </w:p>
        </w:tc>
      </w:tr>
      <w:tr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750000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项目资产配置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0"/>
        <w:gridCol w:w="1190"/>
        <w:gridCol w:w="1190"/>
        <w:gridCol w:w="1190"/>
        <w:gridCol w:w="1190"/>
        <w:gridCol w:w="1190"/>
      </w:tblGrid>
      <w:tr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项目存量资产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资产代码</w:t>
            </w:r>
            <w:bookmarkStart w:id="0" w:name="_GoBack"/>
            <w:bookmarkEnd w:id="0"/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项目绩效目标</w:t>
      </w:r>
    </w:p>
    <w:tbl>
      <w:tblPr>
        <w:jc w:val="left"/>
        <w:tblW w:w="5000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将不动产登记系统由自然资源专网迁移至“衡阳市电子政务云平台”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cs="宋体"/>
          <w:b/>
          <w:bCs/>
          <w:sz w:val="22"/>
          <w:szCs w:val="22"/>
        </w:rPr>
        <w:t>项目绩效指标</w:t>
      </w:r>
    </w:p>
    <w:tbl>
      <w:tblPr>
        <w:jc w:val="left"/>
        <w:tblW w:w="5486" w:type="pct"/>
        <w:tblBorders>
          <w:top w:val="none" w:sz="0" w:space="0" w:color="auto"/>
          <w:left w:val="none" w:sz="0" w:space="0" w:color="auto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5"/>
        <w:gridCol w:w="1015"/>
        <w:gridCol w:w="1015"/>
        <w:gridCol w:w="1015"/>
        <w:gridCol w:w="1015"/>
        <w:gridCol w:w="1015"/>
        <w:gridCol w:w="1015"/>
        <w:gridCol w:w="1015"/>
        <w:gridCol w:w="1025"/>
      </w:tblGrid>
      <w:tr>
        <w:trPr>
          <w:trHeight w:val="592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分解指标</w:t>
            </w:r>
          </w:p>
        </w:tc>
      </w:tr>
      <w:tr>
        <w:trPr>
          <w:trHeight w:val="592"/>
        </w:trPr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备注</w:t>
            </w:r>
          </w:p>
        </w:tc>
      </w:tr>
      <w:tr>
        <w:trPr>
          <w:trHeight w:val="1124"/>
        </w:trPr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成本控制率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项目预算是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否合理，资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金额度与年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度工作目标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是否相适应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合理10分：每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有一项不满足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扣5分。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1562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项目实施过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程中带来的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社会影响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6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项目对社会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发展、公共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福利等方面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是否造成了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负面影响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未产生负面影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响得满分：每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投诉一次扣2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1562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项目实施过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程中带来的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生态环境成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本影响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6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项目对自然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环境是否造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成负面影响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未产生负面影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像得满分：每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投诉一次扣2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92"/>
        </w:trPr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项目完成率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>
              <w:rPr>
                <w:rFonts w:ascii="宋体"/>
                <w:sz w:val="18"/>
                <w:szCs w:val="18"/>
              </w:rPr>
              <w:t>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r>
              <w:t>Z01577 不动</w:t>
            </w:r>
          </w:p>
          <w:p>
            <w:r>
              <w:t>产系统迁移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完成满分，每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有一项未完成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扣5分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92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项目验收合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格率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迁移后系统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正常运行率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项目通过相关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部门组织的验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收得满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85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项目完工及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时率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2023年1月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2023年12月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按时完工得满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分，未按期完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工扣10分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92"/>
        </w:trPr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1124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对信息系统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安全性能及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服务对象体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验感的改善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或提升程度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10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提高办证速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度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完成得10分，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未完成扣10分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92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项目成果对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自然环境带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来的影响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5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是否对生态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环境起到有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效影响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未产生影像得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满分，产生影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响扣5分。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699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/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项目完成后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带来的可持</w:t>
            </w:r>
          </w:p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续影响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5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为不动产登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记业务提供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可持续性服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务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r>
              <w:t>项目完成得满</w:t>
            </w:r>
          </w:p>
          <w:p>
            <w:r>
              <w:t>分，否则不计</w:t>
            </w:r>
          </w:p>
          <w:p>
            <w: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rPr>
          <w:trHeight w:val="592"/>
        </w:trPr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服务对象满意度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15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用户对项目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的满意度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未产生投诉得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满分，每投诉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一次扣2分，</w:t>
            </w:r>
          </w:p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扣完为止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分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/>
    <w:sectPr>
      <w:pgSz w:w="11906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6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1"/>
  <w:noPunctuationKerning/>
  <w:savePreviewPicture/>
  <w:compat>
    <w:spaceForUL/>
    <w:growAutofit/>
    <w:compatSetting w:name="compatibilityMode" w:uri="http://schemas.microsoft.com/office/word" w:val="14"/>
  </w:compat>
  <w:docVars>
    <w:docVar w:name="commondata" w:val="eyJoZGlkIjoiZjYwYjFmYWQ5MzljZjVhMjE3MTdkMmJlODU4YzQ2YjM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宋体" w:eastAsia="宋体" w:cs="Times New Roman"/>
      <w:sz w:val="24"/>
      <w:szCs w:val="24"/>
      <w:lang w:val="en-US" w:eastAsia="zh-CN" w:bidi="ar-SA"/>
    </w:rPr>
  </w:style>
  <w:style w:type="paragraph" w:styleId="1">
    <w:name w:val="heading 1"/>
    <w:basedOn w:val="0"/>
    <w:next w:val="0"/>
    <w:pPr>
      <w:spacing w:beforeAutospacing="1" w:afterAutospacing="1"/>
      <w:outlineLvl w:val="0"/>
    </w:pPr>
    <w:rPr>
      <w:rFonts w:ascii="宋体" w:eastAsia="宋体"/>
      <w:b/>
      <w:bCs/>
      <w:kern w:val="44"/>
      <w:sz w:val="48"/>
      <w:szCs w:val="48"/>
    </w:rPr>
  </w:style>
  <w:style w:type="paragraph" w:styleId="2">
    <w:name w:val="heading 2"/>
    <w:basedOn w:val="0"/>
    <w:next w:val="0"/>
    <w:pPr>
      <w:spacing w:beforeAutospacing="1" w:afterAutospacing="1"/>
      <w:outlineLvl w:val="1"/>
    </w:pPr>
    <w:rPr>
      <w:rFonts w:ascii="宋体" w:eastAsia="宋体"/>
      <w:b/>
      <w:bCs/>
      <w:sz w:val="36"/>
      <w:szCs w:val="36"/>
    </w:rPr>
  </w:style>
  <w:style w:type="paragraph" w:styleId="3">
    <w:name w:val="heading 3"/>
    <w:basedOn w:val="0"/>
    <w:next w:val="0"/>
    <w:pPr>
      <w:spacing w:beforeAutospacing="1" w:afterAutospacing="1"/>
      <w:outlineLvl w:val="2"/>
    </w:pPr>
    <w:rPr>
      <w:rFonts w:ascii="宋体" w:eastAsia="宋体"/>
      <w:b/>
      <w:bCs/>
      <w:sz w:val="27"/>
      <w:szCs w:val="27"/>
    </w:rPr>
  </w:style>
  <w:style w:type="paragraph" w:styleId="4">
    <w:name w:val="heading 4"/>
    <w:basedOn w:val="0"/>
    <w:next w:val="0"/>
    <w:pPr>
      <w:spacing w:beforeAutospacing="1" w:afterAutospacing="1"/>
      <w:outlineLvl w:val="3"/>
    </w:pPr>
    <w:rPr>
      <w:rFonts w:ascii="宋体" w:eastAsia="宋体"/>
      <w:b/>
      <w:bCs/>
    </w:rPr>
  </w:style>
  <w:style w:type="paragraph" w:styleId="5">
    <w:name w:val="heading 5"/>
    <w:basedOn w:val="0"/>
    <w:next w:val="0"/>
    <w:pPr>
      <w:spacing w:beforeAutospacing="1" w:afterAutospacing="1"/>
      <w:outlineLvl w:val="4"/>
    </w:pPr>
    <w:rPr>
      <w:rFonts w:ascii="宋体" w:eastAsia="宋体"/>
      <w:b/>
      <w:bCs/>
      <w:sz w:val="20"/>
      <w:szCs w:val="20"/>
    </w:rPr>
  </w:style>
  <w:style w:type="paragraph" w:styleId="6">
    <w:name w:val="heading 6"/>
    <w:basedOn w:val="0"/>
    <w:next w:val="0"/>
    <w:pPr>
      <w:spacing w:beforeAutospacing="1" w:afterAutospacing="1"/>
      <w:outlineLvl w:val="5"/>
    </w:pPr>
    <w:rPr>
      <w:rFonts w:ascii="宋体" w:eastAsia="宋体"/>
      <w:b/>
      <w:bCs/>
      <w:sz w:val="15"/>
      <w:szCs w:val="15"/>
    </w:rPr>
  </w:style>
  <w:style w:type="character" w:default="1" w:styleId="10">
    <w:name w:val="Default Paragraph Font"/>
  </w:style>
  <w:style w:type="paragraph" w:styleId="15">
    <w:name w:val="HTML Preformatted"/>
    <w:basedOn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/>
    </w:rPr>
  </w:style>
  <w:style w:type="paragraph" w:styleId="16">
    <w:name w:val="Normal (Web)"/>
    <w:basedOn w:val="0"/>
    <w:pPr>
      <w:spacing w:beforeAutospacing="1" w:afterAutospacing="1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15</TotalTime>
  <Application>Yozo_Office</Application>
  <Pages>3</Pages>
  <Words>1009</Words>
  <Characters>1105</Characters>
  <Lines>335</Lines>
  <Paragraphs>233</Paragraphs>
  <CharactersWithSpaces>1116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vivo用户</cp:lastModifiedBy>
  <cp:revision>2</cp:revision>
  <dcterms:created xsi:type="dcterms:W3CDTF">2022-12-30T02:33:00Z</dcterms:created>
  <dcterms:modified xsi:type="dcterms:W3CDTF">2023-01-18T04:12:26Z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2052-11.1.0.13703</vt:lpwstr>
  </property>
  <property fmtid="{D5CDD505-2E9C-101B-9397-08002B2CF9AE}" pid="3" name="ICV">
    <vt:lpwstr>B5EFF99E348149CC919C5A81A1BC4E36</vt:lpwstr>
  </property>
</Properties>
</file>