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2"/>
        <w:rPr>
          <w:rFonts w:eastAsia="黑体"/>
          <w:bCs/>
          <w:kern w:val="0"/>
          <w:sz w:val="44"/>
          <w:szCs w:val="44"/>
        </w:rPr>
      </w:pPr>
      <w:r>
        <w:rPr>
          <w:rFonts w:hint="eastAsia" w:eastAsia="黑体"/>
          <w:bCs/>
          <w:kern w:val="0"/>
          <w:sz w:val="44"/>
          <w:szCs w:val="44"/>
          <w:lang w:eastAsia="zh-CN"/>
        </w:rPr>
        <w:t>2020</w:t>
      </w:r>
      <w:r>
        <w:rPr>
          <w:rFonts w:hAnsi="黑体" w:eastAsia="黑体"/>
          <w:bCs/>
          <w:kern w:val="0"/>
          <w:sz w:val="44"/>
          <w:szCs w:val="44"/>
        </w:rPr>
        <w:t>年部门整体支出绩效评价报告</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2"/>
        <w:rPr>
          <w:rFonts w:eastAsia="仿宋"/>
          <w:bCs/>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textAlignment w:val="auto"/>
        <w:rPr>
          <w:rFonts w:eastAsia="仿宋"/>
          <w:color w:val="010101"/>
          <w:kern w:val="0"/>
          <w:sz w:val="32"/>
          <w:szCs w:val="32"/>
        </w:rPr>
      </w:pPr>
      <w:r>
        <w:rPr>
          <w:rFonts w:hAnsi="仿宋" w:eastAsia="仿宋"/>
          <w:color w:val="010101"/>
          <w:kern w:val="0"/>
          <w:sz w:val="32"/>
          <w:szCs w:val="32"/>
        </w:rPr>
        <w:t>　　根据衡阳市财政局</w:t>
      </w:r>
      <w:r>
        <w:rPr>
          <w:rFonts w:hAnsi="仿宋" w:eastAsia="仿宋"/>
          <w:kern w:val="0"/>
          <w:sz w:val="32"/>
          <w:szCs w:val="32"/>
        </w:rPr>
        <w:t>《衡阳市财政局关于开展</w:t>
      </w:r>
      <w:r>
        <w:rPr>
          <w:rFonts w:hint="eastAsia" w:hAnsi="仿宋" w:eastAsia="仿宋"/>
          <w:kern w:val="0"/>
          <w:sz w:val="32"/>
          <w:szCs w:val="32"/>
          <w:lang w:val="en-US" w:eastAsia="zh-CN"/>
        </w:rPr>
        <w:t>2020</w:t>
      </w:r>
      <w:r>
        <w:rPr>
          <w:rFonts w:hAnsi="仿宋" w:eastAsia="仿宋"/>
          <w:kern w:val="0"/>
          <w:sz w:val="32"/>
          <w:szCs w:val="32"/>
        </w:rPr>
        <w:t>年度部门整体支出绩效自评工作的通知》（衡财绩〔</w:t>
      </w:r>
      <w:r>
        <w:rPr>
          <w:rFonts w:eastAsia="仿宋"/>
          <w:kern w:val="0"/>
          <w:sz w:val="32"/>
          <w:szCs w:val="32"/>
        </w:rPr>
        <w:t>20</w:t>
      </w:r>
      <w:r>
        <w:rPr>
          <w:rFonts w:hint="eastAsia" w:eastAsia="仿宋"/>
          <w:kern w:val="0"/>
          <w:sz w:val="32"/>
          <w:szCs w:val="32"/>
          <w:lang w:val="en-US" w:eastAsia="zh-CN"/>
        </w:rPr>
        <w:t>21</w:t>
      </w:r>
      <w:r>
        <w:rPr>
          <w:rFonts w:hAnsi="仿宋" w:eastAsia="仿宋"/>
          <w:kern w:val="0"/>
          <w:sz w:val="32"/>
          <w:szCs w:val="32"/>
        </w:rPr>
        <w:t>〕</w:t>
      </w:r>
      <w:r>
        <w:rPr>
          <w:rFonts w:hint="eastAsia" w:eastAsia="仿宋"/>
          <w:kern w:val="0"/>
          <w:sz w:val="32"/>
          <w:szCs w:val="32"/>
          <w:lang w:val="en-US" w:eastAsia="zh-CN"/>
        </w:rPr>
        <w:t>36</w:t>
      </w:r>
      <w:r>
        <w:rPr>
          <w:rFonts w:hAnsi="仿宋" w:eastAsia="仿宋"/>
          <w:kern w:val="0"/>
          <w:sz w:val="32"/>
          <w:szCs w:val="32"/>
        </w:rPr>
        <w:t>号）</w:t>
      </w:r>
      <w:r>
        <w:rPr>
          <w:rFonts w:hAnsi="仿宋" w:eastAsia="仿宋"/>
          <w:color w:val="010101"/>
          <w:kern w:val="0"/>
          <w:sz w:val="32"/>
          <w:szCs w:val="32"/>
        </w:rPr>
        <w:t>文件精神，我局对</w:t>
      </w:r>
      <w:r>
        <w:rPr>
          <w:rFonts w:hint="eastAsia" w:eastAsia="仿宋"/>
          <w:color w:val="010101"/>
          <w:kern w:val="0"/>
          <w:sz w:val="32"/>
          <w:szCs w:val="32"/>
          <w:lang w:eastAsia="zh-CN"/>
        </w:rPr>
        <w:t>2020</w:t>
      </w:r>
      <w:r>
        <w:rPr>
          <w:rFonts w:hAnsi="仿宋" w:eastAsia="仿宋"/>
          <w:color w:val="010101"/>
          <w:kern w:val="0"/>
          <w:sz w:val="32"/>
          <w:szCs w:val="32"/>
        </w:rPr>
        <w:t>年度部门整体支出绩效进行了全面综合评价，现将有关情况报告如下：</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eastAsia="仿宋"/>
          <w:color w:val="010101"/>
          <w:kern w:val="0"/>
          <w:sz w:val="32"/>
          <w:szCs w:val="32"/>
        </w:rPr>
      </w:pPr>
      <w:r>
        <w:rPr>
          <w:rFonts w:hAnsi="仿宋" w:eastAsia="仿宋"/>
          <w:b/>
          <w:bCs/>
          <w:color w:val="010101"/>
          <w:kern w:val="0"/>
          <w:sz w:val="32"/>
          <w:szCs w:val="32"/>
        </w:rPr>
        <w:t>一、部门基本情</w:t>
      </w:r>
      <w:bookmarkStart w:id="0" w:name="_GoBack"/>
      <w:bookmarkEnd w:id="0"/>
      <w:r>
        <w:rPr>
          <w:rFonts w:hAnsi="仿宋" w:eastAsia="仿宋"/>
          <w:b/>
          <w:bCs/>
          <w:color w:val="010101"/>
          <w:kern w:val="0"/>
          <w:sz w:val="32"/>
          <w:szCs w:val="32"/>
        </w:rPr>
        <w:t>况</w:t>
      </w:r>
      <w:r>
        <w:rPr>
          <w:rFonts w:eastAsia="仿宋"/>
          <w:b/>
          <w:bCs/>
          <w:color w:val="010101"/>
          <w:kern w:val="0"/>
          <w:sz w:val="32"/>
          <w:szCs w:val="32"/>
        </w:rPr>
        <w:t xml:space="preserve"> </w:t>
      </w:r>
      <w:r>
        <w:rPr>
          <w:rFonts w:eastAsia="仿宋"/>
          <w:color w:val="010101"/>
          <w:kern w:val="0"/>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eastAsia="仿宋"/>
          <w:color w:val="010101"/>
          <w:kern w:val="0"/>
          <w:sz w:val="32"/>
          <w:szCs w:val="32"/>
        </w:rPr>
      </w:pPr>
      <w:r>
        <w:rPr>
          <w:rFonts w:hint="default" w:ascii="Times New Roman" w:hAnsi="Times New Roman" w:eastAsia="仿宋" w:cs="Times New Roman"/>
          <w:color w:val="414141"/>
          <w:sz w:val="32"/>
          <w:szCs w:val="32"/>
          <w:lang w:val="en-US" w:eastAsia="zh-CN"/>
        </w:rPr>
        <w:t>我局是正处级全额拨款单位，</w:t>
      </w:r>
      <w:r>
        <w:rPr>
          <w:rFonts w:hint="eastAsia" w:ascii="Times New Roman" w:hAnsi="Times New Roman" w:eastAsia="仿宋" w:cs="Times New Roman"/>
          <w:color w:val="414141"/>
          <w:sz w:val="32"/>
          <w:szCs w:val="32"/>
          <w:lang w:val="en-US" w:eastAsia="zh-CN"/>
        </w:rPr>
        <w:t>2020年度我局</w:t>
      </w:r>
      <w:r>
        <w:rPr>
          <w:rFonts w:hint="default" w:ascii="Times New Roman" w:hAnsi="Times New Roman" w:eastAsia="仿宋" w:cs="Times New Roman"/>
          <w:color w:val="414141"/>
          <w:sz w:val="32"/>
          <w:szCs w:val="32"/>
          <w:lang w:val="en-US" w:eastAsia="zh-CN"/>
        </w:rPr>
        <w:t>内设11个行政科室、</w:t>
      </w:r>
      <w:r>
        <w:rPr>
          <w:rFonts w:hint="eastAsia" w:ascii="Times New Roman" w:hAnsi="Times New Roman" w:eastAsia="仿宋" w:cs="Times New Roman"/>
          <w:color w:val="414141"/>
          <w:sz w:val="32"/>
          <w:szCs w:val="32"/>
          <w:lang w:val="en-US" w:eastAsia="zh-CN"/>
        </w:rPr>
        <w:t>4</w:t>
      </w:r>
      <w:r>
        <w:rPr>
          <w:rFonts w:hint="default" w:ascii="Times New Roman" w:hAnsi="Times New Roman" w:eastAsia="仿宋" w:cs="Times New Roman"/>
          <w:color w:val="414141"/>
          <w:sz w:val="32"/>
          <w:szCs w:val="32"/>
          <w:lang w:val="en-US" w:eastAsia="zh-CN"/>
        </w:rPr>
        <w:t>个直属事业单位，分别为：衡阳市自然保护地服务中心、衡阳市油茶产业发展事务中心、衡阳市森林资源监测站、衡阳市湘江南路水上木材检查站。与上年度相比，撤销了</w:t>
      </w:r>
      <w:r>
        <w:rPr>
          <w:rFonts w:hint="eastAsia" w:ascii="Times New Roman" w:hAnsi="Times New Roman" w:eastAsia="仿宋" w:cs="Times New Roman"/>
          <w:color w:val="414141"/>
          <w:sz w:val="32"/>
          <w:szCs w:val="32"/>
          <w:lang w:val="en-US" w:eastAsia="zh-CN"/>
        </w:rPr>
        <w:t>1</w:t>
      </w:r>
      <w:r>
        <w:rPr>
          <w:rFonts w:hint="default" w:ascii="Times New Roman" w:hAnsi="Times New Roman" w:eastAsia="仿宋" w:cs="Times New Roman"/>
          <w:color w:val="414141"/>
          <w:sz w:val="32"/>
          <w:szCs w:val="32"/>
          <w:lang w:val="en-US" w:eastAsia="zh-CN"/>
        </w:rPr>
        <w:t>个直属事业单位，为衡阳市中心苗圃。</w:t>
      </w:r>
      <w:r>
        <w:rPr>
          <w:rFonts w:hAnsi="仿宋" w:eastAsia="仿宋"/>
          <w:sz w:val="32"/>
          <w:szCs w:val="32"/>
        </w:rPr>
        <w:t>共有编</w:t>
      </w:r>
      <w:r>
        <w:rPr>
          <w:rFonts w:hAnsi="仿宋" w:eastAsia="仿宋"/>
          <w:bCs/>
          <w:sz w:val="32"/>
          <w:szCs w:val="32"/>
        </w:rPr>
        <w:t>制数</w:t>
      </w:r>
      <w:r>
        <w:rPr>
          <w:rFonts w:hint="eastAsia" w:eastAsia="仿宋"/>
          <w:bCs/>
          <w:color w:val="auto"/>
          <w:sz w:val="32"/>
          <w:szCs w:val="32"/>
          <w:lang w:val="en-US" w:eastAsia="zh-CN"/>
        </w:rPr>
        <w:t>98</w:t>
      </w:r>
      <w:r>
        <w:rPr>
          <w:rFonts w:hint="eastAsia" w:hAnsi="仿宋" w:eastAsia="仿宋"/>
          <w:bCs/>
          <w:sz w:val="32"/>
          <w:szCs w:val="32"/>
          <w:lang w:eastAsia="zh-CN"/>
        </w:rPr>
        <w:t>个</w:t>
      </w:r>
      <w:r>
        <w:rPr>
          <w:rFonts w:hAnsi="仿宋" w:eastAsia="仿宋"/>
          <w:bCs/>
          <w:sz w:val="32"/>
          <w:szCs w:val="32"/>
        </w:rPr>
        <w:t>，</w:t>
      </w:r>
      <w:r>
        <w:rPr>
          <w:rFonts w:hint="eastAsia" w:hAnsi="仿宋" w:eastAsia="仿宋"/>
          <w:bCs/>
          <w:sz w:val="32"/>
          <w:szCs w:val="32"/>
          <w:lang w:eastAsia="zh-CN"/>
        </w:rPr>
        <w:t>截至</w:t>
      </w:r>
      <w:r>
        <w:rPr>
          <w:rFonts w:hint="eastAsia" w:eastAsia="仿宋"/>
          <w:bCs/>
          <w:sz w:val="32"/>
          <w:szCs w:val="32"/>
          <w:lang w:eastAsia="zh-CN"/>
        </w:rPr>
        <w:t>2020</w:t>
      </w:r>
      <w:r>
        <w:rPr>
          <w:rFonts w:hAnsi="仿宋" w:eastAsia="仿宋"/>
          <w:bCs/>
          <w:sz w:val="32"/>
          <w:szCs w:val="32"/>
        </w:rPr>
        <w:t>年</w:t>
      </w:r>
      <w:r>
        <w:rPr>
          <w:rFonts w:hint="eastAsia" w:hAnsi="仿宋" w:eastAsia="仿宋"/>
          <w:bCs/>
          <w:sz w:val="32"/>
          <w:szCs w:val="32"/>
          <w:lang w:eastAsia="zh-CN"/>
        </w:rPr>
        <w:t>底</w:t>
      </w:r>
      <w:r>
        <w:rPr>
          <w:rFonts w:hAnsi="仿宋" w:eastAsia="仿宋"/>
          <w:bCs/>
          <w:sz w:val="32"/>
          <w:szCs w:val="32"/>
        </w:rPr>
        <w:t>，在职人数</w:t>
      </w:r>
      <w:r>
        <w:rPr>
          <w:rFonts w:hint="eastAsia" w:eastAsia="仿宋"/>
          <w:bCs/>
          <w:color w:val="auto"/>
          <w:sz w:val="32"/>
          <w:szCs w:val="32"/>
          <w:lang w:val="en-US" w:eastAsia="zh-CN"/>
        </w:rPr>
        <w:t>72</w:t>
      </w:r>
      <w:r>
        <w:rPr>
          <w:rFonts w:hAnsi="仿宋" w:eastAsia="仿宋"/>
          <w:bCs/>
          <w:sz w:val="32"/>
          <w:szCs w:val="32"/>
        </w:rPr>
        <w:t>人，离退休</w:t>
      </w:r>
      <w:r>
        <w:rPr>
          <w:rFonts w:eastAsia="仿宋"/>
          <w:bCs/>
          <w:color w:val="auto"/>
          <w:sz w:val="32"/>
          <w:szCs w:val="32"/>
        </w:rPr>
        <w:t>7</w:t>
      </w:r>
      <w:r>
        <w:rPr>
          <w:rFonts w:hint="eastAsia" w:eastAsia="仿宋"/>
          <w:bCs/>
          <w:color w:val="auto"/>
          <w:sz w:val="32"/>
          <w:szCs w:val="32"/>
          <w:lang w:val="en-US" w:eastAsia="zh-CN"/>
        </w:rPr>
        <w:t>1</w:t>
      </w:r>
      <w:r>
        <w:rPr>
          <w:rFonts w:hAnsi="仿宋" w:eastAsia="仿宋"/>
          <w:bCs/>
          <w:sz w:val="32"/>
          <w:szCs w:val="32"/>
        </w:rPr>
        <w:t>人，经费自理人数</w:t>
      </w:r>
      <w:r>
        <w:rPr>
          <w:rFonts w:eastAsia="仿宋"/>
          <w:bCs/>
          <w:color w:val="auto"/>
          <w:sz w:val="32"/>
          <w:szCs w:val="32"/>
        </w:rPr>
        <w:t>1</w:t>
      </w:r>
      <w:r>
        <w:rPr>
          <w:rFonts w:hint="eastAsia" w:eastAsia="仿宋"/>
          <w:bCs/>
          <w:color w:val="auto"/>
          <w:sz w:val="32"/>
          <w:szCs w:val="32"/>
          <w:lang w:val="en-US" w:eastAsia="zh-CN"/>
        </w:rPr>
        <w:t>3</w:t>
      </w:r>
      <w:r>
        <w:rPr>
          <w:rFonts w:hAnsi="仿宋" w:eastAsia="仿宋"/>
          <w:bCs/>
          <w:sz w:val="32"/>
          <w:szCs w:val="32"/>
        </w:rPr>
        <w:t>人，单位负担遗属遗孀生活费</w:t>
      </w:r>
      <w:r>
        <w:rPr>
          <w:rFonts w:hint="eastAsia" w:eastAsia="仿宋"/>
          <w:bCs/>
          <w:color w:val="auto"/>
          <w:sz w:val="32"/>
          <w:szCs w:val="32"/>
          <w:lang w:val="en-US" w:eastAsia="zh-CN"/>
        </w:rPr>
        <w:t>4</w:t>
      </w:r>
      <w:r>
        <w:rPr>
          <w:rFonts w:hAnsi="仿宋" w:eastAsia="仿宋"/>
          <w:bCs/>
          <w:sz w:val="32"/>
          <w:szCs w:val="32"/>
        </w:rPr>
        <w:t>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
          <w:sz w:val="32"/>
          <w:szCs w:val="32"/>
        </w:rPr>
      </w:pPr>
      <w:r>
        <w:rPr>
          <w:rFonts w:hint="eastAsia" w:hAnsi="仿宋" w:eastAsia="仿宋"/>
          <w:sz w:val="32"/>
          <w:szCs w:val="32"/>
          <w:lang w:eastAsia="zh-CN"/>
        </w:rPr>
        <w:t>工作</w:t>
      </w:r>
      <w:r>
        <w:rPr>
          <w:rFonts w:hAnsi="仿宋" w:eastAsia="仿宋"/>
          <w:sz w:val="32"/>
          <w:szCs w:val="32"/>
        </w:rPr>
        <w:t>主要职责职能</w:t>
      </w:r>
      <w:r>
        <w:rPr>
          <w:rFonts w:hint="eastAsia" w:hAnsi="仿宋" w:eastAsia="仿宋"/>
          <w:sz w:val="32"/>
          <w:szCs w:val="32"/>
          <w:lang w:eastAsia="zh-CN"/>
        </w:rPr>
        <w:t>是</w:t>
      </w:r>
      <w:r>
        <w:rPr>
          <w:rFonts w:hAnsi="仿宋" w:eastAsia="仿宋"/>
          <w:sz w:val="32"/>
          <w:szCs w:val="32"/>
        </w:rPr>
        <w:t>：</w:t>
      </w:r>
    </w:p>
    <w:p>
      <w:pPr>
        <w:pStyle w:val="5"/>
        <w:shd w:val="clear" w:color="auto" w:fill="FFFFFF"/>
        <w:spacing w:before="0" w:beforeAutospacing="0" w:after="0" w:afterAutospacing="0" w:line="555" w:lineRule="atLeast"/>
        <w:ind w:firstLine="640" w:firstLineChars="200"/>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1、负责全市林业及其生态保护修复的监督管理。</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2、负责林业生态保护修复和造林绿化工作。　</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3、负责森林、湿地资源的监督管理。　</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4、负责监督管理石漠化防治工作。</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5、负责陆生野生动植物资源的监督管理。　　</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6、负责监督管理各类自然保护地。　</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7、负责推进林业改革相关工作。　　</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8、负责组织、指导林业产业发展。拟订林业产业发展政策和布局规划，并组织实施。</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 xml:space="preserve">    9、组织、指导、监督油茶产业发展工作。    </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10、指导全市森林公安工作。</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 xml:space="preserve">    11、负责森林防火工作。    </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 xml:space="preserve">12、负责林业资金和国有资产监督管理。    </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13、负责林业科技、教育和外事工作，指导林业人才队伍的建设。</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 xml:space="preserve">    14、负责本行业、领域的应急管理工作，对本行业、领域的安全生产工作实施监督管理。</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 xml:space="preserve">    15、完成市委、市政府交办的其他任务。</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 xml:space="preserve">    16、职能转变。市林业局要切实加大生态系统保护力度，实施重要生态系统保护和修复工程，加强森林、湿地监督管理的统筹协调，大力推进国土绿化，保障国家生态安全。加快建立以国家公园为主体的自然保护地体系，统一推进各类自然保护地的清理规范和归并整合，构建统一高效的国家公园体制。</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hAnsi="仿宋" w:eastAsia="仿宋"/>
          <w:b/>
          <w:bCs/>
          <w:color w:val="010101"/>
          <w:kern w:val="0"/>
          <w:sz w:val="32"/>
          <w:szCs w:val="32"/>
          <w:lang w:eastAsia="zh-CN"/>
        </w:rPr>
      </w:pPr>
      <w:r>
        <w:rPr>
          <w:rFonts w:hint="eastAsia" w:hAnsi="仿宋" w:eastAsia="仿宋"/>
          <w:b/>
          <w:bCs/>
          <w:color w:val="010101"/>
          <w:kern w:val="0"/>
          <w:sz w:val="32"/>
          <w:szCs w:val="32"/>
          <w:lang w:eastAsia="zh-CN"/>
        </w:rPr>
        <w:t>二、</w:t>
      </w:r>
      <w:r>
        <w:rPr>
          <w:rFonts w:hAnsi="仿宋" w:eastAsia="仿宋"/>
          <w:b/>
          <w:bCs/>
          <w:color w:val="010101"/>
          <w:kern w:val="0"/>
          <w:sz w:val="32"/>
          <w:szCs w:val="32"/>
        </w:rPr>
        <w:t>基本支出</w:t>
      </w:r>
      <w:r>
        <w:rPr>
          <w:rFonts w:hint="eastAsia" w:hAnsi="仿宋" w:eastAsia="仿宋"/>
          <w:b/>
          <w:bCs/>
          <w:color w:val="010101"/>
          <w:kern w:val="0"/>
          <w:sz w:val="32"/>
          <w:szCs w:val="32"/>
          <w:lang w:eastAsia="zh-CN"/>
        </w:rPr>
        <w:t>情况</w:t>
      </w:r>
    </w:p>
    <w:p>
      <w:pPr>
        <w:keepNext w:val="0"/>
        <w:keepLines w:val="0"/>
        <w:pageBreakBefore w:val="0"/>
        <w:kinsoku/>
        <w:wordWrap/>
        <w:overflowPunct/>
        <w:topLinePunct w:val="0"/>
        <w:autoSpaceDE/>
        <w:autoSpaceDN/>
        <w:bidi w:val="0"/>
        <w:adjustRightInd/>
        <w:snapToGrid/>
        <w:spacing w:line="540" w:lineRule="exact"/>
        <w:ind w:firstLine="672" w:firstLineChars="210"/>
        <w:textAlignment w:val="auto"/>
        <w:rPr>
          <w:rFonts w:eastAsia="仿宋"/>
          <w:color w:val="000000"/>
          <w:kern w:val="0"/>
          <w:sz w:val="32"/>
          <w:szCs w:val="32"/>
        </w:rPr>
      </w:pPr>
      <w:r>
        <w:rPr>
          <w:rFonts w:hint="eastAsia" w:hAnsi="仿宋" w:eastAsia="仿宋"/>
          <w:sz w:val="32"/>
          <w:szCs w:val="32"/>
          <w:lang w:val="en-US" w:eastAsia="zh-CN"/>
        </w:rPr>
        <w:t>1、</w:t>
      </w:r>
      <w:r>
        <w:rPr>
          <w:rFonts w:hAnsi="仿宋" w:eastAsia="仿宋"/>
          <w:sz w:val="32"/>
          <w:szCs w:val="32"/>
        </w:rPr>
        <w:t>基本支出是</w:t>
      </w:r>
      <w:r>
        <w:rPr>
          <w:rFonts w:hAnsi="仿宋" w:eastAsia="仿宋"/>
          <w:color w:val="000000"/>
          <w:kern w:val="0"/>
          <w:sz w:val="32"/>
          <w:szCs w:val="32"/>
        </w:rPr>
        <w:t>反映行政事业单位为保障其机构正常运转、完成日常工作任务所需的最基本的支出，具体包括工资福利支出、一般商品和服务支出、对个人和家庭的补助。</w:t>
      </w:r>
      <w:r>
        <w:rPr>
          <w:rFonts w:hint="eastAsia" w:eastAsia="仿宋"/>
          <w:color w:val="000000"/>
          <w:kern w:val="0"/>
          <w:sz w:val="32"/>
          <w:szCs w:val="32"/>
          <w:lang w:eastAsia="zh-CN"/>
        </w:rPr>
        <w:t>2020</w:t>
      </w:r>
      <w:r>
        <w:rPr>
          <w:rFonts w:hAnsi="仿宋" w:eastAsia="仿宋"/>
          <w:color w:val="000000"/>
          <w:kern w:val="0"/>
          <w:sz w:val="32"/>
          <w:szCs w:val="32"/>
        </w:rPr>
        <w:t>年我局基本支出决算为</w:t>
      </w:r>
      <w:r>
        <w:rPr>
          <w:rFonts w:hint="eastAsia" w:eastAsia="仿宋"/>
          <w:sz w:val="32"/>
          <w:szCs w:val="32"/>
          <w:lang w:eastAsia="zh-CN"/>
        </w:rPr>
        <w:t>1,344.00</w:t>
      </w:r>
      <w:r>
        <w:rPr>
          <w:rFonts w:hAnsi="仿宋" w:eastAsia="仿宋"/>
          <w:color w:val="000000"/>
          <w:kern w:val="0"/>
          <w:sz w:val="32"/>
          <w:szCs w:val="32"/>
        </w:rPr>
        <w:t>万元。</w:t>
      </w:r>
    </w:p>
    <w:p>
      <w:pPr>
        <w:keepNext w:val="0"/>
        <w:keepLines w:val="0"/>
        <w:pageBreakBefore w:val="0"/>
        <w:kinsoku/>
        <w:wordWrap/>
        <w:overflowPunct/>
        <w:topLinePunct w:val="0"/>
        <w:autoSpaceDE/>
        <w:autoSpaceDN/>
        <w:bidi w:val="0"/>
        <w:adjustRightInd/>
        <w:snapToGrid/>
        <w:spacing w:line="540" w:lineRule="exact"/>
        <w:ind w:firstLine="672" w:firstLineChars="210"/>
        <w:textAlignment w:val="auto"/>
        <w:rPr>
          <w:rFonts w:hint="default" w:eastAsia="仿宋"/>
          <w:sz w:val="32"/>
          <w:szCs w:val="32"/>
          <w:lang w:eastAsia="zh-CN"/>
        </w:rPr>
      </w:pPr>
      <w:r>
        <w:rPr>
          <w:rFonts w:hint="eastAsia" w:eastAsia="仿宋"/>
          <w:sz w:val="32"/>
          <w:szCs w:val="32"/>
          <w:lang w:val="en-US" w:eastAsia="zh-CN"/>
        </w:rPr>
        <w:t>2、</w:t>
      </w:r>
      <w:r>
        <w:rPr>
          <w:rFonts w:hint="eastAsia" w:eastAsia="仿宋"/>
          <w:sz w:val="32"/>
          <w:szCs w:val="32"/>
          <w:lang w:eastAsia="zh-CN"/>
        </w:rPr>
        <w:t>2020</w:t>
      </w:r>
      <w:r>
        <w:rPr>
          <w:rFonts w:hint="default" w:eastAsia="仿宋"/>
          <w:sz w:val="32"/>
          <w:szCs w:val="32"/>
        </w:rPr>
        <w:t>年</w:t>
      </w:r>
      <w:r>
        <w:rPr>
          <w:rFonts w:hint="eastAsia" w:eastAsia="仿宋"/>
          <w:sz w:val="32"/>
          <w:szCs w:val="32"/>
          <w:lang w:eastAsia="zh-CN"/>
        </w:rPr>
        <w:t>财政</w:t>
      </w:r>
      <w:r>
        <w:rPr>
          <w:rFonts w:hint="default" w:eastAsia="仿宋"/>
          <w:sz w:val="32"/>
          <w:szCs w:val="32"/>
        </w:rPr>
        <w:t>预算三公经费合计</w:t>
      </w:r>
      <w:r>
        <w:rPr>
          <w:rFonts w:hint="eastAsia" w:eastAsia="仿宋"/>
          <w:sz w:val="32"/>
          <w:szCs w:val="32"/>
          <w:lang w:val="en-US" w:eastAsia="zh-CN"/>
        </w:rPr>
        <w:t>82</w:t>
      </w:r>
      <w:r>
        <w:rPr>
          <w:rFonts w:hint="default" w:eastAsia="仿宋"/>
          <w:sz w:val="32"/>
          <w:szCs w:val="32"/>
        </w:rPr>
        <w:t>万元，其中公务接待费</w:t>
      </w:r>
      <w:r>
        <w:rPr>
          <w:rFonts w:hint="eastAsia" w:eastAsia="仿宋"/>
          <w:sz w:val="32"/>
          <w:szCs w:val="32"/>
          <w:lang w:val="en-US" w:eastAsia="zh-CN"/>
        </w:rPr>
        <w:t>40</w:t>
      </w:r>
      <w:r>
        <w:rPr>
          <w:rFonts w:hint="default" w:eastAsia="仿宋"/>
          <w:sz w:val="32"/>
          <w:szCs w:val="32"/>
        </w:rPr>
        <w:t>万元，公车运行费</w:t>
      </w:r>
      <w:r>
        <w:rPr>
          <w:rFonts w:hint="eastAsia" w:eastAsia="仿宋"/>
          <w:sz w:val="32"/>
          <w:szCs w:val="32"/>
          <w:lang w:val="en-US" w:eastAsia="zh-CN"/>
        </w:rPr>
        <w:t>42</w:t>
      </w:r>
      <w:r>
        <w:rPr>
          <w:rFonts w:hint="default" w:eastAsia="仿宋"/>
          <w:sz w:val="32"/>
          <w:szCs w:val="32"/>
        </w:rPr>
        <w:t>万元。</w:t>
      </w:r>
      <w:r>
        <w:rPr>
          <w:rFonts w:hint="eastAsia" w:eastAsia="仿宋"/>
          <w:sz w:val="32"/>
          <w:szCs w:val="32"/>
          <w:lang w:eastAsia="zh-CN"/>
        </w:rPr>
        <w:t>年度三公经费实际</w:t>
      </w:r>
      <w:r>
        <w:rPr>
          <w:rFonts w:hint="default" w:eastAsia="仿宋"/>
          <w:sz w:val="32"/>
          <w:szCs w:val="32"/>
        </w:rPr>
        <w:t>支出</w:t>
      </w:r>
      <w:r>
        <w:rPr>
          <w:rFonts w:hint="eastAsia" w:eastAsia="仿宋"/>
          <w:sz w:val="32"/>
          <w:szCs w:val="32"/>
          <w:lang w:eastAsia="zh-CN"/>
        </w:rPr>
        <w:t>为</w:t>
      </w:r>
      <w:r>
        <w:rPr>
          <w:rFonts w:hint="eastAsia" w:eastAsia="仿宋"/>
          <w:sz w:val="32"/>
          <w:szCs w:val="32"/>
          <w:lang w:val="en-US" w:eastAsia="zh-CN"/>
        </w:rPr>
        <w:t>36.9</w:t>
      </w:r>
      <w:r>
        <w:rPr>
          <w:rFonts w:hint="default" w:eastAsia="仿宋"/>
          <w:sz w:val="32"/>
          <w:szCs w:val="32"/>
        </w:rPr>
        <w:t>万元，其中公务接待费</w:t>
      </w:r>
      <w:r>
        <w:rPr>
          <w:rFonts w:hint="eastAsia" w:eastAsia="仿宋"/>
          <w:sz w:val="32"/>
          <w:szCs w:val="32"/>
          <w:lang w:val="en-US" w:eastAsia="zh-CN"/>
        </w:rPr>
        <w:t>9.76</w:t>
      </w:r>
      <w:r>
        <w:rPr>
          <w:rFonts w:hint="default" w:eastAsia="仿宋"/>
          <w:sz w:val="32"/>
          <w:szCs w:val="32"/>
        </w:rPr>
        <w:t>万元，公车运行费</w:t>
      </w:r>
      <w:r>
        <w:rPr>
          <w:rFonts w:hint="eastAsia" w:eastAsia="仿宋"/>
          <w:sz w:val="32"/>
          <w:szCs w:val="32"/>
          <w:lang w:val="en-US" w:eastAsia="zh-CN"/>
        </w:rPr>
        <w:t>27.14</w:t>
      </w:r>
      <w:r>
        <w:rPr>
          <w:rFonts w:hint="default" w:eastAsia="仿宋"/>
          <w:sz w:val="32"/>
          <w:szCs w:val="32"/>
        </w:rPr>
        <w:t>万元。较预算</w:t>
      </w:r>
      <w:r>
        <w:rPr>
          <w:rFonts w:hint="eastAsia" w:eastAsia="仿宋"/>
          <w:sz w:val="32"/>
          <w:szCs w:val="32"/>
          <w:lang w:eastAsia="zh-CN"/>
        </w:rPr>
        <w:t>数少支出</w:t>
      </w:r>
      <w:r>
        <w:rPr>
          <w:rFonts w:hint="eastAsia" w:eastAsia="仿宋"/>
          <w:sz w:val="32"/>
          <w:szCs w:val="32"/>
          <w:lang w:val="en-US" w:eastAsia="zh-CN"/>
        </w:rPr>
        <w:t>45.1</w:t>
      </w:r>
      <w:r>
        <w:rPr>
          <w:rFonts w:hint="default" w:eastAsia="仿宋"/>
          <w:sz w:val="32"/>
          <w:szCs w:val="32"/>
        </w:rPr>
        <w:t>万元，减少比例为</w:t>
      </w:r>
      <w:r>
        <w:rPr>
          <w:rFonts w:hint="eastAsia" w:eastAsia="仿宋"/>
          <w:sz w:val="32"/>
          <w:szCs w:val="32"/>
          <w:lang w:val="en-US" w:eastAsia="zh-CN"/>
        </w:rPr>
        <w:t>55</w:t>
      </w:r>
      <w:r>
        <w:rPr>
          <w:rFonts w:hint="default" w:eastAsia="仿宋"/>
          <w:sz w:val="32"/>
          <w:szCs w:val="32"/>
        </w:rPr>
        <w:t>%。</w:t>
      </w:r>
      <w:r>
        <w:rPr>
          <w:rFonts w:hint="eastAsia" w:eastAsia="仿宋"/>
          <w:sz w:val="32"/>
          <w:szCs w:val="32"/>
          <w:lang w:eastAsia="zh-CN"/>
        </w:rPr>
        <w:t>与2019</w:t>
      </w:r>
      <w:r>
        <w:rPr>
          <w:rFonts w:hint="default" w:eastAsia="仿宋"/>
          <w:sz w:val="32"/>
          <w:szCs w:val="32"/>
        </w:rPr>
        <w:t>年</w:t>
      </w:r>
      <w:r>
        <w:rPr>
          <w:rFonts w:hint="eastAsia" w:eastAsia="仿宋"/>
          <w:sz w:val="32"/>
          <w:szCs w:val="32"/>
          <w:lang w:eastAsia="zh-CN"/>
        </w:rPr>
        <w:t>度</w:t>
      </w:r>
      <w:r>
        <w:rPr>
          <w:rFonts w:hint="default" w:eastAsia="仿宋"/>
          <w:sz w:val="32"/>
          <w:szCs w:val="32"/>
        </w:rPr>
        <w:t>三公经费</w:t>
      </w:r>
      <w:r>
        <w:rPr>
          <w:rFonts w:hint="eastAsia" w:eastAsia="仿宋"/>
          <w:sz w:val="32"/>
          <w:szCs w:val="32"/>
          <w:lang w:eastAsia="zh-CN"/>
        </w:rPr>
        <w:t>支出数的</w:t>
      </w:r>
      <w:r>
        <w:rPr>
          <w:rFonts w:hint="default" w:eastAsia="仿宋"/>
          <w:sz w:val="32"/>
          <w:szCs w:val="32"/>
          <w:lang w:val="en-US" w:eastAsia="zh-CN"/>
        </w:rPr>
        <w:t>49.6</w:t>
      </w:r>
      <w:r>
        <w:rPr>
          <w:rFonts w:hint="default" w:eastAsia="仿宋"/>
          <w:sz w:val="32"/>
          <w:szCs w:val="32"/>
        </w:rPr>
        <w:t>万元</w:t>
      </w:r>
      <w:r>
        <w:rPr>
          <w:rFonts w:hint="eastAsia" w:eastAsia="仿宋"/>
          <w:sz w:val="32"/>
          <w:szCs w:val="32"/>
          <w:lang w:eastAsia="zh-CN"/>
        </w:rPr>
        <w:t>比较</w:t>
      </w:r>
      <w:r>
        <w:rPr>
          <w:rFonts w:hint="default" w:eastAsia="仿宋"/>
          <w:sz w:val="32"/>
          <w:szCs w:val="32"/>
        </w:rPr>
        <w:t>，减少</w:t>
      </w:r>
      <w:r>
        <w:rPr>
          <w:rFonts w:hint="eastAsia" w:eastAsia="仿宋"/>
          <w:sz w:val="32"/>
          <w:szCs w:val="32"/>
          <w:lang w:val="en-US" w:eastAsia="zh-CN"/>
        </w:rPr>
        <w:t>12.7</w:t>
      </w:r>
      <w:r>
        <w:rPr>
          <w:rFonts w:hint="default" w:eastAsia="仿宋"/>
          <w:sz w:val="32"/>
          <w:szCs w:val="32"/>
        </w:rPr>
        <w:t>万元，</w:t>
      </w:r>
      <w:r>
        <w:rPr>
          <w:rFonts w:hint="eastAsia" w:eastAsia="仿宋"/>
          <w:sz w:val="32"/>
          <w:szCs w:val="32"/>
          <w:lang w:eastAsia="zh-CN"/>
        </w:rPr>
        <w:t>同期</w:t>
      </w:r>
      <w:r>
        <w:rPr>
          <w:rFonts w:hint="default" w:eastAsia="仿宋"/>
          <w:sz w:val="32"/>
          <w:szCs w:val="32"/>
        </w:rPr>
        <w:t>减少比例为</w:t>
      </w:r>
      <w:r>
        <w:rPr>
          <w:rFonts w:hint="eastAsia" w:eastAsia="仿宋"/>
          <w:sz w:val="32"/>
          <w:szCs w:val="32"/>
          <w:lang w:val="en-US" w:eastAsia="zh-CN"/>
        </w:rPr>
        <w:t>25.6</w:t>
      </w:r>
      <w:r>
        <w:rPr>
          <w:rFonts w:hint="default" w:eastAsia="仿宋"/>
          <w:sz w:val="32"/>
          <w:szCs w:val="32"/>
        </w:rPr>
        <w:t>%。主要</w:t>
      </w:r>
      <w:r>
        <w:rPr>
          <w:rFonts w:hint="eastAsia" w:eastAsia="仿宋"/>
          <w:sz w:val="32"/>
          <w:szCs w:val="32"/>
          <w:lang w:eastAsia="zh-CN"/>
        </w:rPr>
        <w:t>是</w:t>
      </w:r>
      <w:r>
        <w:rPr>
          <w:rFonts w:hint="default" w:eastAsia="仿宋"/>
          <w:sz w:val="32"/>
          <w:szCs w:val="32"/>
        </w:rPr>
        <w:t>我局严格执行中央八项规定等，从严控制三公经费开支</w:t>
      </w:r>
      <w:r>
        <w:rPr>
          <w:rFonts w:hint="default" w:eastAsia="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hAnsi="仿宋" w:eastAsia="仿宋"/>
          <w:b/>
          <w:bCs/>
          <w:color w:val="010101"/>
          <w:kern w:val="0"/>
          <w:sz w:val="32"/>
          <w:szCs w:val="32"/>
          <w:lang w:eastAsia="zh-CN"/>
        </w:rPr>
      </w:pPr>
      <w:r>
        <w:rPr>
          <w:rFonts w:hint="eastAsia" w:hAnsi="仿宋" w:eastAsia="仿宋"/>
          <w:b/>
          <w:bCs/>
          <w:color w:val="010101"/>
          <w:kern w:val="0"/>
          <w:sz w:val="32"/>
          <w:szCs w:val="32"/>
          <w:lang w:eastAsia="zh-CN"/>
        </w:rPr>
        <w:t>三、</w:t>
      </w:r>
      <w:r>
        <w:rPr>
          <w:rFonts w:hAnsi="仿宋" w:eastAsia="仿宋"/>
          <w:b/>
          <w:bCs/>
          <w:color w:val="010101"/>
          <w:kern w:val="0"/>
          <w:sz w:val="32"/>
          <w:szCs w:val="32"/>
        </w:rPr>
        <w:t>项目支出</w:t>
      </w:r>
      <w:r>
        <w:rPr>
          <w:rFonts w:hint="eastAsia" w:hAnsi="仿宋" w:eastAsia="仿宋"/>
          <w:b/>
          <w:bCs/>
          <w:color w:val="010101"/>
          <w:kern w:val="0"/>
          <w:sz w:val="32"/>
          <w:szCs w:val="32"/>
          <w:lang w:eastAsia="zh-CN"/>
        </w:rPr>
        <w:t>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eastAsia="仿宋"/>
          <w:sz w:val="32"/>
          <w:szCs w:val="32"/>
          <w:lang w:val="en-US" w:eastAsia="zh-CN"/>
        </w:rPr>
      </w:pPr>
      <w:r>
        <w:rPr>
          <w:rFonts w:hint="eastAsia" w:eastAsia="仿宋"/>
          <w:sz w:val="32"/>
          <w:szCs w:val="32"/>
          <w:lang w:val="en-US" w:eastAsia="zh-CN"/>
        </w:rPr>
        <w:t>1、项目资金分配安排和使用情况</w:t>
      </w:r>
    </w:p>
    <w:p>
      <w:pPr>
        <w:keepNext w:val="0"/>
        <w:keepLines w:val="0"/>
        <w:pageBreakBefore w:val="0"/>
        <w:kinsoku/>
        <w:wordWrap/>
        <w:overflowPunct/>
        <w:topLinePunct w:val="0"/>
        <w:autoSpaceDE/>
        <w:autoSpaceDN/>
        <w:bidi w:val="0"/>
        <w:adjustRightInd/>
        <w:snapToGrid/>
        <w:spacing w:line="540" w:lineRule="exact"/>
        <w:ind w:firstLine="627" w:firstLineChars="196"/>
        <w:textAlignment w:val="auto"/>
        <w:rPr>
          <w:rFonts w:hint="eastAsia" w:eastAsia="仿宋"/>
          <w:sz w:val="32"/>
          <w:szCs w:val="32"/>
          <w:lang w:val="en-US" w:eastAsia="zh-CN"/>
        </w:rPr>
      </w:pPr>
      <w:r>
        <w:rPr>
          <w:rFonts w:hint="eastAsia" w:eastAsia="仿宋"/>
          <w:sz w:val="32"/>
          <w:szCs w:val="32"/>
          <w:lang w:val="en-US" w:eastAsia="zh-CN"/>
        </w:rPr>
        <w:t>2020年度财政预算安排我局项目经费1312.49万元，其中：</w:t>
      </w:r>
    </w:p>
    <w:p>
      <w:pPr>
        <w:keepNext w:val="0"/>
        <w:keepLines w:val="0"/>
        <w:pageBreakBefore w:val="0"/>
        <w:kinsoku/>
        <w:wordWrap/>
        <w:overflowPunct/>
        <w:topLinePunct w:val="0"/>
        <w:autoSpaceDE/>
        <w:autoSpaceDN/>
        <w:bidi w:val="0"/>
        <w:adjustRightInd/>
        <w:snapToGrid/>
        <w:spacing w:line="540" w:lineRule="exact"/>
        <w:ind w:firstLine="627" w:firstLineChars="196"/>
        <w:textAlignment w:val="auto"/>
        <w:rPr>
          <w:rFonts w:hint="eastAsia" w:eastAsia="仿宋"/>
          <w:sz w:val="32"/>
          <w:szCs w:val="32"/>
          <w:lang w:val="en-US" w:eastAsia="zh-CN"/>
        </w:rPr>
      </w:pPr>
      <w:r>
        <w:rPr>
          <w:rFonts w:hint="eastAsia" w:eastAsia="仿宋"/>
          <w:sz w:val="32"/>
          <w:szCs w:val="32"/>
          <w:lang w:val="en-US" w:eastAsia="zh-CN"/>
        </w:rPr>
        <w:t>一是农业公共服务资金223.5万元。其中：</w:t>
      </w:r>
      <w:r>
        <w:rPr>
          <w:rFonts w:hAnsi="仿宋" w:eastAsia="仿宋"/>
          <w:sz w:val="32"/>
          <w:szCs w:val="32"/>
        </w:rPr>
        <w:t>森林防火专项经费</w:t>
      </w:r>
      <w:r>
        <w:rPr>
          <w:rFonts w:eastAsia="仿宋"/>
          <w:sz w:val="32"/>
          <w:szCs w:val="32"/>
        </w:rPr>
        <w:t>121.5</w:t>
      </w:r>
      <w:r>
        <w:rPr>
          <w:rFonts w:hAnsi="仿宋" w:eastAsia="仿宋"/>
          <w:sz w:val="32"/>
          <w:szCs w:val="32"/>
        </w:rPr>
        <w:t>万元，林产品质量安全管理监督经费</w:t>
      </w:r>
      <w:r>
        <w:rPr>
          <w:rFonts w:eastAsia="仿宋"/>
          <w:sz w:val="32"/>
          <w:szCs w:val="32"/>
        </w:rPr>
        <w:t>10</w:t>
      </w:r>
      <w:r>
        <w:rPr>
          <w:rFonts w:hAnsi="仿宋" w:eastAsia="仿宋"/>
          <w:sz w:val="32"/>
          <w:szCs w:val="32"/>
        </w:rPr>
        <w:t>万元，</w:t>
      </w:r>
      <w:r>
        <w:rPr>
          <w:rFonts w:hint="eastAsia" w:hAnsi="仿宋" w:eastAsia="仿宋"/>
          <w:sz w:val="32"/>
          <w:szCs w:val="32"/>
        </w:rPr>
        <w:t>野</w:t>
      </w:r>
      <w:r>
        <w:rPr>
          <w:rFonts w:hAnsi="仿宋" w:eastAsia="仿宋"/>
          <w:sz w:val="32"/>
          <w:szCs w:val="32"/>
        </w:rPr>
        <w:t>生动物疫源疫病监测项目经费</w:t>
      </w:r>
      <w:r>
        <w:rPr>
          <w:rFonts w:eastAsia="仿宋"/>
          <w:sz w:val="32"/>
          <w:szCs w:val="32"/>
        </w:rPr>
        <w:t>30</w:t>
      </w:r>
      <w:r>
        <w:rPr>
          <w:rFonts w:hAnsi="仿宋" w:eastAsia="仿宋"/>
          <w:sz w:val="32"/>
          <w:szCs w:val="32"/>
        </w:rPr>
        <w:t>万元，林业有害生物防治专项经费</w:t>
      </w:r>
      <w:r>
        <w:rPr>
          <w:rFonts w:eastAsia="仿宋"/>
          <w:sz w:val="32"/>
          <w:szCs w:val="32"/>
        </w:rPr>
        <w:t>42</w:t>
      </w:r>
      <w:r>
        <w:rPr>
          <w:rFonts w:hAnsi="仿宋" w:eastAsia="仿宋"/>
          <w:sz w:val="32"/>
          <w:szCs w:val="32"/>
        </w:rPr>
        <w:t>万元</w:t>
      </w:r>
      <w:r>
        <w:rPr>
          <w:rFonts w:hint="eastAsia" w:hAnsi="仿宋" w:eastAsia="仿宋"/>
          <w:sz w:val="32"/>
          <w:szCs w:val="32"/>
        </w:rPr>
        <w:t>，林地变更调查及森林资源清查20万元</w:t>
      </w:r>
      <w:r>
        <w:rPr>
          <w:rFonts w:hint="eastAsia" w:hAnsi="仿宋" w:eastAsia="仿宋"/>
          <w:sz w:val="32"/>
          <w:szCs w:val="32"/>
          <w:lang w:eastAsia="zh-CN"/>
        </w:rPr>
        <w:t>，</w:t>
      </w:r>
      <w:r>
        <w:rPr>
          <w:rFonts w:hint="eastAsia" w:hAnsi="仿宋" w:eastAsia="仿宋"/>
          <w:sz w:val="32"/>
          <w:szCs w:val="32"/>
          <w:lang w:val="en-US" w:eastAsia="zh-CN"/>
        </w:rPr>
        <w:t>年度决算该</w:t>
      </w:r>
      <w:r>
        <w:rPr>
          <w:rFonts w:hint="eastAsia" w:eastAsia="仿宋"/>
          <w:sz w:val="32"/>
          <w:szCs w:val="32"/>
          <w:lang w:val="en-US" w:eastAsia="zh-CN"/>
        </w:rPr>
        <w:t>资金已全部使用完毕，使用率为100%。</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
          <w:sz w:val="32"/>
          <w:szCs w:val="32"/>
          <w:lang w:eastAsia="zh-CN"/>
        </w:rPr>
      </w:pPr>
      <w:r>
        <w:rPr>
          <w:rFonts w:hint="eastAsia" w:eastAsia="仿宋"/>
          <w:color w:val="000000"/>
          <w:kern w:val="0"/>
          <w:sz w:val="32"/>
          <w:szCs w:val="32"/>
          <w:lang w:eastAsia="zh-CN"/>
        </w:rPr>
        <w:t>二是</w:t>
      </w:r>
      <w:r>
        <w:rPr>
          <w:rFonts w:hint="eastAsia" w:hAnsi="仿宋" w:eastAsia="仿宋"/>
          <w:color w:val="000000"/>
          <w:kern w:val="0"/>
          <w:sz w:val="32"/>
          <w:szCs w:val="32"/>
          <w:lang w:eastAsia="zh-CN"/>
        </w:rPr>
        <w:t>其他</w:t>
      </w:r>
      <w:r>
        <w:rPr>
          <w:rFonts w:hAnsi="仿宋" w:eastAsia="仿宋"/>
          <w:color w:val="000000"/>
          <w:kern w:val="0"/>
          <w:sz w:val="32"/>
          <w:szCs w:val="32"/>
        </w:rPr>
        <w:t>项目</w:t>
      </w:r>
      <w:r>
        <w:rPr>
          <w:rFonts w:hint="eastAsia" w:hAnsi="仿宋" w:eastAsia="仿宋"/>
          <w:color w:val="000000"/>
          <w:kern w:val="0"/>
          <w:sz w:val="32"/>
          <w:szCs w:val="32"/>
          <w:lang w:eastAsia="zh-CN"/>
        </w:rPr>
        <w:t>资金</w:t>
      </w:r>
      <w:r>
        <w:rPr>
          <w:rFonts w:hint="eastAsia" w:hAnsi="仿宋" w:eastAsia="仿宋"/>
          <w:color w:val="000000"/>
          <w:kern w:val="0"/>
          <w:sz w:val="32"/>
          <w:szCs w:val="32"/>
          <w:lang w:val="en-US" w:eastAsia="zh-CN"/>
        </w:rPr>
        <w:t>398.32万元。</w:t>
      </w:r>
      <w:r>
        <w:rPr>
          <w:rFonts w:hAnsi="仿宋" w:eastAsia="仿宋"/>
          <w:color w:val="000000"/>
          <w:kern w:val="0"/>
          <w:sz w:val="32"/>
          <w:szCs w:val="32"/>
        </w:rPr>
        <w:t>主要包含</w:t>
      </w:r>
      <w:r>
        <w:rPr>
          <w:rFonts w:hint="eastAsia" w:hAnsi="仿宋" w:eastAsia="仿宋"/>
          <w:color w:val="000000"/>
          <w:kern w:val="0"/>
          <w:sz w:val="32"/>
          <w:szCs w:val="32"/>
          <w:lang w:eastAsia="zh-CN"/>
        </w:rPr>
        <w:t>其他</w:t>
      </w:r>
      <w:r>
        <w:rPr>
          <w:rFonts w:hAnsi="仿宋" w:eastAsia="仿宋"/>
          <w:color w:val="000000"/>
          <w:kern w:val="0"/>
          <w:sz w:val="32"/>
          <w:szCs w:val="32"/>
        </w:rPr>
        <w:t>城乡公共设施支出</w:t>
      </w:r>
      <w:r>
        <w:rPr>
          <w:rFonts w:hint="eastAsia" w:hAnsi="仿宋" w:eastAsia="仿宋"/>
          <w:color w:val="000000"/>
          <w:kern w:val="0"/>
          <w:sz w:val="32"/>
          <w:szCs w:val="32"/>
          <w:lang w:eastAsia="zh-CN"/>
        </w:rPr>
        <w:t>、</w:t>
      </w:r>
      <w:r>
        <w:rPr>
          <w:rFonts w:hAnsi="仿宋" w:eastAsia="仿宋"/>
          <w:color w:val="000000"/>
          <w:kern w:val="0"/>
          <w:sz w:val="32"/>
          <w:szCs w:val="32"/>
        </w:rPr>
        <w:t>一般行政管理事务、</w:t>
      </w:r>
      <w:r>
        <w:rPr>
          <w:rFonts w:hint="default" w:hAnsi="仿宋" w:eastAsia="仿宋"/>
          <w:color w:val="000000"/>
          <w:kern w:val="0"/>
          <w:sz w:val="32"/>
          <w:szCs w:val="32"/>
          <w:lang w:eastAsia="zh-CN"/>
        </w:rPr>
        <w:t>森林生态效益补偿</w:t>
      </w:r>
      <w:r>
        <w:rPr>
          <w:rFonts w:hint="eastAsia" w:hAnsi="仿宋" w:eastAsia="仿宋"/>
          <w:color w:val="000000"/>
          <w:kern w:val="0"/>
          <w:sz w:val="32"/>
          <w:szCs w:val="32"/>
          <w:lang w:eastAsia="zh-CN"/>
        </w:rPr>
        <w:t>、</w:t>
      </w:r>
      <w:r>
        <w:rPr>
          <w:rFonts w:hint="default" w:hAnsi="仿宋" w:eastAsia="仿宋"/>
          <w:color w:val="000000"/>
          <w:kern w:val="0"/>
          <w:sz w:val="32"/>
          <w:szCs w:val="32"/>
          <w:lang w:eastAsia="zh-CN"/>
        </w:rPr>
        <w:t>自然保护区等管理</w:t>
      </w:r>
      <w:r>
        <w:rPr>
          <w:rFonts w:hint="eastAsia" w:hAnsi="仿宋" w:eastAsia="仿宋"/>
          <w:color w:val="000000"/>
          <w:kern w:val="0"/>
          <w:sz w:val="32"/>
          <w:szCs w:val="32"/>
          <w:lang w:eastAsia="zh-CN"/>
        </w:rPr>
        <w:t>、</w:t>
      </w:r>
      <w:r>
        <w:rPr>
          <w:rFonts w:hint="default" w:hAnsi="仿宋" w:eastAsia="仿宋"/>
          <w:color w:val="000000"/>
          <w:kern w:val="0"/>
          <w:sz w:val="32"/>
          <w:szCs w:val="32"/>
          <w:lang w:eastAsia="zh-CN"/>
        </w:rPr>
        <w:t>林业执法与监督</w:t>
      </w:r>
      <w:r>
        <w:rPr>
          <w:rFonts w:hAnsi="仿宋" w:eastAsia="仿宋"/>
          <w:color w:val="000000"/>
          <w:kern w:val="0"/>
          <w:sz w:val="32"/>
          <w:szCs w:val="32"/>
        </w:rPr>
        <w:t>、动植物保护、林业防灾减灾</w:t>
      </w:r>
      <w:r>
        <w:rPr>
          <w:rFonts w:hint="eastAsia" w:hAnsi="仿宋" w:eastAsia="仿宋"/>
          <w:color w:val="000000"/>
          <w:kern w:val="0"/>
          <w:sz w:val="32"/>
          <w:szCs w:val="32"/>
          <w:lang w:eastAsia="zh-CN"/>
        </w:rPr>
        <w:t>、</w:t>
      </w:r>
      <w:r>
        <w:rPr>
          <w:rFonts w:hAnsi="仿宋" w:eastAsia="仿宋"/>
          <w:color w:val="000000"/>
          <w:kern w:val="0"/>
          <w:sz w:val="32"/>
          <w:szCs w:val="32"/>
        </w:rPr>
        <w:t>其他林业支出等。支出决算为</w:t>
      </w:r>
      <w:r>
        <w:rPr>
          <w:rFonts w:hint="eastAsia" w:hAnsi="仿宋" w:eastAsia="仿宋"/>
          <w:color w:val="000000"/>
          <w:kern w:val="0"/>
          <w:sz w:val="32"/>
          <w:szCs w:val="32"/>
          <w:lang w:val="en-US" w:eastAsia="zh-CN"/>
        </w:rPr>
        <w:t>1088.99</w:t>
      </w:r>
      <w:r>
        <w:rPr>
          <w:rFonts w:hAnsi="仿宋" w:eastAsia="仿宋"/>
          <w:color w:val="000000"/>
          <w:kern w:val="0"/>
          <w:sz w:val="32"/>
          <w:szCs w:val="32"/>
        </w:rPr>
        <w:t>万元</w:t>
      </w:r>
      <w:r>
        <w:rPr>
          <w:rFonts w:hint="eastAsia" w:hAnsi="仿宋" w:eastAsia="仿宋"/>
          <w:color w:val="000000"/>
          <w:kern w:val="0"/>
          <w:sz w:val="32"/>
          <w:szCs w:val="32"/>
          <w:lang w:eastAsia="zh-CN"/>
        </w:rPr>
        <w:t>，超支部分资金由上年结余项目资金弥补。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
          <w:sz w:val="32"/>
          <w:szCs w:val="32"/>
        </w:rPr>
      </w:pPr>
      <w:r>
        <w:rPr>
          <w:rFonts w:eastAsia="仿宋"/>
          <w:sz w:val="32"/>
          <w:szCs w:val="32"/>
        </w:rPr>
        <w:t>2</w:t>
      </w:r>
      <w:r>
        <w:rPr>
          <w:rFonts w:hAnsi="仿宋" w:eastAsia="仿宋"/>
          <w:sz w:val="32"/>
          <w:szCs w:val="32"/>
        </w:rPr>
        <w:t>、项目资金管理情况分析</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eastAsia="仿宋"/>
          <w:sz w:val="32"/>
          <w:szCs w:val="32"/>
          <w:lang w:val="en-US" w:eastAsia="zh-CN"/>
        </w:rPr>
      </w:pPr>
      <w:r>
        <w:rPr>
          <w:rFonts w:hAnsi="仿宋" w:eastAsia="仿宋"/>
          <w:sz w:val="32"/>
          <w:szCs w:val="32"/>
        </w:rPr>
        <w:t>对项目资金加强监管，由我局根据项目实施进度，通过财政国库集中支付的方式支付给各实施单位。实行</w:t>
      </w:r>
      <w:r>
        <w:rPr>
          <w:rFonts w:hint="eastAsia" w:hAnsi="仿宋" w:eastAsia="仿宋"/>
          <w:sz w:val="32"/>
          <w:szCs w:val="32"/>
          <w:lang w:eastAsia="zh-CN"/>
        </w:rPr>
        <w:t>了</w:t>
      </w:r>
      <w:r>
        <w:rPr>
          <w:rFonts w:hAnsi="仿宋" w:eastAsia="仿宋"/>
          <w:sz w:val="32"/>
          <w:szCs w:val="32"/>
        </w:rPr>
        <w:t>政府采购和招投标程序，项目中需要进行政府采购</w:t>
      </w:r>
      <w:r>
        <w:rPr>
          <w:rFonts w:hint="eastAsia" w:hAnsi="仿宋" w:eastAsia="仿宋"/>
          <w:sz w:val="32"/>
          <w:szCs w:val="32"/>
          <w:lang w:eastAsia="zh-CN"/>
        </w:rPr>
        <w:t>的已</w:t>
      </w:r>
      <w:r>
        <w:rPr>
          <w:rFonts w:hAnsi="仿宋" w:eastAsia="仿宋"/>
          <w:sz w:val="32"/>
          <w:szCs w:val="32"/>
        </w:rPr>
        <w:t>全部按程序办理政府采购手续。项目资金实行</w:t>
      </w:r>
      <w:r>
        <w:rPr>
          <w:rFonts w:hint="eastAsia" w:hAnsi="仿宋" w:eastAsia="仿宋"/>
          <w:sz w:val="32"/>
          <w:szCs w:val="32"/>
          <w:lang w:eastAsia="zh-CN"/>
        </w:rPr>
        <w:t>了</w:t>
      </w:r>
      <w:r>
        <w:rPr>
          <w:rFonts w:hAnsi="仿宋" w:eastAsia="仿宋"/>
          <w:sz w:val="32"/>
          <w:szCs w:val="32"/>
        </w:rPr>
        <w:t>专款专用，无截留、滞留、挪用和串用现象。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
          <w:sz w:val="32"/>
          <w:szCs w:val="32"/>
        </w:rPr>
      </w:pPr>
      <w:r>
        <w:rPr>
          <w:rFonts w:hAnsi="仿宋" w:eastAsia="仿宋"/>
          <w:color w:val="010101"/>
          <w:kern w:val="0"/>
          <w:sz w:val="32"/>
          <w:szCs w:val="32"/>
        </w:rPr>
        <w:t>我局财务管理严格依法依规，做到公开公平公正，在严格执行各项有关法律法规、财经纪律、财务规章制度的同时，我局根据单位自身情况结合各项规定编制了《衡阳市林业局内控制度汇编》一书与各项管理制度，系统的收录了近年来出台的各项规章制度、政策文件，阐述了预（决）算、政府采购、国库集中支付、专项资金等管理办法和操作规程。</w:t>
      </w:r>
      <w:r>
        <w:rPr>
          <w:rFonts w:hAnsi="仿宋" w:eastAsia="仿宋"/>
          <w:sz w:val="32"/>
          <w:szCs w:val="32"/>
        </w:rPr>
        <w:t>落实项目责任制，将各项目责任落实到具体科室，要求各科室对项目进度负责。</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Ansi="仿宋" w:eastAsia="仿宋"/>
          <w:b/>
          <w:bCs/>
          <w:color w:val="010101"/>
          <w:kern w:val="0"/>
          <w:sz w:val="32"/>
          <w:szCs w:val="32"/>
        </w:rPr>
      </w:pPr>
      <w:r>
        <w:rPr>
          <w:rFonts w:hAnsi="仿宋" w:eastAsia="仿宋"/>
          <w:b/>
          <w:bCs/>
          <w:color w:val="010101"/>
          <w:kern w:val="0"/>
          <w:sz w:val="32"/>
          <w:szCs w:val="32"/>
        </w:rPr>
        <w:t>四、部门整体支出绩效情况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Ansi="仿宋" w:eastAsia="仿宋"/>
          <w:color w:val="010101"/>
          <w:kern w:val="0"/>
          <w:sz w:val="32"/>
          <w:szCs w:val="32"/>
        </w:rPr>
      </w:pPr>
      <w:r>
        <w:rPr>
          <w:rFonts w:hint="eastAsia" w:eastAsia="仿宋"/>
          <w:color w:val="010101"/>
          <w:kern w:val="0"/>
          <w:sz w:val="32"/>
          <w:szCs w:val="32"/>
          <w:lang w:eastAsia="zh-CN"/>
        </w:rPr>
        <w:t>2020</w:t>
      </w:r>
      <w:r>
        <w:rPr>
          <w:rFonts w:hAnsi="仿宋" w:eastAsia="仿宋"/>
          <w:color w:val="010101"/>
          <w:kern w:val="0"/>
          <w:sz w:val="32"/>
          <w:szCs w:val="32"/>
        </w:rPr>
        <w:t>年，我局通过积极作为，强化制度学习，增强内部管理，较好的完成了年度工作目标。通过加强预算收支管理，建立健全内部管理制度，梳理内部管理流程，部门整体支出管理水平得到提升。根据部门整体支出绩效评价指标体系，我单位</w:t>
      </w:r>
      <w:r>
        <w:rPr>
          <w:rFonts w:hint="eastAsia" w:eastAsia="仿宋"/>
          <w:color w:val="010101"/>
          <w:kern w:val="0"/>
          <w:sz w:val="32"/>
          <w:szCs w:val="32"/>
          <w:lang w:eastAsia="zh-CN"/>
        </w:rPr>
        <w:t>2020</w:t>
      </w:r>
      <w:r>
        <w:rPr>
          <w:rFonts w:hAnsi="仿宋" w:eastAsia="仿宋"/>
          <w:color w:val="010101"/>
          <w:kern w:val="0"/>
          <w:sz w:val="32"/>
          <w:szCs w:val="32"/>
        </w:rPr>
        <w:t>年度评价得分为</w:t>
      </w:r>
      <w:r>
        <w:rPr>
          <w:rFonts w:hint="eastAsia" w:hAnsi="仿宋" w:eastAsia="仿宋"/>
          <w:color w:val="010101"/>
          <w:kern w:val="0"/>
          <w:sz w:val="32"/>
          <w:szCs w:val="32"/>
          <w:lang w:val="en-US" w:eastAsia="zh-CN"/>
        </w:rPr>
        <w:t>94</w:t>
      </w:r>
      <w:r>
        <w:rPr>
          <w:rFonts w:hAnsi="仿宋" w:eastAsia="仿宋"/>
          <w:color w:val="010101"/>
          <w:kern w:val="0"/>
          <w:sz w:val="32"/>
          <w:szCs w:val="32"/>
        </w:rPr>
        <w:t>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Ansi="仿宋" w:eastAsia="仿宋"/>
          <w:color w:val="010101"/>
          <w:kern w:val="0"/>
          <w:sz w:val="32"/>
          <w:szCs w:val="32"/>
        </w:rPr>
      </w:pPr>
      <w:r>
        <w:rPr>
          <w:rFonts w:hAnsi="仿宋" w:eastAsia="仿宋"/>
          <w:color w:val="010101"/>
          <w:kern w:val="0"/>
          <w:sz w:val="32"/>
          <w:szCs w:val="32"/>
        </w:rPr>
        <w:t>（一）部门整体支出绩效情况如下：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
          <w:color w:val="010101"/>
          <w:kern w:val="0"/>
          <w:sz w:val="32"/>
          <w:szCs w:val="32"/>
        </w:rPr>
      </w:pPr>
      <w:r>
        <w:rPr>
          <w:rFonts w:hint="eastAsia" w:hAnsi="仿宋" w:eastAsia="仿宋"/>
          <w:color w:val="010101"/>
          <w:kern w:val="0"/>
          <w:sz w:val="32"/>
          <w:szCs w:val="32"/>
          <w:lang w:val="en-US" w:eastAsia="zh-CN"/>
        </w:rPr>
        <w:t>1、</w:t>
      </w:r>
      <w:r>
        <w:rPr>
          <w:rFonts w:hAnsi="仿宋" w:eastAsia="仿宋"/>
          <w:color w:val="010101"/>
          <w:kern w:val="0"/>
          <w:sz w:val="32"/>
          <w:szCs w:val="32"/>
        </w:rPr>
        <w:t>投入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Calibri" w:hAnsi="Calibri" w:eastAsia="仿宋" w:cs="Calibri"/>
          <w:color w:val="010101"/>
          <w:kern w:val="0"/>
          <w:sz w:val="32"/>
          <w:szCs w:val="32"/>
          <w:lang w:eastAsia="zh-CN"/>
        </w:rPr>
      </w:pPr>
      <w:r>
        <w:rPr>
          <w:rFonts w:hint="default" w:ascii="Calibri" w:hAnsi="Calibri" w:eastAsia="仿宋" w:cs="Calibri"/>
          <w:color w:val="010101"/>
          <w:kern w:val="0"/>
          <w:sz w:val="32"/>
          <w:szCs w:val="32"/>
        </w:rPr>
        <w:t>①</w:t>
      </w:r>
      <w:r>
        <w:rPr>
          <w:rFonts w:hint="eastAsia" w:ascii="Calibri" w:hAnsi="Calibri" w:eastAsia="仿宋" w:cs="Calibri"/>
          <w:color w:val="010101"/>
          <w:kern w:val="0"/>
          <w:sz w:val="32"/>
          <w:szCs w:val="32"/>
          <w:lang w:eastAsia="zh-CN"/>
        </w:rPr>
        <w:t>目标设定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hAnsi="仿宋" w:eastAsia="仿宋"/>
          <w:color w:val="010101"/>
          <w:kern w:val="0"/>
          <w:sz w:val="32"/>
          <w:szCs w:val="32"/>
          <w:lang w:val="en-US" w:eastAsia="zh-CN"/>
        </w:rPr>
      </w:pPr>
      <w:r>
        <w:rPr>
          <w:rFonts w:hint="eastAsia" w:hAnsi="仿宋" w:eastAsia="仿宋"/>
          <w:color w:val="010101"/>
          <w:kern w:val="0"/>
          <w:sz w:val="32"/>
          <w:szCs w:val="32"/>
          <w:lang w:eastAsia="zh-CN"/>
        </w:rPr>
        <w:t>绩效目标合理性：我局设立的整体绩效目标依据充分，符合客观实际，符合部门“三定”方案确定的职责和部门制定的中长期实施规划。得分满分</w:t>
      </w:r>
      <w:r>
        <w:rPr>
          <w:rFonts w:hint="eastAsia" w:hAnsi="仿宋" w:eastAsia="仿宋"/>
          <w:color w:val="010101"/>
          <w:kern w:val="0"/>
          <w:sz w:val="32"/>
          <w:szCs w:val="32"/>
          <w:lang w:val="en-US" w:eastAsia="zh-CN"/>
        </w:rPr>
        <w:t>3分。绩效指标明确性：我局将部门整体的绩效目标细化分解为具体的工作任务并通过清晰、可衡量的指标值予以体现。得分满分3分。</w:t>
      </w:r>
      <w:r>
        <w:rPr>
          <w:rFonts w:hAnsi="仿宋" w:eastAsia="仿宋"/>
          <w:color w:val="010101"/>
          <w:kern w:val="0"/>
          <w:sz w:val="32"/>
          <w:szCs w:val="32"/>
        </w:rPr>
        <w:t>以上合计</w:t>
      </w:r>
      <w:r>
        <w:rPr>
          <w:rFonts w:hint="eastAsia" w:eastAsia="仿宋"/>
          <w:color w:val="010101"/>
          <w:kern w:val="0"/>
          <w:sz w:val="32"/>
          <w:szCs w:val="32"/>
          <w:lang w:val="en-US" w:eastAsia="zh-CN"/>
        </w:rPr>
        <w:t>6</w:t>
      </w:r>
      <w:r>
        <w:rPr>
          <w:rFonts w:hAnsi="仿宋" w:eastAsia="仿宋"/>
          <w:color w:val="010101"/>
          <w:kern w:val="0"/>
          <w:sz w:val="32"/>
          <w:szCs w:val="32"/>
        </w:rPr>
        <w:t>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
          <w:color w:val="010101"/>
          <w:kern w:val="0"/>
          <w:sz w:val="32"/>
          <w:szCs w:val="32"/>
        </w:rPr>
      </w:pPr>
      <w:r>
        <w:rPr>
          <w:rFonts w:hAnsi="仿宋" w:eastAsia="仿宋"/>
          <w:color w:val="010101"/>
          <w:kern w:val="0"/>
          <w:sz w:val="32"/>
          <w:szCs w:val="32"/>
        </w:rPr>
        <w:t>预算配置：我局人员编制为</w:t>
      </w:r>
      <w:r>
        <w:rPr>
          <w:rFonts w:hint="eastAsia" w:eastAsia="仿宋"/>
          <w:color w:val="010101"/>
          <w:kern w:val="0"/>
          <w:sz w:val="32"/>
          <w:szCs w:val="32"/>
          <w:lang w:val="en-US" w:eastAsia="zh-CN"/>
        </w:rPr>
        <w:t>98</w:t>
      </w:r>
      <w:r>
        <w:rPr>
          <w:rFonts w:hAnsi="仿宋" w:eastAsia="仿宋"/>
          <w:color w:val="010101"/>
          <w:kern w:val="0"/>
          <w:sz w:val="32"/>
          <w:szCs w:val="32"/>
        </w:rPr>
        <w:t>人，实有人</w:t>
      </w:r>
      <w:r>
        <w:rPr>
          <w:rFonts w:eastAsia="仿宋"/>
          <w:color w:val="010101"/>
          <w:kern w:val="0"/>
          <w:sz w:val="32"/>
          <w:szCs w:val="32"/>
        </w:rPr>
        <w:t>8</w:t>
      </w:r>
      <w:r>
        <w:rPr>
          <w:rFonts w:hint="eastAsia" w:eastAsia="仿宋"/>
          <w:color w:val="010101"/>
          <w:kern w:val="0"/>
          <w:sz w:val="32"/>
          <w:szCs w:val="32"/>
          <w:lang w:val="en-US" w:eastAsia="zh-CN"/>
        </w:rPr>
        <w:t>6</w:t>
      </w:r>
      <w:r>
        <w:rPr>
          <w:rFonts w:hAnsi="仿宋" w:eastAsia="仿宋"/>
          <w:color w:val="010101"/>
          <w:kern w:val="0"/>
          <w:sz w:val="32"/>
          <w:szCs w:val="32"/>
        </w:rPr>
        <w:t>人，在职人员控制率</w:t>
      </w:r>
      <w:r>
        <w:rPr>
          <w:rFonts w:hint="eastAsia" w:eastAsia="仿宋"/>
          <w:color w:val="010101"/>
          <w:kern w:val="0"/>
          <w:sz w:val="32"/>
          <w:szCs w:val="32"/>
          <w:lang w:val="en-US" w:eastAsia="zh-CN"/>
        </w:rPr>
        <w:t>87.76</w:t>
      </w:r>
      <w:r>
        <w:rPr>
          <w:rFonts w:eastAsia="仿宋"/>
          <w:color w:val="010101"/>
          <w:kern w:val="0"/>
          <w:sz w:val="32"/>
          <w:szCs w:val="32"/>
        </w:rPr>
        <w:t>%</w:t>
      </w:r>
      <w:r>
        <w:rPr>
          <w:rFonts w:hAnsi="仿宋" w:eastAsia="仿宋"/>
          <w:color w:val="010101"/>
          <w:kern w:val="0"/>
          <w:sz w:val="32"/>
          <w:szCs w:val="32"/>
        </w:rPr>
        <w:t>，得分满分</w:t>
      </w:r>
      <w:r>
        <w:rPr>
          <w:rFonts w:hint="eastAsia" w:eastAsia="仿宋"/>
          <w:color w:val="010101"/>
          <w:kern w:val="0"/>
          <w:sz w:val="32"/>
          <w:szCs w:val="32"/>
          <w:lang w:val="en-US" w:eastAsia="zh-CN"/>
        </w:rPr>
        <w:t>1</w:t>
      </w:r>
      <w:r>
        <w:rPr>
          <w:rFonts w:hAnsi="仿宋" w:eastAsia="仿宋"/>
          <w:color w:val="010101"/>
          <w:kern w:val="0"/>
          <w:sz w:val="32"/>
          <w:szCs w:val="32"/>
        </w:rPr>
        <w:t>分；</w:t>
      </w:r>
      <w:r>
        <w:rPr>
          <w:rFonts w:eastAsia="仿宋"/>
          <w:color w:val="010101"/>
          <w:kern w:val="0"/>
          <w:sz w:val="32"/>
          <w:szCs w:val="32"/>
        </w:rPr>
        <w:t>“</w:t>
      </w:r>
      <w:r>
        <w:rPr>
          <w:rFonts w:hAnsi="仿宋" w:eastAsia="仿宋"/>
          <w:color w:val="010101"/>
          <w:kern w:val="0"/>
          <w:sz w:val="32"/>
          <w:szCs w:val="32"/>
        </w:rPr>
        <w:t>三公经费</w:t>
      </w:r>
      <w:r>
        <w:rPr>
          <w:rFonts w:eastAsia="仿宋"/>
          <w:color w:val="010101"/>
          <w:kern w:val="0"/>
          <w:sz w:val="32"/>
          <w:szCs w:val="32"/>
        </w:rPr>
        <w:t>”</w:t>
      </w:r>
      <w:r>
        <w:rPr>
          <w:rFonts w:hAnsi="仿宋" w:eastAsia="仿宋"/>
          <w:color w:val="010101"/>
          <w:kern w:val="0"/>
          <w:sz w:val="32"/>
          <w:szCs w:val="32"/>
        </w:rPr>
        <w:t>本年预算数为</w:t>
      </w:r>
      <w:r>
        <w:rPr>
          <w:rFonts w:hint="eastAsia" w:eastAsia="仿宋"/>
          <w:color w:val="010101"/>
          <w:kern w:val="0"/>
          <w:sz w:val="32"/>
          <w:szCs w:val="32"/>
          <w:lang w:val="en-US" w:eastAsia="zh-CN"/>
        </w:rPr>
        <w:t>82</w:t>
      </w:r>
      <w:r>
        <w:rPr>
          <w:rFonts w:hAnsi="仿宋" w:eastAsia="仿宋"/>
          <w:color w:val="010101"/>
          <w:kern w:val="0"/>
          <w:sz w:val="32"/>
          <w:szCs w:val="32"/>
        </w:rPr>
        <w:t>万元，上年预算数为</w:t>
      </w:r>
      <w:r>
        <w:rPr>
          <w:rFonts w:hint="eastAsia" w:eastAsia="仿宋"/>
          <w:color w:val="010101"/>
          <w:kern w:val="0"/>
          <w:sz w:val="32"/>
          <w:szCs w:val="32"/>
          <w:lang w:val="en-US" w:eastAsia="zh-CN"/>
        </w:rPr>
        <w:t>82</w:t>
      </w:r>
      <w:r>
        <w:rPr>
          <w:rFonts w:hAnsi="仿宋" w:eastAsia="仿宋"/>
          <w:color w:val="010101"/>
          <w:kern w:val="0"/>
          <w:sz w:val="32"/>
          <w:szCs w:val="32"/>
        </w:rPr>
        <w:t>万元，变动率</w:t>
      </w:r>
      <w:r>
        <w:rPr>
          <w:rFonts w:hint="eastAsia" w:hAnsi="仿宋" w:eastAsia="仿宋"/>
          <w:color w:val="010101"/>
          <w:kern w:val="0"/>
          <w:sz w:val="32"/>
          <w:szCs w:val="32"/>
          <w:lang w:val="en-US" w:eastAsia="zh-CN"/>
        </w:rPr>
        <w:t>0，</w:t>
      </w:r>
      <w:r>
        <w:rPr>
          <w:rFonts w:hAnsi="仿宋" w:eastAsia="仿宋"/>
          <w:color w:val="010101"/>
          <w:kern w:val="0"/>
          <w:sz w:val="32"/>
          <w:szCs w:val="32"/>
        </w:rPr>
        <w:t>变动率≦</w:t>
      </w:r>
      <w:r>
        <w:rPr>
          <w:rFonts w:eastAsia="仿宋"/>
          <w:color w:val="010101"/>
          <w:kern w:val="0"/>
          <w:sz w:val="32"/>
          <w:szCs w:val="32"/>
        </w:rPr>
        <w:t>0</w:t>
      </w:r>
      <w:r>
        <w:rPr>
          <w:rFonts w:hAnsi="仿宋" w:eastAsia="仿宋"/>
          <w:color w:val="010101"/>
          <w:kern w:val="0"/>
          <w:sz w:val="32"/>
          <w:szCs w:val="32"/>
        </w:rPr>
        <w:t>，得分满分</w:t>
      </w:r>
      <w:r>
        <w:rPr>
          <w:rFonts w:hint="eastAsia" w:eastAsia="仿宋"/>
          <w:color w:val="010101"/>
          <w:kern w:val="0"/>
          <w:sz w:val="32"/>
          <w:szCs w:val="32"/>
          <w:lang w:val="en-US" w:eastAsia="zh-CN"/>
        </w:rPr>
        <w:t>1</w:t>
      </w:r>
      <w:r>
        <w:rPr>
          <w:rFonts w:hAnsi="仿宋" w:eastAsia="仿宋"/>
          <w:color w:val="010101"/>
          <w:kern w:val="0"/>
          <w:sz w:val="32"/>
          <w:szCs w:val="32"/>
        </w:rPr>
        <w:t>分</w:t>
      </w:r>
      <w:r>
        <w:rPr>
          <w:rFonts w:hint="eastAsia" w:hAnsi="仿宋" w:eastAsia="仿宋"/>
          <w:color w:val="010101"/>
          <w:kern w:val="0"/>
          <w:sz w:val="32"/>
          <w:szCs w:val="32"/>
          <w:lang w:eastAsia="zh-CN"/>
        </w:rPr>
        <w:t>；重点支出安排率</w:t>
      </w:r>
      <w:r>
        <w:rPr>
          <w:rFonts w:hint="eastAsia" w:hAnsi="仿宋" w:eastAsia="仿宋"/>
          <w:color w:val="010101"/>
          <w:kern w:val="0"/>
          <w:sz w:val="32"/>
          <w:szCs w:val="32"/>
          <w:lang w:val="en-US" w:eastAsia="zh-CN"/>
        </w:rPr>
        <w:t>100%，得分满分2分。</w:t>
      </w:r>
      <w:r>
        <w:rPr>
          <w:rFonts w:hAnsi="仿宋" w:eastAsia="仿宋"/>
          <w:color w:val="010101"/>
          <w:kern w:val="0"/>
          <w:sz w:val="32"/>
          <w:szCs w:val="32"/>
        </w:rPr>
        <w:t>以上合计</w:t>
      </w:r>
      <w:r>
        <w:rPr>
          <w:rFonts w:hint="eastAsia" w:eastAsia="仿宋"/>
          <w:color w:val="010101"/>
          <w:kern w:val="0"/>
          <w:sz w:val="32"/>
          <w:szCs w:val="32"/>
          <w:lang w:val="en-US" w:eastAsia="zh-CN"/>
        </w:rPr>
        <w:t>4</w:t>
      </w:r>
      <w:r>
        <w:rPr>
          <w:rFonts w:hAnsi="仿宋" w:eastAsia="仿宋"/>
          <w:color w:val="010101"/>
          <w:kern w:val="0"/>
          <w:sz w:val="32"/>
          <w:szCs w:val="32"/>
        </w:rPr>
        <w:t>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
          <w:color w:val="010101"/>
          <w:kern w:val="0"/>
          <w:sz w:val="32"/>
          <w:szCs w:val="32"/>
        </w:rPr>
      </w:pPr>
      <w:r>
        <w:rPr>
          <w:rFonts w:hint="eastAsia" w:hAnsi="仿宋" w:eastAsia="仿宋"/>
          <w:color w:val="010101"/>
          <w:kern w:val="0"/>
          <w:sz w:val="32"/>
          <w:szCs w:val="32"/>
          <w:lang w:val="en-US" w:eastAsia="zh-CN"/>
        </w:rPr>
        <w:t>2、</w:t>
      </w:r>
      <w:r>
        <w:rPr>
          <w:rFonts w:hAnsi="仿宋" w:eastAsia="仿宋"/>
          <w:color w:val="010101"/>
          <w:kern w:val="0"/>
          <w:sz w:val="32"/>
          <w:szCs w:val="32"/>
        </w:rPr>
        <w:t>过程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
          <w:color w:val="010101"/>
          <w:kern w:val="0"/>
          <w:sz w:val="32"/>
          <w:szCs w:val="32"/>
        </w:rPr>
      </w:pPr>
      <w:r>
        <w:rPr>
          <w:rFonts w:hint="default" w:ascii="Calibri" w:hAnsi="Calibri" w:eastAsia="仿宋" w:cs="Calibri"/>
          <w:color w:val="010101"/>
          <w:kern w:val="0"/>
          <w:sz w:val="32"/>
          <w:szCs w:val="32"/>
        </w:rPr>
        <w:t>①</w:t>
      </w:r>
      <w:r>
        <w:rPr>
          <w:rFonts w:hAnsi="仿宋" w:eastAsia="仿宋"/>
          <w:color w:val="010101"/>
          <w:kern w:val="0"/>
          <w:sz w:val="32"/>
          <w:szCs w:val="32"/>
        </w:rPr>
        <w:t>预算执行</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
          <w:color w:val="010101"/>
          <w:kern w:val="0"/>
          <w:sz w:val="32"/>
          <w:szCs w:val="32"/>
        </w:rPr>
      </w:pPr>
      <w:r>
        <w:rPr>
          <w:rFonts w:hAnsi="仿宋" w:eastAsia="仿宋"/>
          <w:color w:val="010101"/>
          <w:kern w:val="0"/>
          <w:sz w:val="32"/>
          <w:szCs w:val="32"/>
        </w:rPr>
        <w:t>预算完成率为</w:t>
      </w:r>
      <w:r>
        <w:rPr>
          <w:rFonts w:hint="eastAsia" w:eastAsia="仿宋"/>
          <w:color w:val="010101"/>
          <w:kern w:val="0"/>
          <w:sz w:val="32"/>
          <w:szCs w:val="32"/>
          <w:lang w:val="en-US" w:eastAsia="zh-CN"/>
        </w:rPr>
        <w:t>90.97</w:t>
      </w:r>
      <w:r>
        <w:rPr>
          <w:rFonts w:eastAsia="仿宋"/>
          <w:color w:val="010101"/>
          <w:kern w:val="0"/>
          <w:sz w:val="32"/>
          <w:szCs w:val="32"/>
        </w:rPr>
        <w:t>%</w:t>
      </w:r>
      <w:r>
        <w:rPr>
          <w:rFonts w:hAnsi="仿宋" w:eastAsia="仿宋"/>
          <w:color w:val="010101"/>
          <w:kern w:val="0"/>
          <w:sz w:val="32"/>
          <w:szCs w:val="32"/>
        </w:rPr>
        <w:t>，得</w:t>
      </w:r>
      <w:r>
        <w:rPr>
          <w:rFonts w:hint="eastAsia" w:eastAsia="仿宋"/>
          <w:color w:val="010101"/>
          <w:kern w:val="0"/>
          <w:sz w:val="32"/>
          <w:szCs w:val="32"/>
          <w:lang w:val="en-US" w:eastAsia="zh-CN"/>
        </w:rPr>
        <w:t>1</w:t>
      </w:r>
      <w:r>
        <w:rPr>
          <w:rFonts w:hAnsi="仿宋" w:eastAsia="仿宋"/>
          <w:color w:val="010101"/>
          <w:kern w:val="0"/>
          <w:sz w:val="32"/>
          <w:szCs w:val="32"/>
        </w:rPr>
        <w:t>分；</w:t>
      </w:r>
      <w:r>
        <w:rPr>
          <w:rFonts w:hint="eastAsia" w:hAnsi="仿宋" w:eastAsia="仿宋"/>
          <w:color w:val="010101"/>
          <w:kern w:val="0"/>
          <w:sz w:val="32"/>
          <w:szCs w:val="32"/>
          <w:lang w:val="en-US" w:eastAsia="zh-CN"/>
        </w:rPr>
        <w:t>预算调整率</w:t>
      </w:r>
      <w:r>
        <w:rPr>
          <w:rFonts w:hAnsi="仿宋" w:eastAsia="仿宋"/>
          <w:color w:val="010101"/>
          <w:kern w:val="0"/>
          <w:sz w:val="32"/>
          <w:szCs w:val="32"/>
        </w:rPr>
        <w:t>为</w:t>
      </w:r>
      <w:r>
        <w:rPr>
          <w:rFonts w:hint="eastAsia" w:hAnsi="仿宋" w:eastAsia="仿宋"/>
          <w:color w:val="010101"/>
          <w:kern w:val="0"/>
          <w:sz w:val="32"/>
          <w:szCs w:val="32"/>
          <w:lang w:val="en-US" w:eastAsia="zh-CN"/>
        </w:rPr>
        <w:t>103.28</w:t>
      </w:r>
      <w:r>
        <w:rPr>
          <w:rFonts w:eastAsia="仿宋"/>
          <w:color w:val="010101"/>
          <w:kern w:val="0"/>
          <w:sz w:val="32"/>
          <w:szCs w:val="32"/>
        </w:rPr>
        <w:t>%</w:t>
      </w:r>
      <w:r>
        <w:rPr>
          <w:rFonts w:hAnsi="仿宋" w:eastAsia="仿宋"/>
          <w:color w:val="010101"/>
          <w:kern w:val="0"/>
          <w:sz w:val="32"/>
          <w:szCs w:val="32"/>
        </w:rPr>
        <w:t>，得</w:t>
      </w:r>
      <w:r>
        <w:rPr>
          <w:rFonts w:hint="eastAsia" w:eastAsia="仿宋"/>
          <w:color w:val="010101"/>
          <w:kern w:val="0"/>
          <w:sz w:val="32"/>
          <w:szCs w:val="32"/>
          <w:lang w:val="en-US" w:eastAsia="zh-CN"/>
        </w:rPr>
        <w:t>0</w:t>
      </w:r>
      <w:r>
        <w:rPr>
          <w:rFonts w:hAnsi="仿宋" w:eastAsia="仿宋"/>
          <w:color w:val="010101"/>
          <w:kern w:val="0"/>
          <w:sz w:val="32"/>
          <w:szCs w:val="32"/>
        </w:rPr>
        <w:t>分</w:t>
      </w:r>
      <w:r>
        <w:rPr>
          <w:rFonts w:hint="eastAsia" w:hAnsi="仿宋" w:eastAsia="仿宋"/>
          <w:color w:val="010101"/>
          <w:kern w:val="0"/>
          <w:sz w:val="32"/>
          <w:szCs w:val="32"/>
          <w:lang w:eastAsia="zh-CN"/>
        </w:rPr>
        <w:t>；支付进度率</w:t>
      </w:r>
      <w:r>
        <w:rPr>
          <w:rFonts w:hint="eastAsia" w:hAnsi="仿宋" w:eastAsia="仿宋"/>
          <w:color w:val="010101"/>
          <w:kern w:val="0"/>
          <w:sz w:val="32"/>
          <w:szCs w:val="32"/>
          <w:lang w:val="en-US" w:eastAsia="zh-CN"/>
        </w:rPr>
        <w:t>100%，</w:t>
      </w:r>
      <w:r>
        <w:rPr>
          <w:rFonts w:hint="eastAsia" w:hAnsi="仿宋" w:eastAsia="仿宋"/>
          <w:color w:val="010101"/>
          <w:kern w:val="0"/>
          <w:sz w:val="32"/>
          <w:szCs w:val="32"/>
          <w:lang w:eastAsia="zh-CN"/>
        </w:rPr>
        <w:t>得</w:t>
      </w:r>
      <w:r>
        <w:rPr>
          <w:rFonts w:hint="eastAsia" w:hAnsi="仿宋" w:eastAsia="仿宋"/>
          <w:color w:val="010101"/>
          <w:kern w:val="0"/>
          <w:sz w:val="32"/>
          <w:szCs w:val="32"/>
          <w:lang w:val="en-US" w:eastAsia="zh-CN"/>
        </w:rPr>
        <w:t>1分；结转结余变动率-73.04%，得2分；公用经费控制率39.51%，得分3分；“三公经费”控制率45%，得分2分；政府采购节资率28.38%，得分1分；政府采购执行率100%，得分2分。</w:t>
      </w:r>
      <w:r>
        <w:rPr>
          <w:rFonts w:hAnsi="仿宋" w:eastAsia="仿宋"/>
          <w:color w:val="010101"/>
          <w:kern w:val="0"/>
          <w:sz w:val="32"/>
          <w:szCs w:val="32"/>
        </w:rPr>
        <w:t>以上合计</w:t>
      </w:r>
      <w:r>
        <w:rPr>
          <w:rFonts w:hint="eastAsia" w:eastAsia="仿宋"/>
          <w:color w:val="010101"/>
          <w:kern w:val="0"/>
          <w:sz w:val="32"/>
          <w:szCs w:val="32"/>
          <w:lang w:val="en-US" w:eastAsia="zh-CN"/>
        </w:rPr>
        <w:t>12</w:t>
      </w:r>
      <w:r>
        <w:rPr>
          <w:rFonts w:hAnsi="仿宋" w:eastAsia="仿宋"/>
          <w:color w:val="010101"/>
          <w:kern w:val="0"/>
          <w:sz w:val="32"/>
          <w:szCs w:val="32"/>
        </w:rPr>
        <w:t>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
          <w:color w:val="010101"/>
          <w:kern w:val="0"/>
          <w:sz w:val="32"/>
          <w:szCs w:val="32"/>
        </w:rPr>
      </w:pPr>
      <w:r>
        <w:rPr>
          <w:rFonts w:hint="default" w:ascii="Calibri" w:hAnsi="Calibri" w:eastAsia="仿宋" w:cs="Calibri"/>
          <w:color w:val="010101"/>
          <w:kern w:val="0"/>
          <w:sz w:val="32"/>
          <w:szCs w:val="32"/>
        </w:rPr>
        <w:t>②</w:t>
      </w:r>
      <w:r>
        <w:rPr>
          <w:rFonts w:hAnsi="仿宋" w:eastAsia="仿宋"/>
          <w:color w:val="010101"/>
          <w:kern w:val="0"/>
          <w:sz w:val="32"/>
          <w:szCs w:val="32"/>
        </w:rPr>
        <w:t>预算管理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Ansi="仿宋" w:eastAsia="仿宋"/>
          <w:color w:val="010101"/>
          <w:kern w:val="0"/>
          <w:sz w:val="32"/>
          <w:szCs w:val="32"/>
        </w:rPr>
      </w:pPr>
      <w:r>
        <w:rPr>
          <w:rFonts w:hAnsi="仿宋" w:eastAsia="仿宋"/>
          <w:color w:val="010101"/>
          <w:kern w:val="0"/>
          <w:sz w:val="32"/>
          <w:szCs w:val="32"/>
        </w:rPr>
        <w:t>管理制度健全性</w:t>
      </w:r>
      <w:r>
        <w:rPr>
          <w:rFonts w:hint="eastAsia" w:eastAsia="仿宋"/>
          <w:color w:val="010101"/>
          <w:kern w:val="0"/>
          <w:sz w:val="32"/>
          <w:szCs w:val="32"/>
          <w:lang w:val="en-US" w:eastAsia="zh-CN"/>
        </w:rPr>
        <w:t>2</w:t>
      </w:r>
      <w:r>
        <w:rPr>
          <w:rFonts w:hAnsi="仿宋" w:eastAsia="仿宋"/>
          <w:color w:val="010101"/>
          <w:kern w:val="0"/>
          <w:sz w:val="32"/>
          <w:szCs w:val="32"/>
        </w:rPr>
        <w:t>分；资金使用合规性得</w:t>
      </w:r>
      <w:r>
        <w:rPr>
          <w:rFonts w:hint="eastAsia" w:eastAsia="仿宋"/>
          <w:color w:val="010101"/>
          <w:kern w:val="0"/>
          <w:sz w:val="32"/>
          <w:szCs w:val="32"/>
          <w:lang w:val="en-US" w:eastAsia="zh-CN"/>
        </w:rPr>
        <w:t>4</w:t>
      </w:r>
      <w:r>
        <w:rPr>
          <w:rFonts w:hAnsi="仿宋" w:eastAsia="仿宋"/>
          <w:color w:val="010101"/>
          <w:kern w:val="0"/>
          <w:sz w:val="32"/>
          <w:szCs w:val="32"/>
        </w:rPr>
        <w:t>分；预决算信息公开性得</w:t>
      </w:r>
      <w:r>
        <w:rPr>
          <w:rFonts w:hint="eastAsia" w:eastAsia="仿宋"/>
          <w:color w:val="010101"/>
          <w:kern w:val="0"/>
          <w:sz w:val="32"/>
          <w:szCs w:val="32"/>
          <w:lang w:val="en-US" w:eastAsia="zh-CN"/>
        </w:rPr>
        <w:t>2</w:t>
      </w:r>
      <w:r>
        <w:rPr>
          <w:rFonts w:hAnsi="仿宋" w:eastAsia="仿宋"/>
          <w:color w:val="010101"/>
          <w:kern w:val="0"/>
          <w:sz w:val="32"/>
          <w:szCs w:val="32"/>
        </w:rPr>
        <w:t>分</w:t>
      </w:r>
      <w:r>
        <w:rPr>
          <w:rFonts w:hint="eastAsia" w:hAnsi="仿宋" w:eastAsia="仿宋"/>
          <w:color w:val="010101"/>
          <w:kern w:val="0"/>
          <w:sz w:val="32"/>
          <w:szCs w:val="32"/>
          <w:lang w:eastAsia="zh-CN"/>
        </w:rPr>
        <w:t>；基础信息完善性得</w:t>
      </w:r>
      <w:r>
        <w:rPr>
          <w:rFonts w:hint="eastAsia" w:hAnsi="仿宋" w:eastAsia="仿宋"/>
          <w:color w:val="010101"/>
          <w:kern w:val="0"/>
          <w:sz w:val="32"/>
          <w:szCs w:val="32"/>
          <w:lang w:val="en-US" w:eastAsia="zh-CN"/>
        </w:rPr>
        <w:t>2分。</w:t>
      </w:r>
      <w:r>
        <w:rPr>
          <w:rFonts w:hAnsi="仿宋" w:eastAsia="仿宋"/>
          <w:color w:val="010101"/>
          <w:kern w:val="0"/>
          <w:sz w:val="32"/>
          <w:szCs w:val="32"/>
        </w:rPr>
        <w:t>以上合计</w:t>
      </w:r>
      <w:r>
        <w:rPr>
          <w:rFonts w:hint="eastAsia" w:hAnsi="仿宋" w:eastAsia="仿宋"/>
          <w:color w:val="010101"/>
          <w:kern w:val="0"/>
          <w:sz w:val="32"/>
          <w:szCs w:val="32"/>
          <w:lang w:val="en-US" w:eastAsia="zh-CN"/>
        </w:rPr>
        <w:t>10</w:t>
      </w:r>
      <w:r>
        <w:rPr>
          <w:rFonts w:hAnsi="仿宋" w:eastAsia="仿宋"/>
          <w:color w:val="010101"/>
          <w:kern w:val="0"/>
          <w:sz w:val="32"/>
          <w:szCs w:val="32"/>
        </w:rPr>
        <w:t>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10101"/>
          <w:kern w:val="0"/>
          <w:sz w:val="32"/>
          <w:szCs w:val="32"/>
          <w:lang w:eastAsia="zh-CN"/>
        </w:rPr>
      </w:pPr>
      <w:r>
        <w:rPr>
          <w:rFonts w:hint="default" w:ascii="Calibri" w:hAnsi="Calibri" w:eastAsia="仿宋" w:cs="Calibri"/>
          <w:color w:val="010101"/>
          <w:kern w:val="0"/>
          <w:sz w:val="32"/>
          <w:szCs w:val="32"/>
        </w:rPr>
        <w:t>③</w:t>
      </w:r>
      <w:r>
        <w:rPr>
          <w:rFonts w:hint="eastAsia" w:ascii="仿宋" w:hAnsi="仿宋" w:eastAsia="仿宋" w:cs="仿宋"/>
          <w:color w:val="010101"/>
          <w:kern w:val="0"/>
          <w:sz w:val="32"/>
          <w:szCs w:val="32"/>
          <w:lang w:eastAsia="zh-CN"/>
        </w:rPr>
        <w:t>资产管理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color w:val="010101"/>
          <w:kern w:val="0"/>
          <w:sz w:val="32"/>
          <w:szCs w:val="32"/>
          <w:lang w:val="en-US" w:eastAsia="zh-CN"/>
        </w:rPr>
      </w:pPr>
      <w:r>
        <w:rPr>
          <w:rFonts w:hAnsi="仿宋" w:eastAsia="仿宋"/>
          <w:color w:val="010101"/>
          <w:kern w:val="0"/>
          <w:sz w:val="32"/>
          <w:szCs w:val="32"/>
        </w:rPr>
        <w:t>管理制度健全性</w:t>
      </w:r>
      <w:r>
        <w:rPr>
          <w:rFonts w:hint="eastAsia" w:eastAsia="仿宋"/>
          <w:color w:val="010101"/>
          <w:kern w:val="0"/>
          <w:sz w:val="32"/>
          <w:szCs w:val="32"/>
          <w:lang w:val="en-US" w:eastAsia="zh-CN"/>
        </w:rPr>
        <w:t>1</w:t>
      </w:r>
      <w:r>
        <w:rPr>
          <w:rFonts w:hAnsi="仿宋" w:eastAsia="仿宋"/>
          <w:color w:val="010101"/>
          <w:kern w:val="0"/>
          <w:sz w:val="32"/>
          <w:szCs w:val="32"/>
        </w:rPr>
        <w:t>分</w:t>
      </w:r>
      <w:r>
        <w:rPr>
          <w:rFonts w:hint="eastAsia" w:hAnsi="仿宋" w:eastAsia="仿宋"/>
          <w:color w:val="010101"/>
          <w:kern w:val="0"/>
          <w:sz w:val="32"/>
          <w:szCs w:val="32"/>
          <w:lang w:eastAsia="zh-CN"/>
        </w:rPr>
        <w:t>；资产管理安全性</w:t>
      </w:r>
      <w:r>
        <w:rPr>
          <w:rFonts w:hint="eastAsia" w:hAnsi="仿宋" w:eastAsia="仿宋"/>
          <w:color w:val="010101"/>
          <w:kern w:val="0"/>
          <w:sz w:val="32"/>
          <w:szCs w:val="32"/>
          <w:lang w:val="en-US" w:eastAsia="zh-CN"/>
        </w:rPr>
        <w:t>3分；固定资产利用率100%计1分。以上合计5分。</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Ansi="仿宋" w:eastAsia="仿宋"/>
          <w:color w:val="010101"/>
          <w:kern w:val="0"/>
          <w:sz w:val="32"/>
          <w:szCs w:val="32"/>
        </w:rPr>
      </w:pPr>
      <w:r>
        <w:rPr>
          <w:rFonts w:hAnsi="仿宋" w:eastAsia="仿宋"/>
          <w:color w:val="010101"/>
          <w:kern w:val="0"/>
          <w:sz w:val="32"/>
          <w:szCs w:val="32"/>
        </w:rPr>
        <w:t>产出</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textAlignment w:val="auto"/>
        <w:rPr>
          <w:rFonts w:hint="eastAsia" w:hAnsi="仿宋" w:eastAsia="仿宋"/>
          <w:color w:val="010101"/>
          <w:kern w:val="0"/>
          <w:sz w:val="32"/>
          <w:szCs w:val="32"/>
          <w:lang w:val="en-US" w:eastAsia="zh-CN"/>
        </w:rPr>
      </w:pPr>
      <w:r>
        <w:rPr>
          <w:rFonts w:hint="eastAsia" w:hAnsi="仿宋" w:eastAsia="仿宋"/>
          <w:color w:val="010101"/>
          <w:kern w:val="0"/>
          <w:sz w:val="32"/>
          <w:szCs w:val="32"/>
          <w:lang w:val="en-US" w:eastAsia="zh-CN"/>
        </w:rPr>
        <w:t xml:space="preserve">    </w:t>
      </w:r>
      <w:r>
        <w:rPr>
          <w:rFonts w:hint="default" w:ascii="Calibri" w:hAnsi="Calibri" w:eastAsia="仿宋" w:cs="Calibri"/>
          <w:color w:val="010101"/>
          <w:kern w:val="0"/>
          <w:sz w:val="32"/>
          <w:szCs w:val="32"/>
        </w:rPr>
        <w:t>①</w:t>
      </w:r>
      <w:r>
        <w:rPr>
          <w:rFonts w:hint="eastAsia" w:ascii="Calibri" w:hAnsi="Calibri" w:eastAsia="仿宋" w:cs="Calibri"/>
          <w:color w:val="010101"/>
          <w:kern w:val="0"/>
          <w:sz w:val="32"/>
          <w:szCs w:val="32"/>
          <w:lang w:eastAsia="zh-CN"/>
        </w:rPr>
        <w:t>职责履行</w:t>
      </w:r>
    </w:p>
    <w:p>
      <w:pPr>
        <w:keepNext w:val="0"/>
        <w:keepLines w:val="0"/>
        <w:pageBreakBefore w:val="0"/>
        <w:widowControl/>
        <w:kinsoku/>
        <w:wordWrap/>
        <w:overflowPunct/>
        <w:topLinePunct w:val="0"/>
        <w:autoSpaceDE/>
        <w:autoSpaceDN/>
        <w:bidi w:val="0"/>
        <w:adjustRightInd/>
        <w:snapToGrid/>
        <w:spacing w:line="540" w:lineRule="exact"/>
        <w:ind w:firstLine="645"/>
        <w:jc w:val="left"/>
        <w:textAlignment w:val="auto"/>
        <w:rPr>
          <w:rFonts w:hint="eastAsia" w:hAnsi="仿宋" w:eastAsia="仿宋"/>
          <w:color w:val="010101"/>
          <w:kern w:val="0"/>
          <w:sz w:val="32"/>
          <w:szCs w:val="32"/>
        </w:rPr>
      </w:pPr>
      <w:r>
        <w:rPr>
          <w:rFonts w:hint="eastAsia" w:hAnsi="仿宋" w:eastAsia="仿宋"/>
          <w:color w:val="010101"/>
          <w:kern w:val="0"/>
          <w:sz w:val="32"/>
          <w:szCs w:val="32"/>
          <w:lang w:eastAsia="zh-CN"/>
        </w:rPr>
        <w:t>实际完成率</w:t>
      </w:r>
      <w:r>
        <w:rPr>
          <w:rFonts w:hint="eastAsia" w:hAnsi="仿宋" w:eastAsia="仿宋"/>
          <w:color w:val="010101"/>
          <w:kern w:val="0"/>
          <w:sz w:val="32"/>
          <w:szCs w:val="32"/>
          <w:lang w:val="en-US" w:eastAsia="zh-CN"/>
        </w:rPr>
        <w:t>100%，</w:t>
      </w:r>
      <w:r>
        <w:rPr>
          <w:rFonts w:hAnsi="仿宋" w:eastAsia="仿宋"/>
          <w:color w:val="010101"/>
          <w:kern w:val="0"/>
          <w:sz w:val="32"/>
          <w:szCs w:val="32"/>
        </w:rPr>
        <w:t>得</w:t>
      </w:r>
      <w:r>
        <w:rPr>
          <w:rFonts w:hint="eastAsia" w:eastAsia="仿宋"/>
          <w:color w:val="010101"/>
          <w:kern w:val="0"/>
          <w:sz w:val="32"/>
          <w:szCs w:val="32"/>
          <w:lang w:val="en-US" w:eastAsia="zh-CN"/>
        </w:rPr>
        <w:t>10</w:t>
      </w:r>
      <w:r>
        <w:rPr>
          <w:rFonts w:hAnsi="仿宋" w:eastAsia="仿宋"/>
          <w:color w:val="010101"/>
          <w:kern w:val="0"/>
          <w:sz w:val="32"/>
          <w:szCs w:val="32"/>
        </w:rPr>
        <w:t>分</w:t>
      </w:r>
      <w:r>
        <w:rPr>
          <w:rFonts w:hint="eastAsia" w:hAnsi="仿宋" w:eastAsia="仿宋"/>
          <w:color w:val="010101"/>
          <w:kern w:val="0"/>
          <w:sz w:val="32"/>
          <w:szCs w:val="32"/>
          <w:lang w:eastAsia="zh-CN"/>
        </w:rPr>
        <w:t>；完成及时率</w:t>
      </w:r>
      <w:r>
        <w:rPr>
          <w:rFonts w:hint="eastAsia" w:hAnsi="仿宋" w:eastAsia="仿宋"/>
          <w:color w:val="010101"/>
          <w:kern w:val="0"/>
          <w:sz w:val="32"/>
          <w:szCs w:val="32"/>
          <w:lang w:val="en-US" w:eastAsia="zh-CN"/>
        </w:rPr>
        <w:t>100%，得6分；品质达标率100%，得6分；重点工作办结率100%，得8分。</w:t>
      </w:r>
      <w:r>
        <w:rPr>
          <w:rFonts w:hAnsi="仿宋" w:eastAsia="仿宋"/>
          <w:color w:val="010101"/>
          <w:kern w:val="0"/>
          <w:sz w:val="32"/>
          <w:szCs w:val="32"/>
        </w:rPr>
        <w:t>以上合计</w:t>
      </w:r>
      <w:r>
        <w:rPr>
          <w:rFonts w:hint="eastAsia" w:eastAsia="仿宋"/>
          <w:color w:val="010101"/>
          <w:kern w:val="0"/>
          <w:sz w:val="32"/>
          <w:szCs w:val="32"/>
          <w:lang w:val="en-US" w:eastAsia="zh-CN"/>
        </w:rPr>
        <w:t>30</w:t>
      </w:r>
      <w:r>
        <w:rPr>
          <w:rFonts w:hAnsi="仿宋" w:eastAsia="仿宋"/>
          <w:color w:val="010101"/>
          <w:kern w:val="0"/>
          <w:sz w:val="32"/>
          <w:szCs w:val="32"/>
        </w:rPr>
        <w:t>分</w:t>
      </w:r>
      <w:r>
        <w:rPr>
          <w:rFonts w:hint="eastAsia" w:hAnsi="仿宋" w:eastAsia="仿宋"/>
          <w:color w:val="010101"/>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5"/>
        <w:jc w:val="left"/>
        <w:textAlignment w:val="auto"/>
        <w:rPr>
          <w:rFonts w:hint="default" w:hAnsi="仿宋" w:eastAsia="仿宋"/>
          <w:color w:val="010101"/>
          <w:kern w:val="0"/>
          <w:sz w:val="32"/>
          <w:szCs w:val="32"/>
          <w:lang w:val="en-US" w:eastAsia="zh-CN"/>
        </w:rPr>
      </w:pPr>
      <w:r>
        <w:rPr>
          <w:rFonts w:hint="eastAsia" w:hAnsi="仿宋" w:eastAsia="仿宋"/>
          <w:color w:val="010101"/>
          <w:kern w:val="0"/>
          <w:sz w:val="32"/>
          <w:szCs w:val="32"/>
          <w:lang w:val="en-US" w:eastAsia="zh-CN"/>
        </w:rPr>
        <w:t>4、效果</w:t>
      </w:r>
    </w:p>
    <w:p>
      <w:pPr>
        <w:keepNext w:val="0"/>
        <w:keepLines w:val="0"/>
        <w:pageBreakBefore w:val="0"/>
        <w:widowControl/>
        <w:kinsoku/>
        <w:wordWrap/>
        <w:overflowPunct/>
        <w:topLinePunct w:val="0"/>
        <w:autoSpaceDE/>
        <w:autoSpaceDN/>
        <w:bidi w:val="0"/>
        <w:adjustRightInd/>
        <w:snapToGrid/>
        <w:spacing w:line="540" w:lineRule="exact"/>
        <w:ind w:firstLine="645"/>
        <w:jc w:val="left"/>
        <w:textAlignment w:val="auto"/>
        <w:rPr>
          <w:rFonts w:hint="eastAsia" w:eastAsia="仿宋_GB2312"/>
          <w:color w:val="000000"/>
          <w:sz w:val="32"/>
          <w:szCs w:val="32"/>
          <w:lang w:eastAsia="zh-CN"/>
        </w:rPr>
      </w:pPr>
      <w:r>
        <w:rPr>
          <w:rFonts w:hint="default" w:ascii="Calibri" w:hAnsi="Calibri" w:eastAsia="仿宋" w:cs="Calibri"/>
          <w:color w:val="010101"/>
          <w:kern w:val="0"/>
          <w:sz w:val="32"/>
          <w:szCs w:val="32"/>
        </w:rPr>
        <w:t>①</w:t>
      </w:r>
      <w:r>
        <w:rPr>
          <w:rFonts w:hAnsi="仿宋" w:eastAsia="仿宋"/>
          <w:color w:val="010101"/>
          <w:kern w:val="0"/>
          <w:sz w:val="32"/>
          <w:szCs w:val="32"/>
        </w:rPr>
        <w:t>履职效益得</w:t>
      </w:r>
      <w:r>
        <w:rPr>
          <w:rFonts w:hint="eastAsia" w:eastAsia="仿宋"/>
          <w:color w:val="010101"/>
          <w:kern w:val="0"/>
          <w:sz w:val="32"/>
          <w:szCs w:val="32"/>
          <w:lang w:val="en-US" w:eastAsia="zh-CN"/>
        </w:rPr>
        <w:t>27</w:t>
      </w:r>
      <w:r>
        <w:rPr>
          <w:rFonts w:hAnsi="仿宋" w:eastAsia="仿宋"/>
          <w:color w:val="010101"/>
          <w:kern w:val="0"/>
          <w:sz w:val="32"/>
          <w:szCs w:val="32"/>
        </w:rPr>
        <w:t>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Ansi="仿宋" w:eastAsia="仿宋"/>
          <w:color w:val="010101"/>
          <w:kern w:val="0"/>
          <w:sz w:val="32"/>
          <w:szCs w:val="32"/>
        </w:rPr>
      </w:pPr>
      <w:r>
        <w:rPr>
          <w:rFonts w:hAnsi="仿宋" w:eastAsia="仿宋"/>
          <w:color w:val="010101"/>
          <w:kern w:val="0"/>
          <w:sz w:val="32"/>
          <w:szCs w:val="32"/>
        </w:rPr>
        <w:t>以上总得分</w:t>
      </w:r>
      <w:r>
        <w:rPr>
          <w:rFonts w:eastAsia="仿宋"/>
          <w:color w:val="010101"/>
          <w:kern w:val="0"/>
          <w:sz w:val="32"/>
          <w:szCs w:val="32"/>
        </w:rPr>
        <w:t>9</w:t>
      </w:r>
      <w:r>
        <w:rPr>
          <w:rFonts w:hint="eastAsia" w:eastAsia="仿宋"/>
          <w:color w:val="010101"/>
          <w:kern w:val="0"/>
          <w:sz w:val="32"/>
          <w:szCs w:val="32"/>
          <w:lang w:val="en-US" w:eastAsia="zh-CN"/>
        </w:rPr>
        <w:t>4</w:t>
      </w:r>
      <w:r>
        <w:rPr>
          <w:rFonts w:hAnsi="仿宋" w:eastAsia="仿宋"/>
          <w:color w:val="010101"/>
          <w:kern w:val="0"/>
          <w:sz w:val="32"/>
          <w:szCs w:val="32"/>
        </w:rPr>
        <w:t>分。</w:t>
      </w:r>
    </w:p>
    <w:p>
      <w:pPr>
        <w:keepNext w:val="0"/>
        <w:keepLines w:val="0"/>
        <w:pageBreakBefore w:val="0"/>
        <w:widowControl/>
        <w:numPr>
          <w:ilvl w:val="0"/>
          <w:numId w:val="2"/>
        </w:numPr>
        <w:kinsoku/>
        <w:wordWrap/>
        <w:overflowPunct/>
        <w:topLinePunct w:val="0"/>
        <w:autoSpaceDE/>
        <w:autoSpaceDN/>
        <w:bidi w:val="0"/>
        <w:adjustRightInd/>
        <w:snapToGrid/>
        <w:spacing w:line="540" w:lineRule="exact"/>
        <w:ind w:firstLine="640" w:firstLineChars="200"/>
        <w:jc w:val="left"/>
        <w:textAlignment w:val="auto"/>
        <w:rPr>
          <w:rFonts w:hint="eastAsia" w:eastAsia="仿宋_GB2312"/>
          <w:color w:val="auto"/>
          <w:sz w:val="32"/>
          <w:szCs w:val="32"/>
          <w:lang w:eastAsia="zh-CN"/>
        </w:rPr>
      </w:pPr>
      <w:r>
        <w:rPr>
          <w:rFonts w:hint="eastAsia" w:eastAsia="仿宋_GB2312"/>
          <w:color w:val="auto"/>
          <w:sz w:val="32"/>
          <w:szCs w:val="32"/>
          <w:lang w:eastAsia="zh-CN"/>
        </w:rPr>
        <w:t>项目绩效目标完成情况</w:t>
      </w:r>
    </w:p>
    <w:p>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eastAsia="仿宋_GB2312"/>
          <w:color w:val="000000"/>
          <w:sz w:val="32"/>
          <w:szCs w:val="32"/>
          <w:lang w:val="en-US" w:eastAsia="zh-CN"/>
        </w:rPr>
        <w:t>我局202</w:t>
      </w:r>
      <w:r>
        <w:rPr>
          <w:rFonts w:hint="eastAsia" w:ascii="Times New Roman" w:hAnsi="Times New Roman" w:eastAsia="仿宋_GB2312"/>
          <w:sz w:val="32"/>
          <w:szCs w:val="32"/>
          <w:lang w:val="en-US" w:eastAsia="zh-CN"/>
        </w:rPr>
        <w:t>0</w:t>
      </w:r>
      <w:r>
        <w:rPr>
          <w:rFonts w:hint="default" w:ascii="Times New Roman" w:hAnsi="Times New Roman" w:eastAsia="仿宋_GB2312"/>
          <w:sz w:val="32"/>
          <w:szCs w:val="32"/>
          <w:lang w:val="en-US" w:eastAsia="zh-CN"/>
        </w:rPr>
        <w:t>无重大林产品质量安全事故发生。全面完成培训、外业、内业等工作，</w:t>
      </w:r>
      <w:r>
        <w:rPr>
          <w:rFonts w:hint="eastAsia" w:ascii="Times New Roman" w:hAnsi="Times New Roman" w:eastAsia="仿宋_GB2312"/>
          <w:sz w:val="32"/>
          <w:szCs w:val="32"/>
          <w:lang w:val="en-US" w:eastAsia="zh-CN"/>
        </w:rPr>
        <w:t>四城区林地变更数据库更新图斑930个，通过省林业局验收，</w:t>
      </w:r>
      <w:r>
        <w:rPr>
          <w:rFonts w:hint="default" w:ascii="Times New Roman" w:hAnsi="Times New Roman" w:eastAsia="仿宋_GB2312"/>
          <w:sz w:val="32"/>
          <w:szCs w:val="32"/>
          <w:lang w:val="en-US" w:eastAsia="zh-CN"/>
        </w:rPr>
        <w:t>按时提交了林地变更调查及森林资源清查工作成果。无重大野生动物疫源疫病事件发生，疫源疫病监测防控信息报送到位，监测物资储备建设进一步完善，市民保护野生动物、防范疫病的意识得到有效提高。</w:t>
      </w:r>
      <w:r>
        <w:rPr>
          <w:rFonts w:hint="eastAsia" w:ascii="Times New Roman" w:hAnsi="Times New Roman" w:eastAsia="仿宋_GB2312"/>
          <w:sz w:val="32"/>
          <w:szCs w:val="32"/>
          <w:lang w:val="en-US" w:eastAsia="zh-CN"/>
        </w:rPr>
        <w:t>已全面完成全市枯死松树除治，对松褐天牛、马尾松毛虫、条毒蛾、松毒蛾等虫害进行了地面防治或采取飞机进行了防治。</w:t>
      </w:r>
      <w:r>
        <w:rPr>
          <w:rFonts w:hint="default" w:ascii="Times New Roman" w:hAnsi="Times New Roman" w:eastAsia="仿宋_GB2312"/>
          <w:sz w:val="32"/>
          <w:szCs w:val="32"/>
          <w:lang w:val="en-US" w:eastAsia="zh-CN"/>
        </w:rPr>
        <w:t>发生的森林火灾受害的森林面积没超过30公顷，无人员伤亡事故，年度受害森林面积不超过0.9‰，无重特大森林火灾。</w:t>
      </w:r>
      <w:r>
        <w:rPr>
          <w:rFonts w:hint="eastAsia" w:ascii="Times New Roman" w:hAnsi="Times New Roman" w:eastAsia="仿宋_GB2312" w:cs="Times New Roman"/>
          <w:sz w:val="32"/>
          <w:szCs w:val="32"/>
          <w:lang w:val="en-US" w:eastAsia="zh-CN"/>
        </w:rPr>
        <w:t>“衡阳油茶”作为全省唯一的农产品区域公共品牌正式获批入选第三批中国特色农产品优势区，衡阳被中国烹饪协会授予“中餐茶油美食地标城市”，成为全国唯一被授予茶油美食地标城市的地级市。注册成立了衡阳市花卉苗木协会，优化资源配置，促进花卉苗木产业转型升级，发展现代花卉苗木产业。充分运用花卉苗木协会平台开展招商引资，分区分块分步建设“两园三中心”。指导市油茶协会启动衡阳油茶有奖征集活动，完成油茶广告户外宣传，与上海华与华公司合作，宣传推广“衡阳油茶”区域公共品牌，成功举办了第四届博鳌国际美食文化论坛暨首届衡阳茶油博鳌论坛等活动。</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Ansi="仿宋" w:eastAsia="仿宋"/>
          <w:b/>
          <w:bCs/>
          <w:color w:val="010101"/>
          <w:kern w:val="0"/>
          <w:sz w:val="32"/>
          <w:szCs w:val="32"/>
        </w:rPr>
      </w:pPr>
      <w:r>
        <w:rPr>
          <w:rFonts w:hint="eastAsia" w:hAnsi="仿宋" w:eastAsia="仿宋"/>
          <w:b/>
          <w:bCs/>
          <w:color w:val="010101"/>
          <w:kern w:val="0"/>
          <w:sz w:val="32"/>
          <w:szCs w:val="32"/>
        </w:rPr>
        <w:t>五、存在的主要问题及下一步改进措施</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eastAsia="仿宋"/>
          <w:color w:val="010101"/>
          <w:kern w:val="0"/>
          <w:sz w:val="32"/>
          <w:szCs w:val="32"/>
        </w:rPr>
      </w:pPr>
      <w:r>
        <w:rPr>
          <w:rFonts w:hint="eastAsia" w:hAnsi="仿宋" w:eastAsia="仿宋"/>
          <w:b/>
          <w:bCs/>
          <w:color w:val="010101"/>
          <w:kern w:val="0"/>
          <w:sz w:val="32"/>
          <w:szCs w:val="32"/>
          <w:lang w:eastAsia="zh-CN"/>
        </w:rPr>
        <w:t>（一）</w:t>
      </w:r>
      <w:r>
        <w:rPr>
          <w:rFonts w:hAnsi="仿宋" w:eastAsia="仿宋"/>
          <w:b/>
          <w:bCs/>
          <w:color w:val="010101"/>
          <w:kern w:val="0"/>
          <w:sz w:val="32"/>
          <w:szCs w:val="32"/>
        </w:rPr>
        <w:t>存在的主要问题</w:t>
      </w:r>
    </w:p>
    <w:p>
      <w:pPr>
        <w:keepNext w:val="0"/>
        <w:keepLines w:val="0"/>
        <w:pageBreakBefore w:val="0"/>
        <w:widowControl/>
        <w:kinsoku/>
        <w:wordWrap/>
        <w:overflowPunct/>
        <w:topLinePunct w:val="0"/>
        <w:autoSpaceDE/>
        <w:autoSpaceDN/>
        <w:bidi w:val="0"/>
        <w:adjustRightInd/>
        <w:snapToGrid/>
        <w:spacing w:line="540" w:lineRule="exact"/>
        <w:textAlignment w:val="auto"/>
        <w:rPr>
          <w:rFonts w:eastAsia="仿宋"/>
          <w:color w:val="010101"/>
          <w:kern w:val="0"/>
          <w:sz w:val="32"/>
          <w:szCs w:val="32"/>
        </w:rPr>
      </w:pPr>
      <w:r>
        <w:rPr>
          <w:rFonts w:hAnsi="仿宋" w:eastAsia="仿宋"/>
          <w:color w:val="010101"/>
          <w:kern w:val="0"/>
          <w:sz w:val="32"/>
          <w:szCs w:val="32"/>
        </w:rPr>
        <w:t>　　</w:t>
      </w:r>
      <w:r>
        <w:rPr>
          <w:rFonts w:eastAsia="仿宋"/>
          <w:color w:val="010101"/>
          <w:kern w:val="0"/>
          <w:sz w:val="32"/>
          <w:szCs w:val="32"/>
        </w:rPr>
        <w:t>1</w:t>
      </w:r>
      <w:r>
        <w:rPr>
          <w:rFonts w:hAnsi="仿宋" w:eastAsia="仿宋"/>
          <w:color w:val="010101"/>
          <w:kern w:val="0"/>
          <w:sz w:val="32"/>
          <w:szCs w:val="32"/>
        </w:rPr>
        <w:t>、基本支出经费保障水平偏低。</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
          <w:color w:val="010101"/>
          <w:kern w:val="0"/>
          <w:sz w:val="32"/>
          <w:szCs w:val="32"/>
        </w:rPr>
      </w:pPr>
      <w:r>
        <w:rPr>
          <w:rFonts w:hAnsi="仿宋" w:eastAsia="仿宋"/>
          <w:color w:val="010101"/>
          <w:kern w:val="0"/>
          <w:sz w:val="32"/>
          <w:szCs w:val="32"/>
        </w:rPr>
        <w:t>综合近几年我局批复预算看，预算执行基本围绕保人员经费、保正常运转进行。从决算情况看，基本支出较大，人员经费不足，基本保障面临巨大的压力。</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
          <w:color w:val="010101"/>
          <w:kern w:val="0"/>
          <w:sz w:val="32"/>
          <w:szCs w:val="32"/>
        </w:rPr>
      </w:pPr>
      <w:r>
        <w:rPr>
          <w:rFonts w:eastAsia="仿宋"/>
          <w:color w:val="010101"/>
          <w:kern w:val="0"/>
          <w:sz w:val="32"/>
          <w:szCs w:val="32"/>
        </w:rPr>
        <w:t>2</w:t>
      </w:r>
      <w:r>
        <w:rPr>
          <w:rFonts w:hAnsi="仿宋" w:eastAsia="仿宋"/>
          <w:color w:val="010101"/>
          <w:kern w:val="0"/>
          <w:sz w:val="32"/>
          <w:szCs w:val="32"/>
        </w:rPr>
        <w:t>、预算与决算的差异率存在。</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eastAsia="仿宋"/>
          <w:color w:val="010101"/>
          <w:spacing w:val="-4"/>
          <w:kern w:val="0"/>
          <w:sz w:val="32"/>
          <w:szCs w:val="32"/>
        </w:rPr>
      </w:pPr>
      <w:r>
        <w:rPr>
          <w:rFonts w:hAnsi="仿宋" w:eastAsia="仿宋"/>
          <w:color w:val="010101"/>
          <w:spacing w:val="-4"/>
          <w:kern w:val="0"/>
          <w:sz w:val="32"/>
          <w:szCs w:val="32"/>
        </w:rPr>
        <w:t>年初预算中部分项目预算变动性大，造成与决算有差距。</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eastAsia="仿宋"/>
          <w:b/>
          <w:bCs/>
          <w:color w:val="010101"/>
          <w:kern w:val="0"/>
          <w:sz w:val="32"/>
          <w:szCs w:val="32"/>
        </w:rPr>
      </w:pPr>
      <w:r>
        <w:rPr>
          <w:rFonts w:hint="eastAsia" w:hAnsi="仿宋" w:eastAsia="仿宋"/>
          <w:b/>
          <w:bCs/>
          <w:color w:val="010101"/>
          <w:kern w:val="0"/>
          <w:sz w:val="32"/>
          <w:szCs w:val="32"/>
          <w:lang w:eastAsia="zh-CN"/>
        </w:rPr>
        <w:t>（二）</w:t>
      </w:r>
      <w:r>
        <w:rPr>
          <w:rFonts w:hAnsi="仿宋" w:eastAsia="仿宋"/>
          <w:b/>
          <w:bCs/>
          <w:color w:val="010101"/>
          <w:kern w:val="0"/>
          <w:sz w:val="32"/>
          <w:szCs w:val="32"/>
        </w:rPr>
        <w:t>改进措施及建议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
          <w:color w:val="010101"/>
          <w:kern w:val="0"/>
          <w:sz w:val="32"/>
          <w:szCs w:val="32"/>
        </w:rPr>
      </w:pPr>
      <w:r>
        <w:rPr>
          <w:rFonts w:eastAsia="仿宋"/>
          <w:color w:val="010101"/>
          <w:kern w:val="0"/>
          <w:sz w:val="32"/>
          <w:szCs w:val="32"/>
        </w:rPr>
        <w:t>1</w:t>
      </w:r>
      <w:r>
        <w:rPr>
          <w:rFonts w:hAnsi="仿宋" w:eastAsia="仿宋"/>
          <w:color w:val="010101"/>
          <w:kern w:val="0"/>
          <w:sz w:val="32"/>
          <w:szCs w:val="32"/>
        </w:rPr>
        <w:t>、科学合理编制预算，严格执行预算</w:t>
      </w:r>
    </w:p>
    <w:p>
      <w:pPr>
        <w:keepNext w:val="0"/>
        <w:keepLines w:val="0"/>
        <w:pageBreakBefore w:val="0"/>
        <w:widowControl/>
        <w:kinsoku/>
        <w:wordWrap/>
        <w:overflowPunct/>
        <w:topLinePunct w:val="0"/>
        <w:autoSpaceDE/>
        <w:autoSpaceDN/>
        <w:bidi w:val="0"/>
        <w:adjustRightInd/>
        <w:snapToGrid/>
        <w:spacing w:line="540" w:lineRule="exact"/>
        <w:textAlignment w:val="auto"/>
        <w:rPr>
          <w:rFonts w:eastAsia="仿宋"/>
          <w:color w:val="010101"/>
          <w:kern w:val="0"/>
          <w:sz w:val="32"/>
          <w:szCs w:val="32"/>
        </w:rPr>
      </w:pPr>
      <w:r>
        <w:rPr>
          <w:rFonts w:hAnsi="仿宋" w:eastAsia="仿宋"/>
          <w:color w:val="010101"/>
          <w:kern w:val="0"/>
          <w:sz w:val="32"/>
          <w:szCs w:val="32"/>
        </w:rPr>
        <w:t>　</w:t>
      </w:r>
      <w:r>
        <w:rPr>
          <w:rFonts w:eastAsia="仿宋"/>
          <w:color w:val="010101"/>
          <w:kern w:val="0"/>
          <w:sz w:val="32"/>
          <w:szCs w:val="32"/>
        </w:rPr>
        <w:t xml:space="preserve">  </w:t>
      </w:r>
      <w:r>
        <w:rPr>
          <w:rFonts w:hAnsi="仿宋" w:eastAsia="仿宋"/>
          <w:color w:val="010101"/>
          <w:kern w:val="0"/>
          <w:sz w:val="32"/>
          <w:szCs w:val="32"/>
        </w:rPr>
        <w:t>加强预算编制的前瞻性，按照新</w:t>
      </w:r>
      <w:r>
        <w:rPr>
          <w:rFonts w:hint="eastAsia" w:hAnsi="仿宋" w:eastAsia="仿宋"/>
          <w:color w:val="010101"/>
          <w:kern w:val="0"/>
          <w:sz w:val="32"/>
          <w:szCs w:val="32"/>
          <w:lang w:eastAsia="zh-CN"/>
        </w:rPr>
        <w:t>《中华人民共和国预算法》</w:t>
      </w:r>
      <w:r>
        <w:rPr>
          <w:rFonts w:hAnsi="仿宋" w:eastAsia="仿宋"/>
          <w:color w:val="010101"/>
          <w:kern w:val="0"/>
          <w:sz w:val="32"/>
          <w:szCs w:val="32"/>
        </w:rPr>
        <w:t>及其实施条例的相关规定，按政策规定及本部门的发展规划，结合上一年度预算执行情况和本年度预算收支变化因素，科学、合理地编制本年</w:t>
      </w:r>
      <w:r>
        <w:rPr>
          <w:rFonts w:hint="eastAsia" w:hAnsi="仿宋" w:eastAsia="仿宋"/>
          <w:color w:val="010101"/>
          <w:kern w:val="0"/>
          <w:sz w:val="32"/>
          <w:szCs w:val="32"/>
          <w:lang w:eastAsia="zh-CN"/>
        </w:rPr>
        <w:t>度</w:t>
      </w:r>
      <w:r>
        <w:rPr>
          <w:rFonts w:hAnsi="仿宋" w:eastAsia="仿宋"/>
          <w:color w:val="010101"/>
          <w:kern w:val="0"/>
          <w:sz w:val="32"/>
          <w:szCs w:val="32"/>
        </w:rPr>
        <w:t>预算草案，避免项目支出与基本支出划分不准或预算支出与实际执行出现较大偏差的情况，执行中确需调剂预算的，按规定程序报经批准。</w:t>
      </w:r>
    </w:p>
    <w:p>
      <w:pPr>
        <w:keepNext w:val="0"/>
        <w:keepLines w:val="0"/>
        <w:pageBreakBefore w:val="0"/>
        <w:widowControl/>
        <w:kinsoku/>
        <w:wordWrap/>
        <w:overflowPunct/>
        <w:topLinePunct w:val="0"/>
        <w:autoSpaceDE/>
        <w:autoSpaceDN/>
        <w:bidi w:val="0"/>
        <w:adjustRightInd/>
        <w:snapToGrid/>
        <w:spacing w:line="540" w:lineRule="exact"/>
        <w:textAlignment w:val="auto"/>
        <w:rPr>
          <w:rFonts w:eastAsia="仿宋"/>
          <w:color w:val="010101"/>
          <w:kern w:val="0"/>
          <w:sz w:val="32"/>
          <w:szCs w:val="32"/>
        </w:rPr>
      </w:pPr>
      <w:r>
        <w:rPr>
          <w:rFonts w:hAnsi="仿宋" w:eastAsia="仿宋"/>
          <w:color w:val="010101"/>
          <w:kern w:val="0"/>
          <w:sz w:val="32"/>
          <w:szCs w:val="32"/>
        </w:rPr>
        <w:t>　　</w:t>
      </w:r>
      <w:r>
        <w:rPr>
          <w:rFonts w:eastAsia="仿宋"/>
          <w:color w:val="010101"/>
          <w:kern w:val="0"/>
          <w:sz w:val="32"/>
          <w:szCs w:val="32"/>
        </w:rPr>
        <w:t>2</w:t>
      </w:r>
      <w:r>
        <w:rPr>
          <w:rFonts w:hAnsi="仿宋" w:eastAsia="仿宋"/>
          <w:color w:val="010101"/>
          <w:kern w:val="0"/>
          <w:sz w:val="32"/>
          <w:szCs w:val="32"/>
        </w:rPr>
        <w:t>、完善管理制度，进一步加强资产管理</w:t>
      </w:r>
    </w:p>
    <w:p>
      <w:pPr>
        <w:keepNext w:val="0"/>
        <w:keepLines w:val="0"/>
        <w:pageBreakBefore w:val="0"/>
        <w:widowControl/>
        <w:kinsoku/>
        <w:wordWrap/>
        <w:overflowPunct/>
        <w:topLinePunct w:val="0"/>
        <w:autoSpaceDE/>
        <w:autoSpaceDN/>
        <w:bidi w:val="0"/>
        <w:adjustRightInd/>
        <w:snapToGrid/>
        <w:spacing w:line="540" w:lineRule="exact"/>
        <w:textAlignment w:val="auto"/>
        <w:rPr>
          <w:rFonts w:eastAsia="仿宋"/>
          <w:color w:val="010101"/>
          <w:kern w:val="0"/>
          <w:sz w:val="32"/>
          <w:szCs w:val="32"/>
        </w:rPr>
      </w:pPr>
      <w:r>
        <w:rPr>
          <w:rFonts w:hAnsi="仿宋" w:eastAsia="仿宋"/>
          <w:color w:val="010101"/>
          <w:kern w:val="0"/>
          <w:sz w:val="32"/>
          <w:szCs w:val="32"/>
        </w:rPr>
        <w:t>　　进一步贯彻落实中央八项规定、湖南省委</w:t>
      </w:r>
      <w:r>
        <w:rPr>
          <w:rFonts w:eastAsia="仿宋"/>
          <w:color w:val="010101"/>
          <w:kern w:val="0"/>
          <w:sz w:val="32"/>
          <w:szCs w:val="32"/>
        </w:rPr>
        <w:t>“</w:t>
      </w:r>
      <w:r>
        <w:rPr>
          <w:rFonts w:hAnsi="仿宋" w:eastAsia="仿宋"/>
          <w:color w:val="010101"/>
          <w:kern w:val="0"/>
          <w:sz w:val="32"/>
          <w:szCs w:val="32"/>
        </w:rPr>
        <w:t>九条规定</w:t>
      </w:r>
      <w:r>
        <w:rPr>
          <w:rFonts w:eastAsia="仿宋"/>
          <w:color w:val="010101"/>
          <w:kern w:val="0"/>
          <w:sz w:val="32"/>
          <w:szCs w:val="32"/>
        </w:rPr>
        <w:t>”</w:t>
      </w:r>
      <w:r>
        <w:rPr>
          <w:rFonts w:hAnsi="仿宋" w:eastAsia="仿宋"/>
          <w:color w:val="010101"/>
          <w:kern w:val="0"/>
          <w:sz w:val="32"/>
          <w:szCs w:val="32"/>
        </w:rPr>
        <w:t>和市委</w:t>
      </w:r>
      <w:r>
        <w:rPr>
          <w:rFonts w:eastAsia="仿宋"/>
          <w:color w:val="010101"/>
          <w:kern w:val="0"/>
          <w:sz w:val="32"/>
          <w:szCs w:val="32"/>
        </w:rPr>
        <w:t>“</w:t>
      </w:r>
      <w:r>
        <w:rPr>
          <w:rFonts w:hAnsi="仿宋" w:eastAsia="仿宋"/>
          <w:color w:val="010101"/>
          <w:kern w:val="0"/>
          <w:sz w:val="32"/>
          <w:szCs w:val="32"/>
        </w:rPr>
        <w:t>十项规定</w:t>
      </w:r>
      <w:r>
        <w:rPr>
          <w:rFonts w:eastAsia="仿宋"/>
          <w:color w:val="010101"/>
          <w:kern w:val="0"/>
          <w:sz w:val="32"/>
          <w:szCs w:val="32"/>
        </w:rPr>
        <w:t>”</w:t>
      </w:r>
      <w:r>
        <w:rPr>
          <w:rFonts w:hAnsi="仿宋" w:eastAsia="仿宋"/>
          <w:color w:val="010101"/>
          <w:kern w:val="0"/>
          <w:sz w:val="32"/>
          <w:szCs w:val="32"/>
        </w:rPr>
        <w:t>，建立本部门</w:t>
      </w:r>
      <w:r>
        <w:rPr>
          <w:rFonts w:eastAsia="仿宋"/>
          <w:color w:val="010101"/>
          <w:kern w:val="0"/>
          <w:sz w:val="32"/>
          <w:szCs w:val="32"/>
        </w:rPr>
        <w:t>“</w:t>
      </w:r>
      <w:r>
        <w:rPr>
          <w:rFonts w:hAnsi="仿宋" w:eastAsia="仿宋"/>
          <w:color w:val="010101"/>
          <w:kern w:val="0"/>
          <w:sz w:val="32"/>
          <w:szCs w:val="32"/>
        </w:rPr>
        <w:t>三公经费</w:t>
      </w:r>
      <w:r>
        <w:rPr>
          <w:rFonts w:eastAsia="仿宋"/>
          <w:color w:val="010101"/>
          <w:kern w:val="0"/>
          <w:sz w:val="32"/>
          <w:szCs w:val="32"/>
        </w:rPr>
        <w:t>”</w:t>
      </w:r>
      <w:r>
        <w:rPr>
          <w:rFonts w:hAnsi="仿宋" w:eastAsia="仿宋"/>
          <w:color w:val="010101"/>
          <w:kern w:val="0"/>
          <w:sz w:val="32"/>
          <w:szCs w:val="32"/>
        </w:rPr>
        <w:t>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keepNext w:val="0"/>
        <w:keepLines w:val="0"/>
        <w:pageBreakBefore w:val="0"/>
        <w:widowControl/>
        <w:kinsoku/>
        <w:wordWrap/>
        <w:overflowPunct/>
        <w:topLinePunct w:val="0"/>
        <w:autoSpaceDE/>
        <w:autoSpaceDN/>
        <w:bidi w:val="0"/>
        <w:adjustRightInd/>
        <w:snapToGrid/>
        <w:spacing w:line="540" w:lineRule="exact"/>
        <w:textAlignment w:val="auto"/>
        <w:rPr>
          <w:rFonts w:eastAsia="仿宋"/>
          <w:color w:val="010101"/>
          <w:kern w:val="0"/>
          <w:sz w:val="32"/>
          <w:szCs w:val="32"/>
        </w:rPr>
      </w:pPr>
      <w:r>
        <w:rPr>
          <w:rFonts w:hAnsi="仿宋" w:eastAsia="仿宋"/>
          <w:color w:val="010101"/>
          <w:kern w:val="0"/>
          <w:sz w:val="32"/>
          <w:szCs w:val="32"/>
        </w:rPr>
        <w:t>　　</w:t>
      </w:r>
      <w:r>
        <w:rPr>
          <w:rFonts w:eastAsia="仿宋"/>
          <w:color w:val="010101"/>
          <w:kern w:val="0"/>
          <w:sz w:val="32"/>
          <w:szCs w:val="32"/>
        </w:rPr>
        <w:t>3</w:t>
      </w:r>
      <w:r>
        <w:rPr>
          <w:rFonts w:hAnsi="仿宋" w:eastAsia="仿宋"/>
          <w:color w:val="010101"/>
          <w:kern w:val="0"/>
          <w:sz w:val="32"/>
          <w:szCs w:val="32"/>
        </w:rPr>
        <w:t>、加强新行政单位会计制度和新预算法学习培训</w:t>
      </w:r>
    </w:p>
    <w:p>
      <w:pPr>
        <w:keepNext w:val="0"/>
        <w:keepLines w:val="0"/>
        <w:pageBreakBefore w:val="0"/>
        <w:widowControl/>
        <w:kinsoku/>
        <w:wordWrap/>
        <w:overflowPunct/>
        <w:topLinePunct w:val="0"/>
        <w:autoSpaceDE/>
        <w:autoSpaceDN/>
        <w:bidi w:val="0"/>
        <w:adjustRightInd/>
        <w:snapToGrid/>
        <w:spacing w:line="540" w:lineRule="exact"/>
        <w:textAlignment w:val="auto"/>
        <w:rPr>
          <w:rFonts w:eastAsia="仿宋"/>
          <w:color w:val="010101"/>
          <w:kern w:val="0"/>
          <w:sz w:val="32"/>
          <w:szCs w:val="32"/>
        </w:rPr>
      </w:pPr>
      <w:r>
        <w:rPr>
          <w:rFonts w:hAnsi="仿宋" w:eastAsia="仿宋"/>
          <w:color w:val="010101"/>
          <w:kern w:val="0"/>
          <w:sz w:val="32"/>
          <w:szCs w:val="32"/>
        </w:rPr>
        <w:t>　　加强新</w:t>
      </w:r>
      <w:r>
        <w:rPr>
          <w:rFonts w:hint="eastAsia" w:hAnsi="仿宋" w:eastAsia="仿宋"/>
          <w:color w:val="010101"/>
          <w:kern w:val="0"/>
          <w:sz w:val="32"/>
          <w:szCs w:val="32"/>
          <w:lang w:eastAsia="zh-CN"/>
        </w:rPr>
        <w:t>《中华人民共和国预算法》</w:t>
      </w:r>
      <w:r>
        <w:rPr>
          <w:rFonts w:hAnsi="仿宋" w:eastAsia="仿宋"/>
          <w:color w:val="010101"/>
          <w:kern w:val="0"/>
          <w:sz w:val="32"/>
          <w:szCs w:val="32"/>
        </w:rPr>
        <w:t>、《行政单位会计制度》等学习培训，规范部门预算收支核算</w:t>
      </w:r>
      <w:r>
        <w:rPr>
          <w:rFonts w:hint="eastAsia" w:hAnsi="仿宋" w:eastAsia="仿宋"/>
          <w:color w:val="010101"/>
          <w:kern w:val="0"/>
          <w:sz w:val="32"/>
          <w:szCs w:val="32"/>
          <w:lang w:eastAsia="zh-CN"/>
        </w:rPr>
        <w:t>。</w:t>
      </w:r>
      <w:r>
        <w:rPr>
          <w:rFonts w:hAnsi="仿宋" w:eastAsia="仿宋"/>
          <w:color w:val="010101"/>
          <w:kern w:val="0"/>
          <w:sz w:val="32"/>
          <w:szCs w:val="32"/>
        </w:rPr>
        <w:t>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hAnsi="仿宋" w:eastAsia="仿宋"/>
          <w:b/>
          <w:bCs/>
          <w:color w:val="010101"/>
          <w:kern w:val="0"/>
          <w:sz w:val="32"/>
          <w:szCs w:val="32"/>
        </w:rPr>
      </w:pPr>
      <w:r>
        <w:rPr>
          <w:rFonts w:hint="eastAsia" w:hAnsi="仿宋" w:eastAsia="仿宋"/>
          <w:b/>
          <w:bCs/>
          <w:color w:val="010101"/>
          <w:kern w:val="0"/>
          <w:sz w:val="32"/>
          <w:szCs w:val="32"/>
          <w:lang w:eastAsia="zh-CN"/>
        </w:rPr>
        <w:t>六、</w:t>
      </w:r>
      <w:r>
        <w:rPr>
          <w:rFonts w:hint="eastAsia" w:hAnsi="仿宋" w:eastAsia="仿宋"/>
          <w:b/>
          <w:bCs/>
          <w:color w:val="010101"/>
          <w:kern w:val="0"/>
          <w:sz w:val="32"/>
          <w:szCs w:val="32"/>
        </w:rPr>
        <w:t>绩效自评结果拟应用和公开情况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hAnsi="仿宋" w:eastAsia="仿宋"/>
          <w:color w:val="010101"/>
          <w:kern w:val="0"/>
          <w:sz w:val="32"/>
          <w:szCs w:val="32"/>
          <w:lang w:val="en-US" w:eastAsia="zh-CN"/>
        </w:rPr>
      </w:pPr>
      <w:r>
        <w:rPr>
          <w:rFonts w:hint="eastAsia" w:ascii="宋体" w:hAnsi="宋体" w:eastAsia="宋体" w:cs="宋体"/>
          <w:sz w:val="32"/>
          <w:szCs w:val="32"/>
          <w:lang w:val="en-US" w:eastAsia="zh-CN"/>
        </w:rPr>
        <w:t>(一)绩效自评结果</w:t>
      </w:r>
      <w:r>
        <w:rPr>
          <w:rFonts w:hint="eastAsia" w:ascii="宋体" w:hAnsi="宋体" w:cs="宋体"/>
          <w:sz w:val="32"/>
          <w:szCs w:val="32"/>
          <w:lang w:val="en-US" w:eastAsia="zh-CN"/>
        </w:rPr>
        <w:t>拟</w:t>
      </w:r>
      <w:r>
        <w:rPr>
          <w:rFonts w:hint="eastAsia" w:ascii="宋体" w:hAnsi="宋体" w:eastAsia="宋体" w:cs="宋体"/>
          <w:sz w:val="32"/>
          <w:szCs w:val="32"/>
          <w:lang w:val="en-US" w:eastAsia="zh-CN"/>
        </w:rPr>
        <w:t>应用</w:t>
      </w:r>
      <w:r>
        <w:rPr>
          <w:rFonts w:hint="eastAsia" w:ascii="宋体" w:hAnsi="宋体" w:cs="宋体"/>
          <w:sz w:val="32"/>
          <w:szCs w:val="32"/>
          <w:lang w:val="en-US" w:eastAsia="zh-CN"/>
        </w:rPr>
        <w:t>情况</w:t>
      </w:r>
      <w:r>
        <w:rPr>
          <w:rFonts w:hint="eastAsia" w:ascii="黑体" w:hAnsi="黑体" w:eastAsia="黑体"/>
          <w:sz w:val="32"/>
          <w:szCs w:val="32"/>
          <w:lang w:val="en-US" w:eastAsia="zh-CN"/>
        </w:rPr>
        <w:t xml:space="preserve">  </w:t>
      </w:r>
      <w:r>
        <w:rPr>
          <w:rFonts w:hint="eastAsia" w:hAnsi="仿宋" w:eastAsia="仿宋"/>
          <w:color w:val="010101"/>
          <w:kern w:val="0"/>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hAnsi="仿宋" w:eastAsia="仿宋"/>
          <w:color w:val="010101"/>
          <w:kern w:val="0"/>
          <w:sz w:val="32"/>
          <w:szCs w:val="32"/>
          <w:lang w:val="en-US" w:eastAsia="zh-CN"/>
        </w:rPr>
      </w:pPr>
      <w:r>
        <w:rPr>
          <w:rFonts w:hint="eastAsia" w:hAnsi="仿宋" w:eastAsia="仿宋"/>
          <w:color w:val="010101"/>
          <w:kern w:val="0"/>
          <w:sz w:val="32"/>
          <w:szCs w:val="32"/>
          <w:lang w:val="en-US" w:eastAsia="zh-CN"/>
        </w:rPr>
        <w:t>一是根据绩效评价结果，找出项目管理、资金使用等各方面的不足，从而加强管理，提高水平；推广创新，帮助我们提高管理水平、加强资金监督水平等。</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hAnsi="仿宋" w:eastAsia="仿宋"/>
          <w:color w:val="010101"/>
          <w:kern w:val="0"/>
          <w:sz w:val="32"/>
          <w:szCs w:val="32"/>
          <w:lang w:val="en-US" w:eastAsia="zh-CN"/>
        </w:rPr>
      </w:pPr>
      <w:r>
        <w:rPr>
          <w:rFonts w:hint="eastAsia" w:hAnsi="仿宋" w:eastAsia="仿宋"/>
          <w:color w:val="010101"/>
          <w:kern w:val="0"/>
          <w:sz w:val="32"/>
          <w:szCs w:val="32"/>
          <w:lang w:val="en-US" w:eastAsia="zh-CN"/>
        </w:rPr>
        <w:t>二是根据绩效评价结果，反馈到部门编制预算，将评价结果作为资金安排的重要依据。绩效优良的项目能得到财政资金的适当倾斜，财政资金能进一步做到好钢用在刀刃上。</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color w:val="010101"/>
          <w:kern w:val="0"/>
          <w:sz w:val="32"/>
          <w:szCs w:val="32"/>
          <w:lang w:val="en-US" w:eastAsia="zh-CN"/>
        </w:rPr>
      </w:pPr>
      <w:r>
        <w:rPr>
          <w:rFonts w:hint="eastAsia" w:ascii="宋体" w:hAnsi="宋体" w:eastAsia="宋体" w:cs="宋体"/>
          <w:color w:val="010101"/>
          <w:kern w:val="0"/>
          <w:sz w:val="32"/>
          <w:szCs w:val="32"/>
          <w:lang w:val="en-US" w:eastAsia="zh-CN"/>
        </w:rPr>
        <w:t>（二）</w:t>
      </w:r>
      <w:r>
        <w:rPr>
          <w:rFonts w:hint="eastAsia" w:ascii="宋体" w:hAnsi="宋体" w:eastAsia="宋体" w:cs="宋体"/>
          <w:sz w:val="32"/>
          <w:szCs w:val="32"/>
        </w:rPr>
        <w:t>绩效自评</w:t>
      </w:r>
      <w:r>
        <w:rPr>
          <w:rFonts w:hint="eastAsia" w:ascii="宋体" w:hAnsi="宋体" w:eastAsia="宋体" w:cs="宋体"/>
          <w:sz w:val="32"/>
          <w:szCs w:val="32"/>
          <w:lang w:eastAsia="zh-CN"/>
        </w:rPr>
        <w:t>公开情况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黑体" w:hAnsi="黑体" w:eastAsia="黑体"/>
          <w:sz w:val="32"/>
          <w:szCs w:val="32"/>
          <w:lang w:val="en-US" w:eastAsia="zh-CN"/>
        </w:rPr>
      </w:pPr>
      <w:r>
        <w:rPr>
          <w:rFonts w:hint="eastAsia" w:hAnsi="仿宋" w:eastAsia="仿宋"/>
          <w:color w:val="010101"/>
          <w:kern w:val="0"/>
          <w:sz w:val="32"/>
          <w:szCs w:val="32"/>
          <w:lang w:val="en-US" w:eastAsia="zh-CN"/>
        </w:rPr>
        <w:t>2020绩效自评在本单位的门户网站上</w:t>
      </w:r>
      <w:r>
        <w:rPr>
          <w:rFonts w:hint="eastAsia" w:ascii="仿宋" w:hAnsi="仿宋" w:eastAsia="仿宋"/>
          <w:sz w:val="32"/>
          <w:szCs w:val="32"/>
        </w:rPr>
        <w:t>进行</w:t>
      </w:r>
      <w:r>
        <w:rPr>
          <w:rFonts w:hint="eastAsia" w:hAnsi="仿宋" w:eastAsia="仿宋"/>
          <w:color w:val="010101"/>
          <w:kern w:val="0"/>
          <w:sz w:val="32"/>
          <w:szCs w:val="32"/>
          <w:lang w:val="en-US" w:eastAsia="zh-CN"/>
        </w:rPr>
        <w:t>公开。</w:t>
      </w:r>
      <w:r>
        <w:rPr>
          <w:rFonts w:hAnsi="仿宋" w:eastAsia="仿宋"/>
          <w:color w:val="010101"/>
          <w:kern w:val="0"/>
          <w:sz w:val="32"/>
          <w:szCs w:val="32"/>
        </w:rPr>
        <w:t>根据预算绩效评价情况，对预算绩效管理中存在的问题认真加以研究，进一步完善管理制度，改进管理措施，提高管理水平，规范支出行为，降低行政成本。</w:t>
      </w:r>
    </w:p>
    <w:p>
      <w:pPr>
        <w:keepNext w:val="0"/>
        <w:keepLines w:val="0"/>
        <w:pageBreakBefore w:val="0"/>
        <w:kinsoku/>
        <w:wordWrap/>
        <w:overflowPunct/>
        <w:topLinePunct w:val="0"/>
        <w:autoSpaceDE/>
        <w:autoSpaceDN/>
        <w:bidi w:val="0"/>
        <w:adjustRightInd/>
        <w:snapToGrid/>
        <w:spacing w:line="540" w:lineRule="exact"/>
        <w:textAlignment w:val="auto"/>
        <w:rPr>
          <w:rFonts w:eastAsia="仿宋"/>
          <w:sz w:val="32"/>
          <w:szCs w:val="32"/>
        </w:rPr>
      </w:pPr>
    </w:p>
    <w:p>
      <w:pPr>
        <w:keepNext w:val="0"/>
        <w:keepLines w:val="0"/>
        <w:pageBreakBefore w:val="0"/>
        <w:kinsoku/>
        <w:wordWrap/>
        <w:overflowPunct/>
        <w:topLinePunct w:val="0"/>
        <w:autoSpaceDE/>
        <w:autoSpaceDN/>
        <w:bidi w:val="0"/>
        <w:adjustRightInd/>
        <w:snapToGrid/>
        <w:spacing w:line="540" w:lineRule="exact"/>
        <w:ind w:right="320"/>
        <w:jc w:val="right"/>
        <w:textAlignment w:val="auto"/>
        <w:rPr>
          <w:rFonts w:eastAsia="仿宋"/>
          <w:sz w:val="32"/>
          <w:szCs w:val="32"/>
        </w:rPr>
      </w:pPr>
      <w:r>
        <w:rPr>
          <w:rFonts w:hAnsi="仿宋" w:eastAsia="仿宋"/>
          <w:sz w:val="32"/>
          <w:szCs w:val="32"/>
        </w:rPr>
        <w:t>衡阳市林业局</w:t>
      </w:r>
    </w:p>
    <w:p>
      <w:pPr>
        <w:keepNext w:val="0"/>
        <w:keepLines w:val="0"/>
        <w:pageBreakBefore w:val="0"/>
        <w:kinsoku/>
        <w:wordWrap/>
        <w:overflowPunct/>
        <w:topLinePunct w:val="0"/>
        <w:autoSpaceDE/>
        <w:autoSpaceDN/>
        <w:bidi w:val="0"/>
        <w:adjustRightInd/>
        <w:snapToGrid/>
        <w:spacing w:line="540" w:lineRule="exact"/>
        <w:jc w:val="right"/>
        <w:textAlignment w:val="auto"/>
        <w:rPr>
          <w:rFonts w:eastAsia="仿宋"/>
          <w:sz w:val="32"/>
          <w:szCs w:val="32"/>
        </w:rPr>
      </w:pPr>
      <w:r>
        <w:rPr>
          <w:rFonts w:eastAsia="仿宋"/>
          <w:sz w:val="32"/>
          <w:szCs w:val="32"/>
        </w:rPr>
        <w:t>20</w:t>
      </w:r>
      <w:r>
        <w:rPr>
          <w:rFonts w:hint="eastAsia" w:eastAsia="仿宋"/>
          <w:sz w:val="32"/>
          <w:szCs w:val="32"/>
          <w:lang w:val="en-US" w:eastAsia="zh-CN"/>
        </w:rPr>
        <w:t>20</w:t>
      </w:r>
      <w:r>
        <w:rPr>
          <w:rFonts w:hAnsi="仿宋" w:eastAsia="仿宋"/>
          <w:sz w:val="32"/>
          <w:szCs w:val="32"/>
        </w:rPr>
        <w:t>年</w:t>
      </w:r>
      <w:r>
        <w:rPr>
          <w:rFonts w:hint="eastAsia" w:eastAsia="仿宋"/>
          <w:sz w:val="32"/>
          <w:szCs w:val="32"/>
          <w:lang w:val="en-US" w:eastAsia="zh-CN"/>
        </w:rPr>
        <w:t>3</w:t>
      </w:r>
      <w:r>
        <w:rPr>
          <w:rFonts w:hAnsi="仿宋" w:eastAsia="仿宋"/>
          <w:sz w:val="32"/>
          <w:szCs w:val="32"/>
        </w:rPr>
        <w:t>月</w:t>
      </w:r>
      <w:r>
        <w:rPr>
          <w:rFonts w:hint="eastAsia" w:eastAsia="仿宋"/>
          <w:sz w:val="32"/>
          <w:szCs w:val="32"/>
          <w:lang w:val="en-US" w:eastAsia="zh-CN"/>
        </w:rPr>
        <w:t>16</w:t>
      </w:r>
      <w:r>
        <w:rPr>
          <w:rFonts w:hAnsi="仿宋" w:eastAsia="仿宋"/>
          <w:sz w:val="32"/>
          <w:szCs w:val="32"/>
        </w:rPr>
        <w:t>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4C5D4"/>
    <w:multiLevelType w:val="singleLevel"/>
    <w:tmpl w:val="A5C4C5D4"/>
    <w:lvl w:ilvl="0" w:tentative="0">
      <w:start w:val="3"/>
      <w:numFmt w:val="decimal"/>
      <w:suff w:val="nothing"/>
      <w:lvlText w:val="%1、"/>
      <w:lvlJc w:val="left"/>
    </w:lvl>
  </w:abstractNum>
  <w:abstractNum w:abstractNumId="1">
    <w:nsid w:val="7AB27383"/>
    <w:multiLevelType w:val="singleLevel"/>
    <w:tmpl w:val="7AB2738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zE2N2NhMWM4ODI0YjE2MTJhMjliMTI3MjI0YTMifQ=="/>
  </w:docVars>
  <w:rsids>
    <w:rsidRoot w:val="4573237D"/>
    <w:rsid w:val="00002A4F"/>
    <w:rsid w:val="00004A44"/>
    <w:rsid w:val="000518B5"/>
    <w:rsid w:val="00065336"/>
    <w:rsid w:val="00081394"/>
    <w:rsid w:val="00093C52"/>
    <w:rsid w:val="000A1147"/>
    <w:rsid w:val="000B1FDF"/>
    <w:rsid w:val="000C0FBA"/>
    <w:rsid w:val="000E2B4A"/>
    <w:rsid w:val="0012172F"/>
    <w:rsid w:val="0013594A"/>
    <w:rsid w:val="00155552"/>
    <w:rsid w:val="001B55D4"/>
    <w:rsid w:val="001C3D8D"/>
    <w:rsid w:val="00214485"/>
    <w:rsid w:val="002166FA"/>
    <w:rsid w:val="00231CF8"/>
    <w:rsid w:val="002A7DA2"/>
    <w:rsid w:val="002C1C39"/>
    <w:rsid w:val="00340507"/>
    <w:rsid w:val="0035020B"/>
    <w:rsid w:val="00356AF2"/>
    <w:rsid w:val="00356E9D"/>
    <w:rsid w:val="00365937"/>
    <w:rsid w:val="00402977"/>
    <w:rsid w:val="00403C4E"/>
    <w:rsid w:val="00431D01"/>
    <w:rsid w:val="0049299F"/>
    <w:rsid w:val="004C6A7A"/>
    <w:rsid w:val="004D0007"/>
    <w:rsid w:val="00504691"/>
    <w:rsid w:val="00517E0B"/>
    <w:rsid w:val="00523BCD"/>
    <w:rsid w:val="005660CF"/>
    <w:rsid w:val="00584B06"/>
    <w:rsid w:val="005C035B"/>
    <w:rsid w:val="005F7B85"/>
    <w:rsid w:val="00607EEC"/>
    <w:rsid w:val="00613C20"/>
    <w:rsid w:val="00630FBF"/>
    <w:rsid w:val="00676546"/>
    <w:rsid w:val="00693971"/>
    <w:rsid w:val="00693AE7"/>
    <w:rsid w:val="006B3945"/>
    <w:rsid w:val="006C5D5E"/>
    <w:rsid w:val="006D7915"/>
    <w:rsid w:val="006E39A7"/>
    <w:rsid w:val="00716242"/>
    <w:rsid w:val="007D2E9A"/>
    <w:rsid w:val="007D51B8"/>
    <w:rsid w:val="0085652A"/>
    <w:rsid w:val="00866A4A"/>
    <w:rsid w:val="00886651"/>
    <w:rsid w:val="008C6D61"/>
    <w:rsid w:val="008D4770"/>
    <w:rsid w:val="008E06B2"/>
    <w:rsid w:val="0098131A"/>
    <w:rsid w:val="009B31BD"/>
    <w:rsid w:val="009C28EE"/>
    <w:rsid w:val="00A054B4"/>
    <w:rsid w:val="00A21FE4"/>
    <w:rsid w:val="00A4565B"/>
    <w:rsid w:val="00A52FD2"/>
    <w:rsid w:val="00A76D18"/>
    <w:rsid w:val="00AC30C2"/>
    <w:rsid w:val="00AE7535"/>
    <w:rsid w:val="00B41D63"/>
    <w:rsid w:val="00B73F7E"/>
    <w:rsid w:val="00B74EDF"/>
    <w:rsid w:val="00BB3A82"/>
    <w:rsid w:val="00BF35DD"/>
    <w:rsid w:val="00C7531F"/>
    <w:rsid w:val="00C92B5D"/>
    <w:rsid w:val="00C9675B"/>
    <w:rsid w:val="00CD4015"/>
    <w:rsid w:val="00D01C8F"/>
    <w:rsid w:val="00D07EF2"/>
    <w:rsid w:val="00D65273"/>
    <w:rsid w:val="00D8300E"/>
    <w:rsid w:val="00DE76D0"/>
    <w:rsid w:val="00E23B8C"/>
    <w:rsid w:val="00E77455"/>
    <w:rsid w:val="00E869DB"/>
    <w:rsid w:val="00E87458"/>
    <w:rsid w:val="00EE3E99"/>
    <w:rsid w:val="00F6708E"/>
    <w:rsid w:val="00F92D70"/>
    <w:rsid w:val="00FB42A0"/>
    <w:rsid w:val="00FC5B46"/>
    <w:rsid w:val="01376B17"/>
    <w:rsid w:val="01EF1798"/>
    <w:rsid w:val="02A248FC"/>
    <w:rsid w:val="02D701AF"/>
    <w:rsid w:val="03EB1C2C"/>
    <w:rsid w:val="04296A2E"/>
    <w:rsid w:val="04641183"/>
    <w:rsid w:val="08847F09"/>
    <w:rsid w:val="0A0069D9"/>
    <w:rsid w:val="0CAC6FDA"/>
    <w:rsid w:val="12DA103F"/>
    <w:rsid w:val="133C4023"/>
    <w:rsid w:val="136617FC"/>
    <w:rsid w:val="137C7762"/>
    <w:rsid w:val="13E466DA"/>
    <w:rsid w:val="14FD2FBC"/>
    <w:rsid w:val="15693B11"/>
    <w:rsid w:val="15EA7EE9"/>
    <w:rsid w:val="175344BB"/>
    <w:rsid w:val="180B6FA6"/>
    <w:rsid w:val="18EA588D"/>
    <w:rsid w:val="19257022"/>
    <w:rsid w:val="1BC278E7"/>
    <w:rsid w:val="1CA753D3"/>
    <w:rsid w:val="1FB13D6F"/>
    <w:rsid w:val="24852BB8"/>
    <w:rsid w:val="28020018"/>
    <w:rsid w:val="280C2DB6"/>
    <w:rsid w:val="292E0978"/>
    <w:rsid w:val="29C904CD"/>
    <w:rsid w:val="2B5C203C"/>
    <w:rsid w:val="2C34467D"/>
    <w:rsid w:val="2FB4135F"/>
    <w:rsid w:val="319A3412"/>
    <w:rsid w:val="32A11242"/>
    <w:rsid w:val="34511025"/>
    <w:rsid w:val="345A27A0"/>
    <w:rsid w:val="357E4E08"/>
    <w:rsid w:val="36AA7EEC"/>
    <w:rsid w:val="372E5460"/>
    <w:rsid w:val="374731DA"/>
    <w:rsid w:val="3D11165A"/>
    <w:rsid w:val="3E950099"/>
    <w:rsid w:val="3F8E3D75"/>
    <w:rsid w:val="432A2287"/>
    <w:rsid w:val="43B14A06"/>
    <w:rsid w:val="44A1452E"/>
    <w:rsid w:val="44C627EB"/>
    <w:rsid w:val="44CF78AC"/>
    <w:rsid w:val="451A1C5B"/>
    <w:rsid w:val="4573237D"/>
    <w:rsid w:val="48154456"/>
    <w:rsid w:val="48800ACC"/>
    <w:rsid w:val="4B7330B3"/>
    <w:rsid w:val="4CE87E16"/>
    <w:rsid w:val="51E739E3"/>
    <w:rsid w:val="527F467A"/>
    <w:rsid w:val="554E1993"/>
    <w:rsid w:val="573B53BB"/>
    <w:rsid w:val="585045DE"/>
    <w:rsid w:val="589F03E7"/>
    <w:rsid w:val="58A65BCC"/>
    <w:rsid w:val="5C4728D9"/>
    <w:rsid w:val="5C9E303F"/>
    <w:rsid w:val="5CAD2C50"/>
    <w:rsid w:val="5DC234FD"/>
    <w:rsid w:val="5DCA188F"/>
    <w:rsid w:val="5EB43C96"/>
    <w:rsid w:val="5F803854"/>
    <w:rsid w:val="606D437A"/>
    <w:rsid w:val="62BE72C3"/>
    <w:rsid w:val="62DC4BF7"/>
    <w:rsid w:val="632907EE"/>
    <w:rsid w:val="63B96149"/>
    <w:rsid w:val="673658B2"/>
    <w:rsid w:val="688C3643"/>
    <w:rsid w:val="68F95430"/>
    <w:rsid w:val="69485283"/>
    <w:rsid w:val="69837872"/>
    <w:rsid w:val="6B3D26D9"/>
    <w:rsid w:val="6B621A44"/>
    <w:rsid w:val="6BD5073E"/>
    <w:rsid w:val="6C204F39"/>
    <w:rsid w:val="6E331D73"/>
    <w:rsid w:val="74E02CE3"/>
    <w:rsid w:val="7639232C"/>
    <w:rsid w:val="76595A4F"/>
    <w:rsid w:val="792A5CF0"/>
    <w:rsid w:val="7B9E2AF6"/>
    <w:rsid w:val="7C3266AB"/>
    <w:rsid w:val="7E685BCC"/>
    <w:rsid w:val="7FB80C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FollowedHyperlink"/>
    <w:basedOn w:val="7"/>
    <w:qFormat/>
    <w:uiPriority w:val="0"/>
    <w:rPr>
      <w:color w:val="515151"/>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515151"/>
      <w:u w:val="none"/>
    </w:rPr>
  </w:style>
  <w:style w:type="character" w:styleId="15">
    <w:name w:val="HTML Code"/>
    <w:basedOn w:val="7"/>
    <w:autoRedefine/>
    <w:qFormat/>
    <w:uiPriority w:val="0"/>
    <w:rPr>
      <w:rFonts w:hint="eastAsia" w:ascii="微软雅黑" w:hAnsi="微软雅黑" w:eastAsia="微软雅黑" w:cs="微软雅黑"/>
      <w:sz w:val="21"/>
      <w:szCs w:val="21"/>
    </w:rPr>
  </w:style>
  <w:style w:type="character" w:styleId="16">
    <w:name w:val="HTML Cite"/>
    <w:basedOn w:val="7"/>
    <w:autoRedefine/>
    <w:qFormat/>
    <w:uiPriority w:val="0"/>
  </w:style>
  <w:style w:type="character" w:customStyle="1" w:styleId="17">
    <w:name w:val="apple-converted-spac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9\2018&#37096;&#38376;&#25972;&#20307;&#32489;&#25928;&#33258;&#35780;\2018&#24180;&#37096;&#38376;&#25972;&#20307;&#25903;&#20986;&#32489;&#25928;&#35780;&#20215;&#25253;&#21578;6.5-&#26519;&#19994;&#23616;.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2018年部门整体支出绩效评价报告6.5-林业局.docx</Template>
  <Pages>8</Pages>
  <Words>3732</Words>
  <Characters>3933</Characters>
  <Lines>21</Lines>
  <Paragraphs>6</Paragraphs>
  <TotalTime>50</TotalTime>
  <ScaleCrop>false</ScaleCrop>
  <LinksUpToDate>false</LinksUpToDate>
  <CharactersWithSpaces>4082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2020-05-21T02:07:00Z</dcterms:created>
  <dc:creator>胭脂醉</dc:creator>
  <cp:lastModifiedBy>邓婷</cp:lastModifiedBy>
  <dcterms:modified xsi:type="dcterms:W3CDTF">2024-05-06T07:29:49Z</dcterms:modified>
  <dc:title>2016年部门整体支出绩效评价报告</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D299103D0327462D9916676BE6BB618E</vt:lpwstr>
  </property>
</Properties>
</file>