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color w:val="auto"/>
          <w:sz w:val="36"/>
          <w:szCs w:val="36"/>
        </w:rPr>
      </w:pPr>
    </w:p>
    <w:p/>
    <w:p/>
    <w:p>
      <w:pPr>
        <w:adjustRightInd w:val="0"/>
        <w:snapToGrid w:val="0"/>
        <w:jc w:val="center"/>
        <w:outlineLvl w:val="0"/>
        <w:rPr>
          <w:rFonts w:eastAsia="方正小标宋_GBK"/>
          <w:bCs/>
          <w:color w:val="auto"/>
          <w:sz w:val="72"/>
          <w:szCs w:val="72"/>
        </w:rPr>
      </w:pPr>
      <w:bookmarkStart w:id="0" w:name="_Toc71360642"/>
      <w:bookmarkStart w:id="1" w:name="_Toc2030"/>
      <w:bookmarkStart w:id="2" w:name="_Toc25643"/>
      <w:bookmarkStart w:id="3" w:name="_Toc10966"/>
      <w:r>
        <w:rPr>
          <w:rFonts w:eastAsia="方正小标宋_GBK"/>
          <w:bCs/>
          <w:color w:val="auto"/>
          <w:sz w:val="72"/>
          <w:szCs w:val="72"/>
        </w:rPr>
        <w:t>建设项目环境影响报告表</w:t>
      </w:r>
      <w:bookmarkEnd w:id="0"/>
      <w:bookmarkEnd w:id="1"/>
      <w:bookmarkEnd w:id="2"/>
      <w:bookmarkEnd w:id="3"/>
    </w:p>
    <w:p>
      <w:pPr>
        <w:adjustRightInd w:val="0"/>
        <w:snapToGrid w:val="0"/>
        <w:spacing w:before="192" w:beforeLines="80"/>
        <w:jc w:val="center"/>
        <w:rPr>
          <w:rFonts w:eastAsia="楷体_GB2312"/>
          <w:bCs/>
          <w:color w:val="auto"/>
          <w:sz w:val="48"/>
          <w:szCs w:val="48"/>
        </w:rPr>
      </w:pPr>
      <w:r>
        <w:rPr>
          <w:rFonts w:eastAsia="楷体_GB2312"/>
          <w:bCs/>
          <w:color w:val="auto"/>
          <w:sz w:val="48"/>
          <w:szCs w:val="48"/>
        </w:rPr>
        <w:t>（污染影响类）</w:t>
      </w:r>
    </w:p>
    <w:p>
      <w:pPr>
        <w:adjustRightInd w:val="0"/>
        <w:snapToGrid w:val="0"/>
        <w:spacing w:line="288" w:lineRule="auto"/>
        <w:jc w:val="center"/>
        <w:rPr>
          <w:rFonts w:eastAsia="华文仿宋"/>
          <w:color w:val="auto"/>
          <w:kern w:val="44"/>
          <w:sz w:val="44"/>
          <w:szCs w:val="44"/>
        </w:rPr>
      </w:pPr>
    </w:p>
    <w:p>
      <w:pPr>
        <w:rPr>
          <w:rFonts w:eastAsia="仿宋"/>
          <w:color w:val="auto"/>
          <w:sz w:val="44"/>
          <w:szCs w:val="44"/>
        </w:rPr>
      </w:pPr>
    </w:p>
    <w:p>
      <w:pPr>
        <w:ind w:firstLine="1040"/>
        <w:rPr>
          <w:rFonts w:eastAsia="仿宋"/>
          <w:color w:val="auto"/>
          <w:sz w:val="44"/>
          <w:szCs w:val="44"/>
        </w:rPr>
      </w:pPr>
    </w:p>
    <w:p>
      <w:pPr>
        <w:ind w:firstLine="1040"/>
        <w:rPr>
          <w:rFonts w:eastAsia="仿宋"/>
          <w:color w:val="auto"/>
          <w:sz w:val="44"/>
          <w:szCs w:val="44"/>
        </w:rPr>
      </w:pPr>
    </w:p>
    <w:p>
      <w:pPr>
        <w:adjustRightInd w:val="0"/>
        <w:snapToGrid w:val="0"/>
        <w:spacing w:line="288" w:lineRule="auto"/>
        <w:ind w:left="2415" w:leftChars="303" w:hanging="1688" w:hangingChars="469"/>
        <w:jc w:val="left"/>
        <w:rPr>
          <w:rFonts w:eastAsia="仿宋_GB2312"/>
          <w:color w:val="auto"/>
          <w:sz w:val="36"/>
          <w:szCs w:val="36"/>
          <w:u w:val="single"/>
        </w:rPr>
      </w:pPr>
      <w:r>
        <w:rPr>
          <w:rFonts w:eastAsia="仿宋_GB2312"/>
          <w:color w:val="auto"/>
          <w:sz w:val="36"/>
          <w:szCs w:val="36"/>
        </w:rPr>
        <w:t>项目名称：</w:t>
      </w:r>
      <w:r>
        <w:rPr>
          <w:rFonts w:hint="eastAsia" w:eastAsia="仿宋_GB2312"/>
          <w:color w:val="auto"/>
          <w:sz w:val="36"/>
          <w:szCs w:val="36"/>
          <w:u w:val="single"/>
          <w:lang w:val="en-US" w:eastAsia="zh-CN"/>
        </w:rPr>
        <w:t>衡阳市泰达能源发展有限公司衡阳市新竹加油站建设项目</w:t>
      </w:r>
      <w:r>
        <w:rPr>
          <w:rFonts w:eastAsia="仿宋_GB2312"/>
          <w:color w:val="auto"/>
          <w:sz w:val="36"/>
          <w:szCs w:val="36"/>
          <w:u w:val="single"/>
        </w:rPr>
        <w:t xml:space="preserve">                            </w:t>
      </w:r>
    </w:p>
    <w:p>
      <w:pPr>
        <w:adjustRightInd w:val="0"/>
        <w:snapToGrid w:val="0"/>
        <w:spacing w:line="288" w:lineRule="auto"/>
        <w:ind w:left="0" w:leftChars="0" w:firstLine="640" w:firstLineChars="0"/>
        <w:rPr>
          <w:rFonts w:eastAsia="仿宋_GB2312"/>
          <w:color w:val="auto"/>
          <w:sz w:val="36"/>
          <w:szCs w:val="36"/>
          <w:u w:val="single"/>
        </w:rPr>
      </w:pPr>
      <w:r>
        <w:rPr>
          <w:rFonts w:eastAsia="仿宋_GB2312"/>
          <w:color w:val="auto"/>
          <w:sz w:val="36"/>
          <w:szCs w:val="36"/>
        </w:rPr>
        <w:t>建设单位（盖章）：</w:t>
      </w:r>
      <w:r>
        <w:rPr>
          <w:rFonts w:hint="eastAsia" w:eastAsia="仿宋_GB2312"/>
          <w:color w:val="auto"/>
          <w:sz w:val="36"/>
          <w:szCs w:val="36"/>
          <w:u w:val="single"/>
          <w:lang w:val="en-US" w:eastAsia="zh-CN"/>
        </w:rPr>
        <w:t>衡阳市泰达能源发展</w:t>
      </w:r>
      <w:r>
        <w:rPr>
          <w:rFonts w:hint="eastAsia" w:eastAsia="仿宋_GB2312"/>
          <w:color w:val="auto"/>
          <w:sz w:val="36"/>
          <w:szCs w:val="36"/>
          <w:u w:val="single"/>
          <w:lang w:eastAsia="zh-CN"/>
        </w:rPr>
        <w:t>有限公司</w:t>
      </w:r>
      <w:r>
        <w:rPr>
          <w:rFonts w:eastAsia="仿宋_GB2312"/>
          <w:color w:val="auto"/>
          <w:sz w:val="36"/>
          <w:szCs w:val="36"/>
          <w:u w:val="single"/>
        </w:rPr>
        <w:t xml:space="preserve">   </w:t>
      </w:r>
    </w:p>
    <w:p>
      <w:pPr>
        <w:adjustRightInd w:val="0"/>
        <w:snapToGrid w:val="0"/>
        <w:spacing w:line="288" w:lineRule="auto"/>
        <w:ind w:left="0" w:leftChars="0" w:firstLine="640" w:firstLineChars="0"/>
        <w:jc w:val="left"/>
        <w:rPr>
          <w:rFonts w:eastAsia="仿宋_GB2312"/>
          <w:color w:val="auto"/>
          <w:sz w:val="36"/>
          <w:szCs w:val="36"/>
          <w:u w:val="single"/>
        </w:rPr>
      </w:pPr>
      <w:r>
        <w:rPr>
          <w:rFonts w:eastAsia="仿宋_GB2312"/>
          <w:color w:val="auto"/>
          <w:sz w:val="36"/>
          <w:szCs w:val="36"/>
        </w:rPr>
        <w:t>编制日期：</w:t>
      </w:r>
      <w:r>
        <w:rPr>
          <w:rFonts w:eastAsia="仿宋_GB2312"/>
          <w:color w:val="auto"/>
          <w:sz w:val="36"/>
          <w:szCs w:val="36"/>
          <w:u w:val="single"/>
        </w:rPr>
        <w:t xml:space="preserve">        二〇二</w:t>
      </w:r>
      <w:r>
        <w:rPr>
          <w:rFonts w:hint="eastAsia" w:eastAsia="仿宋_GB2312"/>
          <w:color w:val="auto"/>
          <w:sz w:val="36"/>
          <w:szCs w:val="36"/>
          <w:u w:val="single"/>
          <w:lang w:val="en-US" w:eastAsia="zh-CN"/>
        </w:rPr>
        <w:t>二</w:t>
      </w:r>
      <w:r>
        <w:rPr>
          <w:rFonts w:eastAsia="仿宋_GB2312"/>
          <w:color w:val="auto"/>
          <w:sz w:val="36"/>
          <w:szCs w:val="36"/>
          <w:u w:val="single"/>
        </w:rPr>
        <w:t>年</w:t>
      </w:r>
      <w:r>
        <w:rPr>
          <w:rFonts w:hint="eastAsia" w:eastAsia="仿宋_GB2312"/>
          <w:color w:val="auto"/>
          <w:sz w:val="36"/>
          <w:szCs w:val="36"/>
          <w:u w:val="single"/>
          <w:lang w:val="en-US" w:eastAsia="zh-CN"/>
        </w:rPr>
        <w:t>十</w:t>
      </w:r>
      <w:r>
        <w:rPr>
          <w:rFonts w:eastAsia="仿宋_GB2312"/>
          <w:color w:val="auto"/>
          <w:sz w:val="36"/>
          <w:szCs w:val="36"/>
          <w:u w:val="single"/>
        </w:rPr>
        <w:t xml:space="preserve">月            </w:t>
      </w:r>
    </w:p>
    <w:p>
      <w:pPr>
        <w:adjustRightInd w:val="0"/>
        <w:snapToGrid w:val="0"/>
        <w:spacing w:line="288" w:lineRule="auto"/>
        <w:ind w:firstLine="1040"/>
        <w:rPr>
          <w:rFonts w:eastAsia="仿宋_GB2312"/>
          <w:color w:val="auto"/>
          <w:sz w:val="36"/>
          <w:szCs w:val="36"/>
          <w:u w:val="single"/>
        </w:rPr>
      </w:pPr>
      <w:bookmarkStart w:id="4" w:name="_Hlk57884087"/>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bookmarkEnd w:id="4"/>
    <w:p>
      <w:pPr>
        <w:spacing w:line="480" w:lineRule="auto"/>
        <w:jc w:val="center"/>
        <w:rPr>
          <w:rFonts w:eastAsia="楷体_GB2312"/>
          <w:color w:val="auto"/>
          <w:sz w:val="36"/>
          <w:szCs w:val="36"/>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eastAsia="楷体_GB2312"/>
          <w:color w:val="auto"/>
          <w:sz w:val="36"/>
          <w:szCs w:val="36"/>
        </w:rPr>
        <w:t>中华人民共和国生态环境部制</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5271770" cy="7454265"/>
            <wp:effectExtent l="0" t="0" r="5080" b="13335"/>
            <wp:docPr id="6" name="图片 6" descr="衡阳泰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衡阳泰达1"/>
                    <pic:cNvPicPr>
                      <a:picLocks noChangeAspect="1"/>
                    </pic:cNvPicPr>
                  </pic:nvPicPr>
                  <pic:blipFill>
                    <a:blip r:embed="rId12"/>
                    <a:stretch>
                      <a:fillRect/>
                    </a:stretch>
                  </pic:blipFill>
                  <pic:spPr>
                    <a:xfrm>
                      <a:off x="0" y="0"/>
                      <a:ext cx="5271770" cy="7454265"/>
                    </a:xfrm>
                    <a:prstGeom prst="rect">
                      <a:avLst/>
                    </a:prstGeom>
                  </pic:spPr>
                </pic:pic>
              </a:graphicData>
            </a:graphic>
          </wp:inline>
        </w:drawing>
      </w:r>
    </w:p>
    <w:p>
      <w:pPr>
        <w:pStyle w:val="3"/>
        <w:outlineLvl w:val="9"/>
      </w:pPr>
    </w:p>
    <w:p/>
    <w:p>
      <w:pPr>
        <w:pStyle w:val="3"/>
        <w:outlineLvl w:val="9"/>
        <w:rPr>
          <w:rFonts w:hint="eastAsia" w:eastAsiaTheme="majorEastAsia"/>
          <w:lang w:eastAsia="zh-CN"/>
        </w:rPr>
      </w:pPr>
      <w:bookmarkStart w:id="5" w:name="_Toc26491"/>
      <w:r>
        <w:rPr>
          <w:rFonts w:hint="eastAsia" w:eastAsiaTheme="majorEastAsia"/>
          <w:lang w:eastAsia="zh-CN"/>
        </w:rPr>
        <w:drawing>
          <wp:inline distT="0" distB="0" distL="114300" distR="114300">
            <wp:extent cx="5271770" cy="7454265"/>
            <wp:effectExtent l="0" t="0" r="5080" b="13335"/>
            <wp:docPr id="7" name="图片 7" descr="衡阳泰达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衡阳泰达_2"/>
                    <pic:cNvPicPr>
                      <a:picLocks noChangeAspect="1"/>
                    </pic:cNvPicPr>
                  </pic:nvPicPr>
                  <pic:blipFill>
                    <a:blip r:embed="rId13"/>
                    <a:stretch>
                      <a:fillRect/>
                    </a:stretch>
                  </pic:blipFill>
                  <pic:spPr>
                    <a:xfrm>
                      <a:off x="0" y="0"/>
                      <a:ext cx="5271770" cy="7454265"/>
                    </a:xfrm>
                    <a:prstGeom prst="rect">
                      <a:avLst/>
                    </a:prstGeom>
                  </pic:spPr>
                </pic:pic>
              </a:graphicData>
            </a:graphic>
          </wp:inline>
        </w:drawing>
      </w:r>
      <w:bookmarkEnd w:id="5"/>
    </w:p>
    <w:p/>
    <w:p>
      <w:pPr>
        <w:pStyle w:val="3"/>
        <w:outlineLvl w:val="9"/>
        <w:rPr>
          <w:rFonts w:hint="eastAsia" w:eastAsiaTheme="majorEastAsia"/>
          <w:lang w:eastAsia="zh-CN"/>
        </w:rPr>
      </w:pPr>
      <w:bookmarkStart w:id="6" w:name="_Toc281"/>
      <w:r>
        <w:rPr>
          <w:rFonts w:hint="eastAsia" w:eastAsiaTheme="majorEastAsia"/>
          <w:lang w:eastAsia="zh-CN"/>
        </w:rPr>
        <w:drawing>
          <wp:inline distT="0" distB="0" distL="114300" distR="114300">
            <wp:extent cx="5271770" cy="7454265"/>
            <wp:effectExtent l="0" t="0" r="5080" b="13335"/>
            <wp:docPr id="13" name="图片 13" descr="衡阳泰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衡阳泰达3"/>
                    <pic:cNvPicPr>
                      <a:picLocks noChangeAspect="1"/>
                    </pic:cNvPicPr>
                  </pic:nvPicPr>
                  <pic:blipFill>
                    <a:blip r:embed="rId14"/>
                    <a:stretch>
                      <a:fillRect/>
                    </a:stretch>
                  </pic:blipFill>
                  <pic:spPr>
                    <a:xfrm>
                      <a:off x="0" y="0"/>
                      <a:ext cx="5271770" cy="7454265"/>
                    </a:xfrm>
                    <a:prstGeom prst="rect">
                      <a:avLst/>
                    </a:prstGeom>
                  </pic:spPr>
                </pic:pic>
              </a:graphicData>
            </a:graphic>
          </wp:inline>
        </w:drawing>
      </w:r>
      <w:bookmarkEnd w:id="6"/>
    </w:p>
    <w:p/>
    <w:p>
      <w:pPr>
        <w:pStyle w:val="3"/>
        <w:outlineLvl w:val="9"/>
        <w:rPr>
          <w:rFonts w:hint="eastAsia" w:eastAsiaTheme="majorEastAsia"/>
          <w:lang w:eastAsia="zh-CN"/>
        </w:rPr>
      </w:pPr>
      <w:bookmarkStart w:id="7" w:name="_Toc28108"/>
      <w:r>
        <w:rPr>
          <w:rFonts w:hint="eastAsia" w:eastAsiaTheme="majorEastAsia"/>
          <w:lang w:eastAsia="zh-CN"/>
        </w:rPr>
        <w:drawing>
          <wp:inline distT="0" distB="0" distL="114300" distR="114300">
            <wp:extent cx="5271770" cy="7454265"/>
            <wp:effectExtent l="0" t="0" r="5080" b="13335"/>
            <wp:docPr id="15" name="图片 15" descr="衡阳泰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衡阳泰达4"/>
                    <pic:cNvPicPr>
                      <a:picLocks noChangeAspect="1"/>
                    </pic:cNvPicPr>
                  </pic:nvPicPr>
                  <pic:blipFill>
                    <a:blip r:embed="rId15"/>
                    <a:stretch>
                      <a:fillRect/>
                    </a:stretch>
                  </pic:blipFill>
                  <pic:spPr>
                    <a:xfrm>
                      <a:off x="0" y="0"/>
                      <a:ext cx="5271770" cy="7454265"/>
                    </a:xfrm>
                    <a:prstGeom prst="rect">
                      <a:avLst/>
                    </a:prstGeom>
                  </pic:spPr>
                </pic:pic>
              </a:graphicData>
            </a:graphic>
          </wp:inline>
        </w:drawing>
      </w:r>
      <w:bookmarkEnd w:id="7"/>
    </w:p>
    <w:p/>
    <w:p>
      <w:pPr>
        <w:pStyle w:val="3"/>
        <w:outlineLvl w:val="9"/>
        <w:rPr>
          <w:rFonts w:hint="eastAsia" w:eastAsiaTheme="majorEastAsia"/>
          <w:lang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8" w:name="_Toc17025"/>
      <w:r>
        <w:rPr>
          <w:rFonts w:hint="eastAsia" w:eastAsiaTheme="majorEastAsia"/>
          <w:lang w:eastAsia="zh-CN"/>
        </w:rPr>
        <w:drawing>
          <wp:inline distT="0" distB="0" distL="114300" distR="114300">
            <wp:extent cx="5271770" cy="7454265"/>
            <wp:effectExtent l="0" t="0" r="5080" b="13335"/>
            <wp:docPr id="22" name="图片 22" descr="衡阳泰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衡阳泰达5"/>
                    <pic:cNvPicPr>
                      <a:picLocks noChangeAspect="1"/>
                    </pic:cNvPicPr>
                  </pic:nvPicPr>
                  <pic:blipFill>
                    <a:blip r:embed="rId16"/>
                    <a:stretch>
                      <a:fillRect/>
                    </a:stretch>
                  </pic:blipFill>
                  <pic:spPr>
                    <a:xfrm>
                      <a:off x="0" y="0"/>
                      <a:ext cx="5271770" cy="7454265"/>
                    </a:xfrm>
                    <a:prstGeom prst="rect">
                      <a:avLst/>
                    </a:prstGeom>
                  </pic:spPr>
                </pic:pic>
              </a:graphicData>
            </a:graphic>
          </wp:inline>
        </w:drawing>
      </w:r>
      <w:bookmarkEnd w:id="8"/>
    </w:p>
    <w:p>
      <w:pPr>
        <w:jc w:val="center"/>
        <w:rPr>
          <w:rFonts w:hint="eastAsia"/>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drawing>
          <wp:inline distT="0" distB="0" distL="114300" distR="114300">
            <wp:extent cx="7454265" cy="5271770"/>
            <wp:effectExtent l="0" t="0" r="13335" b="5080"/>
            <wp:docPr id="24" name="图片 24" descr="衡阳泰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衡阳泰达6"/>
                    <pic:cNvPicPr>
                      <a:picLocks noChangeAspect="1"/>
                    </pic:cNvPicPr>
                  </pic:nvPicPr>
                  <pic:blipFill>
                    <a:blip r:embed="rId17"/>
                    <a:stretch>
                      <a:fillRect/>
                    </a:stretch>
                  </pic:blipFill>
                  <pic:spPr>
                    <a:xfrm>
                      <a:off x="0" y="0"/>
                      <a:ext cx="7454265" cy="5271770"/>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5271770" cy="7454265"/>
            <wp:effectExtent l="0" t="0" r="5080" b="13335"/>
            <wp:docPr id="26" name="图片 26" descr="衡阳泰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衡阳泰达7"/>
                    <pic:cNvPicPr>
                      <a:picLocks noChangeAspect="1"/>
                    </pic:cNvPicPr>
                  </pic:nvPicPr>
                  <pic:blipFill>
                    <a:blip r:embed="rId18"/>
                    <a:stretch>
                      <a:fillRect/>
                    </a:stretch>
                  </pic:blipFill>
                  <pic:spPr>
                    <a:xfrm>
                      <a:off x="0" y="0"/>
                      <a:ext cx="5271770" cy="7454265"/>
                    </a:xfrm>
                    <a:prstGeom prst="rect">
                      <a:avLst/>
                    </a:prstGeom>
                  </pic:spPr>
                </pic:pic>
              </a:graphicData>
            </a:graphic>
          </wp:inline>
        </w:drawing>
      </w:r>
    </w:p>
    <w:p/>
    <w:p>
      <w:pPr>
        <w:pStyle w:val="3"/>
        <w:outlineLvl w:val="9"/>
        <w:rPr>
          <w:rFonts w:hint="eastAsia" w:eastAsiaTheme="majorEastAsia"/>
          <w:lang w:eastAsia="zh-CN"/>
        </w:rPr>
      </w:pPr>
    </w:p>
    <w:p/>
    <w:p>
      <w:pPr>
        <w:pStyle w:val="3"/>
        <w:outlineLvl w:val="9"/>
        <w:rPr>
          <w:rFonts w:hint="eastAsia" w:eastAsiaTheme="majorEastAsia"/>
          <w:lang w:eastAsia="zh-CN"/>
        </w:rPr>
      </w:pPr>
      <w:bookmarkStart w:id="9" w:name="_Toc23974"/>
      <w:r>
        <w:rPr>
          <w:rFonts w:hint="eastAsia" w:eastAsiaTheme="majorEastAsia"/>
          <w:lang w:eastAsia="zh-CN"/>
        </w:rPr>
        <w:drawing>
          <wp:inline distT="0" distB="0" distL="114300" distR="114300">
            <wp:extent cx="5271135" cy="7517130"/>
            <wp:effectExtent l="0" t="0" r="5715" b="7620"/>
            <wp:docPr id="27" name="图片 27" descr="修改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修改说明"/>
                    <pic:cNvPicPr>
                      <a:picLocks noChangeAspect="1"/>
                    </pic:cNvPicPr>
                  </pic:nvPicPr>
                  <pic:blipFill>
                    <a:blip r:embed="rId19"/>
                    <a:stretch>
                      <a:fillRect/>
                    </a:stretch>
                  </pic:blipFill>
                  <pic:spPr>
                    <a:xfrm>
                      <a:off x="0" y="0"/>
                      <a:ext cx="5271135" cy="7517130"/>
                    </a:xfrm>
                    <a:prstGeom prst="rect">
                      <a:avLst/>
                    </a:prstGeom>
                  </pic:spPr>
                </pic:pic>
              </a:graphicData>
            </a:graphic>
          </wp:inline>
        </w:drawing>
      </w:r>
      <w:bookmarkEnd w:id="9"/>
    </w:p>
    <w:p>
      <w:pPr>
        <w:rPr>
          <w:rFonts w:hint="eastAsia" w:ascii="仿宋" w:hAnsi="仿宋" w:eastAsia="仿宋" w:cs="仿宋"/>
          <w:b/>
          <w:bCs/>
          <w:snapToGrid w:val="0"/>
          <w:color w:val="auto"/>
          <w:sz w:val="38"/>
          <w:szCs w:val="38"/>
          <w:highlight w:val="none"/>
          <w:lang w:eastAsia="zh-CN"/>
        </w:rPr>
      </w:pPr>
    </w:p>
    <w:sdt>
      <w:sdtPr>
        <w:rPr>
          <w:rFonts w:ascii="宋体" w:hAnsi="宋体" w:eastAsia="宋体" w:cs="Times New Roman"/>
          <w:kern w:val="2"/>
          <w:sz w:val="21"/>
          <w:szCs w:val="24"/>
          <w:lang w:val="en-US" w:eastAsia="zh-CN" w:bidi="ar-SA"/>
        </w:rPr>
        <w:id w:val="147469822"/>
        <w15:color w:val="DBDBDB"/>
        <w:docPartObj>
          <w:docPartGallery w:val="Table of Contents"/>
          <w:docPartUnique/>
        </w:docPartObj>
      </w:sdtPr>
      <w:sdtEndPr>
        <w:rPr>
          <w:rFonts w:ascii="宋体" w:hAnsi="宋体" w:eastAsia="宋体" w:cs="Times New Roman"/>
          <w:kern w:val="2"/>
          <w:sz w:val="21"/>
          <w:szCs w:val="24"/>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cs="Times New Roman"/>
              <w:kern w:val="2"/>
              <w:sz w:val="21"/>
              <w:szCs w:val="24"/>
              <w:lang w:val="en-US" w:eastAsia="zh-CN" w:bidi="ar-SA"/>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kern w:val="2"/>
              <w:sz w:val="24"/>
              <w:szCs w:val="24"/>
              <w:lang w:val="en-US" w:eastAsia="zh-CN" w:bidi="ar-SA"/>
            </w:rPr>
          </w:pPr>
          <w:r>
            <w:rPr>
              <w:rFonts w:ascii="宋体" w:hAnsi="宋体" w:eastAsia="宋体"/>
              <w:sz w:val="28"/>
              <w:szCs w:val="28"/>
            </w:rPr>
            <w:t>目录</w:t>
          </w:r>
          <w:r>
            <w:fldChar w:fldCharType="begin"/>
          </w:r>
          <w:r>
            <w:instrText xml:space="preserve">TOC \o "1-3" \h \u </w:instrText>
          </w:r>
          <w:r>
            <w:fldChar w:fldCharType="separate"/>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_Toc17244 </w:instrText>
          </w:r>
          <w:r>
            <w:fldChar w:fldCharType="separate"/>
          </w:r>
          <w:r>
            <w:t>一、建设项目基本情况</w:t>
          </w:r>
          <w:r>
            <w:tab/>
          </w:r>
          <w:r>
            <w:fldChar w:fldCharType="begin"/>
          </w:r>
          <w:r>
            <w:instrText xml:space="preserve"> PAGEREF _Toc17244 \h </w:instrText>
          </w:r>
          <w:r>
            <w:fldChar w:fldCharType="separate"/>
          </w:r>
          <w:r>
            <w:t>1</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_Toc9212 </w:instrText>
          </w:r>
          <w:r>
            <w:fldChar w:fldCharType="separate"/>
          </w:r>
          <w:r>
            <w:rPr>
              <w:rFonts w:hint="eastAsia"/>
              <w:lang w:val="en-US" w:eastAsia="zh-CN"/>
            </w:rPr>
            <w:t>二、建设项目工程分析</w:t>
          </w:r>
          <w:r>
            <w:tab/>
          </w:r>
          <w:r>
            <w:fldChar w:fldCharType="begin"/>
          </w:r>
          <w:r>
            <w:instrText xml:space="preserve"> PAGEREF _Toc9212 \h </w:instrText>
          </w:r>
          <w:r>
            <w:fldChar w:fldCharType="separate"/>
          </w:r>
          <w:r>
            <w:t>12</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_Toc26432 </w:instrText>
          </w:r>
          <w:r>
            <w:fldChar w:fldCharType="separate"/>
          </w:r>
          <w:r>
            <w:rPr>
              <w:rFonts w:hint="eastAsia"/>
              <w:lang w:val="en-US" w:eastAsia="zh-CN"/>
            </w:rPr>
            <w:t>三、区域环境质量现状、环境保护目标及评价标准</w:t>
          </w:r>
          <w:r>
            <w:tab/>
          </w:r>
          <w:r>
            <w:fldChar w:fldCharType="begin"/>
          </w:r>
          <w:r>
            <w:instrText xml:space="preserve"> PAGEREF _Toc26432 \h </w:instrText>
          </w:r>
          <w:r>
            <w:fldChar w:fldCharType="separate"/>
          </w:r>
          <w:r>
            <w:t>27</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_Toc24248 </w:instrText>
          </w:r>
          <w:r>
            <w:fldChar w:fldCharType="separate"/>
          </w:r>
          <w:r>
            <w:rPr>
              <w:rFonts w:hint="eastAsia"/>
              <w:lang w:val="en-US" w:eastAsia="zh-CN"/>
            </w:rPr>
            <w:t>四、主要环境影响和保护措施</w:t>
          </w:r>
          <w:r>
            <w:tab/>
          </w:r>
          <w:r>
            <w:fldChar w:fldCharType="begin"/>
          </w:r>
          <w:r>
            <w:instrText xml:space="preserve"> PAGEREF _Toc24248 \h </w:instrText>
          </w:r>
          <w:r>
            <w:fldChar w:fldCharType="separate"/>
          </w:r>
          <w:r>
            <w:t>33</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_Toc8824 </w:instrText>
          </w:r>
          <w:r>
            <w:fldChar w:fldCharType="separate"/>
          </w:r>
          <w:r>
            <w:rPr>
              <w:rFonts w:hint="eastAsia"/>
              <w:lang w:val="en-US" w:eastAsia="zh-CN"/>
            </w:rPr>
            <w:t>五、环境保护措施监督检查清单</w:t>
          </w:r>
          <w:r>
            <w:tab/>
          </w:r>
          <w:r>
            <w:fldChar w:fldCharType="begin"/>
          </w:r>
          <w:r>
            <w:instrText xml:space="preserve"> PAGEREF _Toc8824 \h </w:instrText>
          </w:r>
          <w:r>
            <w:fldChar w:fldCharType="separate"/>
          </w:r>
          <w:r>
            <w:t>64</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_Toc20209 </w:instrText>
          </w:r>
          <w:r>
            <w:fldChar w:fldCharType="separate"/>
          </w:r>
          <w:r>
            <w:rPr>
              <w:rFonts w:hint="eastAsia"/>
              <w:lang w:val="en-US" w:eastAsia="zh-CN"/>
            </w:rPr>
            <w:t>六、结论</w:t>
          </w:r>
          <w:r>
            <w:tab/>
          </w:r>
          <w:r>
            <w:fldChar w:fldCharType="begin"/>
          </w:r>
          <w:r>
            <w:instrText xml:space="preserve"> PAGEREF _Toc20209 \h </w:instrText>
          </w:r>
          <w:r>
            <w:fldChar w:fldCharType="separate"/>
          </w:r>
          <w:r>
            <w:t>67</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_Toc16333 </w:instrText>
          </w:r>
          <w:r>
            <w:fldChar w:fldCharType="separate"/>
          </w:r>
          <w:r>
            <w:t>附表</w:t>
          </w:r>
          <w:r>
            <w:tab/>
          </w:r>
          <w:r>
            <w:fldChar w:fldCharType="begin"/>
          </w:r>
          <w:r>
            <w:instrText xml:space="preserve"> PAGEREF _Toc16333 \h </w:instrText>
          </w:r>
          <w:r>
            <w:fldChar w:fldCharType="separate"/>
          </w:r>
          <w:r>
            <w:t>68</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_Toc12822 </w:instrText>
          </w:r>
          <w:r>
            <w:fldChar w:fldCharType="separate"/>
          </w:r>
          <w:r>
            <w:rPr>
              <w:rFonts w:hint="eastAsia"/>
              <w:lang w:val="en-US" w:eastAsia="zh-CN"/>
            </w:rPr>
            <w:t>附图1 建设项目地理位置图</w:t>
          </w:r>
          <w:r>
            <w:tab/>
          </w:r>
          <w:r>
            <w:fldChar w:fldCharType="begin"/>
          </w:r>
          <w:r>
            <w:instrText xml:space="preserve"> PAGEREF _Toc12822 \h </w:instrText>
          </w:r>
          <w:r>
            <w:fldChar w:fldCharType="separate"/>
          </w:r>
          <w:r>
            <w:t>69</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_Toc21907 </w:instrText>
          </w:r>
          <w:r>
            <w:fldChar w:fldCharType="separate"/>
          </w:r>
          <w:r>
            <w:rPr>
              <w:rFonts w:hint="default"/>
              <w:lang w:val="en-US" w:eastAsia="zh-CN"/>
            </w:rPr>
            <w:t>附图2 项目平面布置图</w:t>
          </w:r>
          <w:r>
            <w:tab/>
          </w:r>
          <w:r>
            <w:fldChar w:fldCharType="begin"/>
          </w:r>
          <w:r>
            <w:instrText xml:space="preserve"> PAGEREF _Toc21907 \h </w:instrText>
          </w:r>
          <w:r>
            <w:fldChar w:fldCharType="separate"/>
          </w:r>
          <w:r>
            <w:t>70</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_Toc24900 </w:instrText>
          </w:r>
          <w:r>
            <w:fldChar w:fldCharType="separate"/>
          </w:r>
          <w:r>
            <w:rPr>
              <w:rFonts w:hint="eastAsia"/>
              <w:lang w:val="en-US" w:eastAsia="zh-CN"/>
            </w:rPr>
            <w:t>附图3 环境保护目标分布图</w:t>
          </w:r>
          <w:r>
            <w:tab/>
          </w:r>
          <w:r>
            <w:fldChar w:fldCharType="begin"/>
          </w:r>
          <w:r>
            <w:instrText xml:space="preserve"> PAGEREF _Toc24900 \h </w:instrText>
          </w:r>
          <w:r>
            <w:fldChar w:fldCharType="separate"/>
          </w:r>
          <w:r>
            <w:t>71</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_Toc27684 </w:instrText>
          </w:r>
          <w:r>
            <w:fldChar w:fldCharType="separate"/>
          </w:r>
          <w:r>
            <w:rPr>
              <w:rFonts w:hint="eastAsia"/>
              <w:lang w:val="en-US" w:eastAsia="zh-CN"/>
            </w:rPr>
            <w:t>附图4  声环境现状监测布点图</w:t>
          </w:r>
          <w:r>
            <w:tab/>
          </w:r>
          <w:r>
            <w:fldChar w:fldCharType="begin"/>
          </w:r>
          <w:r>
            <w:instrText xml:space="preserve"> PAGEREF _Toc27684 \h </w:instrText>
          </w:r>
          <w:r>
            <w:fldChar w:fldCharType="separate"/>
          </w:r>
          <w:r>
            <w:t>72</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_Toc20568 </w:instrText>
          </w:r>
          <w:r>
            <w:fldChar w:fldCharType="separate"/>
          </w:r>
          <w:r>
            <w:rPr>
              <w:rFonts w:hint="eastAsia"/>
              <w:lang w:val="en-US" w:eastAsia="zh-CN"/>
            </w:rPr>
            <w:t>附图5  项目与松木经开区园区位置关系</w:t>
          </w:r>
          <w:r>
            <w:tab/>
          </w:r>
          <w:r>
            <w:fldChar w:fldCharType="begin"/>
          </w:r>
          <w:r>
            <w:instrText xml:space="preserve"> PAGEREF _Toc20568 \h </w:instrText>
          </w:r>
          <w:r>
            <w:fldChar w:fldCharType="separate"/>
          </w:r>
          <w:r>
            <w:t>73</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_Toc10545 </w:instrText>
          </w:r>
          <w:r>
            <w:fldChar w:fldCharType="separate"/>
          </w:r>
          <w:r>
            <w:rPr>
              <w:rFonts w:hint="eastAsia"/>
              <w:lang w:val="en-US" w:eastAsia="zh-CN"/>
            </w:rPr>
            <w:t>附件1  营业执照</w:t>
          </w:r>
          <w:r>
            <w:tab/>
          </w:r>
          <w:r>
            <w:fldChar w:fldCharType="begin"/>
          </w:r>
          <w:r>
            <w:instrText xml:space="preserve"> PAGEREF _Toc10545 \h </w:instrText>
          </w:r>
          <w:r>
            <w:fldChar w:fldCharType="separate"/>
          </w:r>
          <w:r>
            <w:t>74</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_Toc4731 </w:instrText>
          </w:r>
          <w:r>
            <w:fldChar w:fldCharType="separate"/>
          </w:r>
          <w:r>
            <w:rPr>
              <w:rFonts w:hint="eastAsia"/>
              <w:lang w:val="en-US" w:eastAsia="zh-CN"/>
            </w:rPr>
            <w:t>附件2  委托书</w:t>
          </w:r>
          <w:r>
            <w:tab/>
          </w:r>
          <w:r>
            <w:fldChar w:fldCharType="begin"/>
          </w:r>
          <w:r>
            <w:instrText xml:space="preserve"> PAGEREF _Toc4731 \h </w:instrText>
          </w:r>
          <w:r>
            <w:fldChar w:fldCharType="separate"/>
          </w:r>
          <w:r>
            <w:t>75</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_Toc11915 </w:instrText>
          </w:r>
          <w:r>
            <w:fldChar w:fldCharType="separate"/>
          </w:r>
          <w:r>
            <w:rPr>
              <w:rFonts w:hint="eastAsia"/>
              <w:lang w:val="en-US" w:eastAsia="zh-CN"/>
            </w:rPr>
            <w:t>附件3  规划蓝线图</w:t>
          </w:r>
          <w:r>
            <w:tab/>
          </w:r>
          <w:r>
            <w:fldChar w:fldCharType="begin"/>
          </w:r>
          <w:r>
            <w:instrText xml:space="preserve"> PAGEREF _Toc11915 \h </w:instrText>
          </w:r>
          <w:r>
            <w:fldChar w:fldCharType="separate"/>
          </w:r>
          <w:r>
            <w:t>76</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_Toc30786 </w:instrText>
          </w:r>
          <w:r>
            <w:fldChar w:fldCharType="separate"/>
          </w:r>
          <w:r>
            <w:rPr>
              <w:rFonts w:hint="eastAsia"/>
              <w:lang w:val="en-US" w:eastAsia="zh-CN"/>
            </w:rPr>
            <w:t>附件4  项目备案证明</w:t>
          </w:r>
          <w:r>
            <w:tab/>
          </w:r>
          <w:r>
            <w:fldChar w:fldCharType="begin"/>
          </w:r>
          <w:r>
            <w:instrText xml:space="preserve"> PAGEREF _Toc30786 \h </w:instrText>
          </w:r>
          <w:r>
            <w:fldChar w:fldCharType="separate"/>
          </w:r>
          <w:r>
            <w:t>77</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_Toc4184 </w:instrText>
          </w:r>
          <w:r>
            <w:fldChar w:fldCharType="separate"/>
          </w:r>
          <w:r>
            <w:rPr>
              <w:rFonts w:hint="eastAsia"/>
              <w:lang w:val="en-US" w:eastAsia="zh-CN"/>
            </w:rPr>
            <w:t>附件5  建设用地规划许可证</w:t>
          </w:r>
          <w:r>
            <w:tab/>
          </w:r>
          <w:r>
            <w:fldChar w:fldCharType="begin"/>
          </w:r>
          <w:r>
            <w:instrText xml:space="preserve"> PAGEREF _Toc4184 \h </w:instrText>
          </w:r>
          <w:r>
            <w:fldChar w:fldCharType="separate"/>
          </w:r>
          <w:r>
            <w:t>80</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_Toc15254 </w:instrText>
          </w:r>
          <w:r>
            <w:fldChar w:fldCharType="separate"/>
          </w:r>
          <w:r>
            <w:rPr>
              <w:rFonts w:hint="eastAsia"/>
              <w:lang w:val="en-US" w:eastAsia="zh-CN"/>
            </w:rPr>
            <w:t>附件6  建设项目土地成交确认书</w:t>
          </w:r>
          <w:r>
            <w:tab/>
          </w:r>
          <w:r>
            <w:fldChar w:fldCharType="begin"/>
          </w:r>
          <w:r>
            <w:instrText xml:space="preserve"> PAGEREF _Toc15254 \h </w:instrText>
          </w:r>
          <w:r>
            <w:fldChar w:fldCharType="separate"/>
          </w:r>
          <w:r>
            <w:t>82</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_Toc9680 </w:instrText>
          </w:r>
          <w:r>
            <w:fldChar w:fldCharType="separate"/>
          </w:r>
          <w:r>
            <w:rPr>
              <w:rFonts w:hint="eastAsia"/>
              <w:lang w:val="en-US" w:eastAsia="zh-CN"/>
            </w:rPr>
            <w:t>附件7  监测报告</w:t>
          </w:r>
          <w:r>
            <w:tab/>
          </w:r>
          <w:r>
            <w:fldChar w:fldCharType="begin"/>
          </w:r>
          <w:r>
            <w:instrText xml:space="preserve"> PAGEREF _Toc9680 \h </w:instrText>
          </w:r>
          <w:r>
            <w:fldChar w:fldCharType="separate"/>
          </w:r>
          <w:r>
            <w:t>84</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_Toc4086 </w:instrText>
          </w:r>
          <w:r>
            <w:fldChar w:fldCharType="separate"/>
          </w:r>
          <w:r>
            <w:rPr>
              <w:rFonts w:hint="eastAsia"/>
              <w:lang w:val="en-US" w:eastAsia="zh-CN"/>
            </w:rPr>
            <w:t>附件8  污水管网接入证明</w:t>
          </w:r>
          <w:r>
            <w:tab/>
          </w:r>
          <w:r>
            <w:fldChar w:fldCharType="begin"/>
          </w:r>
          <w:r>
            <w:instrText xml:space="preserve"> PAGEREF _Toc4086 \h </w:instrText>
          </w:r>
          <w:r>
            <w:fldChar w:fldCharType="separate"/>
          </w:r>
          <w:r>
            <w:t>88</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_Toc20722 </w:instrText>
          </w:r>
          <w:r>
            <w:fldChar w:fldCharType="separate"/>
          </w:r>
          <w:r>
            <w:rPr>
              <w:rFonts w:hint="eastAsia"/>
              <w:lang w:val="en-US" w:eastAsia="zh-CN"/>
            </w:rPr>
            <w:t>附件9  自动洗车机出水口污水检测报告</w:t>
          </w:r>
          <w:r>
            <w:tab/>
          </w:r>
          <w:r>
            <w:fldChar w:fldCharType="begin"/>
          </w:r>
          <w:r>
            <w:instrText xml:space="preserve"> PAGEREF _Toc20722 \h </w:instrText>
          </w:r>
          <w:r>
            <w:fldChar w:fldCharType="separate"/>
          </w:r>
          <w:r>
            <w:t>89</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_Toc25060 </w:instrText>
          </w:r>
          <w:r>
            <w:fldChar w:fldCharType="separate"/>
          </w:r>
          <w:r>
            <w:rPr>
              <w:rFonts w:hint="eastAsia"/>
              <w:lang w:val="en-US" w:eastAsia="zh-CN"/>
            </w:rPr>
            <w:t>附件10  专家意见</w:t>
          </w:r>
          <w:r>
            <w:tab/>
          </w:r>
          <w:r>
            <w:fldChar w:fldCharType="begin"/>
          </w:r>
          <w:r>
            <w:instrText xml:space="preserve"> PAGEREF _Toc25060 \h </w:instrText>
          </w:r>
          <w:r>
            <w:fldChar w:fldCharType="separate"/>
          </w:r>
          <w:r>
            <w:t>92</w:t>
          </w:r>
          <w:r>
            <w:fldChar w:fldCharType="end"/>
          </w:r>
          <w:r>
            <w:fldChar w:fldCharType="end"/>
          </w:r>
        </w:p>
        <w:p>
          <w:pPr>
            <w:keepNext w:val="0"/>
            <w:keepLines w:val="0"/>
            <w:pageBreakBefore w:val="0"/>
            <w:widowControl w:val="0"/>
            <w:tabs>
              <w:tab w:val="right" w:leader="dot" w:pos="8306"/>
            </w:tabs>
            <w:kinsoku/>
            <w:wordWrap/>
            <w:overflowPunct/>
            <w:topLinePunct w:val="0"/>
            <w:autoSpaceDE/>
            <w:autoSpaceDN/>
            <w:bidi w:val="0"/>
            <w:adjustRightInd/>
            <w:snapToGrid/>
            <w:jc w:val="center"/>
            <w:textAlignment w:val="auto"/>
          </w:pPr>
          <w:r>
            <w:fldChar w:fldCharType="begin"/>
          </w:r>
          <w:r>
            <w:instrText xml:space="preserve"> HYPERLINK \l _Toc31954 </w:instrText>
          </w:r>
          <w:r>
            <w:fldChar w:fldCharType="separate"/>
          </w:r>
          <w:r>
            <w:rPr>
              <w:rFonts w:hint="eastAsia"/>
              <w:lang w:val="en-US" w:eastAsia="zh-CN"/>
            </w:rPr>
            <w:t>附件11  专家签到表</w:t>
          </w:r>
          <w:r>
            <w:tab/>
          </w:r>
          <w:r>
            <w:fldChar w:fldCharType="begin"/>
          </w:r>
          <w:r>
            <w:instrText xml:space="preserve"> PAGEREF _Toc31954 \h </w:instrText>
          </w:r>
          <w:r>
            <w:fldChar w:fldCharType="separate"/>
          </w:r>
          <w:r>
            <w:t>94</w:t>
          </w:r>
          <w:r>
            <w:fldChar w:fldCharType="end"/>
          </w:r>
          <w:r>
            <w:fldChar w:fldCharType="end"/>
          </w:r>
        </w:p>
        <w:p>
          <w:pPr>
            <w:spacing w:before="0" w:beforeLines="0" w:after="0" w:afterLines="0" w:line="240" w:lineRule="auto"/>
            <w:ind w:left="0" w:leftChars="0" w:right="0" w:rightChars="0" w:firstLine="0" w:firstLineChars="0"/>
            <w:jc w:val="center"/>
          </w:pPr>
          <w:r>
            <w:fldChar w:fldCharType="end"/>
          </w:r>
        </w:p>
      </w:sdtContent>
    </w:sdt>
    <w:p>
      <w:pPr>
        <w:pStyle w:val="4"/>
        <w:bidi w:val="0"/>
        <w:outlineLvl w:val="0"/>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4"/>
        <w:bidi w:val="0"/>
        <w:outlineLvl w:val="0"/>
        <w:rPr>
          <w:rFonts w:ascii="Times New Roman" w:hAnsi="Times New Roman" w:eastAsia="黑体"/>
          <w:snapToGrid w:val="0"/>
          <w:color w:val="auto"/>
          <w:szCs w:val="30"/>
        </w:rPr>
      </w:pPr>
      <w:bookmarkStart w:id="34" w:name="_GoBack"/>
      <w:bookmarkEnd w:id="34"/>
      <w:bookmarkStart w:id="10" w:name="_Toc17244"/>
      <w:r>
        <w:t>一、建设项目基本情况</w:t>
      </w:r>
      <w:bookmarkEnd w:id="10"/>
    </w:p>
    <w:tbl>
      <w:tblPr>
        <w:tblStyle w:val="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244"/>
        <w:gridCol w:w="1610"/>
        <w:gridCol w:w="2002"/>
        <w:gridCol w:w="24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color w:val="auto"/>
                <w:sz w:val="24"/>
                <w:szCs w:val="24"/>
              </w:rPr>
              <w:t>建设项目名称</w:t>
            </w:r>
          </w:p>
        </w:tc>
        <w:tc>
          <w:tcPr>
            <w:tcW w:w="6088" w:type="dxa"/>
            <w:gridSpan w:val="3"/>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rFonts w:hint="eastAsia"/>
                <w:sz w:val="24"/>
                <w:szCs w:val="24"/>
              </w:rPr>
              <w:t>衡阳市泰达能源发展有限公司衡阳市新竹加油站建设项目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color w:val="auto"/>
                <w:sz w:val="24"/>
                <w:szCs w:val="24"/>
              </w:rPr>
              <w:t>项目代码</w:t>
            </w:r>
          </w:p>
        </w:tc>
        <w:tc>
          <w:tcPr>
            <w:tcW w:w="6088" w:type="dxa"/>
            <w:gridSpan w:val="3"/>
            <w:vAlign w:val="center"/>
          </w:tcPr>
          <w:p>
            <w:pPr>
              <w:keepNext w:val="0"/>
              <w:keepLines w:val="0"/>
              <w:pageBreakBefore w:val="0"/>
              <w:widowControl w:val="0"/>
              <w:kinsoku/>
              <w:wordWrap/>
              <w:overflowPunct/>
              <w:topLinePunct w:val="0"/>
              <w:autoSpaceDE/>
              <w:autoSpaceDN/>
              <w:bidi w:val="0"/>
              <w:jc w:val="center"/>
              <w:textAlignment w:val="auto"/>
              <w:rPr>
                <w:color w:val="auto"/>
                <w:sz w:val="24"/>
                <w:szCs w:val="24"/>
              </w:rPr>
            </w:pPr>
            <w:r>
              <w:rPr>
                <w:rFonts w:hint="default" w:ascii="Times New Roman" w:hAnsi="Times New Roman" w:cs="Times New Roman"/>
                <w:sz w:val="24"/>
                <w:szCs w:val="24"/>
              </w:rPr>
              <w:t>2019-430473-52-03-050217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color w:val="auto"/>
                <w:sz w:val="24"/>
                <w:szCs w:val="24"/>
              </w:rPr>
              <w:t>建设单位联系人</w:t>
            </w:r>
          </w:p>
        </w:tc>
        <w:tc>
          <w:tcPr>
            <w:tcW w:w="161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color w:val="auto"/>
                <w:sz w:val="24"/>
                <w:szCs w:val="24"/>
                <w:lang w:val="en-US" w:eastAsia="zh-CN"/>
              </w:rPr>
            </w:pPr>
            <w:r>
              <w:rPr>
                <w:rFonts w:hint="eastAsia" w:eastAsia="宋体"/>
                <w:color w:val="auto"/>
                <w:sz w:val="24"/>
                <w:szCs w:val="24"/>
                <w:lang w:val="en-US" w:eastAsia="zh-CN"/>
              </w:rPr>
              <w:t>谭翔</w:t>
            </w:r>
          </w:p>
        </w:tc>
        <w:tc>
          <w:tcPr>
            <w:tcW w:w="2002" w:type="dxa"/>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color w:val="auto"/>
                <w:sz w:val="24"/>
                <w:szCs w:val="24"/>
              </w:rPr>
              <w:t>联系方式</w:t>
            </w:r>
          </w:p>
        </w:tc>
        <w:tc>
          <w:tcPr>
            <w:tcW w:w="2476" w:type="dxa"/>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rFonts w:hint="default" w:eastAsia="宋体"/>
                <w:color w:val="auto"/>
                <w:sz w:val="24"/>
                <w:szCs w:val="24"/>
                <w:lang w:val="en-US" w:eastAsia="zh-CN"/>
              </w:rPr>
            </w:pPr>
            <w:r>
              <w:rPr>
                <w:rFonts w:hint="eastAsia"/>
                <w:color w:val="auto"/>
                <w:sz w:val="24"/>
                <w:szCs w:val="24"/>
                <w:lang w:val="en-US" w:eastAsia="zh-CN"/>
              </w:rPr>
              <w:t>18674728883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u w:val="none"/>
              </w:rPr>
            </w:pPr>
            <w:r>
              <w:rPr>
                <w:color w:val="auto"/>
                <w:sz w:val="24"/>
                <w:szCs w:val="24"/>
                <w:u w:val="none"/>
              </w:rPr>
              <w:t>建设地点</w:t>
            </w:r>
          </w:p>
        </w:tc>
        <w:tc>
          <w:tcPr>
            <w:tcW w:w="6088" w:type="dxa"/>
            <w:gridSpan w:val="3"/>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u w:val="none"/>
              </w:rPr>
            </w:pPr>
            <w:r>
              <w:rPr>
                <w:rFonts w:hint="eastAsia"/>
                <w:color w:val="auto"/>
                <w:sz w:val="24"/>
                <w:szCs w:val="24"/>
                <w:u w:val="none"/>
              </w:rPr>
              <w:t>湖南省衡阳市松木经济开发区107国道以西化工路以南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color w:val="auto"/>
                <w:sz w:val="24"/>
                <w:szCs w:val="24"/>
              </w:rPr>
              <w:t>地理坐标</w:t>
            </w:r>
          </w:p>
        </w:tc>
        <w:tc>
          <w:tcPr>
            <w:tcW w:w="6088" w:type="dxa"/>
            <w:gridSpan w:val="3"/>
            <w:vAlign w:val="center"/>
          </w:tcPr>
          <w:p>
            <w:pPr>
              <w:keepNext w:val="0"/>
              <w:keepLines w:val="0"/>
              <w:pageBreakBefore w:val="0"/>
              <w:widowControl w:val="0"/>
              <w:kinsoku/>
              <w:wordWrap/>
              <w:overflowPunct/>
              <w:topLinePunct w:val="0"/>
              <w:autoSpaceDE/>
              <w:autoSpaceDN/>
              <w:bidi w:val="0"/>
              <w:ind w:left="24" w:leftChars="10"/>
              <w:jc w:val="center"/>
              <w:textAlignment w:val="auto"/>
              <w:rPr>
                <w:color w:val="auto"/>
                <w:sz w:val="24"/>
                <w:szCs w:val="24"/>
              </w:rPr>
            </w:pPr>
            <w:r>
              <w:rPr>
                <w:rFonts w:hint="eastAsia"/>
                <w:color w:val="auto"/>
                <w:sz w:val="24"/>
                <w:szCs w:val="24"/>
              </w:rPr>
              <w:t>（</w:t>
            </w:r>
            <w:r>
              <w:rPr>
                <w:rFonts w:hint="eastAsia"/>
                <w:color w:val="auto"/>
                <w:sz w:val="24"/>
                <w:szCs w:val="24"/>
                <w:u w:val="single"/>
              </w:rPr>
              <w:t>11</w:t>
            </w:r>
            <w:r>
              <w:rPr>
                <w:rFonts w:hint="eastAsia"/>
                <w:color w:val="auto"/>
                <w:sz w:val="24"/>
                <w:szCs w:val="24"/>
                <w:u w:val="single"/>
                <w:lang w:val="en-US" w:eastAsia="zh-CN"/>
              </w:rPr>
              <w:t>2</w:t>
            </w:r>
            <w:r>
              <w:rPr>
                <w:rFonts w:hint="eastAsia"/>
                <w:color w:val="auto"/>
                <w:sz w:val="24"/>
                <w:szCs w:val="24"/>
              </w:rPr>
              <w:t xml:space="preserve">度 </w:t>
            </w:r>
            <w:r>
              <w:rPr>
                <w:rFonts w:hint="eastAsia"/>
                <w:color w:val="auto"/>
                <w:sz w:val="24"/>
                <w:szCs w:val="24"/>
                <w:u w:val="single"/>
              </w:rPr>
              <w:t>3</w:t>
            </w:r>
            <w:r>
              <w:rPr>
                <w:rFonts w:hint="eastAsia"/>
                <w:color w:val="auto"/>
                <w:sz w:val="24"/>
                <w:szCs w:val="24"/>
                <w:u w:val="single"/>
                <w:lang w:val="en-US" w:eastAsia="zh-CN"/>
              </w:rPr>
              <w:t>7</w:t>
            </w:r>
            <w:r>
              <w:rPr>
                <w:rFonts w:hint="eastAsia"/>
                <w:color w:val="auto"/>
                <w:sz w:val="24"/>
                <w:szCs w:val="24"/>
              </w:rPr>
              <w:t>分</w:t>
            </w:r>
            <w:r>
              <w:rPr>
                <w:rFonts w:hint="eastAsia"/>
                <w:color w:val="auto"/>
                <w:sz w:val="24"/>
                <w:szCs w:val="24"/>
                <w:u w:val="single"/>
              </w:rPr>
              <w:t>3.648</w:t>
            </w:r>
            <w:r>
              <w:rPr>
                <w:rFonts w:hint="eastAsia"/>
                <w:color w:val="auto"/>
                <w:sz w:val="24"/>
                <w:szCs w:val="24"/>
              </w:rPr>
              <w:t>秒，</w:t>
            </w:r>
            <w:r>
              <w:rPr>
                <w:rFonts w:hint="eastAsia"/>
                <w:color w:val="auto"/>
                <w:sz w:val="24"/>
                <w:szCs w:val="24"/>
                <w:u w:val="single"/>
              </w:rPr>
              <w:t>26</w:t>
            </w:r>
            <w:r>
              <w:rPr>
                <w:rFonts w:hint="eastAsia"/>
                <w:color w:val="auto"/>
                <w:sz w:val="24"/>
                <w:szCs w:val="24"/>
              </w:rPr>
              <w:t>度</w:t>
            </w:r>
            <w:r>
              <w:rPr>
                <w:rFonts w:hint="eastAsia"/>
                <w:color w:val="auto"/>
                <w:sz w:val="24"/>
                <w:szCs w:val="24"/>
                <w:u w:val="single"/>
              </w:rPr>
              <w:t>58</w:t>
            </w:r>
            <w:r>
              <w:rPr>
                <w:rFonts w:hint="eastAsia"/>
                <w:color w:val="auto"/>
                <w:sz w:val="24"/>
                <w:szCs w:val="24"/>
              </w:rPr>
              <w:t>分</w:t>
            </w:r>
            <w:r>
              <w:rPr>
                <w:rFonts w:hint="eastAsia"/>
                <w:color w:val="auto"/>
                <w:sz w:val="24"/>
                <w:szCs w:val="24"/>
                <w:u w:val="single"/>
              </w:rPr>
              <w:t>23.664</w:t>
            </w:r>
            <w:r>
              <w:rPr>
                <w:rFonts w:hint="eastAsia"/>
                <w:color w:val="auto"/>
                <w:sz w:val="24"/>
                <w:szCs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244"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color w:val="auto"/>
                <w:sz w:val="24"/>
                <w:szCs w:val="24"/>
              </w:rPr>
              <w:t>国民经济</w:t>
            </w:r>
          </w:p>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color w:val="auto"/>
                <w:sz w:val="24"/>
                <w:szCs w:val="24"/>
              </w:rPr>
              <w:t>行业类别</w:t>
            </w:r>
          </w:p>
        </w:tc>
        <w:tc>
          <w:tcPr>
            <w:tcW w:w="1610" w:type="dxa"/>
            <w:vAlign w:val="center"/>
          </w:tcPr>
          <w:p>
            <w:pPr>
              <w:keepNext w:val="0"/>
              <w:keepLines w:val="0"/>
              <w:pageBreakBefore w:val="0"/>
              <w:widowControl w:val="0"/>
              <w:kinsoku/>
              <w:wordWrap/>
              <w:overflowPunct/>
              <w:topLinePunct w:val="0"/>
              <w:autoSpaceDE/>
              <w:autoSpaceDN/>
              <w:bidi w:val="0"/>
              <w:ind w:left="24" w:leftChars="10" w:firstLine="0" w:firstLineChars="0"/>
              <w:jc w:val="center"/>
              <w:textAlignment w:val="auto"/>
              <w:rPr>
                <w:color w:val="auto"/>
                <w:sz w:val="24"/>
                <w:szCs w:val="24"/>
              </w:rPr>
            </w:pPr>
            <w:r>
              <w:rPr>
                <w:rFonts w:hint="eastAsia"/>
                <w:color w:val="auto"/>
                <w:sz w:val="24"/>
                <w:szCs w:val="24"/>
              </w:rPr>
              <w:t>机动车燃料零售 F5265</w:t>
            </w:r>
          </w:p>
        </w:tc>
        <w:tc>
          <w:tcPr>
            <w:tcW w:w="2002" w:type="dxa"/>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bookmarkStart w:id="11" w:name="_Hlk49843745"/>
            <w:r>
              <w:rPr>
                <w:color w:val="auto"/>
                <w:sz w:val="24"/>
                <w:szCs w:val="24"/>
              </w:rPr>
              <w:t>建设项目</w:t>
            </w:r>
          </w:p>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color w:val="auto"/>
                <w:sz w:val="24"/>
                <w:szCs w:val="24"/>
              </w:rPr>
            </w:pPr>
            <w:r>
              <w:rPr>
                <w:color w:val="auto"/>
                <w:sz w:val="24"/>
                <w:szCs w:val="24"/>
              </w:rPr>
              <w:t>行业类别</w:t>
            </w:r>
            <w:bookmarkEnd w:id="11"/>
          </w:p>
        </w:tc>
        <w:tc>
          <w:tcPr>
            <w:tcW w:w="2476" w:type="dxa"/>
            <w:vAlign w:val="center"/>
          </w:tcPr>
          <w:p>
            <w:pPr>
              <w:keepNext w:val="0"/>
              <w:keepLines w:val="0"/>
              <w:pageBreakBefore w:val="0"/>
              <w:widowControl w:val="0"/>
              <w:kinsoku/>
              <w:wordWrap/>
              <w:overflowPunct/>
              <w:topLinePunct w:val="0"/>
              <w:autoSpaceDE/>
              <w:autoSpaceDN/>
              <w:bidi w:val="0"/>
              <w:adjustRightInd w:val="0"/>
              <w:snapToGrid w:val="0"/>
              <w:ind w:left="24" w:leftChars="10"/>
              <w:jc w:val="center"/>
              <w:textAlignment w:val="auto"/>
              <w:rPr>
                <w:rFonts w:hint="default" w:eastAsia="宋体"/>
                <w:color w:val="auto"/>
                <w:sz w:val="24"/>
                <w:szCs w:val="24"/>
                <w:lang w:val="en-US" w:eastAsia="zh-CN"/>
              </w:rPr>
            </w:pPr>
            <w:r>
              <w:rPr>
                <w:rFonts w:hint="eastAsia"/>
                <w:color w:val="auto"/>
                <w:sz w:val="24"/>
                <w:szCs w:val="24"/>
                <w:lang w:eastAsia="zh-CN"/>
              </w:rPr>
              <w:t>五十、社会事业与服务业-119、加油、</w:t>
            </w:r>
            <w:r>
              <w:rPr>
                <w:rFonts w:hint="eastAsia"/>
                <w:color w:val="auto"/>
                <w:sz w:val="24"/>
                <w:szCs w:val="24"/>
                <w:lang w:val="en-US" w:eastAsia="zh-CN"/>
              </w:rPr>
              <w:t>加气站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244" w:type="dxa"/>
            <w:tcMar>
              <w:top w:w="16" w:type="dxa"/>
              <w:left w:w="16" w:type="dxa"/>
              <w:right w:w="16" w:type="dxa"/>
            </w:tcMar>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建设性质</w:t>
            </w:r>
          </w:p>
        </w:tc>
        <w:tc>
          <w:tcPr>
            <w:tcW w:w="1610" w:type="dxa"/>
            <w:vAlign w:val="center"/>
          </w:tcPr>
          <w:p>
            <w:pPr>
              <w:keepNext w:val="0"/>
              <w:keepLines w:val="0"/>
              <w:pageBreakBefore w:val="0"/>
              <w:kinsoku/>
              <w:wordWrap/>
              <w:overflowPunct/>
              <w:topLinePunct w:val="0"/>
              <w:bidi w:val="0"/>
              <w:ind w:left="24" w:leftChars="10"/>
              <w:jc w:val="left"/>
              <w:textAlignment w:val="auto"/>
              <w:rPr>
                <w:color w:val="auto"/>
                <w:sz w:val="24"/>
                <w:szCs w:val="24"/>
              </w:rPr>
            </w:pPr>
            <w:r>
              <w:rPr>
                <w:color w:val="auto"/>
                <w:sz w:val="24"/>
                <w:szCs w:val="24"/>
              </w:rPr>
              <w:sym w:font="Wingdings" w:char="00FE"/>
            </w:r>
            <w:r>
              <w:rPr>
                <w:color w:val="auto"/>
                <w:sz w:val="24"/>
                <w:szCs w:val="24"/>
              </w:rPr>
              <w:t>新建（迁建）</w:t>
            </w:r>
          </w:p>
          <w:p>
            <w:pPr>
              <w:keepNext w:val="0"/>
              <w:keepLines w:val="0"/>
              <w:pageBreakBefore w:val="0"/>
              <w:kinsoku/>
              <w:wordWrap/>
              <w:overflowPunct/>
              <w:topLinePunct w:val="0"/>
              <w:bidi w:val="0"/>
              <w:ind w:left="24" w:leftChars="10"/>
              <w:jc w:val="left"/>
              <w:textAlignment w:val="auto"/>
              <w:rPr>
                <w:color w:val="auto"/>
                <w:sz w:val="24"/>
                <w:szCs w:val="24"/>
              </w:rPr>
            </w:pPr>
            <w:r>
              <w:rPr>
                <w:color w:val="auto"/>
                <w:sz w:val="24"/>
                <w:szCs w:val="24"/>
              </w:rPr>
              <w:sym w:font="Wingdings" w:char="00A8"/>
            </w:r>
            <w:r>
              <w:rPr>
                <w:color w:val="auto"/>
                <w:sz w:val="24"/>
                <w:szCs w:val="24"/>
              </w:rPr>
              <w:t>改建</w:t>
            </w:r>
          </w:p>
          <w:p>
            <w:pPr>
              <w:keepNext w:val="0"/>
              <w:keepLines w:val="0"/>
              <w:pageBreakBefore w:val="0"/>
              <w:kinsoku/>
              <w:wordWrap/>
              <w:overflowPunct/>
              <w:topLinePunct w:val="0"/>
              <w:bidi w:val="0"/>
              <w:ind w:left="24" w:leftChars="10"/>
              <w:jc w:val="left"/>
              <w:textAlignment w:val="auto"/>
              <w:rPr>
                <w:color w:val="auto"/>
                <w:sz w:val="24"/>
                <w:szCs w:val="24"/>
              </w:rPr>
            </w:pPr>
            <w:r>
              <w:rPr>
                <w:color w:val="auto"/>
                <w:sz w:val="24"/>
                <w:szCs w:val="24"/>
              </w:rPr>
              <w:sym w:font="Wingdings" w:char="00A8"/>
            </w:r>
            <w:r>
              <w:rPr>
                <w:color w:val="auto"/>
                <w:sz w:val="24"/>
                <w:szCs w:val="24"/>
              </w:rPr>
              <w:t>扩建</w:t>
            </w:r>
          </w:p>
          <w:p>
            <w:pPr>
              <w:keepNext w:val="0"/>
              <w:keepLines w:val="0"/>
              <w:pageBreakBefore w:val="0"/>
              <w:kinsoku/>
              <w:wordWrap/>
              <w:overflowPunct/>
              <w:topLinePunct w:val="0"/>
              <w:bidi w:val="0"/>
              <w:ind w:left="24" w:leftChars="10"/>
              <w:jc w:val="left"/>
              <w:textAlignment w:val="auto"/>
              <w:rPr>
                <w:color w:val="auto"/>
                <w:sz w:val="24"/>
                <w:szCs w:val="24"/>
              </w:rPr>
            </w:pPr>
            <w:r>
              <w:rPr>
                <w:color w:val="auto"/>
                <w:sz w:val="24"/>
                <w:szCs w:val="24"/>
              </w:rPr>
              <w:sym w:font="Wingdings" w:char="00A8"/>
            </w:r>
            <w:r>
              <w:rPr>
                <w:color w:val="auto"/>
                <w:sz w:val="24"/>
                <w:szCs w:val="24"/>
              </w:rPr>
              <w:t>技术改造</w:t>
            </w:r>
          </w:p>
        </w:tc>
        <w:tc>
          <w:tcPr>
            <w:tcW w:w="2002" w:type="dxa"/>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建设项目</w:t>
            </w:r>
          </w:p>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申报情形</w:t>
            </w:r>
          </w:p>
        </w:tc>
        <w:tc>
          <w:tcPr>
            <w:tcW w:w="2476" w:type="dxa"/>
            <w:vAlign w:val="center"/>
          </w:tcPr>
          <w:p>
            <w:pPr>
              <w:keepNext w:val="0"/>
              <w:keepLines w:val="0"/>
              <w:pageBreakBefore w:val="0"/>
              <w:kinsoku/>
              <w:wordWrap/>
              <w:overflowPunct/>
              <w:topLinePunct w:val="0"/>
              <w:bidi w:val="0"/>
              <w:ind w:left="24" w:leftChars="10"/>
              <w:jc w:val="left"/>
              <w:textAlignment w:val="auto"/>
              <w:rPr>
                <w:color w:val="auto"/>
                <w:sz w:val="24"/>
                <w:szCs w:val="24"/>
              </w:rPr>
            </w:pPr>
            <w:r>
              <w:rPr>
                <w:color w:val="auto"/>
                <w:sz w:val="24"/>
                <w:szCs w:val="24"/>
              </w:rPr>
              <w:sym w:font="Wingdings" w:char="00FE"/>
            </w:r>
            <w:r>
              <w:rPr>
                <w:color w:val="auto"/>
                <w:sz w:val="24"/>
                <w:szCs w:val="24"/>
              </w:rPr>
              <w:t xml:space="preserve">首次申报项目             </w:t>
            </w:r>
          </w:p>
          <w:p>
            <w:pPr>
              <w:keepNext w:val="0"/>
              <w:keepLines w:val="0"/>
              <w:pageBreakBefore w:val="0"/>
              <w:kinsoku/>
              <w:wordWrap/>
              <w:overflowPunct/>
              <w:topLinePunct w:val="0"/>
              <w:bidi w:val="0"/>
              <w:ind w:left="24" w:leftChars="10"/>
              <w:jc w:val="left"/>
              <w:textAlignment w:val="auto"/>
              <w:rPr>
                <w:color w:val="auto"/>
                <w:sz w:val="24"/>
                <w:szCs w:val="24"/>
              </w:rPr>
            </w:pPr>
            <w:r>
              <w:rPr>
                <w:color w:val="auto"/>
                <w:sz w:val="24"/>
                <w:szCs w:val="24"/>
              </w:rPr>
              <w:sym w:font="Wingdings" w:char="00A8"/>
            </w:r>
            <w:r>
              <w:rPr>
                <w:color w:val="auto"/>
                <w:sz w:val="24"/>
                <w:szCs w:val="24"/>
              </w:rPr>
              <w:t>不予批准后再次申报项目</w:t>
            </w:r>
          </w:p>
          <w:p>
            <w:pPr>
              <w:keepNext w:val="0"/>
              <w:keepLines w:val="0"/>
              <w:pageBreakBefore w:val="0"/>
              <w:kinsoku/>
              <w:wordWrap/>
              <w:overflowPunct/>
              <w:topLinePunct w:val="0"/>
              <w:bidi w:val="0"/>
              <w:ind w:left="24" w:leftChars="10"/>
              <w:jc w:val="left"/>
              <w:textAlignment w:val="auto"/>
              <w:rPr>
                <w:color w:val="auto"/>
                <w:sz w:val="24"/>
                <w:szCs w:val="24"/>
              </w:rPr>
            </w:pPr>
            <w:r>
              <w:rPr>
                <w:color w:val="auto"/>
                <w:sz w:val="24"/>
                <w:szCs w:val="24"/>
              </w:rPr>
              <w:sym w:font="Wingdings" w:char="00A8"/>
            </w:r>
            <w:r>
              <w:rPr>
                <w:color w:val="auto"/>
                <w:sz w:val="24"/>
                <w:szCs w:val="24"/>
              </w:rPr>
              <w:t xml:space="preserve">超五年重新审核项目     </w:t>
            </w:r>
          </w:p>
          <w:p>
            <w:pPr>
              <w:keepNext w:val="0"/>
              <w:keepLines w:val="0"/>
              <w:pageBreakBefore w:val="0"/>
              <w:kinsoku/>
              <w:wordWrap/>
              <w:overflowPunct/>
              <w:topLinePunct w:val="0"/>
              <w:bidi w:val="0"/>
              <w:ind w:left="24" w:leftChars="10"/>
              <w:jc w:val="left"/>
              <w:textAlignment w:val="auto"/>
              <w:rPr>
                <w:color w:val="auto"/>
                <w:sz w:val="24"/>
                <w:szCs w:val="24"/>
              </w:rPr>
            </w:pPr>
            <w:r>
              <w:rPr>
                <w:color w:val="auto"/>
                <w:sz w:val="24"/>
                <w:szCs w:val="24"/>
              </w:rPr>
              <w:sym w:font="Wingdings" w:char="00A8"/>
            </w:r>
            <w:r>
              <w:rPr>
                <w:color w:val="auto"/>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51" w:hRule="atLeast"/>
          <w:jc w:val="center"/>
        </w:trPr>
        <w:tc>
          <w:tcPr>
            <w:tcW w:w="2244" w:type="dxa"/>
            <w:tcMar>
              <w:top w:w="16" w:type="dxa"/>
              <w:left w:w="16" w:type="dxa"/>
              <w:right w:w="16" w:type="dxa"/>
            </w:tcMar>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项目审批（核准</w:t>
            </w:r>
            <w:r>
              <w:rPr>
                <w:rFonts w:ascii="Calibri" w:hAnsi="Calibri" w:cs="Calibri"/>
                <w:color w:val="auto"/>
                <w:sz w:val="24"/>
                <w:szCs w:val="24"/>
              </w:rPr>
              <w:t>/</w:t>
            </w:r>
          </w:p>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备案）部门（选填）</w:t>
            </w:r>
          </w:p>
        </w:tc>
        <w:tc>
          <w:tcPr>
            <w:tcW w:w="1610" w:type="dxa"/>
            <w:vAlign w:val="center"/>
          </w:tcPr>
          <w:p>
            <w:pPr>
              <w:keepNext w:val="0"/>
              <w:keepLines w:val="0"/>
              <w:pageBreakBefore w:val="0"/>
              <w:kinsoku/>
              <w:wordWrap/>
              <w:overflowPunct/>
              <w:topLinePunct w:val="0"/>
              <w:bidi w:val="0"/>
              <w:adjustRightInd w:val="0"/>
              <w:snapToGrid w:val="0"/>
              <w:ind w:left="24" w:leftChars="10"/>
              <w:jc w:val="center"/>
              <w:textAlignment w:val="auto"/>
              <w:rPr>
                <w:rFonts w:hint="default" w:eastAsia="宋体"/>
                <w:color w:val="auto"/>
                <w:sz w:val="24"/>
                <w:szCs w:val="24"/>
                <w:lang w:val="en-US" w:eastAsia="zh-CN"/>
              </w:rPr>
            </w:pPr>
            <w:r>
              <w:rPr>
                <w:rFonts w:hint="eastAsia" w:ascii="Calibri" w:hAnsi="Calibri" w:cs="Calibri"/>
                <w:color w:val="auto"/>
                <w:sz w:val="24"/>
                <w:szCs w:val="24"/>
                <w:lang w:val="en-US" w:eastAsia="zh-CN"/>
              </w:rPr>
              <w:t>衡阳松木经济开发区管理委员会；衡阳松木经济开发区招商合作局</w:t>
            </w:r>
          </w:p>
        </w:tc>
        <w:tc>
          <w:tcPr>
            <w:tcW w:w="2002" w:type="dxa"/>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项目审批（核准</w:t>
            </w:r>
            <w:r>
              <w:rPr>
                <w:rFonts w:ascii="Calibri" w:hAnsi="Calibri" w:cs="Calibri"/>
                <w:color w:val="auto"/>
                <w:sz w:val="24"/>
                <w:szCs w:val="24"/>
              </w:rPr>
              <w:t>/</w:t>
            </w:r>
          </w:p>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备案）文号（选填）</w:t>
            </w:r>
          </w:p>
        </w:tc>
        <w:tc>
          <w:tcPr>
            <w:tcW w:w="2476" w:type="dxa"/>
            <w:vAlign w:val="center"/>
          </w:tcPr>
          <w:p>
            <w:pPr>
              <w:keepNext w:val="0"/>
              <w:keepLines w:val="0"/>
              <w:pageBreakBefore w:val="0"/>
              <w:kinsoku/>
              <w:wordWrap/>
              <w:overflowPunct/>
              <w:topLinePunct w:val="0"/>
              <w:bidi w:val="0"/>
              <w:adjustRightInd w:val="0"/>
              <w:snapToGrid w:val="0"/>
              <w:ind w:left="24" w:leftChars="10"/>
              <w:jc w:val="center"/>
              <w:textAlignment w:val="auto"/>
              <w:rPr>
                <w:rFonts w:hint="eastAsia" w:eastAsia="宋体"/>
                <w:color w:val="auto"/>
                <w:sz w:val="24"/>
                <w:szCs w:val="24"/>
                <w:lang w:val="en-US" w:eastAsia="zh-CN"/>
              </w:rPr>
            </w:pPr>
            <w:r>
              <w:rPr>
                <w:rFonts w:hint="eastAsia" w:ascii="Calibri" w:hAnsi="Calibri" w:cs="Calibri"/>
                <w:color w:val="auto"/>
                <w:sz w:val="24"/>
                <w:szCs w:val="24"/>
                <w:lang w:val="en-US" w:eastAsia="zh-CN"/>
              </w:rPr>
              <w:t>衡松审批</w:t>
            </w:r>
            <w:r>
              <w:rPr>
                <w:rFonts w:hint="default" w:ascii="Times New Roman" w:hAnsi="Times New Roman" w:cs="Times New Roman"/>
                <w:color w:val="auto"/>
                <w:sz w:val="24"/>
                <w:szCs w:val="24"/>
                <w:lang w:val="en-US" w:eastAsia="zh-CN"/>
              </w:rPr>
              <w:t>〔2020〕4</w:t>
            </w:r>
            <w:r>
              <w:rPr>
                <w:rFonts w:hint="eastAsia" w:ascii="Calibri" w:hAnsi="Calibri" w:cs="Calibri"/>
                <w:color w:val="auto"/>
                <w:sz w:val="24"/>
                <w:szCs w:val="24"/>
                <w:lang w:val="en-US" w:eastAsia="zh-CN"/>
              </w:rPr>
              <w:t>号；衡松备案</w:t>
            </w:r>
            <w:r>
              <w:rPr>
                <w:rFonts w:hint="default" w:ascii="Times New Roman" w:hAnsi="Times New Roman" w:cs="Times New Roman"/>
                <w:color w:val="auto"/>
                <w:sz w:val="24"/>
                <w:szCs w:val="24"/>
                <w:lang w:val="en-US" w:eastAsia="zh-CN"/>
              </w:rPr>
              <w:t>〔2022〕28</w:t>
            </w:r>
            <w:r>
              <w:rPr>
                <w:rFonts w:hint="eastAsia" w:ascii="Calibri" w:hAnsi="Calibri" w:cs="Calibri"/>
                <w:color w:val="auto"/>
                <w:sz w:val="24"/>
                <w:szCs w:val="24"/>
                <w:lang w:val="en-US" w:eastAsia="zh-CN"/>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总投资（万元）</w:t>
            </w:r>
          </w:p>
        </w:tc>
        <w:tc>
          <w:tcPr>
            <w:tcW w:w="1610" w:type="dxa"/>
            <w:vAlign w:val="center"/>
          </w:tcPr>
          <w:p>
            <w:pPr>
              <w:keepNext w:val="0"/>
              <w:keepLines w:val="0"/>
              <w:pageBreakBefore w:val="0"/>
              <w:kinsoku/>
              <w:wordWrap/>
              <w:overflowPunct/>
              <w:topLinePunct w:val="0"/>
              <w:bidi w:val="0"/>
              <w:adjustRightInd w:val="0"/>
              <w:snapToGrid w:val="0"/>
              <w:ind w:left="24" w:leftChars="10"/>
              <w:jc w:val="center"/>
              <w:textAlignment w:val="auto"/>
              <w:rPr>
                <w:rFonts w:hint="default" w:eastAsia="宋体"/>
                <w:color w:val="auto"/>
                <w:sz w:val="24"/>
                <w:szCs w:val="24"/>
                <w:lang w:val="en-US" w:eastAsia="zh-CN"/>
              </w:rPr>
            </w:pPr>
            <w:r>
              <w:rPr>
                <w:rFonts w:hint="eastAsia"/>
                <w:color w:val="auto"/>
                <w:sz w:val="24"/>
                <w:szCs w:val="24"/>
                <w:lang w:val="en-US" w:eastAsia="zh-CN"/>
              </w:rPr>
              <w:t>4300.00</w:t>
            </w:r>
          </w:p>
        </w:tc>
        <w:tc>
          <w:tcPr>
            <w:tcW w:w="2002" w:type="dxa"/>
            <w:tcMar>
              <w:top w:w="16" w:type="dxa"/>
              <w:left w:w="16" w:type="dxa"/>
              <w:right w:w="16" w:type="dxa"/>
            </w:tcMar>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环保投资（万元）</w:t>
            </w:r>
          </w:p>
        </w:tc>
        <w:tc>
          <w:tcPr>
            <w:tcW w:w="2476" w:type="dxa"/>
            <w:vAlign w:val="center"/>
          </w:tcPr>
          <w:p>
            <w:pPr>
              <w:keepNext w:val="0"/>
              <w:keepLines w:val="0"/>
              <w:pageBreakBefore w:val="0"/>
              <w:kinsoku/>
              <w:wordWrap/>
              <w:overflowPunct/>
              <w:topLinePunct w:val="0"/>
              <w:bidi w:val="0"/>
              <w:adjustRightInd w:val="0"/>
              <w:snapToGrid w:val="0"/>
              <w:ind w:left="24" w:leftChars="10"/>
              <w:jc w:val="center"/>
              <w:textAlignment w:val="auto"/>
              <w:rPr>
                <w:rFonts w:hint="default" w:eastAsia="宋体"/>
                <w:color w:val="auto"/>
                <w:sz w:val="24"/>
                <w:szCs w:val="24"/>
                <w:lang w:val="en-US" w:eastAsia="zh-CN"/>
              </w:rPr>
            </w:pPr>
            <w:r>
              <w:rPr>
                <w:rFonts w:hint="eastAsia"/>
                <w:color w:val="auto"/>
                <w:sz w:val="24"/>
                <w:szCs w:val="24"/>
                <w:lang w:val="en-US" w:eastAsia="zh-CN"/>
              </w:rPr>
              <w:t>240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环保投资占比（%）</w:t>
            </w:r>
          </w:p>
        </w:tc>
        <w:tc>
          <w:tcPr>
            <w:tcW w:w="1610" w:type="dxa"/>
            <w:vAlign w:val="center"/>
          </w:tcPr>
          <w:p>
            <w:pPr>
              <w:keepNext w:val="0"/>
              <w:keepLines w:val="0"/>
              <w:pageBreakBefore w:val="0"/>
              <w:kinsoku/>
              <w:wordWrap/>
              <w:overflowPunct/>
              <w:topLinePunct w:val="0"/>
              <w:bidi w:val="0"/>
              <w:adjustRightInd w:val="0"/>
              <w:snapToGrid w:val="0"/>
              <w:ind w:left="24" w:leftChars="10"/>
              <w:jc w:val="center"/>
              <w:textAlignment w:val="auto"/>
              <w:rPr>
                <w:rFonts w:hint="default" w:eastAsia="宋体"/>
                <w:color w:val="auto"/>
                <w:sz w:val="24"/>
                <w:szCs w:val="24"/>
                <w:lang w:val="en-US" w:eastAsia="zh-CN"/>
              </w:rPr>
            </w:pPr>
            <w:r>
              <w:rPr>
                <w:rFonts w:hint="eastAsia"/>
                <w:color w:val="auto"/>
                <w:sz w:val="24"/>
                <w:szCs w:val="24"/>
                <w:lang w:val="en-US" w:eastAsia="zh-CN"/>
              </w:rPr>
              <w:t>5.6</w:t>
            </w:r>
          </w:p>
        </w:tc>
        <w:tc>
          <w:tcPr>
            <w:tcW w:w="2002" w:type="dxa"/>
            <w:tcMar>
              <w:top w:w="16" w:type="dxa"/>
              <w:left w:w="16" w:type="dxa"/>
              <w:right w:w="16" w:type="dxa"/>
            </w:tcMar>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施工工期</w:t>
            </w:r>
          </w:p>
        </w:tc>
        <w:tc>
          <w:tcPr>
            <w:tcW w:w="2476" w:type="dxa"/>
            <w:vAlign w:val="center"/>
          </w:tcPr>
          <w:p>
            <w:pPr>
              <w:keepNext w:val="0"/>
              <w:keepLines w:val="0"/>
              <w:pageBreakBefore w:val="0"/>
              <w:kinsoku/>
              <w:wordWrap/>
              <w:overflowPunct/>
              <w:topLinePunct w:val="0"/>
              <w:bidi w:val="0"/>
              <w:adjustRightInd w:val="0"/>
              <w:snapToGrid w:val="0"/>
              <w:ind w:left="24" w:leftChars="10"/>
              <w:jc w:val="center"/>
              <w:textAlignment w:val="auto"/>
              <w:rPr>
                <w:rFonts w:hint="eastAsia" w:eastAsia="宋体"/>
                <w:color w:val="auto"/>
                <w:sz w:val="24"/>
                <w:szCs w:val="24"/>
                <w:lang w:val="en-US" w:eastAsia="zh-CN"/>
              </w:rPr>
            </w:pPr>
            <w:r>
              <w:rPr>
                <w:rFonts w:hint="eastAsia"/>
                <w:color w:val="auto"/>
                <w:sz w:val="24"/>
                <w:szCs w:val="24"/>
                <w:lang w:val="en-US" w:eastAsia="zh-CN"/>
              </w:rPr>
              <w:t>4个月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2244" w:type="dxa"/>
            <w:tcMar>
              <w:top w:w="16" w:type="dxa"/>
              <w:left w:w="16" w:type="dxa"/>
              <w:right w:w="16" w:type="dxa"/>
            </w:tcMar>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是否开工建设</w:t>
            </w:r>
          </w:p>
        </w:tc>
        <w:tc>
          <w:tcPr>
            <w:tcW w:w="1610" w:type="dxa"/>
            <w:vAlign w:val="center"/>
          </w:tcPr>
          <w:p>
            <w:pPr>
              <w:keepNext w:val="0"/>
              <w:keepLines w:val="0"/>
              <w:pageBreakBefore w:val="0"/>
              <w:kinsoku/>
              <w:wordWrap/>
              <w:overflowPunct/>
              <w:topLinePunct w:val="0"/>
              <w:bidi w:val="0"/>
              <w:adjustRightInd w:val="0"/>
              <w:snapToGrid w:val="0"/>
              <w:ind w:left="24" w:leftChars="10"/>
              <w:textAlignment w:val="auto"/>
              <w:rPr>
                <w:color w:val="auto"/>
                <w:sz w:val="24"/>
                <w:szCs w:val="24"/>
              </w:rPr>
            </w:pPr>
            <w:r>
              <w:rPr>
                <w:color w:val="auto"/>
                <w:sz w:val="24"/>
                <w:szCs w:val="24"/>
              </w:rPr>
              <w:sym w:font="Wingdings" w:char="00FE"/>
            </w:r>
            <w:r>
              <w:rPr>
                <w:color w:val="auto"/>
                <w:sz w:val="24"/>
                <w:szCs w:val="24"/>
              </w:rPr>
              <w:t>否</w:t>
            </w:r>
          </w:p>
          <w:p>
            <w:pPr>
              <w:keepNext w:val="0"/>
              <w:keepLines w:val="0"/>
              <w:pageBreakBefore w:val="0"/>
              <w:kinsoku/>
              <w:wordWrap/>
              <w:overflowPunct/>
              <w:topLinePunct w:val="0"/>
              <w:bidi w:val="0"/>
              <w:adjustRightInd w:val="0"/>
              <w:snapToGrid w:val="0"/>
              <w:ind w:left="24" w:leftChars="10"/>
              <w:textAlignment w:val="auto"/>
              <w:rPr>
                <w:color w:val="auto"/>
                <w:sz w:val="24"/>
                <w:szCs w:val="24"/>
              </w:rPr>
            </w:pPr>
            <w:r>
              <w:rPr>
                <w:color w:val="auto"/>
                <w:sz w:val="24"/>
                <w:szCs w:val="24"/>
              </w:rPr>
              <w:sym w:font="Wingdings" w:char="00A8"/>
            </w:r>
            <w:r>
              <w:rPr>
                <w:color w:val="auto"/>
                <w:sz w:val="24"/>
                <w:szCs w:val="24"/>
              </w:rPr>
              <w:t>是</w:t>
            </w:r>
          </w:p>
        </w:tc>
        <w:tc>
          <w:tcPr>
            <w:tcW w:w="2002" w:type="dxa"/>
            <w:tcMar>
              <w:top w:w="16" w:type="dxa"/>
              <w:left w:w="16" w:type="dxa"/>
              <w:right w:w="16" w:type="dxa"/>
            </w:tcMar>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pacing w:val="-6"/>
                <w:sz w:val="24"/>
                <w:szCs w:val="24"/>
              </w:rPr>
            </w:pPr>
            <w:r>
              <w:rPr>
                <w:color w:val="auto"/>
                <w:spacing w:val="-6"/>
                <w:sz w:val="24"/>
                <w:szCs w:val="24"/>
              </w:rPr>
              <w:t>用地（用海）</w:t>
            </w:r>
          </w:p>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pacing w:val="-6"/>
                <w:sz w:val="24"/>
                <w:szCs w:val="24"/>
              </w:rPr>
              <w:t>面积（m</w:t>
            </w:r>
            <w:r>
              <w:rPr>
                <w:color w:val="auto"/>
                <w:spacing w:val="-6"/>
                <w:sz w:val="24"/>
                <w:szCs w:val="24"/>
                <w:vertAlign w:val="superscript"/>
              </w:rPr>
              <w:t>2</w:t>
            </w:r>
            <w:r>
              <w:rPr>
                <w:color w:val="auto"/>
                <w:spacing w:val="-6"/>
                <w:sz w:val="24"/>
                <w:szCs w:val="24"/>
              </w:rPr>
              <w:t>）</w:t>
            </w:r>
          </w:p>
        </w:tc>
        <w:tc>
          <w:tcPr>
            <w:tcW w:w="2476" w:type="dxa"/>
            <w:vAlign w:val="center"/>
          </w:tcPr>
          <w:p>
            <w:pPr>
              <w:keepNext w:val="0"/>
              <w:keepLines w:val="0"/>
              <w:pageBreakBefore w:val="0"/>
              <w:kinsoku/>
              <w:wordWrap/>
              <w:overflowPunct/>
              <w:topLinePunct w:val="0"/>
              <w:bidi w:val="0"/>
              <w:adjustRightInd w:val="0"/>
              <w:snapToGrid w:val="0"/>
              <w:ind w:left="24" w:leftChars="10"/>
              <w:jc w:val="center"/>
              <w:textAlignment w:val="auto"/>
              <w:rPr>
                <w:rFonts w:hint="default" w:eastAsia="宋体"/>
                <w:color w:val="auto"/>
                <w:sz w:val="24"/>
                <w:szCs w:val="24"/>
                <w:lang w:val="en-US" w:eastAsia="zh-CN"/>
              </w:rPr>
            </w:pPr>
            <w:r>
              <w:rPr>
                <w:rFonts w:hint="eastAsia"/>
                <w:color w:val="auto"/>
                <w:sz w:val="24"/>
                <w:szCs w:val="24"/>
                <w:lang w:val="en-US" w:eastAsia="zh-CN"/>
              </w:rPr>
              <w:t>4430.7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44" w:type="dxa"/>
            <w:vAlign w:val="center"/>
          </w:tcPr>
          <w:p>
            <w:pPr>
              <w:keepNext w:val="0"/>
              <w:keepLines w:val="0"/>
              <w:pageBreakBefore w:val="0"/>
              <w:kinsoku/>
              <w:wordWrap/>
              <w:overflowPunct/>
              <w:topLinePunct w:val="0"/>
              <w:autoSpaceDE w:val="0"/>
              <w:autoSpaceDN w:val="0"/>
              <w:bidi w:val="0"/>
              <w:adjustRightInd w:val="0"/>
              <w:snapToGrid w:val="0"/>
              <w:ind w:left="24" w:leftChars="10"/>
              <w:jc w:val="center"/>
              <w:textAlignment w:val="auto"/>
              <w:rPr>
                <w:color w:val="auto"/>
                <w:kern w:val="0"/>
                <w:sz w:val="24"/>
                <w:szCs w:val="24"/>
              </w:rPr>
            </w:pPr>
            <w:r>
              <w:rPr>
                <w:color w:val="auto"/>
                <w:kern w:val="0"/>
                <w:sz w:val="24"/>
                <w:szCs w:val="24"/>
              </w:rPr>
              <w:t>专项评价设置情况</w:t>
            </w:r>
          </w:p>
        </w:tc>
        <w:tc>
          <w:tcPr>
            <w:tcW w:w="6088" w:type="dxa"/>
            <w:gridSpan w:val="3"/>
            <w:vAlign w:val="center"/>
          </w:tcPr>
          <w:p>
            <w:pPr>
              <w:keepNext w:val="0"/>
              <w:keepLines w:val="0"/>
              <w:pageBreakBefore w:val="0"/>
              <w:kinsoku/>
              <w:wordWrap/>
              <w:overflowPunct/>
              <w:topLinePunct w:val="0"/>
              <w:autoSpaceDE w:val="0"/>
              <w:autoSpaceDN w:val="0"/>
              <w:bidi w:val="0"/>
              <w:adjustRightInd w:val="0"/>
              <w:snapToGrid w:val="0"/>
              <w:ind w:left="24" w:leftChars="10"/>
              <w:jc w:val="center"/>
              <w:textAlignment w:val="auto"/>
              <w:rPr>
                <w:color w:val="auto"/>
                <w:kern w:val="0"/>
                <w:sz w:val="24"/>
                <w:szCs w:val="24"/>
              </w:rPr>
            </w:pPr>
            <w:r>
              <w:rPr>
                <w:color w:val="auto"/>
                <w:kern w:val="0"/>
                <w:sz w:val="24"/>
                <w:szCs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2244" w:type="dxa"/>
            <w:vAlign w:val="center"/>
          </w:tcPr>
          <w:p>
            <w:pPr>
              <w:keepNext w:val="0"/>
              <w:keepLines w:val="0"/>
              <w:pageBreakBefore w:val="0"/>
              <w:kinsoku/>
              <w:wordWrap/>
              <w:overflowPunct/>
              <w:topLinePunct w:val="0"/>
              <w:autoSpaceDE w:val="0"/>
              <w:autoSpaceDN w:val="0"/>
              <w:bidi w:val="0"/>
              <w:adjustRightInd w:val="0"/>
              <w:snapToGrid w:val="0"/>
              <w:ind w:left="24" w:leftChars="10"/>
              <w:jc w:val="center"/>
              <w:textAlignment w:val="auto"/>
              <w:rPr>
                <w:color w:val="auto"/>
                <w:kern w:val="0"/>
                <w:sz w:val="24"/>
                <w:szCs w:val="24"/>
              </w:rPr>
            </w:pPr>
            <w:r>
              <w:rPr>
                <w:color w:val="auto"/>
                <w:sz w:val="24"/>
                <w:szCs w:val="24"/>
              </w:rPr>
              <w:t>规划情况</w:t>
            </w:r>
          </w:p>
        </w:tc>
        <w:tc>
          <w:tcPr>
            <w:tcW w:w="6088"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left="24" w:leftChars="10"/>
              <w:jc w:val="center"/>
              <w:textAlignment w:val="auto"/>
              <w:rPr>
                <w:rFonts w:hint="default" w:eastAsia="宋体"/>
                <w:color w:val="auto"/>
                <w:kern w:val="0"/>
                <w:sz w:val="24"/>
                <w:szCs w:val="24"/>
                <w:lang w:val="en-US" w:eastAsia="zh-CN"/>
              </w:rPr>
            </w:pPr>
            <w:r>
              <w:rPr>
                <w:rFonts w:hint="eastAsia"/>
                <w:color w:val="auto"/>
                <w:sz w:val="24"/>
                <w:szCs w:val="24"/>
                <w:u w:val="none"/>
                <w:lang w:val="en-US" w:eastAsia="zh-CN"/>
              </w:rPr>
              <w:t>本项目位于松木经济开发区附近，但不属于园区范围内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44" w:type="dxa"/>
            <w:vAlign w:val="center"/>
          </w:tcPr>
          <w:p>
            <w:pPr>
              <w:keepNext w:val="0"/>
              <w:keepLines w:val="0"/>
              <w:pageBreakBefore w:val="0"/>
              <w:kinsoku/>
              <w:wordWrap/>
              <w:overflowPunct/>
              <w:topLinePunct w:val="0"/>
              <w:bidi w:val="0"/>
              <w:adjustRightInd w:val="0"/>
              <w:snapToGrid w:val="0"/>
              <w:ind w:left="24" w:leftChars="10"/>
              <w:jc w:val="center"/>
              <w:textAlignment w:val="auto"/>
              <w:rPr>
                <w:color w:val="auto"/>
                <w:sz w:val="24"/>
                <w:szCs w:val="24"/>
              </w:rPr>
            </w:pPr>
            <w:r>
              <w:rPr>
                <w:color w:val="auto"/>
                <w:sz w:val="24"/>
                <w:szCs w:val="24"/>
              </w:rPr>
              <w:t>规划环境影响</w:t>
            </w:r>
          </w:p>
          <w:p>
            <w:pPr>
              <w:keepNext w:val="0"/>
              <w:keepLines w:val="0"/>
              <w:pageBreakBefore w:val="0"/>
              <w:kinsoku/>
              <w:wordWrap/>
              <w:overflowPunct/>
              <w:topLinePunct w:val="0"/>
              <w:bidi w:val="0"/>
              <w:adjustRightInd w:val="0"/>
              <w:snapToGrid w:val="0"/>
              <w:ind w:left="24" w:leftChars="10"/>
              <w:jc w:val="center"/>
              <w:textAlignment w:val="auto"/>
              <w:rPr>
                <w:color w:val="auto"/>
                <w:kern w:val="0"/>
                <w:sz w:val="24"/>
                <w:szCs w:val="24"/>
              </w:rPr>
            </w:pPr>
            <w:r>
              <w:rPr>
                <w:color w:val="auto"/>
                <w:sz w:val="24"/>
                <w:szCs w:val="24"/>
              </w:rPr>
              <w:t>评价情况</w:t>
            </w:r>
          </w:p>
        </w:tc>
        <w:tc>
          <w:tcPr>
            <w:tcW w:w="6088" w:type="dxa"/>
            <w:gridSpan w:val="3"/>
            <w:vAlign w:val="center"/>
          </w:tcPr>
          <w:p>
            <w:pPr>
              <w:keepNext w:val="0"/>
              <w:keepLines w:val="0"/>
              <w:pageBreakBefore w:val="0"/>
              <w:kinsoku/>
              <w:wordWrap/>
              <w:overflowPunct/>
              <w:topLinePunct w:val="0"/>
              <w:autoSpaceDE w:val="0"/>
              <w:autoSpaceDN w:val="0"/>
              <w:bidi w:val="0"/>
              <w:adjustRightInd w:val="0"/>
              <w:snapToGrid w:val="0"/>
              <w:ind w:left="24" w:leftChars="10"/>
              <w:jc w:val="center"/>
              <w:textAlignment w:val="auto"/>
              <w:rPr>
                <w:color w:val="auto"/>
                <w:kern w:val="0"/>
                <w:sz w:val="24"/>
                <w:szCs w:val="24"/>
              </w:rPr>
            </w:pPr>
            <w:r>
              <w:rPr>
                <w:color w:val="auto"/>
                <w:kern w:val="0"/>
                <w:sz w:val="24"/>
                <w:szCs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2244" w:type="dxa"/>
            <w:vAlign w:val="center"/>
          </w:tcPr>
          <w:p>
            <w:pPr>
              <w:keepNext w:val="0"/>
              <w:keepLines w:val="0"/>
              <w:pageBreakBefore w:val="0"/>
              <w:kinsoku/>
              <w:wordWrap/>
              <w:overflowPunct/>
              <w:topLinePunct w:val="0"/>
              <w:autoSpaceDE w:val="0"/>
              <w:autoSpaceDN w:val="0"/>
              <w:bidi w:val="0"/>
              <w:adjustRightInd w:val="0"/>
              <w:snapToGrid w:val="0"/>
              <w:ind w:left="24" w:leftChars="10"/>
              <w:jc w:val="center"/>
              <w:textAlignment w:val="auto"/>
              <w:rPr>
                <w:color w:val="auto"/>
                <w:kern w:val="0"/>
                <w:sz w:val="24"/>
                <w:szCs w:val="24"/>
              </w:rPr>
            </w:pPr>
            <w:r>
              <w:rPr>
                <w:color w:val="auto"/>
                <w:kern w:val="0"/>
                <w:sz w:val="24"/>
                <w:szCs w:val="24"/>
              </w:rPr>
              <w:t>规划及规划环境</w:t>
            </w:r>
          </w:p>
          <w:p>
            <w:pPr>
              <w:keepNext w:val="0"/>
              <w:keepLines w:val="0"/>
              <w:pageBreakBefore w:val="0"/>
              <w:kinsoku/>
              <w:wordWrap/>
              <w:overflowPunct/>
              <w:topLinePunct w:val="0"/>
              <w:autoSpaceDE w:val="0"/>
              <w:autoSpaceDN w:val="0"/>
              <w:bidi w:val="0"/>
              <w:adjustRightInd w:val="0"/>
              <w:snapToGrid w:val="0"/>
              <w:ind w:left="24" w:leftChars="10"/>
              <w:jc w:val="center"/>
              <w:textAlignment w:val="auto"/>
              <w:rPr>
                <w:color w:val="auto"/>
                <w:kern w:val="0"/>
                <w:sz w:val="24"/>
                <w:szCs w:val="24"/>
              </w:rPr>
            </w:pPr>
            <w:r>
              <w:rPr>
                <w:color w:val="auto"/>
                <w:kern w:val="0"/>
                <w:sz w:val="24"/>
                <w:szCs w:val="24"/>
              </w:rPr>
              <w:t>影响评价符合性分析</w:t>
            </w:r>
          </w:p>
        </w:tc>
        <w:tc>
          <w:tcPr>
            <w:tcW w:w="6088" w:type="dxa"/>
            <w:gridSpan w:val="3"/>
            <w:vAlign w:val="center"/>
          </w:tcPr>
          <w:p>
            <w:pPr>
              <w:keepNext w:val="0"/>
              <w:keepLines w:val="0"/>
              <w:pageBreakBefore w:val="0"/>
              <w:kinsoku/>
              <w:wordWrap/>
              <w:overflowPunct/>
              <w:topLinePunct w:val="0"/>
              <w:autoSpaceDE w:val="0"/>
              <w:autoSpaceDN w:val="0"/>
              <w:bidi w:val="0"/>
              <w:adjustRightInd w:val="0"/>
              <w:snapToGrid w:val="0"/>
              <w:ind w:left="24" w:leftChars="10"/>
              <w:jc w:val="center"/>
              <w:textAlignment w:val="auto"/>
              <w:rPr>
                <w:color w:val="auto"/>
                <w:kern w:val="0"/>
                <w:sz w:val="24"/>
                <w:szCs w:val="24"/>
              </w:rPr>
            </w:pPr>
            <w:r>
              <w:rPr>
                <w:color w:val="auto"/>
                <w:kern w:val="0"/>
                <w:sz w:val="24"/>
                <w:szCs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44" w:type="dxa"/>
            <w:vAlign w:val="center"/>
          </w:tcPr>
          <w:p>
            <w:pPr>
              <w:keepNext w:val="0"/>
              <w:keepLines w:val="0"/>
              <w:pageBreakBefore w:val="0"/>
              <w:kinsoku/>
              <w:wordWrap/>
              <w:overflowPunct/>
              <w:topLinePunct w:val="0"/>
              <w:autoSpaceDE w:val="0"/>
              <w:autoSpaceDN w:val="0"/>
              <w:bidi w:val="0"/>
              <w:adjustRightInd w:val="0"/>
              <w:snapToGrid w:val="0"/>
              <w:ind w:left="24" w:leftChars="10"/>
              <w:jc w:val="center"/>
              <w:textAlignment w:val="auto"/>
              <w:rPr>
                <w:rFonts w:hint="default" w:eastAsia="宋体"/>
                <w:color w:val="auto"/>
                <w:kern w:val="0"/>
                <w:sz w:val="24"/>
                <w:szCs w:val="24"/>
                <w:lang w:val="en-US" w:eastAsia="zh-CN"/>
              </w:rPr>
            </w:pPr>
            <w:r>
              <w:rPr>
                <w:rFonts w:hint="eastAsia"/>
                <w:color w:val="auto"/>
                <w:kern w:val="0"/>
                <w:sz w:val="24"/>
                <w:szCs w:val="24"/>
                <w:lang w:val="en-US" w:eastAsia="zh-CN"/>
              </w:rPr>
              <w:t>其他符合性分析</w:t>
            </w:r>
          </w:p>
        </w:tc>
        <w:tc>
          <w:tcPr>
            <w:tcW w:w="6088" w:type="dxa"/>
            <w:gridSpan w:val="3"/>
            <w:vAlign w:val="top"/>
          </w:tcPr>
          <w:p>
            <w:pPr>
              <w:keepNext w:val="0"/>
              <w:keepLines w:val="0"/>
              <w:pageBreakBefore w:val="0"/>
              <w:kinsoku/>
              <w:wordWrap/>
              <w:overflowPunct/>
              <w:topLinePunct w:val="0"/>
              <w:autoSpaceDE w:val="0"/>
              <w:autoSpaceDN w:val="0"/>
              <w:bidi w:val="0"/>
              <w:adjustRightInd w:val="0"/>
              <w:snapToGrid w:val="0"/>
              <w:spacing w:line="360" w:lineRule="auto"/>
              <w:ind w:left="24" w:leftChars="10"/>
              <w:jc w:val="both"/>
              <w:textAlignment w:val="auto"/>
              <w:rPr>
                <w:rFonts w:hint="eastAsia"/>
                <w:sz w:val="24"/>
                <w:szCs w:val="24"/>
              </w:rPr>
            </w:pPr>
            <w:r>
              <w:rPr>
                <w:rFonts w:hint="eastAsia"/>
                <w:b/>
                <w:bCs/>
                <w:sz w:val="24"/>
                <w:szCs w:val="24"/>
              </w:rPr>
              <w:t>1.产业政策符合性分析：</w:t>
            </w:r>
          </w:p>
          <w:p>
            <w:pPr>
              <w:keepNext w:val="0"/>
              <w:keepLines w:val="0"/>
              <w:pageBreakBefore w:val="0"/>
              <w:kinsoku/>
              <w:wordWrap/>
              <w:overflowPunct/>
              <w:topLinePunct w:val="0"/>
              <w:autoSpaceDE w:val="0"/>
              <w:autoSpaceDN w:val="0"/>
              <w:bidi w:val="0"/>
              <w:adjustRightInd w:val="0"/>
              <w:snapToGrid w:val="0"/>
              <w:spacing w:line="360" w:lineRule="auto"/>
              <w:ind w:left="24" w:leftChars="10" w:firstLine="480" w:firstLineChars="200"/>
              <w:jc w:val="both"/>
              <w:textAlignment w:val="auto"/>
              <w:rPr>
                <w:rFonts w:hint="eastAsia"/>
              </w:rPr>
            </w:pPr>
            <w:r>
              <w:rPr>
                <w:rFonts w:hint="eastAsia"/>
              </w:rPr>
              <w:t>项目不属于《产业结构调整指导目录（2019年本）》中鼓励类、限制类和淘汰类的项目，属于允许类项目，且该项目于2019年12月26日通过了衡阳松木经济开发区管理委员会的备案，备案号为：衡松审批〔2020〕4号；于2022年6月6日通过了衡阳松木经济开发区招商合作局备案变更，备案号为：衡松备案〔2020〕28号(备案证明详见附件)，因此项目的建设内容符合当前国家和地方的产业政策。</w:t>
            </w:r>
          </w:p>
          <w:p>
            <w:pPr>
              <w:keepNext w:val="0"/>
              <w:keepLines w:val="0"/>
              <w:pageBreakBefore w:val="0"/>
              <w:kinsoku/>
              <w:wordWrap/>
              <w:overflowPunct/>
              <w:topLinePunct w:val="0"/>
              <w:autoSpaceDE w:val="0"/>
              <w:autoSpaceDN w:val="0"/>
              <w:bidi w:val="0"/>
              <w:adjustRightInd w:val="0"/>
              <w:snapToGrid w:val="0"/>
              <w:spacing w:line="360" w:lineRule="auto"/>
              <w:jc w:val="both"/>
              <w:textAlignment w:val="auto"/>
              <w:rPr>
                <w:rFonts w:hint="eastAsia" w:ascii="宋体" w:hAnsi="宋体" w:eastAsia="宋体" w:cs="宋体"/>
                <w:b/>
                <w:bCs/>
                <w:sz w:val="24"/>
                <w:szCs w:val="24"/>
              </w:rPr>
            </w:pPr>
            <w:r>
              <w:rPr>
                <w:rFonts w:hint="default" w:ascii="Times New Roman" w:hAnsi="Times New Roman" w:eastAsia="宋体" w:cs="Times New Roman"/>
                <w:b/>
                <w:bCs/>
                <w:sz w:val="24"/>
                <w:szCs w:val="24"/>
              </w:rPr>
              <w:t>2</w:t>
            </w:r>
            <w:r>
              <w:rPr>
                <w:rFonts w:hint="eastAsia" w:ascii="宋体" w:hAnsi="宋体" w:eastAsia="宋体" w:cs="宋体"/>
                <w:b/>
                <w:bCs/>
                <w:sz w:val="24"/>
                <w:szCs w:val="24"/>
              </w:rPr>
              <w:t>.选址合理性分析：</w:t>
            </w:r>
          </w:p>
          <w:p>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lang w:val="en-US" w:eastAsia="zh-CN"/>
              </w:rPr>
            </w:pPr>
            <w:r>
              <w:rPr>
                <w:rFonts w:hint="eastAsia"/>
              </w:rPr>
              <w:t>项目位于湖南省衡阳市松木经济开发区107国道以西化工路以南，地理坐标：东经112°37′3.648″，北纬26°58′23.664″。本项目为新建加油站，根据衡阳市自然资源和规划局批准新竹加油站建设用地规划许可证</w:t>
            </w:r>
            <w:r>
              <w:rPr>
                <w:rFonts w:hint="eastAsia"/>
                <w:lang w:eastAsia="zh-CN"/>
              </w:rPr>
              <w:t>（</w:t>
            </w:r>
            <w:r>
              <w:rPr>
                <w:rFonts w:hint="eastAsia"/>
                <w:lang w:val="en-US" w:eastAsia="zh-CN"/>
              </w:rPr>
              <w:t>附件5</w:t>
            </w:r>
            <w:r>
              <w:rPr>
                <w:rFonts w:hint="eastAsia"/>
                <w:lang w:eastAsia="zh-CN"/>
              </w:rPr>
              <w:t>）和《国有建设用地使用权委托交易成交确认书》（</w:t>
            </w:r>
            <w:r>
              <w:rPr>
                <w:rFonts w:hint="eastAsia"/>
                <w:lang w:val="en-US" w:eastAsia="zh-CN"/>
              </w:rPr>
              <w:t>附件6</w:t>
            </w:r>
            <w:r>
              <w:rPr>
                <w:rFonts w:hint="eastAsia"/>
                <w:lang w:eastAsia="zh-CN"/>
              </w:rPr>
              <w:t>）</w:t>
            </w:r>
            <w:r>
              <w:rPr>
                <w:rFonts w:hint="eastAsia"/>
                <w:lang w:val="en-US" w:eastAsia="zh-CN"/>
              </w:rPr>
              <w:t>可知，项目地块用途为商业服务业设施用地。根据现场勘查，项目东侧为衡岳大道，北侧为空地，南侧、西侧为松木塘安置房，本项目未占用基本农田，也未占用生态公益林。因此，符合土地利用规划。</w:t>
            </w:r>
          </w:p>
          <w:p>
            <w:pPr>
              <w:keepNext w:val="0"/>
              <w:keepLines w:val="0"/>
              <w:pageBreakBefore w:val="0"/>
              <w:numPr>
                <w:ilvl w:val="0"/>
                <w:numId w:val="0"/>
              </w:numPr>
              <w:kinsoku/>
              <w:wordWrap/>
              <w:overflowPunct/>
              <w:topLinePunct w:val="0"/>
              <w:autoSpaceDE w:val="0"/>
              <w:autoSpaceDN w:val="0"/>
              <w:bidi w:val="0"/>
              <w:adjustRightInd w:val="0"/>
              <w:snapToGrid w:val="0"/>
              <w:spacing w:line="360" w:lineRule="auto"/>
              <w:jc w:val="both"/>
              <w:textAlignment w:val="auto"/>
              <w:rPr>
                <w:rFonts w:hint="eastAsia"/>
              </w:rPr>
            </w:pPr>
            <w:r>
              <w:rPr>
                <w:rFonts w:hint="eastAsia" w:ascii="宋体" w:hAnsi="宋体" w:eastAsia="宋体" w:cs="宋体"/>
                <w:b/>
                <w:bCs/>
                <w:sz w:val="24"/>
                <w:szCs w:val="24"/>
                <w:lang w:val="en-US" w:eastAsia="zh-CN"/>
              </w:rPr>
              <w:t>3.</w:t>
            </w:r>
            <w:r>
              <w:rPr>
                <w:rFonts w:hint="eastAsia" w:ascii="宋体" w:hAnsi="宋体" w:eastAsia="宋体" w:cs="宋体"/>
                <w:b/>
                <w:bCs/>
                <w:sz w:val="24"/>
                <w:szCs w:val="24"/>
              </w:rPr>
              <w:t>“三线一单”控制要求符合性分析：</w:t>
            </w:r>
          </w:p>
          <w:p>
            <w:pPr>
              <w:keepNext w:val="0"/>
              <w:keepLines w:val="0"/>
              <w:pageBreakBefore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rPr>
            </w:pPr>
            <w:r>
              <w:rPr>
                <w:rFonts w:hint="eastAsia"/>
                <w:lang w:eastAsia="zh-CN"/>
              </w:rPr>
              <w:t>（</w:t>
            </w:r>
            <w:r>
              <w:rPr>
                <w:rFonts w:hint="eastAsia"/>
                <w:lang w:val="en-US" w:eastAsia="zh-CN"/>
              </w:rPr>
              <w:t>1</w:t>
            </w:r>
            <w:r>
              <w:rPr>
                <w:rFonts w:hint="eastAsia"/>
                <w:lang w:eastAsia="zh-CN"/>
              </w:rPr>
              <w:t>）</w:t>
            </w:r>
            <w:r>
              <w:rPr>
                <w:rFonts w:hint="eastAsia"/>
              </w:rPr>
              <w:t>生态保护红线</w:t>
            </w:r>
          </w:p>
          <w:p>
            <w:pPr>
              <w:keepNext w:val="0"/>
              <w:keepLines w:val="0"/>
              <w:pageBreakBefore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rPr>
            </w:pPr>
            <w:r>
              <w:rPr>
                <w:rFonts w:hint="eastAsia"/>
              </w:rPr>
              <w:t>根据《湖南省生态保护红线》，湖南省生态保护红线划定面积为4.28万平方公里，占全省国土面积的20.23%。全省生态保护红线空间格局为“一湖三山四水”：“一湖”为洞庭湖(主要包括东洞庭湖、南洞庭湖、横岭湖、西洞庭湖等自然保护区和长江岸线)，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湘江、资水、沅江、澧水)的源头区及重要水域。</w:t>
            </w:r>
          </w:p>
          <w:p>
            <w:pPr>
              <w:keepNext w:val="0"/>
              <w:keepLines w:val="0"/>
              <w:pageBreakBefore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rPr>
            </w:pPr>
            <w:r>
              <w:rPr>
                <w:rFonts w:hint="eastAsia"/>
              </w:rPr>
              <w:t>本项目位于湖南省衡阳市松木经济开发区107国道以西化工路以南，不在上述生态保护红线范围内，符合《湖南省生态保护红线》要求。</w:t>
            </w:r>
          </w:p>
          <w:p>
            <w:pPr>
              <w:numPr>
                <w:ilvl w:val="0"/>
                <w:numId w:val="0"/>
              </w:numPr>
              <w:ind w:firstLine="480" w:firstLineChars="200"/>
              <w:rPr>
                <w:rFonts w:hint="eastAsia"/>
              </w:rPr>
            </w:pPr>
            <w:r>
              <w:rPr>
                <w:rFonts w:hint="eastAsia"/>
                <w:lang w:eastAsia="zh-CN"/>
              </w:rPr>
              <w:t>（</w:t>
            </w:r>
            <w:r>
              <w:rPr>
                <w:rFonts w:hint="eastAsia"/>
                <w:lang w:val="en-US" w:eastAsia="zh-CN"/>
              </w:rPr>
              <w:t>2</w:t>
            </w:r>
            <w:r>
              <w:rPr>
                <w:rFonts w:hint="eastAsia"/>
                <w:lang w:eastAsia="zh-CN"/>
              </w:rPr>
              <w:t>）</w:t>
            </w:r>
            <w:r>
              <w:rPr>
                <w:rFonts w:hint="eastAsia"/>
              </w:rPr>
              <w:t>环境质量底线</w:t>
            </w:r>
          </w:p>
          <w:p>
            <w:pPr>
              <w:numPr>
                <w:ilvl w:val="0"/>
                <w:numId w:val="0"/>
              </w:numPr>
              <w:ind w:firstLine="480" w:firstLineChars="200"/>
              <w:rPr>
                <w:rFonts w:hint="eastAsia"/>
              </w:rPr>
            </w:pPr>
            <w:r>
              <w:rPr>
                <w:rFonts w:hint="eastAsia"/>
              </w:rPr>
              <w:t>项目所在区域的环境质量底线为：大气环境质量目标为《环境空气质量标准》(GB3095-2012及2018修改单)二级标准；地表水环境目标为《地表水环境质量标准》(GB3838-2002)II类标准；声环境质量目标为《声环境质量标准》(GB3096-2008)2类、4a类标准。</w:t>
            </w:r>
          </w:p>
          <w:p>
            <w:pPr>
              <w:numPr>
                <w:ilvl w:val="0"/>
                <w:numId w:val="0"/>
              </w:numPr>
              <w:ind w:firstLine="480" w:firstLineChars="200"/>
              <w:rPr>
                <w:rFonts w:hint="eastAsia"/>
              </w:rPr>
            </w:pPr>
            <w:r>
              <w:rPr>
                <w:rFonts w:hint="eastAsia"/>
              </w:rPr>
              <w:t>根据项目所在地环境质量现状调查和污染排放影响分析可知，本项目运营后对区域内环境影响较小，环境质量可以保持现有水平，不会对区域环境质量底线造成冲击。</w:t>
            </w:r>
          </w:p>
          <w:p>
            <w:pPr>
              <w:numPr>
                <w:ilvl w:val="0"/>
                <w:numId w:val="0"/>
              </w:numPr>
              <w:ind w:firstLine="480" w:firstLineChars="200"/>
              <w:rPr>
                <w:rFonts w:hint="eastAsia"/>
              </w:rPr>
            </w:pPr>
            <w:r>
              <w:rPr>
                <w:rFonts w:hint="eastAsia"/>
                <w:lang w:eastAsia="zh-CN"/>
              </w:rPr>
              <w:t>（</w:t>
            </w:r>
            <w:r>
              <w:rPr>
                <w:rFonts w:hint="eastAsia"/>
                <w:lang w:val="en-US" w:eastAsia="zh-CN"/>
              </w:rPr>
              <w:t>3</w:t>
            </w:r>
            <w:r>
              <w:rPr>
                <w:rFonts w:hint="eastAsia"/>
                <w:lang w:eastAsia="zh-CN"/>
              </w:rPr>
              <w:t>）</w:t>
            </w:r>
            <w:r>
              <w:rPr>
                <w:rFonts w:hint="eastAsia"/>
              </w:rPr>
              <w:t>资源利用上限</w:t>
            </w:r>
          </w:p>
          <w:p>
            <w:pPr>
              <w:numPr>
                <w:ilvl w:val="0"/>
                <w:numId w:val="0"/>
              </w:numPr>
              <w:ind w:firstLine="480" w:firstLineChars="200"/>
              <w:rPr>
                <w:rFonts w:hint="eastAsia"/>
              </w:rPr>
            </w:pPr>
            <w:r>
              <w:rPr>
                <w:rFonts w:hint="eastAsia"/>
              </w:rPr>
              <w:t>本项目不属于高耗能、高污染型企业。项目建设过程中所利用的资源主要为水、电，均为清洁能源，项目运行过程通过内部管理、设备选择、原辅材料的选用和管理、废物回收利用、污染治理等多方面采取合理可行的防治措施，以“节能、降耗、减污”为目标，有效的控制污染。项目的水、电等资源利用不会突破区域的资源利用上线。</w:t>
            </w:r>
          </w:p>
          <w:p>
            <w:pPr>
              <w:numPr>
                <w:ilvl w:val="0"/>
                <w:numId w:val="0"/>
              </w:numPr>
              <w:ind w:firstLine="480" w:firstLineChars="200"/>
              <w:rPr>
                <w:rFonts w:hint="eastAsia"/>
              </w:rPr>
            </w:pPr>
            <w:r>
              <w:rPr>
                <w:rFonts w:hint="eastAsia"/>
                <w:lang w:eastAsia="zh-CN"/>
              </w:rPr>
              <w:t>（</w:t>
            </w:r>
            <w:r>
              <w:rPr>
                <w:rFonts w:hint="eastAsia"/>
                <w:lang w:val="en-US" w:eastAsia="zh-CN"/>
              </w:rPr>
              <w:t>4</w:t>
            </w:r>
            <w:r>
              <w:rPr>
                <w:rFonts w:hint="eastAsia"/>
                <w:lang w:eastAsia="zh-CN"/>
              </w:rPr>
              <w:t>）</w:t>
            </w:r>
            <w:r>
              <w:rPr>
                <w:rFonts w:hint="eastAsia"/>
              </w:rPr>
              <w:t>生态环境准入清单</w:t>
            </w:r>
          </w:p>
          <w:p>
            <w:pPr>
              <w:numPr>
                <w:ilvl w:val="0"/>
                <w:numId w:val="0"/>
              </w:numPr>
              <w:ind w:firstLine="480" w:firstLineChars="200"/>
              <w:rPr>
                <w:rFonts w:hint="eastAsia"/>
                <w:lang w:val="en-US" w:eastAsia="zh-CN"/>
              </w:rPr>
            </w:pPr>
            <w:r>
              <w:rPr>
                <w:rFonts w:hint="eastAsia"/>
              </w:rPr>
              <w:t>根据《衡阳市人民政府关于实施“三线一单”生态环境分区管控的意见（衡政发〔2020〕9号》中附件1：衡阳市环境管控单元，可知本项目属于衡阳市重点管控单元。本环评对照衡阳市生态环境准入清单分析本项目是否与生态环境管控区相适应，具体内容如表</w:t>
            </w:r>
            <w:r>
              <w:rPr>
                <w:rFonts w:hint="eastAsia"/>
                <w:lang w:val="en-US" w:eastAsia="zh-CN"/>
              </w:rPr>
              <w:t>1-</w:t>
            </w:r>
            <w:r>
              <w:rPr>
                <w:rFonts w:hint="default"/>
                <w:lang w:eastAsia="zh-CN"/>
              </w:rPr>
              <w:fldChar w:fldCharType="begin"/>
            </w:r>
            <w:r>
              <w:rPr>
                <w:rFonts w:hint="default"/>
                <w:lang w:eastAsia="zh-CN"/>
              </w:rPr>
              <w:instrText xml:space="preserve"> SEQ 1- \* MERGEFORMAT </w:instrText>
            </w:r>
            <w:r>
              <w:rPr>
                <w:rFonts w:hint="default"/>
                <w:lang w:eastAsia="zh-CN"/>
              </w:rPr>
              <w:fldChar w:fldCharType="separate"/>
            </w:r>
            <w:r>
              <w:rPr>
                <w:rFonts w:hint="default"/>
                <w:lang w:eastAsia="zh-CN"/>
              </w:rPr>
              <w:t>1</w:t>
            </w:r>
            <w:r>
              <w:rPr>
                <w:rFonts w:hint="default"/>
                <w:lang w:eastAsia="zh-CN"/>
              </w:rPr>
              <w:fldChar w:fldCharType="end"/>
            </w:r>
            <w:r>
              <w:rPr>
                <w:rFonts w:hint="eastAsia"/>
                <w:lang w:val="en-US" w:eastAsia="zh-CN"/>
              </w:rPr>
              <w:t>。</w:t>
            </w:r>
          </w:p>
          <w:p>
            <w:pPr>
              <w:pStyle w:val="10"/>
              <w:bidi w:val="0"/>
              <w:rPr>
                <w:rFonts w:hint="eastAsia"/>
                <w:lang w:val="en-US" w:eastAsia="zh-CN"/>
              </w:rPr>
            </w:pPr>
            <w:r>
              <w:rPr>
                <w:rFonts w:hint="eastAsia"/>
                <w:lang w:val="en-US" w:eastAsia="zh-CN"/>
              </w:rPr>
              <w:t>表1-</w:t>
            </w:r>
            <w:r>
              <w:rPr>
                <w:rFonts w:hint="default"/>
                <w:lang w:eastAsia="zh-CN"/>
              </w:rPr>
              <w:fldChar w:fldCharType="begin"/>
            </w:r>
            <w:r>
              <w:rPr>
                <w:rFonts w:hint="default"/>
                <w:lang w:eastAsia="zh-CN"/>
              </w:rPr>
              <w:instrText xml:space="preserve"> SEQ 表1- \* MERGEFORMAT </w:instrText>
            </w:r>
            <w:r>
              <w:rPr>
                <w:rFonts w:hint="default"/>
                <w:lang w:eastAsia="zh-CN"/>
              </w:rPr>
              <w:fldChar w:fldCharType="separate"/>
            </w:r>
            <w:r>
              <w:rPr>
                <w:rFonts w:hint="default"/>
                <w:lang w:eastAsia="zh-CN"/>
              </w:rPr>
              <w:t>1</w:t>
            </w:r>
            <w:r>
              <w:rPr>
                <w:rFonts w:hint="default"/>
                <w:lang w:eastAsia="zh-CN"/>
              </w:rPr>
              <w:fldChar w:fldCharType="end"/>
            </w:r>
            <w:r>
              <w:rPr>
                <w:rFonts w:hint="eastAsia"/>
                <w:lang w:val="en-US" w:eastAsia="zh-CN"/>
              </w:rPr>
              <w:t xml:space="preserve">  建设项目与衡阳市石鼓区环境管控要求对照一览表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0"/>
              <w:gridCol w:w="3107"/>
              <w:gridCol w:w="1667"/>
              <w:gridCol w:w="5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10"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管控维度</w:t>
                  </w:r>
                </w:p>
              </w:tc>
              <w:tc>
                <w:tcPr>
                  <w:tcW w:w="3107"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管控要求</w:t>
                  </w:r>
                </w:p>
              </w:tc>
              <w:tc>
                <w:tcPr>
                  <w:tcW w:w="1667"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本项目情况</w:t>
                  </w:r>
                </w:p>
              </w:tc>
              <w:tc>
                <w:tcPr>
                  <w:tcW w:w="578"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10"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主要属性</w:t>
                  </w:r>
                </w:p>
              </w:tc>
              <w:tc>
                <w:tcPr>
                  <w:tcW w:w="3107" w:type="dxa"/>
                  <w:vAlign w:val="center"/>
                </w:tcPr>
                <w:p>
                  <w:pPr>
                    <w:numPr>
                      <w:ilvl w:val="0"/>
                      <w:numId w:val="1"/>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一般生态空间——湿地公园</w:t>
                  </w:r>
                  <w:r>
                    <w:rPr>
                      <w:rFonts w:hint="eastAsia" w:ascii="Calibri" w:hAnsi="Calibri" w:cs="Calibri"/>
                      <w:b w:val="0"/>
                      <w:bCs w:val="0"/>
                      <w:sz w:val="21"/>
                      <w:szCs w:val="21"/>
                      <w:vertAlign w:val="baseline"/>
                      <w:lang w:val="en-US" w:eastAsia="zh-CN"/>
                    </w:rPr>
                    <w:t>/</w:t>
                  </w:r>
                  <w:r>
                    <w:rPr>
                      <w:rFonts w:hint="eastAsia"/>
                      <w:b w:val="0"/>
                      <w:bCs w:val="0"/>
                      <w:sz w:val="21"/>
                      <w:szCs w:val="21"/>
                      <w:vertAlign w:val="baseline"/>
                      <w:lang w:val="en-US" w:eastAsia="zh-CN"/>
                    </w:rPr>
                    <w:t>水产种质资源保护区</w:t>
                  </w:r>
                </w:p>
                <w:p>
                  <w:pPr>
                    <w:numPr>
                      <w:ilvl w:val="0"/>
                      <w:numId w:val="1"/>
                    </w:numPr>
                    <w:spacing w:line="240" w:lineRule="auto"/>
                    <w:jc w:val="left"/>
                    <w:rPr>
                      <w:rFonts w:hint="default"/>
                      <w:b w:val="0"/>
                      <w:bCs w:val="0"/>
                      <w:sz w:val="21"/>
                      <w:szCs w:val="21"/>
                      <w:vertAlign w:val="baseline"/>
                      <w:lang w:val="en-US" w:eastAsia="zh-CN"/>
                    </w:rPr>
                  </w:pPr>
                  <w:r>
                    <w:rPr>
                      <w:rFonts w:hint="default"/>
                      <w:b w:val="0"/>
                      <w:bCs w:val="0"/>
                      <w:sz w:val="21"/>
                      <w:szCs w:val="21"/>
                      <w:vertAlign w:val="baseline"/>
                      <w:lang w:val="en-US" w:eastAsia="zh-CN"/>
                    </w:rPr>
                    <w:t>水环境优先保护区</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水环境工业污染重点管控区——湘江衡阳段四大家鱼国家级水产种质资源保护区</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湖南衡阳松木经济技术开发区</w:t>
                  </w:r>
                </w:p>
                <w:p>
                  <w:pPr>
                    <w:numPr>
                      <w:ilvl w:val="0"/>
                      <w:numId w:val="1"/>
                    </w:numPr>
                    <w:spacing w:line="240" w:lineRule="auto"/>
                    <w:jc w:val="left"/>
                    <w:rPr>
                      <w:rFonts w:hint="default"/>
                      <w:b w:val="0"/>
                      <w:bCs w:val="0"/>
                      <w:sz w:val="21"/>
                      <w:szCs w:val="21"/>
                      <w:vertAlign w:val="baseline"/>
                      <w:lang w:val="en-US" w:eastAsia="zh-CN"/>
                    </w:rPr>
                  </w:pPr>
                  <w:r>
                    <w:rPr>
                      <w:rFonts w:hint="default"/>
                      <w:b w:val="0"/>
                      <w:bCs w:val="0"/>
                      <w:sz w:val="21"/>
                      <w:szCs w:val="21"/>
                      <w:vertAlign w:val="baseline"/>
                      <w:lang w:val="en-US" w:eastAsia="zh-CN"/>
                    </w:rPr>
                    <w:t>大气环境布局敏感重点管控区</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大气环境弱扩散重点管控区</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大气环境高排放重点管控区——松木金源街道企业集中区</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松木经开区</w:t>
                  </w:r>
                </w:p>
                <w:p>
                  <w:pPr>
                    <w:numPr>
                      <w:ilvl w:val="0"/>
                      <w:numId w:val="1"/>
                    </w:numPr>
                    <w:spacing w:line="240" w:lineRule="auto"/>
                    <w:jc w:val="left"/>
                    <w:rPr>
                      <w:rFonts w:hint="default"/>
                      <w:b w:val="0"/>
                      <w:bCs w:val="0"/>
                      <w:sz w:val="21"/>
                      <w:szCs w:val="21"/>
                      <w:vertAlign w:val="baseline"/>
                      <w:lang w:val="en-US" w:eastAsia="zh-CN"/>
                    </w:rPr>
                  </w:pPr>
                  <w:r>
                    <w:rPr>
                      <w:rFonts w:hint="default"/>
                      <w:b w:val="0"/>
                      <w:bCs w:val="0"/>
                      <w:sz w:val="21"/>
                      <w:szCs w:val="21"/>
                      <w:vertAlign w:val="baseline"/>
                      <w:lang w:val="en-US" w:eastAsia="zh-CN"/>
                    </w:rPr>
                    <w:t>其他土壤重点管控区——部省级采矿权</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部省级探矿权</w:t>
                  </w:r>
                </w:p>
              </w:tc>
              <w:tc>
                <w:tcPr>
                  <w:tcW w:w="1667"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本项目位于松木经济开发区，属于水环境工业污染重点管控区和</w:t>
                  </w:r>
                  <w:r>
                    <w:rPr>
                      <w:rFonts w:hint="default"/>
                      <w:b w:val="0"/>
                      <w:bCs w:val="0"/>
                      <w:sz w:val="21"/>
                      <w:szCs w:val="21"/>
                      <w:vertAlign w:val="baseline"/>
                      <w:lang w:val="en-US" w:eastAsia="zh-CN"/>
                    </w:rPr>
                    <w:t>大气环</w:t>
                  </w:r>
                  <w:r>
                    <w:rPr>
                      <w:rFonts w:hint="eastAsia"/>
                      <w:b w:val="0"/>
                      <w:bCs w:val="0"/>
                      <w:sz w:val="21"/>
                      <w:szCs w:val="21"/>
                      <w:vertAlign w:val="baseline"/>
                      <w:lang w:val="en-US" w:eastAsia="zh-CN"/>
                    </w:rPr>
                    <w:t>境</w:t>
                  </w:r>
                  <w:r>
                    <w:rPr>
                      <w:rFonts w:hint="default"/>
                      <w:b w:val="0"/>
                      <w:bCs w:val="0"/>
                      <w:sz w:val="21"/>
                      <w:szCs w:val="21"/>
                      <w:vertAlign w:val="baseline"/>
                      <w:lang w:val="en-US" w:eastAsia="zh-CN"/>
                    </w:rPr>
                    <w:t>重点管控区</w:t>
                  </w:r>
                </w:p>
              </w:tc>
              <w:tc>
                <w:tcPr>
                  <w:tcW w:w="578"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pPr>
                    <w:numPr>
                      <w:ilvl w:val="0"/>
                      <w:numId w:val="0"/>
                    </w:numPr>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空间布局</w:t>
                  </w:r>
                </w:p>
                <w:p>
                  <w:pPr>
                    <w:numPr>
                      <w:ilvl w:val="0"/>
                      <w:numId w:val="0"/>
                    </w:numPr>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约束</w:t>
                  </w:r>
                </w:p>
              </w:tc>
              <w:tc>
                <w:tcPr>
                  <w:tcW w:w="3107" w:type="dxa"/>
                  <w:vAlign w:val="center"/>
                </w:tcPr>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1.全区不再新建钢铁、水泥等产能严重过剩行业的新增产能项目。建成区不再新建35蒸吨以下燃煤锅炉。</w:t>
                  </w:r>
                </w:p>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2.水产种质资源保护区按《水产种质资源保护区管理暂行办法》（2016年修正本）要求管理。</w:t>
                  </w:r>
                </w:p>
              </w:tc>
              <w:tc>
                <w:tcPr>
                  <w:tcW w:w="1667" w:type="dxa"/>
                  <w:vAlign w:val="center"/>
                </w:tcPr>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本项目为加油站项目，不属于产能严重过剩行业的新增产能项目。</w:t>
                  </w:r>
                </w:p>
              </w:tc>
              <w:tc>
                <w:tcPr>
                  <w:tcW w:w="578"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pPr>
                    <w:numPr>
                      <w:ilvl w:val="0"/>
                      <w:numId w:val="0"/>
                    </w:numPr>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污染物排放管控</w:t>
                  </w:r>
                </w:p>
              </w:tc>
              <w:tc>
                <w:tcPr>
                  <w:tcW w:w="3107" w:type="dxa"/>
                  <w:vAlign w:val="center"/>
                </w:tcPr>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1.雁栖湖截污管网接入黄沙湾泵站，逸夫中学污水接入黄沙湾泵站，角山污水处理厂纳污范围内污水全部进入角山污水处理厂。对污水处理设施产生的污泥应进行稳定化、无害化和资源化处理处置。完成“千吨万人”饮用水水源地环境问题清理整治。</w:t>
                  </w:r>
                </w:p>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2.2020年底前，全面完成“散乱污”企业整治工作；关停拆除高污染燃料禁燃区域内的燃煤小锅炉、工业窑炉；完成年排放量100吨以上包装印刷、工业涂装、家具制造等重点行业VOCs 污染治理，加油站、储油库基本完成油气回收治理工作；严禁秸秆露天焚烧。</w:t>
                  </w:r>
                </w:p>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3.建立健全城镇垃圾收集转运及处理处置体系，推动生活垃圾分类，统筹布局生活垃圾转运站，逐步淘汰敞开式收运设施，在全市建成区推广密闭压缩式收运方式，加快建设生活垃圾处理设施；对于无渗滤液处理设施、渗滤液处理不达标的生活垃圾处理设施，加快完成改造。</w:t>
                  </w:r>
                </w:p>
              </w:tc>
              <w:tc>
                <w:tcPr>
                  <w:tcW w:w="1667" w:type="dxa"/>
                  <w:vAlign w:val="center"/>
                </w:tcPr>
                <w:p>
                  <w:pPr>
                    <w:numPr>
                      <w:ilvl w:val="0"/>
                      <w:numId w:val="0"/>
                    </w:numPr>
                    <w:spacing w:line="240" w:lineRule="auto"/>
                    <w:jc w:val="left"/>
                    <w:rPr>
                      <w:rFonts w:hint="eastAsia"/>
                      <w:b w:val="0"/>
                      <w:bCs w:val="0"/>
                      <w:color w:val="auto"/>
                      <w:sz w:val="21"/>
                      <w:szCs w:val="21"/>
                      <w:vertAlign w:val="baseline"/>
                      <w:lang w:val="en-US" w:eastAsia="zh-CN"/>
                    </w:rPr>
                  </w:pPr>
                  <w:r>
                    <w:rPr>
                      <w:rFonts w:hint="eastAsia"/>
                      <w:b w:val="0"/>
                      <w:bCs w:val="0"/>
                      <w:sz w:val="21"/>
                      <w:szCs w:val="21"/>
                      <w:vertAlign w:val="baseline"/>
                      <w:lang w:val="en-US" w:eastAsia="zh-CN"/>
                    </w:rPr>
                    <w:t>1、</w:t>
                  </w:r>
                  <w:r>
                    <w:rPr>
                      <w:rFonts w:hint="eastAsia"/>
                      <w:b w:val="0"/>
                      <w:bCs w:val="0"/>
                      <w:color w:val="auto"/>
                      <w:sz w:val="21"/>
                      <w:szCs w:val="21"/>
                      <w:vertAlign w:val="baseline"/>
                      <w:lang w:val="en-US" w:eastAsia="zh-CN"/>
                    </w:rPr>
                    <w:t>项目生活污水经拟建的化粪池处理后、加油棚地面冲洗水和洗车废水经拟建的隔油池处理后接入市政污水管网进入松木污水处理厂统一处理。</w:t>
                  </w:r>
                </w:p>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2、项目为加油站项目，位于衡阳市松木经济开发区，属于衡阳市重点管控单元。运营期废气主要为非甲烷总烃，经油气回收装置收集后，能够达标排放。</w:t>
                  </w:r>
                </w:p>
                <w:p>
                  <w:pPr>
                    <w:numPr>
                      <w:ilvl w:val="0"/>
                      <w:numId w:val="0"/>
                    </w:numPr>
                    <w:spacing w:line="240" w:lineRule="auto"/>
                    <w:jc w:val="left"/>
                    <w:rPr>
                      <w:rFonts w:hint="default"/>
                      <w:b w:val="0"/>
                      <w:bCs w:val="0"/>
                      <w:sz w:val="21"/>
                      <w:szCs w:val="21"/>
                      <w:vertAlign w:val="baseline"/>
                      <w:lang w:val="en-US" w:eastAsia="zh-CN"/>
                    </w:rPr>
                  </w:pPr>
                  <w:r>
                    <w:rPr>
                      <w:rFonts w:hint="eastAsia"/>
                      <w:b w:val="0"/>
                      <w:bCs w:val="0"/>
                      <w:sz w:val="21"/>
                      <w:szCs w:val="21"/>
                      <w:vertAlign w:val="baseline"/>
                      <w:lang w:val="en-US" w:eastAsia="zh-CN"/>
                    </w:rPr>
                    <w:t>3、项目施工期及运营期工作人员及来往顾客产生的生活垃圾集中收集交由所在地的环卫部门清运处理。</w:t>
                  </w:r>
                </w:p>
              </w:tc>
              <w:tc>
                <w:tcPr>
                  <w:tcW w:w="578"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pPr>
                    <w:numPr>
                      <w:ilvl w:val="0"/>
                      <w:numId w:val="0"/>
                    </w:numPr>
                    <w:spacing w:line="240" w:lineRule="auto"/>
                    <w:jc w:val="both"/>
                    <w:rPr>
                      <w:rFonts w:hint="eastAsia"/>
                      <w:b w:val="0"/>
                      <w:bCs w:val="0"/>
                      <w:sz w:val="21"/>
                      <w:szCs w:val="21"/>
                      <w:vertAlign w:val="baseline"/>
                      <w:lang w:val="en-US" w:eastAsia="zh-CN"/>
                    </w:rPr>
                  </w:pPr>
                  <w:r>
                    <w:rPr>
                      <w:rFonts w:hint="eastAsia"/>
                      <w:b w:val="0"/>
                      <w:bCs w:val="0"/>
                      <w:sz w:val="21"/>
                      <w:szCs w:val="21"/>
                      <w:vertAlign w:val="baseline"/>
                      <w:lang w:val="en-US" w:eastAsia="zh-CN"/>
                    </w:rPr>
                    <w:t>环境风险防控</w:t>
                  </w:r>
                </w:p>
              </w:tc>
              <w:tc>
                <w:tcPr>
                  <w:tcW w:w="3107" w:type="dxa"/>
                  <w:vAlign w:val="center"/>
                </w:tcPr>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1.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1667" w:type="dxa"/>
                  <w:vAlign w:val="center"/>
                </w:tcPr>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本项目地块用途为商业服务业设施用地，建立了完善的风险防范措施。废气、废水处理措施合理有效，有效地减少废气、废水中相关污染物对周围环境的影响。</w:t>
                  </w:r>
                </w:p>
              </w:tc>
              <w:tc>
                <w:tcPr>
                  <w:tcW w:w="578"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pPr>
                    <w:numPr>
                      <w:ilvl w:val="0"/>
                      <w:numId w:val="0"/>
                    </w:numPr>
                    <w:spacing w:line="240" w:lineRule="auto"/>
                    <w:jc w:val="center"/>
                    <w:rPr>
                      <w:rFonts w:hint="eastAsia"/>
                      <w:b w:val="0"/>
                      <w:bCs w:val="0"/>
                      <w:sz w:val="21"/>
                      <w:szCs w:val="21"/>
                      <w:vertAlign w:val="baseline"/>
                      <w:lang w:val="en-US" w:eastAsia="zh-CN"/>
                    </w:rPr>
                  </w:pPr>
                  <w:r>
                    <w:rPr>
                      <w:rStyle w:val="12"/>
                      <w:rFonts w:hint="eastAsia"/>
                      <w:lang w:val="en-US" w:eastAsia="zh-CN"/>
                    </w:rPr>
                    <w:t>资源开发效率要求</w:t>
                  </w:r>
                </w:p>
              </w:tc>
              <w:tc>
                <w:tcPr>
                  <w:tcW w:w="3107" w:type="dxa"/>
                  <w:vAlign w:val="center"/>
                </w:tcPr>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到2020年，全区能耗强度降低17%，控制目标120.41万吨标准煤。</w:t>
                  </w:r>
                </w:p>
                <w:p>
                  <w:pPr>
                    <w:numPr>
                      <w:ilvl w:val="0"/>
                      <w:numId w:val="0"/>
                    </w:numPr>
                    <w:spacing w:line="240" w:lineRule="auto"/>
                    <w:jc w:val="left"/>
                    <w:rPr>
                      <w:rFonts w:hint="eastAsia"/>
                      <w:b w:val="0"/>
                      <w:bCs w:val="0"/>
                      <w:sz w:val="21"/>
                      <w:szCs w:val="21"/>
                      <w:vertAlign w:val="baseline"/>
                      <w:lang w:val="en-US" w:eastAsia="zh-CN"/>
                    </w:rPr>
                  </w:pPr>
                  <w:r>
                    <w:rPr>
                      <w:rFonts w:hint="eastAsia"/>
                      <w:b w:val="0"/>
                      <w:bCs w:val="0"/>
                      <w:sz w:val="21"/>
                      <w:szCs w:val="21"/>
                      <w:vertAlign w:val="baseline"/>
                      <w:lang w:val="en-US" w:eastAsia="zh-CN"/>
                    </w:rPr>
                    <w:t>2.水资源：到2020年，全区万元国内生产总值用水量、万元工业增加值用水量分别比2015年降低30%和32.7%；农田灌溉水有效利用系数提高到0.597。</w:t>
                  </w:r>
                </w:p>
              </w:tc>
              <w:tc>
                <w:tcPr>
                  <w:tcW w:w="1667" w:type="dxa"/>
                  <w:vAlign w:val="center"/>
                </w:tcPr>
                <w:p>
                  <w:pPr>
                    <w:numPr>
                      <w:ilvl w:val="0"/>
                      <w:numId w:val="0"/>
                    </w:numPr>
                    <w:spacing w:line="240" w:lineRule="auto"/>
                    <w:jc w:val="left"/>
                    <w:rPr>
                      <w:rFonts w:hint="eastAsia"/>
                      <w:b w:val="0"/>
                      <w:bCs w:val="0"/>
                      <w:sz w:val="21"/>
                      <w:szCs w:val="21"/>
                      <w:vertAlign w:val="baseline"/>
                      <w:lang w:val="en-US" w:eastAsia="zh-CN"/>
                    </w:rPr>
                  </w:pPr>
                  <w:r>
                    <w:rPr>
                      <w:rFonts w:hint="eastAsia"/>
                      <w:b w:val="0"/>
                      <w:bCs w:val="0"/>
                      <w:color w:val="auto"/>
                      <w:sz w:val="21"/>
                      <w:szCs w:val="21"/>
                      <w:vertAlign w:val="baseline"/>
                      <w:lang w:val="en-US" w:eastAsia="zh-CN"/>
                    </w:rPr>
                    <w:t>本项目能源为电，区域内水资源丰富，生活污水通过化粪池处理后、加油棚地面冲洗水和洗车废水经隔油池处理后，进入污水管网。</w:t>
                  </w:r>
                </w:p>
              </w:tc>
              <w:tc>
                <w:tcPr>
                  <w:tcW w:w="578" w:type="dxa"/>
                  <w:vAlign w:val="center"/>
                </w:tcPr>
                <w:p>
                  <w:pPr>
                    <w:numPr>
                      <w:ilvl w:val="0"/>
                      <w:numId w:val="0"/>
                    </w:numPr>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符合</w:t>
                  </w:r>
                </w:p>
              </w:tc>
            </w:tr>
          </w:tbl>
          <w:p>
            <w:pPr>
              <w:numPr>
                <w:ilvl w:val="0"/>
                <w:numId w:val="0"/>
              </w:numPr>
              <w:ind w:firstLine="480" w:firstLineChars="200"/>
              <w:jc w:val="both"/>
              <w:rPr>
                <w:rFonts w:hint="eastAsia"/>
                <w:b w:val="0"/>
                <w:bCs w:val="0"/>
                <w:lang w:val="en-US" w:eastAsia="zh-CN"/>
              </w:rPr>
            </w:pPr>
            <w:r>
              <w:rPr>
                <w:rFonts w:hint="eastAsia"/>
                <w:b w:val="0"/>
                <w:bCs w:val="0"/>
                <w:lang w:val="en-US" w:eastAsia="zh-CN"/>
              </w:rPr>
              <w:t>综上所述，项目建设符合“三线一单”的控制要求。</w:t>
            </w:r>
          </w:p>
          <w:p>
            <w:pPr>
              <w:numPr>
                <w:ilvl w:val="0"/>
                <w:numId w:val="0"/>
              </w:numPr>
              <w:jc w:val="both"/>
              <w:rPr>
                <w:rFonts w:hint="eastAsia"/>
                <w:b w:val="0"/>
                <w:bCs w:val="0"/>
                <w:sz w:val="24"/>
                <w:szCs w:val="24"/>
                <w:lang w:val="en-US" w:eastAsia="zh-CN"/>
              </w:rPr>
            </w:pPr>
            <w:r>
              <w:rPr>
                <w:rFonts w:hint="eastAsia"/>
                <w:b/>
                <w:bCs/>
                <w:sz w:val="24"/>
                <w:szCs w:val="24"/>
                <w:lang w:val="en-US" w:eastAsia="zh-CN"/>
              </w:rPr>
              <w:t>4.其他符合性分析：</w:t>
            </w:r>
          </w:p>
          <w:p>
            <w:pPr>
              <w:numPr>
                <w:ilvl w:val="0"/>
                <w:numId w:val="0"/>
              </w:numPr>
              <w:jc w:val="both"/>
              <w:rPr>
                <w:rFonts w:hint="eastAsia"/>
                <w:b w:val="0"/>
                <w:bCs w:val="0"/>
                <w:lang w:val="en-US" w:eastAsia="zh-CN"/>
              </w:rPr>
            </w:pPr>
            <w:r>
              <w:rPr>
                <w:rFonts w:hint="eastAsia"/>
                <w:b/>
                <w:bCs/>
                <w:lang w:val="en-US" w:eastAsia="zh-CN"/>
              </w:rPr>
              <w:t>（1）</w:t>
            </w:r>
            <w:r>
              <w:rPr>
                <w:rFonts w:hint="eastAsia"/>
                <w:b/>
                <w:bCs/>
                <w:lang w:val="en-US" w:eastAsia="zh-CN"/>
              </w:rPr>
              <w:t>与《挥发性有机物污染（VOCs）防治技术政策》的符合性分析</w:t>
            </w:r>
          </w:p>
          <w:p>
            <w:pPr>
              <w:numPr>
                <w:ilvl w:val="0"/>
                <w:numId w:val="0"/>
              </w:numPr>
              <w:ind w:firstLine="480" w:firstLineChars="200"/>
              <w:jc w:val="both"/>
              <w:rPr>
                <w:rFonts w:hint="eastAsia"/>
                <w:b w:val="0"/>
                <w:bCs w:val="0"/>
                <w:lang w:val="en-US" w:eastAsia="zh-CN"/>
              </w:rPr>
            </w:pPr>
            <w:r>
              <w:rPr>
                <w:rFonts w:hint="eastAsia"/>
                <w:b w:val="0"/>
                <w:bCs w:val="0"/>
                <w:lang w:val="en-US" w:eastAsia="zh-CN"/>
              </w:rPr>
              <w:t>为贯彻《中华人民共和国环境保护法》、《中华人民共和国大气污染防治法》等法律法规，防治环境污染，保障生态安全和人体健康，促进挥发性有机物（VOCs）污染防治技术进步，中华人民共和国特制定了本技术政策。</w:t>
            </w:r>
          </w:p>
          <w:p>
            <w:pPr>
              <w:numPr>
                <w:ilvl w:val="0"/>
                <w:numId w:val="0"/>
              </w:numPr>
              <w:ind w:firstLine="480" w:firstLineChars="200"/>
              <w:jc w:val="both"/>
              <w:rPr>
                <w:rFonts w:hint="eastAsia"/>
                <w:b w:val="0"/>
                <w:bCs w:val="0"/>
                <w:lang w:val="en-US" w:eastAsia="zh-CN"/>
              </w:rPr>
            </w:pPr>
            <w:r>
              <w:rPr>
                <w:rFonts w:hint="eastAsia"/>
                <w:b w:val="0"/>
                <w:bCs w:val="0"/>
                <w:lang w:val="en-US" w:eastAsia="zh-CN"/>
              </w:rPr>
              <w:t>根据《挥发性有机物污染防治技术政策》要求，对加油站提出如下污染防治要求：</w:t>
            </w:r>
          </w:p>
          <w:p>
            <w:pPr>
              <w:numPr>
                <w:ilvl w:val="0"/>
                <w:numId w:val="0"/>
              </w:numPr>
              <w:ind w:firstLine="480" w:firstLineChars="200"/>
              <w:jc w:val="both"/>
              <w:rPr>
                <w:rFonts w:hint="eastAsia"/>
                <w:b w:val="0"/>
                <w:bCs w:val="0"/>
                <w:lang w:val="en-US" w:eastAsia="zh-CN"/>
              </w:rPr>
            </w:pPr>
            <w:r>
              <w:rPr>
                <w:rFonts w:hint="eastAsia"/>
                <w:b w:val="0"/>
                <w:bCs w:val="0"/>
                <w:lang w:val="en-US" w:eastAsia="zh-CN"/>
              </w:rPr>
              <w:t>①储油库、加油站和油罐车宜配备相应的油气收集系统，储油库、加油站宜配备相应的油气回收系统；</w:t>
            </w:r>
          </w:p>
          <w:p>
            <w:pPr>
              <w:numPr>
                <w:ilvl w:val="0"/>
                <w:numId w:val="0"/>
              </w:numPr>
              <w:ind w:firstLine="480" w:firstLineChars="200"/>
              <w:jc w:val="both"/>
              <w:rPr>
                <w:rFonts w:hint="eastAsia"/>
                <w:b w:val="0"/>
                <w:bCs w:val="0"/>
                <w:lang w:val="en-US" w:eastAsia="zh-CN"/>
              </w:rPr>
            </w:pPr>
            <w:r>
              <w:rPr>
                <w:rFonts w:hint="eastAsia"/>
                <w:b w:val="0"/>
                <w:bCs w:val="0"/>
                <w:lang w:val="en-US" w:eastAsia="zh-CN"/>
              </w:rPr>
              <w:t>②油类（燃油、溶剂等）储罐宜采用高效密封的内（外）浮顶罐，当采用固定顶罐时，通过密闭排气系统将含VOCs气体输送至回收设备；</w:t>
            </w:r>
          </w:p>
          <w:p>
            <w:pPr>
              <w:numPr>
                <w:ilvl w:val="0"/>
                <w:numId w:val="0"/>
              </w:numPr>
              <w:ind w:firstLine="480" w:firstLineChars="200"/>
              <w:jc w:val="both"/>
              <w:rPr>
                <w:rFonts w:hint="eastAsia"/>
                <w:b w:val="0"/>
                <w:bCs w:val="0"/>
                <w:lang w:val="en-US" w:eastAsia="zh-CN"/>
              </w:rPr>
            </w:pPr>
            <w:r>
              <w:rPr>
                <w:rFonts w:hint="eastAsia"/>
                <w:b w:val="0"/>
                <w:bCs w:val="0"/>
                <w:lang w:val="en-US" w:eastAsia="zh-CN"/>
              </w:rPr>
              <w:t>③油类（燃油、溶剂等）运载工具（汽车油罐车、铁路油槽车、油轮等）在装载过程中排放的VOCs密闭收集输送至回收设备，也可返回储罐或送入气体管网。</w:t>
            </w:r>
          </w:p>
          <w:p>
            <w:pPr>
              <w:numPr>
                <w:ilvl w:val="0"/>
                <w:numId w:val="0"/>
              </w:numPr>
              <w:ind w:firstLine="480" w:firstLineChars="200"/>
              <w:jc w:val="both"/>
              <w:rPr>
                <w:rFonts w:hint="eastAsia"/>
                <w:b w:val="0"/>
                <w:bCs w:val="0"/>
                <w:lang w:val="en-US" w:eastAsia="zh-CN"/>
              </w:rPr>
            </w:pPr>
            <w:r>
              <w:rPr>
                <w:rFonts w:hint="eastAsia"/>
                <w:b w:val="0"/>
                <w:bCs w:val="0"/>
                <w:lang w:val="en-US" w:eastAsia="zh-CN"/>
              </w:rPr>
              <w:t>本项目针对挥发性较高的汽油设置了专门的油气回收系统，可以通过密闭排气系统将VOCs气体输送至回收设备。</w:t>
            </w:r>
          </w:p>
          <w:p>
            <w:pPr>
              <w:numPr>
                <w:ilvl w:val="0"/>
                <w:numId w:val="0"/>
              </w:numPr>
              <w:ind w:firstLine="480" w:firstLineChars="200"/>
              <w:jc w:val="both"/>
              <w:rPr>
                <w:rFonts w:hint="eastAsia"/>
                <w:b w:val="0"/>
                <w:bCs w:val="0"/>
                <w:lang w:val="en-US" w:eastAsia="zh-CN"/>
              </w:rPr>
            </w:pPr>
            <w:r>
              <w:rPr>
                <w:rFonts w:hint="eastAsia"/>
                <w:b w:val="0"/>
                <w:bCs w:val="0"/>
                <w:lang w:val="en-US" w:eastAsia="zh-CN"/>
              </w:rPr>
              <w:t>因此，本项目的环保措施符合挥发性有机物污染（VOCs）防治技术政策。</w:t>
            </w:r>
          </w:p>
          <w:p>
            <w:pPr>
              <w:numPr>
                <w:ilvl w:val="0"/>
                <w:numId w:val="0"/>
              </w:numPr>
              <w:jc w:val="both"/>
              <w:rPr>
                <w:rFonts w:hint="eastAsia"/>
                <w:b/>
                <w:bCs/>
                <w:lang w:val="en-US" w:eastAsia="zh-CN"/>
              </w:rPr>
            </w:pPr>
            <w:r>
              <w:rPr>
                <w:rFonts w:hint="eastAsia"/>
                <w:b/>
                <w:bCs/>
                <w:lang w:val="en-US" w:eastAsia="zh-CN"/>
              </w:rPr>
              <w:t>（2）</w:t>
            </w:r>
            <w:r>
              <w:rPr>
                <w:rFonts w:hint="eastAsia"/>
                <w:b/>
                <w:bCs/>
                <w:lang w:val="en-US" w:eastAsia="zh-CN"/>
              </w:rPr>
              <w:t>与《重点行业挥发性有机物综合治理方案》（环大气〔2019〕53号）符合性分析</w:t>
            </w:r>
          </w:p>
          <w:p>
            <w:pPr>
              <w:numPr>
                <w:ilvl w:val="0"/>
                <w:numId w:val="0"/>
              </w:numPr>
              <w:ind w:firstLine="480" w:firstLineChars="200"/>
              <w:jc w:val="both"/>
              <w:rPr>
                <w:rFonts w:hint="eastAsia"/>
                <w:b w:val="0"/>
                <w:bCs w:val="0"/>
                <w:lang w:val="en-US" w:eastAsia="zh-CN"/>
              </w:rPr>
            </w:pPr>
            <w:r>
              <w:rPr>
                <w:rFonts w:hint="eastAsia"/>
                <w:b w:val="0"/>
                <w:bCs w:val="0"/>
                <w:lang w:val="en-US" w:eastAsia="zh-CN"/>
              </w:rPr>
              <w:t>根据《重点行业挥发性有机物综合治理方案》（环大气〔2019〕53号）中对油品储运销VOCs综合治理要求：</w:t>
            </w:r>
          </w:p>
          <w:p>
            <w:pPr>
              <w:numPr>
                <w:ilvl w:val="0"/>
                <w:numId w:val="0"/>
              </w:numPr>
              <w:ind w:firstLine="480" w:firstLineChars="200"/>
              <w:jc w:val="both"/>
              <w:rPr>
                <w:rFonts w:hint="eastAsia"/>
                <w:b w:val="0"/>
                <w:bCs w:val="0"/>
                <w:lang w:val="en-US" w:eastAsia="zh-CN"/>
              </w:rPr>
            </w:pPr>
            <w:r>
              <w:rPr>
                <w:rFonts w:hint="eastAsia"/>
                <w:b w:val="0"/>
                <w:bCs w:val="0"/>
                <w:lang w:val="en-US" w:eastAsia="zh-CN"/>
              </w:rPr>
              <w:t>①加大汽油（含乙醇汽油）、石脑油、煤油（含航空煤油）以及原油等VOCs排放控制，重点推进加油站、油罐车、储油库油气回收治理。重点区域还应推进油船油气回收治理工作。</w:t>
            </w:r>
          </w:p>
          <w:p>
            <w:pPr>
              <w:numPr>
                <w:ilvl w:val="0"/>
                <w:numId w:val="0"/>
              </w:numPr>
              <w:ind w:firstLine="480" w:firstLineChars="200"/>
              <w:jc w:val="both"/>
              <w:rPr>
                <w:rFonts w:hint="eastAsia"/>
                <w:b w:val="0"/>
                <w:bCs w:val="0"/>
                <w:lang w:val="en-US" w:eastAsia="zh-CN"/>
              </w:rPr>
            </w:pPr>
            <w:r>
              <w:rPr>
                <w:rFonts w:hint="eastAsia"/>
                <w:b w:val="0"/>
                <w:bCs w:val="0"/>
                <w:lang w:val="en-US" w:eastAsia="zh-CN"/>
              </w:rPr>
              <w:t>②深化加油站油气回收工作。O₃污染较重的地区，行政区域内大力推进加油站储油、加油油气回收治理工作，重点区域2019年年底前基本完成。埋地油罐全面采用电子液位仪进行汽油密闭测量。规范油气回收设施运行，自行或聘请第三方加强加油枪气液比、系统密闭性及管线液阻等检查，提高检测频次，重点区域原则上每半年开展一次，确保油气回收系统正常运行。</w:t>
            </w:r>
          </w:p>
          <w:p>
            <w:pPr>
              <w:numPr>
                <w:ilvl w:val="0"/>
                <w:numId w:val="0"/>
              </w:numPr>
              <w:ind w:firstLine="480" w:firstLineChars="200"/>
              <w:jc w:val="both"/>
              <w:rPr>
                <w:rFonts w:hint="eastAsia"/>
                <w:b w:val="0"/>
                <w:bCs w:val="0"/>
                <w:lang w:val="en-US" w:eastAsia="zh-CN"/>
              </w:rPr>
            </w:pPr>
            <w:r>
              <w:rPr>
                <w:rFonts w:hint="eastAsia"/>
                <w:b w:val="0"/>
                <w:bCs w:val="0"/>
                <w:lang w:val="en-US" w:eastAsia="zh-CN"/>
              </w:rPr>
              <w:t>③推进储油库油气回收治理。汽油、航空煤油、原油以及真实蒸气压小于76.6kPa的石脑油应采用浮顶罐储存，其中，油品容积小于等于100立方米的，可采用卧式储罐。真实蒸气压大于等于76.6kPa的石脑油应采用低压罐、压力罐或其他等效措施储存。加快推进油品收发过程排放的油气收集处理。</w:t>
            </w:r>
          </w:p>
          <w:p>
            <w:pPr>
              <w:numPr>
                <w:ilvl w:val="0"/>
                <w:numId w:val="0"/>
              </w:numPr>
              <w:ind w:firstLine="480" w:firstLineChars="200"/>
              <w:jc w:val="both"/>
              <w:rPr>
                <w:rFonts w:hint="eastAsia"/>
                <w:b w:val="0"/>
                <w:bCs w:val="0"/>
                <w:lang w:val="en-US" w:eastAsia="zh-CN"/>
              </w:rPr>
            </w:pPr>
            <w:r>
              <w:rPr>
                <w:rFonts w:hint="eastAsia"/>
                <w:b w:val="0"/>
                <w:bCs w:val="0"/>
                <w:lang w:val="en-US" w:eastAsia="zh-CN"/>
              </w:rPr>
              <w:t>④加强储油库发油油气回收系统接口泄漏检测，提高检测频次，减少油气泄漏，确保油品装卸过程油气回收处理装置正常运行。加强油罐车油气回收系统密闭性和油气回收气动阀门密闭性检测，每年至少开展一次。推动储油库安装油气回收自动监控设施。</w:t>
            </w:r>
          </w:p>
          <w:p>
            <w:pPr>
              <w:numPr>
                <w:ilvl w:val="0"/>
                <w:numId w:val="0"/>
              </w:numPr>
              <w:ind w:firstLine="480" w:firstLineChars="200"/>
              <w:jc w:val="both"/>
              <w:rPr>
                <w:rFonts w:hint="eastAsia"/>
                <w:b w:val="0"/>
                <w:bCs w:val="0"/>
                <w:lang w:val="en-US" w:eastAsia="zh-CN"/>
              </w:rPr>
            </w:pPr>
            <w:r>
              <w:rPr>
                <w:rFonts w:hint="eastAsia"/>
                <w:b w:val="0"/>
                <w:bCs w:val="0"/>
                <w:lang w:val="en-US" w:eastAsia="zh-CN"/>
              </w:rPr>
              <w:t>本项目设置有汽油油气回收治理工作，项目所在区域为非重点区域，储油罐及加油工艺管线均设置防渗漏监测点。项目采用埋地卧式SF双层油罐，生产中油罐由液位计量，安全可靠，自动显示液位计测量数据，在营运过程中加强油罐车油气回收系统密闭性和油气回收气动阀门密闭性检测，因此，项目的建设符合《重点行业挥发性有机物综合治理方案》（环大气〔2019〕53号）文件的要求。</w:t>
            </w:r>
          </w:p>
          <w:p>
            <w:pPr>
              <w:numPr>
                <w:ilvl w:val="0"/>
                <w:numId w:val="0"/>
              </w:numPr>
              <w:jc w:val="both"/>
              <w:rPr>
                <w:rFonts w:hint="eastAsia"/>
                <w:b/>
                <w:bCs/>
                <w:lang w:val="en-US" w:eastAsia="zh-CN"/>
              </w:rPr>
            </w:pPr>
            <w:r>
              <w:rPr>
                <w:rFonts w:hint="eastAsia"/>
                <w:b/>
                <w:bCs/>
                <w:lang w:val="en-US" w:eastAsia="zh-CN"/>
              </w:rPr>
              <w:t>（3）</w:t>
            </w:r>
            <w:r>
              <w:rPr>
                <w:rFonts w:hint="eastAsia"/>
                <w:b/>
                <w:bCs/>
                <w:lang w:val="en-US" w:eastAsia="zh-CN"/>
              </w:rPr>
              <w:t>与《加油站地下水污染防治技术指南(试行)》符合性</w:t>
            </w:r>
          </w:p>
          <w:p>
            <w:pPr>
              <w:numPr>
                <w:ilvl w:val="0"/>
                <w:numId w:val="0"/>
              </w:numPr>
              <w:ind w:firstLine="480" w:firstLineChars="200"/>
              <w:jc w:val="both"/>
              <w:rPr>
                <w:rFonts w:hint="eastAsia"/>
                <w:b w:val="0"/>
                <w:bCs w:val="0"/>
                <w:lang w:val="en-US" w:eastAsia="zh-CN"/>
              </w:rPr>
            </w:pPr>
            <w:r>
              <w:rPr>
                <w:rFonts w:hint="eastAsia"/>
                <w:b w:val="0"/>
                <w:bCs w:val="0"/>
                <w:lang w:val="en-US" w:eastAsia="zh-CN"/>
              </w:rPr>
              <w:t>具体符合性详见下表</w:t>
            </w:r>
            <w:r>
              <w:rPr>
                <w:rFonts w:hint="eastAsia"/>
                <w:lang w:val="en-US" w:eastAsia="zh-CN"/>
              </w:rPr>
              <w:t>1-</w:t>
            </w:r>
            <w:r>
              <w:rPr>
                <w:rFonts w:hint="default"/>
                <w:lang w:eastAsia="zh-CN"/>
              </w:rPr>
              <w:fldChar w:fldCharType="begin"/>
            </w:r>
            <w:r>
              <w:rPr>
                <w:rFonts w:hint="default"/>
                <w:lang w:eastAsia="zh-CN"/>
              </w:rPr>
              <w:instrText xml:space="preserve"> SEQ 1- \* MERGEFORMAT </w:instrText>
            </w:r>
            <w:r>
              <w:rPr>
                <w:rFonts w:hint="default"/>
                <w:lang w:eastAsia="zh-CN"/>
              </w:rPr>
              <w:fldChar w:fldCharType="separate"/>
            </w:r>
            <w:r>
              <w:rPr>
                <w:rFonts w:hint="default"/>
                <w:lang w:eastAsia="zh-CN"/>
              </w:rPr>
              <w:t>2</w:t>
            </w:r>
            <w:r>
              <w:rPr>
                <w:rFonts w:hint="default"/>
                <w:lang w:eastAsia="zh-CN"/>
              </w:rPr>
              <w:fldChar w:fldCharType="end"/>
            </w:r>
            <w:r>
              <w:rPr>
                <w:rFonts w:hint="eastAsia"/>
                <w:b w:val="0"/>
                <w:bCs w:val="0"/>
                <w:lang w:val="en-US" w:eastAsia="zh-CN"/>
              </w:rPr>
              <w:t>。</w:t>
            </w:r>
          </w:p>
          <w:p>
            <w:pPr>
              <w:pStyle w:val="10"/>
              <w:bidi w:val="0"/>
              <w:rPr>
                <w:rFonts w:hint="eastAsia"/>
                <w:lang w:val="en-US" w:eastAsia="zh-CN"/>
              </w:rPr>
            </w:pPr>
            <w:r>
              <w:rPr>
                <w:rFonts w:hint="eastAsia"/>
                <w:lang w:val="en-US" w:eastAsia="zh-CN"/>
              </w:rPr>
              <w:t>表1-</w:t>
            </w:r>
            <w:r>
              <w:rPr>
                <w:rFonts w:hint="default"/>
                <w:lang w:eastAsia="zh-CN"/>
              </w:rPr>
              <w:fldChar w:fldCharType="begin"/>
            </w:r>
            <w:r>
              <w:rPr>
                <w:rFonts w:hint="default"/>
                <w:lang w:eastAsia="zh-CN"/>
              </w:rPr>
              <w:instrText xml:space="preserve"> SEQ  表1- </w:instrText>
            </w:r>
            <w:r>
              <w:rPr>
                <w:rFonts w:hint="default"/>
                <w:lang w:eastAsia="zh-CN"/>
              </w:rPr>
              <w:fldChar w:fldCharType="separate"/>
            </w:r>
            <w:r>
              <w:rPr>
                <w:rFonts w:hint="default"/>
                <w:lang w:eastAsia="zh-CN"/>
              </w:rPr>
              <w:t>2</w:t>
            </w:r>
            <w:r>
              <w:rPr>
                <w:rFonts w:hint="default"/>
                <w:lang w:eastAsia="zh-CN"/>
              </w:rPr>
              <w:fldChar w:fldCharType="end"/>
            </w:r>
            <w:r>
              <w:rPr>
                <w:rFonts w:hint="eastAsia"/>
                <w:lang w:val="en-US" w:eastAsia="zh-CN"/>
              </w:rPr>
              <w:t xml:space="preserve"> 与《加油站地下水污染防治技术指南(试行)》符合性分析</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3347"/>
              <w:gridCol w:w="1405"/>
              <w:gridCol w:w="5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8"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项目</w:t>
                  </w:r>
                </w:p>
              </w:tc>
              <w:tc>
                <w:tcPr>
                  <w:tcW w:w="3600" w:type="dxa"/>
                  <w:vAlign w:val="center"/>
                </w:tcPr>
                <w:p>
                  <w:pPr>
                    <w:numPr>
                      <w:ilvl w:val="0"/>
                      <w:numId w:val="0"/>
                    </w:numPr>
                    <w:spacing w:line="240" w:lineRule="auto"/>
                    <w:jc w:val="center"/>
                    <w:rPr>
                      <w:rFonts w:hint="eastAsia"/>
                      <w:sz w:val="21"/>
                      <w:szCs w:val="21"/>
                      <w:vertAlign w:val="baseline"/>
                      <w:lang w:val="en-US" w:eastAsia="zh-CN"/>
                    </w:rPr>
                  </w:pPr>
                  <w:r>
                    <w:rPr>
                      <w:rFonts w:hint="eastAsia"/>
                      <w:sz w:val="21"/>
                      <w:szCs w:val="21"/>
                      <w:vertAlign w:val="baseline"/>
                      <w:lang w:val="en-US" w:eastAsia="zh-CN"/>
                    </w:rPr>
                    <w:t>加油站地下水污染防治技术指南(试行)要求</w:t>
                  </w:r>
                </w:p>
              </w:tc>
              <w:tc>
                <w:tcPr>
                  <w:tcW w:w="1500" w:type="dxa"/>
                  <w:vAlign w:val="center"/>
                </w:tcPr>
                <w:p>
                  <w:pPr>
                    <w:numPr>
                      <w:ilvl w:val="0"/>
                      <w:numId w:val="0"/>
                    </w:numPr>
                    <w:spacing w:line="240" w:lineRule="auto"/>
                    <w:jc w:val="center"/>
                    <w:rPr>
                      <w:rFonts w:hint="eastAsia"/>
                      <w:sz w:val="21"/>
                      <w:szCs w:val="21"/>
                      <w:vertAlign w:val="baseline"/>
                      <w:lang w:val="en-US" w:eastAsia="zh-CN"/>
                    </w:rPr>
                  </w:pPr>
                  <w:r>
                    <w:rPr>
                      <w:rFonts w:hint="eastAsia"/>
                      <w:sz w:val="21"/>
                      <w:szCs w:val="21"/>
                      <w:vertAlign w:val="baseline"/>
                      <w:lang w:val="en-US" w:eastAsia="zh-CN"/>
                    </w:rPr>
                    <w:t>本项目建设采取措施</w:t>
                  </w:r>
                </w:p>
              </w:tc>
              <w:tc>
                <w:tcPr>
                  <w:tcW w:w="564"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8"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油罐类型</w:t>
                  </w:r>
                </w:p>
              </w:tc>
              <w:tc>
                <w:tcPr>
                  <w:tcW w:w="3600" w:type="dxa"/>
                  <w:vAlign w:val="center"/>
                </w:tcPr>
                <w:p>
                  <w:pPr>
                    <w:numPr>
                      <w:ilvl w:val="0"/>
                      <w:numId w:val="0"/>
                    </w:numPr>
                    <w:spacing w:line="240" w:lineRule="auto"/>
                    <w:jc w:val="left"/>
                    <w:rPr>
                      <w:rFonts w:hint="eastAsia"/>
                      <w:sz w:val="21"/>
                      <w:szCs w:val="21"/>
                      <w:vertAlign w:val="baseline"/>
                      <w:lang w:val="en-US" w:eastAsia="zh-CN"/>
                    </w:rPr>
                  </w:pPr>
                  <w:r>
                    <w:rPr>
                      <w:rFonts w:hint="eastAsia"/>
                      <w:sz w:val="21"/>
                      <w:szCs w:val="21"/>
                      <w:vertAlign w:val="baseline"/>
                      <w:lang w:val="en-US" w:eastAsia="zh-CN"/>
                    </w:rPr>
                    <w:t>埋地油罐采用双层油罐时，可采用双层钢制油罐、双层玻璃纤维增强塑料油罐、内钢外玻璃纤维增强塑料双层油罐。既有加油站的埋地单层钢制油罐改造为双层油罐时，可采用玻璃纤维增强塑料凳满足强度和防渗要求的材料进行衬里改造</w:t>
                  </w:r>
                </w:p>
              </w:tc>
              <w:tc>
                <w:tcPr>
                  <w:tcW w:w="1500" w:type="dxa"/>
                  <w:vAlign w:val="center"/>
                </w:tcPr>
                <w:p>
                  <w:pPr>
                    <w:numPr>
                      <w:ilvl w:val="0"/>
                      <w:numId w:val="0"/>
                    </w:numPr>
                    <w:spacing w:line="240" w:lineRule="auto"/>
                    <w:jc w:val="left"/>
                    <w:rPr>
                      <w:rFonts w:hint="eastAsia"/>
                      <w:sz w:val="21"/>
                      <w:szCs w:val="21"/>
                      <w:vertAlign w:val="baseline"/>
                      <w:lang w:val="en-US" w:eastAsia="zh-CN"/>
                    </w:rPr>
                  </w:pPr>
                  <w:r>
                    <w:rPr>
                      <w:rFonts w:hint="eastAsia"/>
                      <w:sz w:val="21"/>
                      <w:szCs w:val="21"/>
                      <w:vertAlign w:val="baseline"/>
                      <w:lang w:val="en-US" w:eastAsia="zh-CN"/>
                    </w:rPr>
                    <w:t>埋地油罐，SF双层油罐</w:t>
                  </w:r>
                </w:p>
              </w:tc>
              <w:tc>
                <w:tcPr>
                  <w:tcW w:w="564"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8"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埋地方式</w:t>
                  </w:r>
                </w:p>
              </w:tc>
              <w:tc>
                <w:tcPr>
                  <w:tcW w:w="3600" w:type="dxa"/>
                  <w:vAlign w:val="center"/>
                </w:tcPr>
                <w:p>
                  <w:pPr>
                    <w:numPr>
                      <w:ilvl w:val="0"/>
                      <w:numId w:val="0"/>
                    </w:numPr>
                    <w:spacing w:line="240" w:lineRule="auto"/>
                    <w:jc w:val="left"/>
                    <w:rPr>
                      <w:rFonts w:hint="eastAsia"/>
                      <w:sz w:val="21"/>
                      <w:szCs w:val="21"/>
                      <w:vertAlign w:val="baseline"/>
                      <w:lang w:val="en-US" w:eastAsia="zh-CN"/>
                    </w:rPr>
                  </w:pPr>
                  <w:r>
                    <w:rPr>
                      <w:rFonts w:hint="eastAsia"/>
                      <w:sz w:val="21"/>
                      <w:szCs w:val="21"/>
                      <w:vertAlign w:val="baseline"/>
                      <w:lang w:val="en-US" w:eastAsia="zh-CN"/>
                    </w:rPr>
                    <w:t>埋地加油管道应采取双层管道</w:t>
                  </w:r>
                </w:p>
              </w:tc>
              <w:tc>
                <w:tcPr>
                  <w:tcW w:w="1500" w:type="dxa"/>
                  <w:vAlign w:val="center"/>
                </w:tcPr>
                <w:p>
                  <w:pPr>
                    <w:numPr>
                      <w:ilvl w:val="0"/>
                      <w:numId w:val="0"/>
                    </w:numPr>
                    <w:spacing w:line="240" w:lineRule="auto"/>
                    <w:jc w:val="left"/>
                    <w:rPr>
                      <w:rFonts w:hint="eastAsia"/>
                      <w:sz w:val="21"/>
                      <w:szCs w:val="21"/>
                      <w:vertAlign w:val="baseline"/>
                      <w:lang w:val="en-US" w:eastAsia="zh-CN"/>
                    </w:rPr>
                  </w:pPr>
                  <w:r>
                    <w:rPr>
                      <w:rFonts w:hint="eastAsia"/>
                      <w:sz w:val="21"/>
                      <w:szCs w:val="21"/>
                      <w:vertAlign w:val="baseline"/>
                      <w:lang w:val="en-US" w:eastAsia="zh-CN"/>
                    </w:rPr>
                    <w:t>卧式地下储罐，埋地加油管道采用双层管道</w:t>
                  </w:r>
                </w:p>
              </w:tc>
              <w:tc>
                <w:tcPr>
                  <w:tcW w:w="564"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98" w:type="dxa"/>
                  <w:vMerge w:val="restart"/>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防渗措施</w:t>
                  </w:r>
                </w:p>
              </w:tc>
              <w:tc>
                <w:tcPr>
                  <w:tcW w:w="3600" w:type="dxa"/>
                  <w:vAlign w:val="center"/>
                </w:tcPr>
                <w:p>
                  <w:pPr>
                    <w:numPr>
                      <w:ilvl w:val="0"/>
                      <w:numId w:val="0"/>
                    </w:numPr>
                    <w:spacing w:line="240" w:lineRule="auto"/>
                    <w:jc w:val="left"/>
                    <w:rPr>
                      <w:rFonts w:hint="eastAsia"/>
                      <w:sz w:val="21"/>
                      <w:szCs w:val="21"/>
                      <w:vertAlign w:val="baseline"/>
                      <w:lang w:val="en-US" w:eastAsia="zh-CN"/>
                    </w:rPr>
                  </w:pPr>
                  <w:r>
                    <w:rPr>
                      <w:rFonts w:hint="eastAsia"/>
                      <w:sz w:val="21"/>
                      <w:szCs w:val="21"/>
                      <w:vertAlign w:val="baseline"/>
                      <w:lang w:val="en-US" w:eastAsia="zh-CN"/>
                    </w:rPr>
                    <w:t>装有潜油泵的油罐人孔操作井、卸油口井、加油机底槽等可能发生油品渗漏的部位，也应采取相应的防渗措施</w:t>
                  </w:r>
                </w:p>
              </w:tc>
              <w:tc>
                <w:tcPr>
                  <w:tcW w:w="1500" w:type="dxa"/>
                  <w:vAlign w:val="center"/>
                </w:tcPr>
                <w:p>
                  <w:pPr>
                    <w:numPr>
                      <w:ilvl w:val="0"/>
                      <w:numId w:val="0"/>
                    </w:numPr>
                    <w:spacing w:line="240" w:lineRule="auto"/>
                    <w:jc w:val="left"/>
                    <w:rPr>
                      <w:rFonts w:hint="eastAsia"/>
                      <w:sz w:val="21"/>
                      <w:szCs w:val="21"/>
                      <w:vertAlign w:val="baseline"/>
                      <w:lang w:val="en-US" w:eastAsia="zh-CN"/>
                    </w:rPr>
                  </w:pPr>
                  <w:r>
                    <w:rPr>
                      <w:rFonts w:hint="eastAsia"/>
                      <w:sz w:val="21"/>
                      <w:szCs w:val="21"/>
                      <w:vertAlign w:val="baseline"/>
                      <w:lang w:val="en-US" w:eastAsia="zh-CN"/>
                    </w:rPr>
                    <w:t>油罐人孔操作井、卸油口井、加油机底槽均采取了防渗措施</w:t>
                  </w:r>
                </w:p>
              </w:tc>
              <w:tc>
                <w:tcPr>
                  <w:tcW w:w="564" w:type="dxa"/>
                  <w:vMerge w:val="restart"/>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598" w:type="dxa"/>
                  <w:vMerge w:val="continue"/>
                  <w:vAlign w:val="center"/>
                </w:tcPr>
                <w:p>
                  <w:pPr>
                    <w:spacing w:line="240" w:lineRule="auto"/>
                    <w:jc w:val="center"/>
                  </w:pPr>
                </w:p>
              </w:tc>
              <w:tc>
                <w:tcPr>
                  <w:tcW w:w="3600" w:type="dxa"/>
                  <w:vAlign w:val="center"/>
                </w:tcPr>
                <w:p>
                  <w:pPr>
                    <w:numPr>
                      <w:ilvl w:val="0"/>
                      <w:numId w:val="0"/>
                    </w:numPr>
                    <w:spacing w:line="240" w:lineRule="auto"/>
                    <w:jc w:val="left"/>
                    <w:rPr>
                      <w:rFonts w:hint="eastAsia"/>
                      <w:sz w:val="21"/>
                      <w:szCs w:val="21"/>
                      <w:vertAlign w:val="baseline"/>
                      <w:lang w:val="en-US" w:eastAsia="zh-CN"/>
                    </w:rPr>
                  </w:pPr>
                  <w:r>
                    <w:rPr>
                      <w:rFonts w:hint="eastAsia"/>
                      <w:sz w:val="21"/>
                      <w:szCs w:val="21"/>
                      <w:vertAlign w:val="baseline"/>
                      <w:lang w:val="en-US" w:eastAsia="zh-CN"/>
                    </w:rPr>
                    <w:t>处于地下水饮用水水源保护区和补给径流区外的加油站，可设一个地下水监测井；地下水监测井尽量设置在加油站内。当现场只需布设一个地下水监测井时，地下水监测井应设在埋地油罐区地下水流向的下游，在保证安全的情况下，尽可能靠近埋地油罐</w:t>
                  </w:r>
                </w:p>
              </w:tc>
              <w:tc>
                <w:tcPr>
                  <w:tcW w:w="1500" w:type="dxa"/>
                  <w:vAlign w:val="center"/>
                </w:tcPr>
                <w:p>
                  <w:pPr>
                    <w:numPr>
                      <w:ilvl w:val="0"/>
                      <w:numId w:val="0"/>
                    </w:numPr>
                    <w:spacing w:line="240" w:lineRule="auto"/>
                    <w:jc w:val="center"/>
                    <w:rPr>
                      <w:rFonts w:hint="eastAsia"/>
                      <w:sz w:val="21"/>
                      <w:szCs w:val="21"/>
                      <w:vertAlign w:val="baseline"/>
                      <w:lang w:val="en-US" w:eastAsia="zh-CN"/>
                    </w:rPr>
                  </w:pPr>
                  <w:r>
                    <w:rPr>
                      <w:rFonts w:hint="eastAsia"/>
                      <w:sz w:val="21"/>
                      <w:szCs w:val="21"/>
                      <w:vertAlign w:val="baseline"/>
                      <w:lang w:val="en-US" w:eastAsia="zh-CN"/>
                    </w:rPr>
                    <w:t>该加油站处于地下水饮用水水源保护区和补给径流区外</w:t>
                  </w:r>
                </w:p>
              </w:tc>
              <w:tc>
                <w:tcPr>
                  <w:tcW w:w="564" w:type="dxa"/>
                  <w:vMerge w:val="continue"/>
                  <w:vAlign w:val="center"/>
                </w:tcPr>
                <w:p>
                  <w:pPr>
                    <w:spacing w:line="240" w:lineRule="auto"/>
                    <w:jc w:val="center"/>
                    <w:rPr>
                      <w:rFonts w:hint="eastAsia"/>
                      <w:sz w:val="21"/>
                      <w:szCs w:val="21"/>
                      <w:vertAlign w:val="baseline"/>
                      <w:lang w:val="en-US" w:eastAsia="zh-CN"/>
                    </w:rPr>
                  </w:pPr>
                </w:p>
              </w:tc>
            </w:tr>
          </w:tbl>
          <w:p>
            <w:pPr>
              <w:numPr>
                <w:ilvl w:val="0"/>
                <w:numId w:val="0"/>
              </w:numPr>
              <w:ind w:firstLine="480" w:firstLineChars="200"/>
              <w:jc w:val="both"/>
              <w:rPr>
                <w:rFonts w:hint="eastAsia"/>
                <w:lang w:val="en-US" w:eastAsia="zh-CN"/>
              </w:rPr>
            </w:pPr>
            <w:r>
              <w:rPr>
                <w:rFonts w:hint="eastAsia"/>
                <w:lang w:val="en-US" w:eastAsia="zh-CN"/>
              </w:rPr>
              <w:t>综上所述，本项目与《加油站地下水污染防治技术指南(试行)》的要求是相符的。</w:t>
            </w:r>
          </w:p>
          <w:p>
            <w:pPr>
              <w:numPr>
                <w:ilvl w:val="0"/>
                <w:numId w:val="0"/>
              </w:numPr>
              <w:jc w:val="both"/>
              <w:rPr>
                <w:rFonts w:hint="eastAsia"/>
                <w:b/>
                <w:bCs/>
                <w:lang w:val="en-US" w:eastAsia="zh-CN"/>
              </w:rPr>
            </w:pPr>
            <w:r>
              <w:rPr>
                <w:rFonts w:hint="eastAsia"/>
                <w:b/>
                <w:bCs/>
                <w:lang w:val="en-US" w:eastAsia="zh-CN"/>
              </w:rPr>
              <w:t>（4）</w:t>
            </w:r>
            <w:r>
              <w:rPr>
                <w:rFonts w:hint="eastAsia"/>
                <w:b/>
                <w:bCs/>
                <w:lang w:val="en-US" w:eastAsia="zh-CN"/>
              </w:rPr>
              <w:t>与《汽车加油加气加氢站技术标准》(GB50156-2021)符合性</w:t>
            </w:r>
          </w:p>
          <w:p>
            <w:pPr>
              <w:numPr>
                <w:ilvl w:val="0"/>
                <w:numId w:val="0"/>
              </w:numPr>
              <w:ind w:firstLine="480" w:firstLineChars="200"/>
              <w:jc w:val="both"/>
              <w:rPr>
                <w:rFonts w:hint="eastAsia"/>
                <w:lang w:val="en-US" w:eastAsia="zh-CN"/>
              </w:rPr>
            </w:pPr>
            <w:r>
              <w:rPr>
                <w:rFonts w:hint="eastAsia"/>
                <w:lang w:val="en-US" w:eastAsia="zh-CN"/>
              </w:rPr>
              <w:t>本项目加油站及储油罐选址、总平面布置与《汽车加油加气加氢站技术标准》(GB50156-2021)的相关标准的对照情况见下表具体符合性详见下表1-</w:t>
            </w:r>
            <w:r>
              <w:rPr>
                <w:rFonts w:hint="default"/>
                <w:lang w:eastAsia="zh-CN"/>
              </w:rPr>
              <w:fldChar w:fldCharType="begin"/>
            </w:r>
            <w:r>
              <w:rPr>
                <w:rFonts w:hint="default"/>
                <w:lang w:eastAsia="zh-CN"/>
              </w:rPr>
              <w:instrText xml:space="preserve"> SEQ 1- \* MERGEFORMAT </w:instrText>
            </w:r>
            <w:r>
              <w:rPr>
                <w:rFonts w:hint="default"/>
                <w:lang w:eastAsia="zh-CN"/>
              </w:rPr>
              <w:fldChar w:fldCharType="separate"/>
            </w:r>
            <w:r>
              <w:rPr>
                <w:rFonts w:hint="default"/>
                <w:lang w:eastAsia="zh-CN"/>
              </w:rPr>
              <w:t>3</w:t>
            </w:r>
            <w:r>
              <w:rPr>
                <w:rFonts w:hint="default"/>
                <w:lang w:eastAsia="zh-CN"/>
              </w:rPr>
              <w:fldChar w:fldCharType="end"/>
            </w:r>
            <w:r>
              <w:rPr>
                <w:rFonts w:hint="eastAsia"/>
                <w:lang w:val="en-US" w:eastAsia="zh-CN"/>
              </w:rPr>
              <w:t>和</w:t>
            </w:r>
            <w:r>
              <w:rPr>
                <w:rFonts w:hint="default"/>
                <w:lang w:val="en-US" w:eastAsia="zh-CN"/>
              </w:rPr>
              <w:t>1-</w:t>
            </w:r>
            <w:r>
              <w:rPr>
                <w:rFonts w:hint="default"/>
                <w:lang w:eastAsia="zh-CN"/>
              </w:rPr>
              <w:fldChar w:fldCharType="begin"/>
            </w:r>
            <w:r>
              <w:rPr>
                <w:rFonts w:hint="default"/>
                <w:lang w:eastAsia="zh-CN"/>
              </w:rPr>
              <w:instrText xml:space="preserve"> SEQ 1- \* MERGEFORMAT </w:instrText>
            </w:r>
            <w:r>
              <w:rPr>
                <w:rFonts w:hint="default"/>
                <w:lang w:eastAsia="zh-CN"/>
              </w:rPr>
              <w:fldChar w:fldCharType="separate"/>
            </w:r>
            <w:r>
              <w:rPr>
                <w:rFonts w:hint="default"/>
                <w:lang w:eastAsia="zh-CN"/>
              </w:rPr>
              <w:t>4</w:t>
            </w:r>
            <w:r>
              <w:rPr>
                <w:rFonts w:hint="default"/>
                <w:lang w:eastAsia="zh-CN"/>
              </w:rPr>
              <w:fldChar w:fldCharType="end"/>
            </w:r>
            <w:r>
              <w:rPr>
                <w:rFonts w:hint="eastAsia"/>
                <w:lang w:val="en-US" w:eastAsia="zh-CN"/>
              </w:rPr>
              <w:t>。</w:t>
            </w:r>
          </w:p>
          <w:p>
            <w:pPr>
              <w:pStyle w:val="10"/>
              <w:bidi w:val="0"/>
              <w:rPr>
                <w:rFonts w:hint="eastAsia"/>
                <w:lang w:val="en-US" w:eastAsia="zh-CN"/>
              </w:rPr>
            </w:pPr>
            <w:r>
              <w:rPr>
                <w:rFonts w:hint="eastAsia"/>
                <w:lang w:val="en-US" w:eastAsia="zh-CN"/>
              </w:rPr>
              <w:t>表1-</w:t>
            </w:r>
            <w:r>
              <w:rPr>
                <w:rFonts w:hint="default"/>
                <w:lang w:eastAsia="zh-CN"/>
              </w:rPr>
              <w:fldChar w:fldCharType="begin"/>
            </w:r>
            <w:r>
              <w:rPr>
                <w:rFonts w:hint="default"/>
                <w:lang w:eastAsia="zh-CN"/>
              </w:rPr>
              <w:instrText xml:space="preserve"> SEQ 表1- </w:instrText>
            </w:r>
            <w:r>
              <w:rPr>
                <w:rFonts w:hint="default"/>
                <w:lang w:eastAsia="zh-CN"/>
              </w:rPr>
              <w:fldChar w:fldCharType="separate"/>
            </w:r>
            <w:r>
              <w:rPr>
                <w:rFonts w:hint="default"/>
                <w:lang w:eastAsia="zh-CN"/>
              </w:rPr>
              <w:t>3</w:t>
            </w:r>
            <w:r>
              <w:rPr>
                <w:rFonts w:hint="default"/>
                <w:lang w:eastAsia="zh-CN"/>
              </w:rPr>
              <w:fldChar w:fldCharType="end"/>
            </w:r>
            <w:r>
              <w:rPr>
                <w:rFonts w:hint="eastAsia"/>
                <w:lang w:val="en-US" w:eastAsia="zh-CN"/>
              </w:rPr>
              <w:t xml:space="preserve"> 与《汽车加油加气加氢站技术标准》(GB50156-2021)符合性分析</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2465"/>
              <w:gridCol w:w="2350"/>
              <w:gridCol w:w="5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序号</w:t>
                  </w:r>
                </w:p>
              </w:tc>
              <w:tc>
                <w:tcPr>
                  <w:tcW w:w="2465"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标准要求</w:t>
                  </w:r>
                </w:p>
              </w:tc>
              <w:tc>
                <w:tcPr>
                  <w:tcW w:w="2350"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实际情况</w:t>
                  </w:r>
                </w:p>
              </w:tc>
              <w:tc>
                <w:tcPr>
                  <w:tcW w:w="595"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1</w:t>
                  </w:r>
                </w:p>
              </w:tc>
              <w:tc>
                <w:tcPr>
                  <w:tcW w:w="2465"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选址应符合城乡规划的要求</w:t>
                  </w:r>
                </w:p>
              </w:tc>
              <w:tc>
                <w:tcPr>
                  <w:tcW w:w="2350"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根据衡阳市自然资源和规划局批准新竹加油站建设用地规划许可证</w:t>
                  </w:r>
                  <w:r>
                    <w:rPr>
                      <w:rFonts w:hint="eastAsia"/>
                      <w:sz w:val="21"/>
                      <w:szCs w:val="21"/>
                      <w:vertAlign w:val="baseline"/>
                      <w:lang w:val="en-US" w:eastAsia="zh-CN"/>
                    </w:rPr>
                    <w:t>（</w:t>
                  </w:r>
                  <w:r>
                    <w:rPr>
                      <w:rFonts w:hint="default"/>
                      <w:sz w:val="21"/>
                      <w:szCs w:val="21"/>
                      <w:vertAlign w:val="baseline"/>
                      <w:lang w:val="en-US" w:eastAsia="zh-CN"/>
                    </w:rPr>
                    <w:t>附件</w:t>
                  </w:r>
                  <w:r>
                    <w:rPr>
                      <w:rFonts w:hint="eastAsia"/>
                      <w:sz w:val="21"/>
                      <w:szCs w:val="21"/>
                      <w:vertAlign w:val="baseline"/>
                      <w:lang w:val="en-US" w:eastAsia="zh-CN"/>
                    </w:rPr>
                    <w:t>5）和《国有建设用地使用权委托交易成交确认书》（</w:t>
                  </w:r>
                  <w:r>
                    <w:rPr>
                      <w:rFonts w:hint="default"/>
                      <w:sz w:val="21"/>
                      <w:szCs w:val="21"/>
                      <w:vertAlign w:val="baseline"/>
                      <w:lang w:val="en-US" w:eastAsia="zh-CN"/>
                    </w:rPr>
                    <w:t>附件</w:t>
                  </w:r>
                  <w:r>
                    <w:rPr>
                      <w:rFonts w:hint="eastAsia"/>
                      <w:sz w:val="21"/>
                      <w:szCs w:val="21"/>
                      <w:vertAlign w:val="baseline"/>
                      <w:lang w:val="en-US" w:eastAsia="zh-CN"/>
                    </w:rPr>
                    <w:t>6）可知，项目地块用途为商业服务业设施用地</w:t>
                  </w:r>
                </w:p>
              </w:tc>
              <w:tc>
                <w:tcPr>
                  <w:tcW w:w="595"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2</w:t>
                  </w:r>
                </w:p>
              </w:tc>
              <w:tc>
                <w:tcPr>
                  <w:tcW w:w="2465"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选址应符合环境保护的要求</w:t>
                  </w:r>
                </w:p>
              </w:tc>
              <w:tc>
                <w:tcPr>
                  <w:tcW w:w="2350"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项目周边环境容量有余，在建设单位落实各项环保措施的情况下项目外排污染物达标，对周边环境影响较小</w:t>
                  </w:r>
                </w:p>
              </w:tc>
              <w:tc>
                <w:tcPr>
                  <w:tcW w:w="595"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3</w:t>
                  </w:r>
                </w:p>
              </w:tc>
              <w:tc>
                <w:tcPr>
                  <w:tcW w:w="2465"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选址应符合防火安全的要求</w:t>
                  </w:r>
                </w:p>
              </w:tc>
              <w:tc>
                <w:tcPr>
                  <w:tcW w:w="2350"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本项目选址符合防火安全间距的要求</w:t>
                  </w:r>
                </w:p>
              </w:tc>
              <w:tc>
                <w:tcPr>
                  <w:tcW w:w="595"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4</w:t>
                  </w:r>
                </w:p>
              </w:tc>
              <w:tc>
                <w:tcPr>
                  <w:tcW w:w="2465"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选址应选在交通便利的地方</w:t>
                  </w:r>
                </w:p>
              </w:tc>
              <w:tc>
                <w:tcPr>
                  <w:tcW w:w="2350"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本项目位于衡阳市松木经济开发区，交通便捷</w:t>
                  </w:r>
                </w:p>
              </w:tc>
              <w:tc>
                <w:tcPr>
                  <w:tcW w:w="595"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5</w:t>
                  </w:r>
                </w:p>
              </w:tc>
              <w:tc>
                <w:tcPr>
                  <w:tcW w:w="2465"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在城区内不应建一级加油站</w:t>
                  </w:r>
                </w:p>
              </w:tc>
              <w:tc>
                <w:tcPr>
                  <w:tcW w:w="2350"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本项目为二级加油站</w:t>
                  </w:r>
                </w:p>
              </w:tc>
              <w:tc>
                <w:tcPr>
                  <w:tcW w:w="595"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6</w:t>
                  </w:r>
                </w:p>
              </w:tc>
              <w:tc>
                <w:tcPr>
                  <w:tcW w:w="2465"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加油站的油罐、加油机和通气管与站外建(构)筑物的防火距离，不应小于《汽车加油加气加氢站技术标》(GB50156-2021)中的规定</w:t>
                  </w:r>
                </w:p>
              </w:tc>
              <w:tc>
                <w:tcPr>
                  <w:tcW w:w="2350" w:type="dxa"/>
                  <w:vAlign w:val="center"/>
                </w:tcPr>
                <w:p>
                  <w:pPr>
                    <w:numPr>
                      <w:ilvl w:val="0"/>
                      <w:numId w:val="0"/>
                    </w:numPr>
                    <w:spacing w:line="240" w:lineRule="auto"/>
                    <w:jc w:val="center"/>
                    <w:rPr>
                      <w:rFonts w:hint="default"/>
                      <w:sz w:val="21"/>
                      <w:szCs w:val="21"/>
                      <w:vertAlign w:val="baseline"/>
                      <w:lang w:val="en-US" w:eastAsia="zh-CN"/>
                    </w:rPr>
                  </w:pPr>
                  <w:r>
                    <w:rPr>
                      <w:rFonts w:hint="default"/>
                      <w:sz w:val="21"/>
                      <w:szCs w:val="21"/>
                      <w:vertAlign w:val="baseline"/>
                      <w:lang w:val="en-US" w:eastAsia="zh-CN"/>
                    </w:rPr>
                    <w:t>本项目油罐、加油机和通气管口与站外建、构筑物的距离满足相关规定</w:t>
                  </w:r>
                </w:p>
              </w:tc>
              <w:tc>
                <w:tcPr>
                  <w:tcW w:w="595" w:type="dxa"/>
                  <w:vAlign w:val="center"/>
                </w:tcPr>
                <w:p>
                  <w:pPr>
                    <w:numPr>
                      <w:ilvl w:val="0"/>
                      <w:numId w:val="0"/>
                    </w:numPr>
                    <w:spacing w:line="240" w:lineRule="auto"/>
                    <w:jc w:val="center"/>
                    <w:rPr>
                      <w:rFonts w:hint="default"/>
                      <w:sz w:val="21"/>
                      <w:szCs w:val="21"/>
                      <w:vertAlign w:val="baseline"/>
                      <w:lang w:val="en-US" w:eastAsia="zh-CN"/>
                    </w:rPr>
                  </w:pPr>
                  <w:r>
                    <w:rPr>
                      <w:rFonts w:hint="eastAsia"/>
                      <w:sz w:val="21"/>
                      <w:szCs w:val="21"/>
                      <w:vertAlign w:val="baseline"/>
                      <w:lang w:val="en-US" w:eastAsia="zh-CN"/>
                    </w:rPr>
                    <w:t>符合</w:t>
                  </w:r>
                </w:p>
              </w:tc>
            </w:tr>
          </w:tbl>
          <w:p>
            <w:pPr>
              <w:pStyle w:val="10"/>
              <w:bidi w:val="0"/>
              <w:jc w:val="center"/>
              <w:rPr>
                <w:rFonts w:hint="eastAsia"/>
                <w:b/>
                <w:bCs/>
                <w:color w:val="auto"/>
                <w:lang w:val="en-US" w:eastAsia="zh-CN"/>
              </w:rPr>
            </w:pPr>
            <w:r>
              <w:rPr>
                <w:rFonts w:hint="default"/>
                <w:b/>
                <w:bCs/>
                <w:color w:val="auto"/>
                <w:lang w:val="en-US" w:eastAsia="zh-CN"/>
              </w:rPr>
              <w:t>表1-</w:t>
            </w:r>
            <w:r>
              <w:rPr>
                <w:rFonts w:hint="default"/>
                <w:b/>
                <w:bCs/>
                <w:color w:val="auto"/>
                <w:lang w:eastAsia="zh-CN"/>
              </w:rPr>
              <w:fldChar w:fldCharType="begin"/>
            </w:r>
            <w:r>
              <w:rPr>
                <w:rFonts w:hint="default"/>
                <w:b/>
                <w:bCs/>
                <w:color w:val="auto"/>
                <w:lang w:eastAsia="zh-CN"/>
              </w:rPr>
              <w:instrText xml:space="preserve"> SEQ 表1- </w:instrText>
            </w:r>
            <w:r>
              <w:rPr>
                <w:rFonts w:hint="default"/>
                <w:b/>
                <w:bCs/>
                <w:color w:val="auto"/>
                <w:lang w:eastAsia="zh-CN"/>
              </w:rPr>
              <w:fldChar w:fldCharType="separate"/>
            </w:r>
            <w:r>
              <w:rPr>
                <w:rFonts w:hint="default"/>
                <w:b/>
                <w:bCs/>
                <w:color w:val="auto"/>
                <w:lang w:eastAsia="zh-CN"/>
              </w:rPr>
              <w:t>4</w:t>
            </w:r>
            <w:r>
              <w:rPr>
                <w:rFonts w:hint="default"/>
                <w:b/>
                <w:bCs/>
                <w:color w:val="auto"/>
                <w:lang w:eastAsia="zh-CN"/>
              </w:rPr>
              <w:fldChar w:fldCharType="end"/>
            </w:r>
            <w:r>
              <w:rPr>
                <w:rFonts w:hint="eastAsia"/>
                <w:b/>
                <w:bCs/>
                <w:color w:val="auto"/>
                <w:lang w:val="en-US" w:eastAsia="zh-CN"/>
              </w:rPr>
              <w:t xml:space="preserve">  </w:t>
            </w:r>
            <w:r>
              <w:rPr>
                <w:rFonts w:hint="default"/>
                <w:b/>
                <w:bCs/>
                <w:color w:val="auto"/>
                <w:lang w:val="en-US" w:eastAsia="zh-CN"/>
              </w:rPr>
              <w:t>汽油</w:t>
            </w:r>
            <w:r>
              <w:rPr>
                <w:rFonts w:hint="eastAsia"/>
                <w:b/>
                <w:bCs/>
                <w:color w:val="auto"/>
                <w:lang w:val="en-US" w:eastAsia="zh-CN"/>
              </w:rPr>
              <w:t>（柴油）</w:t>
            </w:r>
            <w:r>
              <w:rPr>
                <w:rFonts w:hint="default"/>
                <w:b/>
                <w:bCs/>
                <w:color w:val="auto"/>
                <w:lang w:val="en-US" w:eastAsia="zh-CN"/>
              </w:rPr>
              <w:t>设备与站外建、构筑物的安全距离(m)符合性分</w:t>
            </w:r>
            <w:r>
              <w:rPr>
                <w:rFonts w:hint="eastAsia"/>
                <w:b/>
                <w:bCs/>
                <w:color w:val="auto"/>
                <w:lang w:val="en-US" w:eastAsia="zh-CN"/>
              </w:rPr>
              <w:t>析</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194"/>
              <w:gridCol w:w="1115"/>
              <w:gridCol w:w="910"/>
              <w:gridCol w:w="1079"/>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Merge w:val="restart"/>
                  <w:vAlign w:val="center"/>
                </w:tcPr>
                <w:p>
                  <w:pPr>
                    <w:pStyle w:val="9"/>
                    <w:widowControl w:val="0"/>
                    <w:jc w:val="center"/>
                    <w:rPr>
                      <w:rFonts w:hint="default"/>
                      <w:vertAlign w:val="baseline"/>
                      <w:lang w:val="en-US" w:eastAsia="zh-CN"/>
                    </w:rPr>
                  </w:pPr>
                  <w:r>
                    <w:rPr>
                      <w:rFonts w:hint="eastAsia"/>
                      <w:vertAlign w:val="baseline"/>
                      <w:lang w:val="en-US" w:eastAsia="zh-CN"/>
                    </w:rPr>
                    <w:t>站外建（构）筑物</w:t>
                  </w:r>
                </w:p>
              </w:tc>
              <w:tc>
                <w:tcPr>
                  <w:tcW w:w="4014" w:type="dxa"/>
                  <w:gridSpan w:val="4"/>
                  <w:vAlign w:val="center"/>
                </w:tcPr>
                <w:p>
                  <w:pPr>
                    <w:pStyle w:val="9"/>
                    <w:widowControl w:val="0"/>
                    <w:jc w:val="center"/>
                    <w:rPr>
                      <w:rFonts w:hint="default"/>
                      <w:vertAlign w:val="baseline"/>
                      <w:lang w:val="en-US" w:eastAsia="zh-CN"/>
                    </w:rPr>
                  </w:pPr>
                  <w:r>
                    <w:rPr>
                      <w:rFonts w:hint="eastAsia"/>
                      <w:vertAlign w:val="baseline"/>
                      <w:lang w:val="en-US" w:eastAsia="zh-CN"/>
                    </w:rPr>
                    <w:t>站内汽油（柴油设备） 二级站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Merge w:val="continue"/>
                  <w:vAlign w:val="center"/>
                </w:tcPr>
                <w:p>
                  <w:pPr>
                    <w:pStyle w:val="9"/>
                    <w:widowControl w:val="0"/>
                    <w:jc w:val="center"/>
                    <w:rPr>
                      <w:rFonts w:hint="default"/>
                      <w:vertAlign w:val="baseline"/>
                      <w:lang w:val="en-US" w:eastAsia="zh-CN"/>
                    </w:rPr>
                  </w:pPr>
                </w:p>
              </w:tc>
              <w:tc>
                <w:tcPr>
                  <w:tcW w:w="2025" w:type="dxa"/>
                  <w:gridSpan w:val="2"/>
                  <w:vAlign w:val="center"/>
                </w:tcPr>
                <w:p>
                  <w:pPr>
                    <w:pStyle w:val="9"/>
                    <w:widowControl w:val="0"/>
                    <w:jc w:val="center"/>
                    <w:rPr>
                      <w:rFonts w:hint="default"/>
                      <w:vertAlign w:val="baseline"/>
                      <w:lang w:val="en-US" w:eastAsia="zh-CN"/>
                    </w:rPr>
                  </w:pPr>
                  <w:r>
                    <w:rPr>
                      <w:rFonts w:hint="eastAsia"/>
                      <w:vertAlign w:val="baseline"/>
                      <w:lang w:val="en-US" w:eastAsia="zh-CN"/>
                    </w:rPr>
                    <w:t>埋地油罐</w:t>
                  </w:r>
                </w:p>
              </w:tc>
              <w:tc>
                <w:tcPr>
                  <w:tcW w:w="1989" w:type="dxa"/>
                  <w:gridSpan w:val="2"/>
                  <w:vAlign w:val="center"/>
                </w:tcPr>
                <w:p>
                  <w:pPr>
                    <w:pStyle w:val="9"/>
                    <w:widowControl w:val="0"/>
                    <w:jc w:val="center"/>
                    <w:rPr>
                      <w:rFonts w:hint="default"/>
                      <w:vertAlign w:val="baseline"/>
                      <w:lang w:val="en-US" w:eastAsia="zh-CN"/>
                    </w:rPr>
                  </w:pPr>
                  <w:r>
                    <w:rPr>
                      <w:rFonts w:hint="eastAsia"/>
                      <w:vertAlign w:val="baseline"/>
                      <w:lang w:val="en-US" w:eastAsia="zh-CN"/>
                    </w:rPr>
                    <w:t>加油机、油罐通气管口、油气回收处理装置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Merge w:val="continue"/>
                  <w:vAlign w:val="center"/>
                </w:tcPr>
                <w:p>
                  <w:pPr>
                    <w:pStyle w:val="9"/>
                    <w:widowControl w:val="0"/>
                    <w:jc w:val="center"/>
                    <w:rPr>
                      <w:rFonts w:hint="default"/>
                      <w:vertAlign w:val="baseline"/>
                      <w:lang w:val="en-US" w:eastAsia="zh-CN"/>
                    </w:rPr>
                  </w:pPr>
                </w:p>
              </w:tc>
              <w:tc>
                <w:tcPr>
                  <w:tcW w:w="1115" w:type="dxa"/>
                  <w:vAlign w:val="center"/>
                </w:tcPr>
                <w:p>
                  <w:pPr>
                    <w:pStyle w:val="9"/>
                    <w:widowControl w:val="0"/>
                    <w:jc w:val="center"/>
                    <w:rPr>
                      <w:rFonts w:hint="default"/>
                      <w:vertAlign w:val="baseline"/>
                      <w:lang w:val="en-US" w:eastAsia="zh-CN"/>
                    </w:rPr>
                  </w:pPr>
                  <w:r>
                    <w:rPr>
                      <w:rFonts w:hint="eastAsia"/>
                      <w:vertAlign w:val="baseline"/>
                      <w:lang w:val="en-US" w:eastAsia="zh-CN"/>
                    </w:rPr>
                    <w:t>标准要求</w:t>
                  </w:r>
                </w:p>
              </w:tc>
              <w:tc>
                <w:tcPr>
                  <w:tcW w:w="910" w:type="dxa"/>
                  <w:vAlign w:val="center"/>
                </w:tcPr>
                <w:p>
                  <w:pPr>
                    <w:pStyle w:val="9"/>
                    <w:widowControl w:val="0"/>
                    <w:jc w:val="center"/>
                    <w:rPr>
                      <w:rFonts w:hint="default"/>
                      <w:vertAlign w:val="baseline"/>
                      <w:lang w:val="en-US" w:eastAsia="zh-CN"/>
                    </w:rPr>
                  </w:pPr>
                  <w:r>
                    <w:rPr>
                      <w:rFonts w:hint="eastAsia"/>
                      <w:vertAlign w:val="baseline"/>
                      <w:lang w:val="en-US" w:eastAsia="zh-CN"/>
                    </w:rPr>
                    <w:t>本项目</w:t>
                  </w:r>
                </w:p>
              </w:tc>
              <w:tc>
                <w:tcPr>
                  <w:tcW w:w="1079" w:type="dxa"/>
                  <w:vAlign w:val="center"/>
                </w:tcPr>
                <w:p>
                  <w:pPr>
                    <w:pStyle w:val="9"/>
                    <w:widowControl w:val="0"/>
                    <w:jc w:val="center"/>
                    <w:rPr>
                      <w:rFonts w:hint="default"/>
                      <w:vertAlign w:val="baseline"/>
                      <w:lang w:val="en-US" w:eastAsia="zh-CN"/>
                    </w:rPr>
                  </w:pPr>
                  <w:r>
                    <w:rPr>
                      <w:rFonts w:hint="eastAsia"/>
                      <w:vertAlign w:val="baseline"/>
                      <w:lang w:val="en-US" w:eastAsia="zh-CN"/>
                    </w:rPr>
                    <w:t>标准要求</w:t>
                  </w:r>
                </w:p>
              </w:tc>
              <w:tc>
                <w:tcPr>
                  <w:tcW w:w="910" w:type="dxa"/>
                  <w:vAlign w:val="center"/>
                </w:tcPr>
                <w:p>
                  <w:pPr>
                    <w:pStyle w:val="9"/>
                    <w:widowControl w:val="0"/>
                    <w:jc w:val="center"/>
                    <w:rPr>
                      <w:rFonts w:hint="default"/>
                      <w:vertAlign w:val="baseline"/>
                      <w:lang w:val="en-US" w:eastAsia="zh-CN"/>
                    </w:rPr>
                  </w:pPr>
                  <w:r>
                    <w:rPr>
                      <w:rFonts w:hint="eastAsia"/>
                      <w:vertAlign w:val="baseline"/>
                      <w:lang w:val="en-US" w:eastAsia="zh-CN"/>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default"/>
                      <w:sz w:val="21"/>
                      <w:szCs w:val="21"/>
                      <w:vertAlign w:val="baseline"/>
                      <w:lang w:val="en-US" w:eastAsia="zh-CN"/>
                    </w:rPr>
                    <w:t>重要公共建筑物</w:t>
                  </w:r>
                </w:p>
              </w:tc>
              <w:tc>
                <w:tcPr>
                  <w:tcW w:w="1115" w:type="dxa"/>
                  <w:vAlign w:val="center"/>
                </w:tcPr>
                <w:p>
                  <w:pPr>
                    <w:pStyle w:val="9"/>
                    <w:widowControl w:val="0"/>
                    <w:jc w:val="center"/>
                    <w:rPr>
                      <w:rFonts w:hint="default"/>
                      <w:vertAlign w:val="baseline"/>
                      <w:lang w:val="en-US" w:eastAsia="zh-CN"/>
                    </w:rPr>
                  </w:pPr>
                  <w:r>
                    <w:rPr>
                      <w:rFonts w:hint="eastAsia"/>
                      <w:vertAlign w:val="baseline"/>
                      <w:lang w:val="en-US" w:eastAsia="zh-CN"/>
                    </w:rPr>
                    <w:t>35（25）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default"/>
                      <w:vertAlign w:val="baseline"/>
                      <w:lang w:val="en-US" w:eastAsia="zh-CN"/>
                    </w:rPr>
                  </w:pPr>
                  <w:r>
                    <w:rPr>
                      <w:rFonts w:hint="eastAsia"/>
                      <w:vertAlign w:val="baseline"/>
                      <w:lang w:val="en-US" w:eastAsia="zh-CN"/>
                    </w:rPr>
                    <w:t>35（25）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Align w:val="center"/>
                </w:tcPr>
                <w:p>
                  <w:pPr>
                    <w:numPr>
                      <w:ilvl w:val="0"/>
                      <w:numId w:val="0"/>
                    </w:numPr>
                    <w:spacing w:line="240" w:lineRule="auto"/>
                    <w:ind w:left="0" w:leftChars="0" w:firstLine="0" w:firstLineChars="0"/>
                    <w:jc w:val="center"/>
                    <w:rPr>
                      <w:rFonts w:hint="default"/>
                      <w:vertAlign w:val="baseline"/>
                      <w:lang w:val="en-US" w:eastAsia="zh-CN"/>
                    </w:rPr>
                  </w:pPr>
                  <w:r>
                    <w:rPr>
                      <w:rFonts w:hint="default"/>
                      <w:sz w:val="21"/>
                      <w:szCs w:val="21"/>
                      <w:vertAlign w:val="baseline"/>
                      <w:lang w:val="en-US" w:eastAsia="zh-CN"/>
                    </w:rPr>
                    <w:t>明火地点或散发火花地点</w:t>
                  </w:r>
                </w:p>
              </w:tc>
              <w:tc>
                <w:tcPr>
                  <w:tcW w:w="1115" w:type="dxa"/>
                  <w:vAlign w:val="center"/>
                </w:tcPr>
                <w:p>
                  <w:pPr>
                    <w:pStyle w:val="9"/>
                    <w:widowControl w:val="0"/>
                    <w:jc w:val="both"/>
                    <w:rPr>
                      <w:rFonts w:hint="default"/>
                      <w:vertAlign w:val="baseline"/>
                      <w:lang w:val="en-US" w:eastAsia="zh-CN"/>
                    </w:rPr>
                  </w:pPr>
                  <w:r>
                    <w:rPr>
                      <w:rFonts w:hint="eastAsia"/>
                      <w:vertAlign w:val="baseline"/>
                      <w:lang w:val="en-US" w:eastAsia="zh-CN"/>
                    </w:rPr>
                    <w:t>17.5(12.5)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default"/>
                      <w:vertAlign w:val="baseline"/>
                      <w:lang w:val="en-US" w:eastAsia="zh-CN"/>
                    </w:rPr>
                  </w:pPr>
                  <w:r>
                    <w:rPr>
                      <w:rFonts w:hint="eastAsia"/>
                      <w:vertAlign w:val="baseline"/>
                      <w:lang w:val="en-US" w:eastAsia="zh-CN"/>
                    </w:rPr>
                    <w:t>12.5(10)</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54" w:type="dxa"/>
                  <w:vMerge w:val="restart"/>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default"/>
                      <w:sz w:val="21"/>
                      <w:szCs w:val="21"/>
                      <w:vertAlign w:val="baseline"/>
                      <w:lang w:val="en-US" w:eastAsia="zh-CN"/>
                    </w:rPr>
                    <w:t>民用建筑物保护类别</w:t>
                  </w:r>
                </w:p>
              </w:tc>
              <w:tc>
                <w:tcPr>
                  <w:tcW w:w="1194" w:type="dxa"/>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eastAsia"/>
                      <w:sz w:val="21"/>
                      <w:szCs w:val="21"/>
                      <w:vertAlign w:val="baseline"/>
                      <w:lang w:val="en-US" w:eastAsia="zh-CN"/>
                    </w:rPr>
                    <w:t>一类保护物</w:t>
                  </w:r>
                </w:p>
              </w:tc>
              <w:tc>
                <w:tcPr>
                  <w:tcW w:w="1115" w:type="dxa"/>
                  <w:vAlign w:val="center"/>
                </w:tcPr>
                <w:p>
                  <w:pPr>
                    <w:pStyle w:val="9"/>
                    <w:widowControl w:val="0"/>
                    <w:jc w:val="center"/>
                    <w:rPr>
                      <w:rFonts w:hint="default"/>
                      <w:vertAlign w:val="baseline"/>
                      <w:lang w:val="en-US" w:eastAsia="zh-CN"/>
                    </w:rPr>
                  </w:pPr>
                  <w:r>
                    <w:rPr>
                      <w:rFonts w:hint="eastAsia"/>
                      <w:vertAlign w:val="baseline"/>
                      <w:lang w:val="en-US" w:eastAsia="zh-CN"/>
                    </w:rPr>
                    <w:t>14（6）</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eastAsia"/>
                      <w:vertAlign w:val="baseline"/>
                      <w:lang w:val="en-US" w:eastAsia="zh-CN"/>
                    </w:rPr>
                  </w:pPr>
                  <w:r>
                    <w:rPr>
                      <w:rFonts w:hint="eastAsia"/>
                      <w:vertAlign w:val="baseline"/>
                      <w:lang w:val="en-US" w:eastAsia="zh-CN"/>
                    </w:rPr>
                    <w:t>11（6）</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Merge w:val="continue"/>
                  <w:vAlign w:val="center"/>
                </w:tcPr>
                <w:p>
                  <w:pPr>
                    <w:numPr>
                      <w:ilvl w:val="0"/>
                      <w:numId w:val="0"/>
                    </w:numPr>
                    <w:spacing w:line="240" w:lineRule="auto"/>
                    <w:ind w:left="0" w:leftChars="0" w:firstLine="0" w:firstLineChars="0"/>
                    <w:jc w:val="left"/>
                    <w:rPr>
                      <w:rFonts w:hint="default"/>
                      <w:vertAlign w:val="baseline"/>
                      <w:lang w:val="en-US" w:eastAsia="zh-CN"/>
                    </w:rPr>
                  </w:pPr>
                </w:p>
              </w:tc>
              <w:tc>
                <w:tcPr>
                  <w:tcW w:w="1194" w:type="dxa"/>
                  <w:vAlign w:val="center"/>
                </w:tcPr>
                <w:p>
                  <w:pPr>
                    <w:numPr>
                      <w:ilvl w:val="0"/>
                      <w:numId w:val="0"/>
                    </w:numPr>
                    <w:spacing w:line="240" w:lineRule="auto"/>
                    <w:ind w:left="0" w:leftChars="0" w:firstLine="0" w:firstLineChars="0"/>
                    <w:jc w:val="left"/>
                    <w:rPr>
                      <w:rFonts w:hint="default"/>
                      <w:color w:val="auto"/>
                      <w:vertAlign w:val="baseline"/>
                      <w:lang w:val="en-US" w:eastAsia="zh-CN"/>
                    </w:rPr>
                  </w:pPr>
                  <w:r>
                    <w:rPr>
                      <w:rFonts w:hint="eastAsia"/>
                      <w:color w:val="auto"/>
                      <w:sz w:val="21"/>
                      <w:szCs w:val="21"/>
                      <w:vertAlign w:val="baseline"/>
                      <w:lang w:val="en-US" w:eastAsia="zh-CN"/>
                    </w:rPr>
                    <w:t>二类保护物（南侧居民楼）</w:t>
                  </w:r>
                </w:p>
              </w:tc>
              <w:tc>
                <w:tcPr>
                  <w:tcW w:w="1115" w:type="dxa"/>
                  <w:vAlign w:val="center"/>
                </w:tcPr>
                <w:p>
                  <w:pPr>
                    <w:pStyle w:val="9"/>
                    <w:widowControl w:val="0"/>
                    <w:jc w:val="center"/>
                    <w:rPr>
                      <w:rFonts w:hint="eastAsia"/>
                      <w:color w:val="auto"/>
                      <w:vertAlign w:val="baseline"/>
                      <w:lang w:val="en-US" w:eastAsia="zh-CN"/>
                    </w:rPr>
                  </w:pPr>
                  <w:r>
                    <w:rPr>
                      <w:rFonts w:hint="eastAsia"/>
                      <w:color w:val="auto"/>
                      <w:vertAlign w:val="baseline"/>
                      <w:lang w:val="en-US" w:eastAsia="zh-CN"/>
                    </w:rPr>
                    <w:t>11（6）</w:t>
                  </w:r>
                </w:p>
              </w:tc>
              <w:tc>
                <w:tcPr>
                  <w:tcW w:w="910"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47.1（50.9）</w:t>
                  </w:r>
                </w:p>
              </w:tc>
              <w:tc>
                <w:tcPr>
                  <w:tcW w:w="1079" w:type="dxa"/>
                  <w:vAlign w:val="center"/>
                </w:tcPr>
                <w:p>
                  <w:pPr>
                    <w:pStyle w:val="9"/>
                    <w:widowControl w:val="0"/>
                    <w:jc w:val="center"/>
                    <w:rPr>
                      <w:rFonts w:hint="eastAsia"/>
                      <w:color w:val="auto"/>
                      <w:vertAlign w:val="baseline"/>
                      <w:lang w:val="en-US" w:eastAsia="zh-CN"/>
                    </w:rPr>
                  </w:pPr>
                  <w:r>
                    <w:rPr>
                      <w:rFonts w:hint="eastAsia"/>
                      <w:color w:val="auto"/>
                      <w:vertAlign w:val="baseline"/>
                      <w:lang w:val="en-US" w:eastAsia="zh-CN"/>
                    </w:rPr>
                    <w:t>8.5（6）</w:t>
                  </w:r>
                </w:p>
              </w:tc>
              <w:tc>
                <w:tcPr>
                  <w:tcW w:w="910"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41.6（43.2）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54" w:type="dxa"/>
                  <w:vMerge w:val="continue"/>
                  <w:vAlign w:val="center"/>
                </w:tcPr>
                <w:p>
                  <w:pPr>
                    <w:numPr>
                      <w:ilvl w:val="0"/>
                      <w:numId w:val="0"/>
                    </w:numPr>
                    <w:spacing w:line="240" w:lineRule="auto"/>
                    <w:ind w:left="0" w:leftChars="0" w:firstLine="0" w:firstLineChars="0"/>
                    <w:jc w:val="left"/>
                    <w:rPr>
                      <w:rFonts w:hint="default"/>
                      <w:vertAlign w:val="baseline"/>
                      <w:lang w:val="en-US" w:eastAsia="zh-CN"/>
                    </w:rPr>
                  </w:pPr>
                </w:p>
              </w:tc>
              <w:tc>
                <w:tcPr>
                  <w:tcW w:w="1194" w:type="dxa"/>
                  <w:vAlign w:val="center"/>
                </w:tcPr>
                <w:p>
                  <w:pPr>
                    <w:numPr>
                      <w:ilvl w:val="0"/>
                      <w:numId w:val="0"/>
                    </w:numPr>
                    <w:spacing w:line="240" w:lineRule="auto"/>
                    <w:ind w:left="0" w:leftChars="0" w:firstLine="0" w:firstLineChars="0"/>
                    <w:jc w:val="left"/>
                    <w:rPr>
                      <w:rFonts w:hint="default"/>
                      <w:color w:val="auto"/>
                      <w:vertAlign w:val="baseline"/>
                      <w:lang w:val="en-US" w:eastAsia="zh-CN"/>
                    </w:rPr>
                  </w:pPr>
                  <w:r>
                    <w:rPr>
                      <w:rFonts w:hint="eastAsia"/>
                      <w:color w:val="auto"/>
                      <w:sz w:val="21"/>
                      <w:szCs w:val="21"/>
                      <w:vertAlign w:val="baseline"/>
                      <w:lang w:val="en-US" w:eastAsia="zh-CN"/>
                    </w:rPr>
                    <w:t>三类保护物（西北侧民房）</w:t>
                  </w:r>
                </w:p>
              </w:tc>
              <w:tc>
                <w:tcPr>
                  <w:tcW w:w="1115" w:type="dxa"/>
                  <w:vAlign w:val="center"/>
                </w:tcPr>
                <w:p>
                  <w:pPr>
                    <w:pStyle w:val="9"/>
                    <w:widowControl w:val="0"/>
                    <w:jc w:val="center"/>
                    <w:rPr>
                      <w:rFonts w:hint="eastAsia"/>
                      <w:color w:val="auto"/>
                      <w:vertAlign w:val="baseline"/>
                      <w:lang w:val="en-US" w:eastAsia="zh-CN"/>
                    </w:rPr>
                  </w:pPr>
                  <w:r>
                    <w:rPr>
                      <w:rFonts w:hint="eastAsia"/>
                      <w:color w:val="auto"/>
                      <w:vertAlign w:val="baseline"/>
                      <w:lang w:val="en-US" w:eastAsia="zh-CN"/>
                    </w:rPr>
                    <w:t>8.5（6）</w:t>
                  </w:r>
                </w:p>
              </w:tc>
              <w:tc>
                <w:tcPr>
                  <w:tcW w:w="910"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75.7（80.9）</w:t>
                  </w:r>
                </w:p>
              </w:tc>
              <w:tc>
                <w:tcPr>
                  <w:tcW w:w="1079" w:type="dxa"/>
                  <w:vAlign w:val="center"/>
                </w:tcPr>
                <w:p>
                  <w:pPr>
                    <w:pStyle w:val="9"/>
                    <w:widowControl w:val="0"/>
                    <w:jc w:val="center"/>
                    <w:rPr>
                      <w:rFonts w:hint="eastAsia"/>
                      <w:color w:val="auto"/>
                      <w:vertAlign w:val="baseline"/>
                      <w:lang w:val="en-US" w:eastAsia="zh-CN"/>
                    </w:rPr>
                  </w:pPr>
                  <w:r>
                    <w:rPr>
                      <w:rFonts w:hint="eastAsia"/>
                      <w:color w:val="auto"/>
                      <w:vertAlign w:val="baseline"/>
                      <w:lang w:val="en-US" w:eastAsia="zh-CN"/>
                    </w:rPr>
                    <w:t>7（6）</w:t>
                  </w:r>
                </w:p>
              </w:tc>
              <w:tc>
                <w:tcPr>
                  <w:tcW w:w="910"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67.2（73.6）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default"/>
                      <w:sz w:val="21"/>
                      <w:szCs w:val="21"/>
                      <w:vertAlign w:val="baseline"/>
                      <w:lang w:val="en-US" w:eastAsia="zh-CN"/>
                    </w:rPr>
                    <w:t>甲、乙类物品生产厂房、库房和甲、乙类液体储罐</w:t>
                  </w:r>
                </w:p>
              </w:tc>
              <w:tc>
                <w:tcPr>
                  <w:tcW w:w="1115" w:type="dxa"/>
                  <w:vAlign w:val="center"/>
                </w:tcPr>
                <w:p>
                  <w:pPr>
                    <w:pStyle w:val="9"/>
                    <w:widowControl w:val="0"/>
                    <w:jc w:val="center"/>
                    <w:rPr>
                      <w:rFonts w:hint="default"/>
                      <w:vertAlign w:val="baseline"/>
                      <w:lang w:val="en-US" w:eastAsia="zh-CN"/>
                    </w:rPr>
                  </w:pPr>
                  <w:r>
                    <w:rPr>
                      <w:rFonts w:hint="eastAsia"/>
                      <w:vertAlign w:val="baseline"/>
                      <w:lang w:val="en-US" w:eastAsia="zh-CN"/>
                    </w:rPr>
                    <w:t>15.5(11)</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default"/>
                      <w:vertAlign w:val="baseline"/>
                      <w:lang w:val="en-US" w:eastAsia="zh-CN"/>
                    </w:rPr>
                  </w:pPr>
                  <w:r>
                    <w:rPr>
                      <w:rFonts w:hint="eastAsia"/>
                      <w:vertAlign w:val="baseline"/>
                      <w:lang w:val="en-US" w:eastAsia="zh-CN"/>
                    </w:rPr>
                    <w:t>12.5（9）</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8" w:type="dxa"/>
                  <w:gridSpan w:val="2"/>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default"/>
                      <w:sz w:val="21"/>
                      <w:szCs w:val="21"/>
                      <w:vertAlign w:val="baseline"/>
                      <w:lang w:val="en-US" w:eastAsia="zh-CN"/>
                    </w:rPr>
                    <w:t>丙、丁、戊类物品生产厂房、库房和丙类液体储罐及单罐容积不大于 50m³的埋地甲乙类液体储罐</w:t>
                  </w:r>
                </w:p>
              </w:tc>
              <w:tc>
                <w:tcPr>
                  <w:tcW w:w="1115" w:type="dxa"/>
                  <w:vAlign w:val="center"/>
                </w:tcPr>
                <w:p>
                  <w:pPr>
                    <w:pStyle w:val="9"/>
                    <w:widowControl w:val="0"/>
                    <w:jc w:val="center"/>
                    <w:rPr>
                      <w:rFonts w:hint="default"/>
                      <w:vertAlign w:val="baseline"/>
                      <w:lang w:val="en-US" w:eastAsia="zh-CN"/>
                    </w:rPr>
                  </w:pPr>
                  <w:r>
                    <w:rPr>
                      <w:rFonts w:hint="eastAsia"/>
                      <w:vertAlign w:val="baseline"/>
                      <w:lang w:val="en-US" w:eastAsia="zh-CN"/>
                    </w:rPr>
                    <w:t>11（9）</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default"/>
                      <w:vertAlign w:val="baseline"/>
                      <w:lang w:val="en-US" w:eastAsia="zh-CN"/>
                    </w:rPr>
                  </w:pPr>
                  <w:r>
                    <w:rPr>
                      <w:rFonts w:hint="eastAsia"/>
                      <w:vertAlign w:val="baseline"/>
                      <w:lang w:val="en-US" w:eastAsia="zh-CN"/>
                    </w:rPr>
                    <w:t>10.9（9）</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8" w:type="dxa"/>
                  <w:gridSpan w:val="2"/>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default"/>
                      <w:sz w:val="21"/>
                      <w:szCs w:val="21"/>
                      <w:vertAlign w:val="baseline"/>
                      <w:lang w:val="en-US" w:eastAsia="zh-CN"/>
                    </w:rPr>
                    <w:t>室外变电站</w:t>
                  </w:r>
                </w:p>
              </w:tc>
              <w:tc>
                <w:tcPr>
                  <w:tcW w:w="1115" w:type="dxa"/>
                  <w:vAlign w:val="center"/>
                </w:tcPr>
                <w:p>
                  <w:pPr>
                    <w:pStyle w:val="9"/>
                    <w:widowControl w:val="0"/>
                    <w:jc w:val="center"/>
                    <w:rPr>
                      <w:rFonts w:hint="eastAsia"/>
                      <w:vertAlign w:val="baseline"/>
                      <w:lang w:val="en-US" w:eastAsia="zh-CN"/>
                    </w:rPr>
                  </w:pPr>
                  <w:r>
                    <w:rPr>
                      <w:rFonts w:hint="eastAsia"/>
                      <w:vertAlign w:val="baseline"/>
                      <w:lang w:val="en-US" w:eastAsia="zh-CN"/>
                    </w:rPr>
                    <w:t>15.5（12.5）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eastAsia"/>
                      <w:vertAlign w:val="baseline"/>
                      <w:lang w:val="en-US" w:eastAsia="zh-CN"/>
                    </w:rPr>
                  </w:pPr>
                  <w:r>
                    <w:rPr>
                      <w:rFonts w:hint="eastAsia"/>
                      <w:vertAlign w:val="baseline"/>
                      <w:lang w:val="en-US" w:eastAsia="zh-CN"/>
                    </w:rPr>
                    <w:t>12.5（12.5）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default"/>
                      <w:sz w:val="21"/>
                      <w:szCs w:val="21"/>
                      <w:vertAlign w:val="baseline"/>
                      <w:lang w:val="en-US" w:eastAsia="zh-CN"/>
                    </w:rPr>
                    <w:t>铁路、地上城市轨道线路</w:t>
                  </w:r>
                </w:p>
              </w:tc>
              <w:tc>
                <w:tcPr>
                  <w:tcW w:w="1115" w:type="dxa"/>
                  <w:vAlign w:val="center"/>
                </w:tcPr>
                <w:p>
                  <w:pPr>
                    <w:pStyle w:val="9"/>
                    <w:widowControl w:val="0"/>
                    <w:jc w:val="center"/>
                    <w:rPr>
                      <w:rFonts w:hint="eastAsia"/>
                      <w:vertAlign w:val="baseline"/>
                      <w:lang w:val="en-US" w:eastAsia="zh-CN"/>
                    </w:rPr>
                  </w:pPr>
                  <w:r>
                    <w:rPr>
                      <w:rFonts w:hint="eastAsia"/>
                      <w:vertAlign w:val="baseline"/>
                      <w:lang w:val="en-US" w:eastAsia="zh-CN"/>
                    </w:rPr>
                    <w:t>15.5（15）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eastAsia"/>
                      <w:vertAlign w:val="baseline"/>
                      <w:lang w:val="en-US" w:eastAsia="zh-CN"/>
                    </w:rPr>
                  </w:pPr>
                  <w:r>
                    <w:rPr>
                      <w:rFonts w:hint="eastAsia"/>
                      <w:vertAlign w:val="baseline"/>
                      <w:lang w:val="en-US" w:eastAsia="zh-CN"/>
                    </w:rPr>
                    <w:t>15.5（15）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Align w:val="center"/>
                </w:tcPr>
                <w:p>
                  <w:pPr>
                    <w:numPr>
                      <w:ilvl w:val="0"/>
                      <w:numId w:val="0"/>
                    </w:numPr>
                    <w:spacing w:line="240" w:lineRule="auto"/>
                    <w:ind w:left="0" w:leftChars="0" w:firstLine="0" w:firstLineChars="0"/>
                    <w:jc w:val="center"/>
                    <w:rPr>
                      <w:rFonts w:hint="default"/>
                      <w:color w:val="auto"/>
                      <w:vertAlign w:val="baseline"/>
                      <w:lang w:val="en-US" w:eastAsia="zh-CN"/>
                    </w:rPr>
                  </w:pPr>
                  <w:r>
                    <w:rPr>
                      <w:rFonts w:hint="default"/>
                      <w:color w:val="auto"/>
                      <w:sz w:val="21"/>
                      <w:szCs w:val="21"/>
                      <w:vertAlign w:val="baseline"/>
                      <w:lang w:val="en-US" w:eastAsia="zh-CN"/>
                    </w:rPr>
                    <w:t>城市快速路、主干路和高速公路、一级公路、二级公路</w:t>
                  </w:r>
                  <w:r>
                    <w:rPr>
                      <w:rFonts w:hint="eastAsia"/>
                      <w:color w:val="auto"/>
                      <w:sz w:val="21"/>
                      <w:szCs w:val="21"/>
                      <w:vertAlign w:val="baseline"/>
                      <w:lang w:val="en-US" w:eastAsia="zh-CN"/>
                    </w:rPr>
                    <w:t>(衡岳大道)</w:t>
                  </w:r>
                </w:p>
              </w:tc>
              <w:tc>
                <w:tcPr>
                  <w:tcW w:w="1115"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5.5（3）</w:t>
                  </w:r>
                </w:p>
              </w:tc>
              <w:tc>
                <w:tcPr>
                  <w:tcW w:w="910"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33.9（33.9）</w:t>
                  </w:r>
                </w:p>
              </w:tc>
              <w:tc>
                <w:tcPr>
                  <w:tcW w:w="1079"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5（3）</w:t>
                  </w:r>
                </w:p>
              </w:tc>
              <w:tc>
                <w:tcPr>
                  <w:tcW w:w="910"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26（36.2）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8" w:type="dxa"/>
                  <w:gridSpan w:val="2"/>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default"/>
                      <w:sz w:val="21"/>
                      <w:szCs w:val="21"/>
                      <w:vertAlign w:val="baseline"/>
                      <w:lang w:val="en-US" w:eastAsia="zh-CN"/>
                    </w:rPr>
                    <w:t>城市次干路、支路和三级公路、四级公路</w:t>
                  </w:r>
                </w:p>
              </w:tc>
              <w:tc>
                <w:tcPr>
                  <w:tcW w:w="1115" w:type="dxa"/>
                  <w:vAlign w:val="center"/>
                </w:tcPr>
                <w:p>
                  <w:pPr>
                    <w:pStyle w:val="9"/>
                    <w:widowControl w:val="0"/>
                    <w:jc w:val="center"/>
                    <w:rPr>
                      <w:rFonts w:hint="eastAsia"/>
                      <w:vertAlign w:val="baseline"/>
                      <w:lang w:val="en-US" w:eastAsia="zh-CN"/>
                    </w:rPr>
                  </w:pPr>
                  <w:r>
                    <w:rPr>
                      <w:rFonts w:hint="eastAsia"/>
                      <w:vertAlign w:val="baseline"/>
                      <w:lang w:val="en-US" w:eastAsia="zh-CN"/>
                    </w:rPr>
                    <w:t>5（3）</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eastAsia"/>
                      <w:vertAlign w:val="baseline"/>
                      <w:lang w:val="en-US" w:eastAsia="zh-CN"/>
                    </w:rPr>
                  </w:pPr>
                  <w:r>
                    <w:rPr>
                      <w:rFonts w:hint="eastAsia"/>
                      <w:vertAlign w:val="baseline"/>
                      <w:lang w:val="en-US" w:eastAsia="zh-CN"/>
                    </w:rPr>
                    <w:t>5（3）</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48" w:type="dxa"/>
                  <w:gridSpan w:val="2"/>
                  <w:vAlign w:val="center"/>
                </w:tcPr>
                <w:p>
                  <w:pPr>
                    <w:numPr>
                      <w:ilvl w:val="0"/>
                      <w:numId w:val="0"/>
                    </w:numPr>
                    <w:spacing w:line="240" w:lineRule="auto"/>
                    <w:ind w:left="0" w:leftChars="0" w:firstLine="0" w:firstLineChars="0"/>
                    <w:jc w:val="left"/>
                    <w:rPr>
                      <w:rFonts w:hint="default"/>
                      <w:vertAlign w:val="baseline"/>
                      <w:lang w:val="en-US" w:eastAsia="zh-CN"/>
                    </w:rPr>
                  </w:pPr>
                  <w:r>
                    <w:rPr>
                      <w:rFonts w:hint="default"/>
                      <w:sz w:val="21"/>
                      <w:szCs w:val="21"/>
                      <w:vertAlign w:val="baseline"/>
                      <w:lang w:val="en-US" w:eastAsia="zh-CN"/>
                    </w:rPr>
                    <w:t>架空通信线路</w:t>
                  </w:r>
                </w:p>
              </w:tc>
              <w:tc>
                <w:tcPr>
                  <w:tcW w:w="1115" w:type="dxa"/>
                  <w:vAlign w:val="center"/>
                </w:tcPr>
                <w:p>
                  <w:pPr>
                    <w:pStyle w:val="9"/>
                    <w:widowControl w:val="0"/>
                    <w:jc w:val="center"/>
                    <w:rPr>
                      <w:rFonts w:hint="eastAsia"/>
                      <w:vertAlign w:val="baseline"/>
                      <w:lang w:val="en-US" w:eastAsia="zh-CN"/>
                    </w:rPr>
                  </w:pPr>
                  <w:r>
                    <w:rPr>
                      <w:rFonts w:hint="eastAsia"/>
                      <w:vertAlign w:val="baseline"/>
                      <w:lang w:val="en-US" w:eastAsia="zh-CN"/>
                    </w:rPr>
                    <w:t>5（3）</w:t>
                  </w:r>
                </w:p>
              </w:tc>
              <w:tc>
                <w:tcPr>
                  <w:tcW w:w="910" w:type="dxa"/>
                  <w:vAlign w:val="center"/>
                </w:tcPr>
                <w:p>
                  <w:pPr>
                    <w:pStyle w:val="9"/>
                    <w:widowControl w:val="0"/>
                    <w:jc w:val="center"/>
                    <w:rPr>
                      <w:rFonts w:hint="eastAsia"/>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eastAsia"/>
                      <w:vertAlign w:val="baseline"/>
                      <w:lang w:val="en-US" w:eastAsia="zh-CN"/>
                    </w:rPr>
                  </w:pPr>
                  <w:r>
                    <w:rPr>
                      <w:rFonts w:hint="eastAsia"/>
                      <w:vertAlign w:val="baseline"/>
                      <w:lang w:val="en-US" w:eastAsia="zh-CN"/>
                    </w:rPr>
                    <w:t>5（3）</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Merge w:val="restart"/>
                  <w:vAlign w:val="center"/>
                </w:tcPr>
                <w:p>
                  <w:pPr>
                    <w:numPr>
                      <w:ilvl w:val="0"/>
                      <w:numId w:val="0"/>
                    </w:numPr>
                    <w:spacing w:line="240" w:lineRule="auto"/>
                    <w:ind w:left="0" w:leftChars="0" w:firstLine="0" w:firstLineChars="0"/>
                    <w:jc w:val="left"/>
                    <w:rPr>
                      <w:rFonts w:hint="default"/>
                      <w:sz w:val="21"/>
                      <w:szCs w:val="21"/>
                      <w:vertAlign w:val="baseline"/>
                      <w:lang w:val="en-US" w:eastAsia="zh-CN"/>
                    </w:rPr>
                  </w:pPr>
                  <w:r>
                    <w:rPr>
                      <w:rFonts w:hint="eastAsia"/>
                      <w:sz w:val="21"/>
                      <w:szCs w:val="21"/>
                      <w:vertAlign w:val="baseline"/>
                      <w:lang w:val="en-US" w:eastAsia="zh-CN"/>
                    </w:rPr>
                    <w:t>架空电力线路</w:t>
                  </w:r>
                </w:p>
              </w:tc>
              <w:tc>
                <w:tcPr>
                  <w:tcW w:w="1194" w:type="dxa"/>
                  <w:vAlign w:val="center"/>
                </w:tcPr>
                <w:p>
                  <w:pPr>
                    <w:numPr>
                      <w:ilvl w:val="0"/>
                      <w:numId w:val="0"/>
                    </w:numPr>
                    <w:spacing w:line="240" w:lineRule="auto"/>
                    <w:ind w:left="0" w:leftChars="0" w:firstLine="0" w:firstLineChars="0"/>
                    <w:jc w:val="left"/>
                    <w:rPr>
                      <w:rFonts w:hint="default"/>
                      <w:sz w:val="21"/>
                      <w:szCs w:val="21"/>
                      <w:vertAlign w:val="baseline"/>
                      <w:lang w:val="en-US" w:eastAsia="zh-CN"/>
                    </w:rPr>
                  </w:pPr>
                  <w:r>
                    <w:rPr>
                      <w:rFonts w:hint="eastAsia"/>
                      <w:sz w:val="21"/>
                      <w:szCs w:val="21"/>
                      <w:vertAlign w:val="baseline"/>
                      <w:lang w:val="en-US" w:eastAsia="zh-CN"/>
                    </w:rPr>
                    <w:t>无绝缘层</w:t>
                  </w:r>
                </w:p>
              </w:tc>
              <w:tc>
                <w:tcPr>
                  <w:tcW w:w="1115" w:type="dxa"/>
                  <w:vAlign w:val="center"/>
                </w:tcPr>
                <w:p>
                  <w:pPr>
                    <w:pStyle w:val="9"/>
                    <w:widowControl w:val="0"/>
                    <w:jc w:val="center"/>
                    <w:rPr>
                      <w:rFonts w:hint="default"/>
                      <w:vertAlign w:val="baseline"/>
                      <w:lang w:val="en-US" w:eastAsia="zh-CN"/>
                    </w:rPr>
                  </w:pPr>
                  <w:r>
                    <w:rPr>
                      <w:rFonts w:hint="eastAsia"/>
                      <w:vertAlign w:val="baseline"/>
                      <w:lang w:val="en-US" w:eastAsia="zh-CN"/>
                    </w:rPr>
                    <w:t>1.0(0.75)H，且</w:t>
                  </w:r>
                  <w:r>
                    <w:rPr>
                      <w:rFonts w:hint="default" w:ascii="Times New Roman" w:hAnsi="Times New Roman" w:cs="Times New Roman"/>
                      <w:vertAlign w:val="baseline"/>
                      <w:lang w:val="en-US" w:eastAsia="zh-CN"/>
                    </w:rPr>
                    <w:t>≥</w:t>
                  </w:r>
                  <w:r>
                    <w:rPr>
                      <w:rFonts w:hint="eastAsia"/>
                      <w:vertAlign w:val="baseline"/>
                      <w:lang w:val="en-US" w:eastAsia="zh-CN"/>
                    </w:rPr>
                    <w:t>6.5m</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default"/>
                      <w:vertAlign w:val="baseline"/>
                      <w:lang w:val="en-US" w:eastAsia="zh-CN"/>
                    </w:rPr>
                  </w:pPr>
                  <w:r>
                    <w:rPr>
                      <w:rFonts w:hint="eastAsia"/>
                      <w:vertAlign w:val="baseline"/>
                      <w:lang w:val="en-US" w:eastAsia="zh-CN"/>
                    </w:rPr>
                    <w:t>6.5（6.5）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vMerge w:val="continue"/>
                  <w:vAlign w:val="center"/>
                </w:tcPr>
                <w:p>
                  <w:pPr>
                    <w:numPr>
                      <w:ilvl w:val="0"/>
                      <w:numId w:val="0"/>
                    </w:numPr>
                    <w:spacing w:line="240" w:lineRule="auto"/>
                    <w:ind w:left="0" w:leftChars="0" w:firstLine="0" w:firstLineChars="0"/>
                    <w:jc w:val="left"/>
                    <w:rPr>
                      <w:rFonts w:hint="default"/>
                      <w:sz w:val="21"/>
                      <w:szCs w:val="21"/>
                      <w:vertAlign w:val="baseline"/>
                      <w:lang w:val="en-US" w:eastAsia="zh-CN"/>
                    </w:rPr>
                  </w:pPr>
                </w:p>
              </w:tc>
              <w:tc>
                <w:tcPr>
                  <w:tcW w:w="1194" w:type="dxa"/>
                  <w:vAlign w:val="center"/>
                </w:tcPr>
                <w:p>
                  <w:pPr>
                    <w:numPr>
                      <w:ilvl w:val="0"/>
                      <w:numId w:val="0"/>
                    </w:numPr>
                    <w:spacing w:line="240" w:lineRule="auto"/>
                    <w:ind w:left="0" w:leftChars="0" w:firstLine="0" w:firstLineChars="0"/>
                    <w:jc w:val="left"/>
                    <w:rPr>
                      <w:rFonts w:hint="default"/>
                      <w:sz w:val="21"/>
                      <w:szCs w:val="21"/>
                      <w:vertAlign w:val="baseline"/>
                      <w:lang w:val="en-US" w:eastAsia="zh-CN"/>
                    </w:rPr>
                  </w:pPr>
                  <w:r>
                    <w:rPr>
                      <w:rFonts w:hint="eastAsia"/>
                      <w:sz w:val="21"/>
                      <w:szCs w:val="21"/>
                      <w:vertAlign w:val="baseline"/>
                      <w:lang w:val="en-US" w:eastAsia="zh-CN"/>
                    </w:rPr>
                    <w:t>有绝缘层</w:t>
                  </w:r>
                </w:p>
              </w:tc>
              <w:tc>
                <w:tcPr>
                  <w:tcW w:w="1115" w:type="dxa"/>
                  <w:vAlign w:val="center"/>
                </w:tcPr>
                <w:p>
                  <w:pPr>
                    <w:pStyle w:val="9"/>
                    <w:widowControl w:val="0"/>
                    <w:jc w:val="center"/>
                    <w:rPr>
                      <w:rFonts w:hint="eastAsia"/>
                      <w:vertAlign w:val="baseline"/>
                      <w:lang w:val="en-US" w:eastAsia="zh-CN"/>
                    </w:rPr>
                  </w:pPr>
                  <w:r>
                    <w:rPr>
                      <w:rFonts w:hint="eastAsia"/>
                      <w:vertAlign w:val="baseline"/>
                      <w:lang w:val="en-US" w:eastAsia="zh-CN"/>
                    </w:rPr>
                    <w:t>0.75(0.5)H，且</w:t>
                  </w:r>
                  <w:r>
                    <w:rPr>
                      <w:rFonts w:hint="default" w:ascii="Times New Roman" w:hAnsi="Times New Roman" w:cs="Times New Roman"/>
                      <w:vertAlign w:val="baseline"/>
                      <w:lang w:val="en-US" w:eastAsia="zh-CN"/>
                    </w:rPr>
                    <w:t>≥</w:t>
                  </w:r>
                  <w:r>
                    <w:rPr>
                      <w:rFonts w:hint="eastAsia"/>
                      <w:vertAlign w:val="baseline"/>
                      <w:lang w:val="en-US" w:eastAsia="zh-CN"/>
                    </w:rPr>
                    <w:t>5m</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c>
                <w:tcPr>
                  <w:tcW w:w="1079" w:type="dxa"/>
                  <w:vAlign w:val="center"/>
                </w:tcPr>
                <w:p>
                  <w:pPr>
                    <w:pStyle w:val="9"/>
                    <w:widowControl w:val="0"/>
                    <w:jc w:val="center"/>
                    <w:rPr>
                      <w:rFonts w:hint="default"/>
                      <w:vertAlign w:val="baseline"/>
                      <w:lang w:val="en-US" w:eastAsia="zh-CN"/>
                    </w:rPr>
                  </w:pPr>
                  <w:r>
                    <w:rPr>
                      <w:rFonts w:hint="eastAsia"/>
                      <w:vertAlign w:val="baseline"/>
                      <w:lang w:val="en-US" w:eastAsia="zh-CN"/>
                    </w:rPr>
                    <w:t>5(5)</w:t>
                  </w:r>
                </w:p>
              </w:tc>
              <w:tc>
                <w:tcPr>
                  <w:tcW w:w="910" w:type="dxa"/>
                  <w:vAlign w:val="center"/>
                </w:tcPr>
                <w:p>
                  <w:pPr>
                    <w:pStyle w:val="9"/>
                    <w:widowControl w:val="0"/>
                    <w:jc w:val="center"/>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62" w:type="dxa"/>
                  <w:gridSpan w:val="6"/>
                  <w:vAlign w:val="center"/>
                </w:tcPr>
                <w:p>
                  <w:pPr>
                    <w:pStyle w:val="9"/>
                    <w:widowControl w:val="0"/>
                    <w:jc w:val="center"/>
                    <w:rPr>
                      <w:rFonts w:hint="eastAsia"/>
                      <w:vertAlign w:val="baseline"/>
                      <w:lang w:val="en-US" w:eastAsia="zh-CN"/>
                    </w:rPr>
                  </w:pPr>
                  <w:r>
                    <w:rPr>
                      <w:rFonts w:hint="eastAsia"/>
                      <w:color w:val="auto"/>
                      <w:vertAlign w:val="baseline"/>
                      <w:lang w:val="en-US" w:eastAsia="zh-CN"/>
                    </w:rPr>
                    <w:t>注：（）内数字为柴油设备与站外建、构筑物的安全距离</w:t>
                  </w:r>
                </w:p>
              </w:tc>
            </w:tr>
          </w:tbl>
          <w:p>
            <w:pPr>
              <w:pStyle w:val="9"/>
              <w:rPr>
                <w:rFonts w:hint="default"/>
                <w:lang w:val="en-US" w:eastAsia="zh-CN"/>
              </w:rPr>
            </w:pPr>
          </w:p>
          <w:p>
            <w:pPr>
              <w:numPr>
                <w:ilvl w:val="0"/>
                <w:numId w:val="0"/>
              </w:numPr>
              <w:ind w:firstLine="480" w:firstLineChars="200"/>
              <w:rPr>
                <w:rFonts w:hint="default"/>
                <w:lang w:val="en-US" w:eastAsia="zh-CN"/>
              </w:rPr>
            </w:pPr>
            <w:r>
              <w:rPr>
                <w:rFonts w:hint="default"/>
                <w:lang w:val="en-US" w:eastAsia="zh-CN"/>
              </w:rPr>
              <w:t>综上所述，项目与《汽车加油加气加氢站技术标准》(GB50156-2021)的要求是相符的。</w:t>
            </w:r>
          </w:p>
          <w:p>
            <w:pPr>
              <w:numPr>
                <w:ilvl w:val="0"/>
                <w:numId w:val="0"/>
              </w:numPr>
              <w:rPr>
                <w:rFonts w:hint="default"/>
                <w:color w:val="auto"/>
                <w:lang w:val="en-US" w:eastAsia="zh-CN"/>
              </w:rPr>
            </w:pPr>
            <w:r>
              <w:rPr>
                <w:rFonts w:hint="eastAsia"/>
                <w:color w:val="auto"/>
                <w:lang w:val="en-US" w:eastAsia="zh-CN"/>
              </w:rPr>
              <w:t>5、与《湖南省湘江保护条例》符合性</w:t>
            </w:r>
          </w:p>
          <w:p>
            <w:pPr>
              <w:numPr>
                <w:ilvl w:val="0"/>
                <w:numId w:val="0"/>
              </w:numPr>
              <w:ind w:firstLine="480" w:firstLineChars="200"/>
              <w:rPr>
                <w:rFonts w:hint="eastAsia"/>
                <w:color w:val="auto"/>
                <w:lang w:val="en-US" w:eastAsia="zh-CN"/>
              </w:rPr>
            </w:pPr>
            <w:r>
              <w:rPr>
                <w:rFonts w:hint="eastAsia"/>
                <w:color w:val="auto"/>
                <w:lang w:val="en-US" w:eastAsia="zh-CN"/>
              </w:rPr>
              <w:t>根据《湖南省湘江保护条例》：“（1）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禁止在湘江流域饮用水水源一级保护区内从事网箱养殖、旅游、游泳、垂钓或者其他可能污染饮用水水体的活动。（2）禁止在湘江流域饮用水水源二级保护区内设置排污口（渠），禁止新建、改建、扩建排放污染物的建设项目；已经设置排污口（渠）、建成排放污染物的建设项目，县级以上人民政府应当在省人民政府规定期限内组织拆除或者关闭。（3）在湘江干流两岸各二十公里范围内不得新建化学制浆、造纸、制革和外排水污染物涉及重金属的项目。”</w:t>
            </w:r>
          </w:p>
          <w:p>
            <w:pPr>
              <w:numPr>
                <w:ilvl w:val="0"/>
                <w:numId w:val="0"/>
              </w:numPr>
              <w:ind w:firstLine="240" w:firstLineChars="100"/>
              <w:rPr>
                <w:rFonts w:hint="default"/>
                <w:lang w:val="en-US" w:eastAsia="zh-CN"/>
              </w:rPr>
            </w:pPr>
            <w:r>
              <w:rPr>
                <w:rFonts w:hint="eastAsia"/>
                <w:color w:val="auto"/>
                <w:lang w:val="en-US" w:eastAsia="zh-CN"/>
              </w:rPr>
              <w:t>本项目位于松木经济开发区107国道以西化工路以南，属于湘江流域保护范围，本项目不涉及重金属废水排放，相关污废水预处理后通过市政污水管网进入松木污水处理厂，处理达标后排入湘江，因此符合湘江保护条例相关要求。</w:t>
            </w:r>
          </w:p>
        </w:tc>
      </w:tr>
    </w:tbl>
    <w:p>
      <w:pPr>
        <w:rPr>
          <w:rFonts w:hint="eastAsia" w:ascii="黑体" w:hAnsi="黑体" w:eastAsia="黑体" w:cs="黑体"/>
          <w:color w:val="auto"/>
          <w:sz w:val="30"/>
          <w:szCs w:val="30"/>
          <w:lang w:val="en-US" w:eastAsia="zh-CN"/>
        </w:rPr>
      </w:pPr>
      <w:r>
        <w:rPr>
          <w:rFonts w:hint="eastAsia" w:ascii="黑体" w:hAnsi="黑体" w:eastAsia="黑体" w:cs="黑体"/>
          <w:color w:val="auto"/>
          <w:sz w:val="30"/>
          <w:szCs w:val="30"/>
          <w:lang w:val="en-US" w:eastAsia="zh-CN"/>
        </w:rPr>
        <w:br w:type="page"/>
      </w:r>
    </w:p>
    <w:p>
      <w:pPr>
        <w:pStyle w:val="4"/>
        <w:bidi w:val="0"/>
        <w:outlineLvl w:val="0"/>
        <w:rPr>
          <w:rFonts w:hint="eastAsia"/>
          <w:lang w:val="en-US" w:eastAsia="zh-CN"/>
        </w:rPr>
      </w:pPr>
      <w:bookmarkStart w:id="12" w:name="_Toc9212"/>
      <w:r>
        <w:rPr>
          <w:rFonts w:hint="eastAsia"/>
          <w:lang w:val="en-US" w:eastAsia="zh-CN"/>
        </w:rPr>
        <w:t>二、建设项目工程分析</w:t>
      </w:r>
      <w:bookmarkEnd w:id="12"/>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7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dxa"/>
            <w:vAlign w:val="center"/>
          </w:tcPr>
          <w:p>
            <w:pPr>
              <w:bidi w:val="0"/>
              <w:jc w:val="center"/>
              <w:rPr>
                <w:rFonts w:hint="eastAsia"/>
                <w:lang w:val="en-US" w:eastAsia="zh-CN"/>
              </w:rPr>
            </w:pPr>
            <w:r>
              <w:rPr>
                <w:rFonts w:hint="eastAsia"/>
                <w:lang w:val="en-US" w:eastAsia="zh-CN"/>
              </w:rPr>
              <w:t>建设内容</w:t>
            </w:r>
          </w:p>
        </w:tc>
        <w:tc>
          <w:tcPr>
            <w:tcW w:w="7819" w:type="dxa"/>
            <w:vAlign w:val="top"/>
          </w:tcPr>
          <w:p>
            <w:pPr>
              <w:numPr>
                <w:ilvl w:val="0"/>
                <w:numId w:val="0"/>
              </w:numPr>
              <w:bidi w:val="0"/>
              <w:rPr>
                <w:rFonts w:hint="eastAsia"/>
                <w:b/>
                <w:bCs/>
                <w:sz w:val="28"/>
                <w:szCs w:val="28"/>
                <w:lang w:val="en-US" w:eastAsia="zh-CN"/>
              </w:rPr>
            </w:pPr>
            <w:r>
              <w:rPr>
                <w:rFonts w:hint="eastAsia"/>
                <w:b/>
                <w:bCs/>
                <w:sz w:val="24"/>
                <w:szCs w:val="24"/>
                <w:lang w:val="en-US" w:eastAsia="zh-CN"/>
              </w:rPr>
              <w:t>1、项目由来</w:t>
            </w:r>
          </w:p>
          <w:p>
            <w:pPr>
              <w:bidi w:val="0"/>
              <w:ind w:firstLine="480" w:firstLineChars="200"/>
              <w:rPr>
                <w:rFonts w:hint="default"/>
                <w:lang w:val="en-US" w:eastAsia="zh-CN"/>
              </w:rPr>
            </w:pPr>
            <w:r>
              <w:rPr>
                <w:rFonts w:hint="default"/>
                <w:lang w:val="en-US" w:eastAsia="zh-CN"/>
              </w:rPr>
              <w:t>衡阳市泰达能源发展有限公司拟投资</w:t>
            </w:r>
            <w:r>
              <w:rPr>
                <w:rFonts w:hint="eastAsia"/>
                <w:lang w:val="en-US" w:eastAsia="zh-CN"/>
              </w:rPr>
              <w:t>4</w:t>
            </w:r>
            <w:r>
              <w:rPr>
                <w:rFonts w:hint="default"/>
                <w:lang w:val="en-US" w:eastAsia="zh-CN"/>
              </w:rPr>
              <w:t>300万元建设“衡阳市泰达能源发展有限公司衡阳市新竹加油站建设项目”，选址位于湖南省衡阳市松木经济开发区107国道以西化工路以南。本项目用地总面积为4430.7m</w:t>
            </w:r>
            <w:r>
              <w:rPr>
                <w:rFonts w:hint="default"/>
                <w:vertAlign w:val="superscript"/>
                <w:lang w:val="en-US" w:eastAsia="zh-CN"/>
              </w:rPr>
              <w:t>2</w:t>
            </w:r>
            <w:r>
              <w:rPr>
                <w:rFonts w:hint="default"/>
                <w:lang w:val="en-US" w:eastAsia="zh-CN"/>
              </w:rPr>
              <w:t>，项目建成后可年销售汽油1500吨、柴油500吨。</w:t>
            </w:r>
          </w:p>
          <w:p>
            <w:pPr>
              <w:bidi w:val="0"/>
              <w:ind w:firstLine="480" w:firstLineChars="200"/>
              <w:rPr>
                <w:rFonts w:hint="default"/>
                <w:lang w:val="en-US" w:eastAsia="zh-CN"/>
              </w:rPr>
            </w:pPr>
            <w:r>
              <w:rPr>
                <w:rFonts w:hint="default"/>
                <w:lang w:val="en-US" w:eastAsia="zh-CN"/>
              </w:rPr>
              <w:t>对照《建设项目环境影响评价分类管理名录》（2021年版），该项目应编制环境影响评价报告表。因此企业委托环评单位编制环评报告表，我司接受委托后，组织人员进行现场踏勘、收集资料、组织监测，并开展项目环境影响报告表编制工作。</w:t>
            </w:r>
          </w:p>
          <w:p>
            <w:pPr>
              <w:numPr>
                <w:ilvl w:val="0"/>
                <w:numId w:val="0"/>
              </w:numPr>
              <w:bidi w:val="0"/>
              <w:rPr>
                <w:rFonts w:hint="eastAsia"/>
                <w:b/>
                <w:bCs/>
                <w:lang w:val="en-US" w:eastAsia="zh-CN"/>
              </w:rPr>
            </w:pPr>
            <w:r>
              <w:rPr>
                <w:rFonts w:hint="eastAsia"/>
                <w:b/>
                <w:bCs/>
                <w:lang w:val="en-US" w:eastAsia="zh-CN"/>
              </w:rPr>
              <w:t>2、项目基本概况</w:t>
            </w:r>
          </w:p>
          <w:p>
            <w:pPr>
              <w:numPr>
                <w:ilvl w:val="0"/>
                <w:numId w:val="0"/>
              </w:numPr>
              <w:bidi w:val="0"/>
              <w:ind w:firstLine="480" w:firstLineChars="200"/>
              <w:rPr>
                <w:rFonts w:hint="default"/>
                <w:b w:val="0"/>
                <w:bCs w:val="0"/>
                <w:lang w:val="en-US" w:eastAsia="zh-CN"/>
              </w:rPr>
            </w:pPr>
            <w:r>
              <w:rPr>
                <w:rFonts w:hint="default"/>
                <w:b w:val="0"/>
                <w:bCs w:val="0"/>
                <w:lang w:val="en-US" w:eastAsia="zh-CN"/>
              </w:rPr>
              <w:t>（1）项目名称：衡阳市泰达能源发展有限公司衡阳市新竹加油站建设项目</w:t>
            </w:r>
          </w:p>
          <w:p>
            <w:pPr>
              <w:numPr>
                <w:ilvl w:val="0"/>
                <w:numId w:val="0"/>
              </w:numPr>
              <w:bidi w:val="0"/>
              <w:ind w:firstLine="480" w:firstLineChars="200"/>
              <w:rPr>
                <w:rFonts w:hint="default"/>
                <w:b w:val="0"/>
                <w:bCs w:val="0"/>
                <w:lang w:val="en-US" w:eastAsia="zh-CN"/>
              </w:rPr>
            </w:pPr>
            <w:r>
              <w:rPr>
                <w:rFonts w:hint="default"/>
                <w:b w:val="0"/>
                <w:bCs w:val="0"/>
                <w:lang w:val="en-US" w:eastAsia="zh-CN"/>
              </w:rPr>
              <w:t>（2）建设单位：衡阳市泰达能源发展有限公司</w:t>
            </w:r>
          </w:p>
          <w:p>
            <w:pPr>
              <w:numPr>
                <w:ilvl w:val="0"/>
                <w:numId w:val="0"/>
              </w:numPr>
              <w:bidi w:val="0"/>
              <w:ind w:firstLine="480" w:firstLineChars="200"/>
              <w:rPr>
                <w:rFonts w:hint="default"/>
                <w:b w:val="0"/>
                <w:bCs w:val="0"/>
                <w:lang w:val="en-US" w:eastAsia="zh-CN"/>
              </w:rPr>
            </w:pPr>
            <w:r>
              <w:rPr>
                <w:rFonts w:hint="default"/>
                <w:b w:val="0"/>
                <w:bCs w:val="0"/>
                <w:lang w:val="en-US" w:eastAsia="zh-CN"/>
              </w:rPr>
              <w:t>（3）建设地点：湖南省衡阳市松木经济开发区107国道以西化工路以南，地理坐标：东经112°37′3.648″，北纬26°58′23.664″</w:t>
            </w:r>
          </w:p>
          <w:p>
            <w:pPr>
              <w:numPr>
                <w:ilvl w:val="0"/>
                <w:numId w:val="0"/>
              </w:numPr>
              <w:bidi w:val="0"/>
              <w:ind w:firstLine="480" w:firstLineChars="200"/>
              <w:rPr>
                <w:rFonts w:hint="default"/>
                <w:b w:val="0"/>
                <w:bCs w:val="0"/>
                <w:lang w:val="en-US" w:eastAsia="zh-CN"/>
              </w:rPr>
            </w:pPr>
            <w:r>
              <w:rPr>
                <w:rFonts w:hint="default"/>
                <w:b w:val="0"/>
                <w:bCs w:val="0"/>
                <w:lang w:val="en-US" w:eastAsia="zh-CN"/>
              </w:rPr>
              <w:t>（4）建设性质：新建</w:t>
            </w:r>
          </w:p>
          <w:p>
            <w:pPr>
              <w:numPr>
                <w:ilvl w:val="0"/>
                <w:numId w:val="0"/>
              </w:numPr>
              <w:bidi w:val="0"/>
              <w:ind w:firstLine="480" w:firstLineChars="200"/>
              <w:rPr>
                <w:rFonts w:hint="default"/>
                <w:b w:val="0"/>
                <w:bCs w:val="0"/>
                <w:lang w:val="en-US" w:eastAsia="zh-CN"/>
              </w:rPr>
            </w:pPr>
            <w:r>
              <w:rPr>
                <w:rFonts w:hint="default"/>
                <w:b w:val="0"/>
                <w:bCs w:val="0"/>
                <w:lang w:val="en-US" w:eastAsia="zh-CN"/>
              </w:rPr>
              <w:t>（5）总投资：</w:t>
            </w:r>
            <w:r>
              <w:rPr>
                <w:rFonts w:hint="eastAsia"/>
                <w:b w:val="0"/>
                <w:bCs w:val="0"/>
                <w:lang w:val="en-US" w:eastAsia="zh-CN"/>
              </w:rPr>
              <w:t>4</w:t>
            </w:r>
            <w:r>
              <w:rPr>
                <w:rFonts w:hint="default"/>
                <w:b w:val="0"/>
                <w:bCs w:val="0"/>
                <w:lang w:val="en-US" w:eastAsia="zh-CN"/>
              </w:rPr>
              <w:t>300万元；其中环保投资</w:t>
            </w:r>
            <w:r>
              <w:rPr>
                <w:rFonts w:hint="eastAsia"/>
                <w:b w:val="0"/>
                <w:bCs w:val="0"/>
                <w:lang w:val="en-US" w:eastAsia="zh-CN"/>
              </w:rPr>
              <w:t>24</w:t>
            </w:r>
            <w:r>
              <w:rPr>
                <w:rFonts w:hint="default"/>
                <w:b w:val="0"/>
                <w:bCs w:val="0"/>
                <w:lang w:val="en-US" w:eastAsia="zh-CN"/>
              </w:rPr>
              <w:t>0万元</w:t>
            </w:r>
          </w:p>
          <w:p>
            <w:pPr>
              <w:numPr>
                <w:ilvl w:val="0"/>
                <w:numId w:val="0"/>
              </w:numPr>
              <w:bidi w:val="0"/>
              <w:ind w:firstLine="480" w:firstLineChars="200"/>
              <w:rPr>
                <w:rFonts w:hint="default"/>
                <w:b w:val="0"/>
                <w:bCs w:val="0"/>
                <w:lang w:val="en-US" w:eastAsia="zh-CN"/>
              </w:rPr>
            </w:pPr>
            <w:r>
              <w:rPr>
                <w:rFonts w:hint="default"/>
                <w:b w:val="0"/>
                <w:bCs w:val="0"/>
                <w:lang w:val="en-US" w:eastAsia="zh-CN"/>
              </w:rPr>
              <w:t>（6）建设规模：总用地面积4430.7m</w:t>
            </w:r>
            <w:r>
              <w:rPr>
                <w:rFonts w:hint="default"/>
                <w:b w:val="0"/>
                <w:bCs w:val="0"/>
                <w:vertAlign w:val="superscript"/>
                <w:lang w:val="en-US" w:eastAsia="zh-CN"/>
              </w:rPr>
              <w:t>2</w:t>
            </w:r>
            <w:r>
              <w:rPr>
                <w:rFonts w:hint="default"/>
                <w:b w:val="0"/>
                <w:bCs w:val="0"/>
                <w:lang w:val="en-US" w:eastAsia="zh-CN"/>
              </w:rPr>
              <w:t>，建筑占地面积为1327.59m</w:t>
            </w:r>
            <w:r>
              <w:rPr>
                <w:rFonts w:hint="default"/>
                <w:b w:val="0"/>
                <w:bCs w:val="0"/>
                <w:vertAlign w:val="superscript"/>
                <w:lang w:val="en-US" w:eastAsia="zh-CN"/>
              </w:rPr>
              <w:t>2</w:t>
            </w:r>
            <w:r>
              <w:rPr>
                <w:rFonts w:hint="default"/>
                <w:b w:val="0"/>
                <w:bCs w:val="0"/>
                <w:lang w:val="en-US" w:eastAsia="zh-CN"/>
              </w:rPr>
              <w:t>，总建筑面积1488.33m</w:t>
            </w:r>
            <w:r>
              <w:rPr>
                <w:rFonts w:hint="default"/>
                <w:b w:val="0"/>
                <w:bCs w:val="0"/>
                <w:vertAlign w:val="superscript"/>
                <w:lang w:val="en-US" w:eastAsia="zh-CN"/>
              </w:rPr>
              <w:t>2</w:t>
            </w:r>
            <w:r>
              <w:rPr>
                <w:rFonts w:hint="default"/>
                <w:b w:val="0"/>
                <w:bCs w:val="0"/>
                <w:lang w:val="en-US" w:eastAsia="zh-CN"/>
              </w:rPr>
              <w:t>(其中加油站站房394.88m</w:t>
            </w:r>
            <w:r>
              <w:rPr>
                <w:rFonts w:hint="default"/>
                <w:b w:val="0"/>
                <w:bCs w:val="0"/>
                <w:vertAlign w:val="superscript"/>
                <w:lang w:val="en-US" w:eastAsia="zh-CN"/>
              </w:rPr>
              <w:t>2</w:t>
            </w:r>
            <w:r>
              <w:rPr>
                <w:rFonts w:hint="default"/>
                <w:b w:val="0"/>
                <w:bCs w:val="0"/>
                <w:lang w:val="en-US" w:eastAsia="zh-CN"/>
              </w:rPr>
              <w:t>、加油棚472.5m</w:t>
            </w:r>
            <w:r>
              <w:rPr>
                <w:rFonts w:hint="default"/>
                <w:b w:val="0"/>
                <w:bCs w:val="0"/>
                <w:vertAlign w:val="superscript"/>
                <w:lang w:val="en-US" w:eastAsia="zh-CN"/>
              </w:rPr>
              <w:t>2</w:t>
            </w:r>
            <w:r>
              <w:rPr>
                <w:rFonts w:hint="default"/>
                <w:b w:val="0"/>
                <w:bCs w:val="0"/>
                <w:lang w:val="en-US" w:eastAsia="zh-CN"/>
              </w:rPr>
              <w:t>)</w:t>
            </w:r>
          </w:p>
          <w:p>
            <w:pPr>
              <w:numPr>
                <w:ilvl w:val="0"/>
                <w:numId w:val="0"/>
              </w:numPr>
              <w:bidi w:val="0"/>
              <w:ind w:firstLine="480" w:firstLineChars="200"/>
              <w:rPr>
                <w:rFonts w:hint="default"/>
                <w:b w:val="0"/>
                <w:bCs w:val="0"/>
                <w:lang w:val="en-US" w:eastAsia="zh-CN"/>
              </w:rPr>
            </w:pPr>
            <w:r>
              <w:rPr>
                <w:rFonts w:hint="default"/>
                <w:b w:val="0"/>
                <w:bCs w:val="0"/>
                <w:lang w:val="en-US" w:eastAsia="zh-CN"/>
              </w:rPr>
              <w:t>（7）生产规模：计划建设加油站1座，建设标准为二级站，6台六枪三油品潜油泵型加油机（汽油枪带油气回收），埋地40 m</w:t>
            </w:r>
            <w:r>
              <w:rPr>
                <w:rFonts w:hint="default"/>
                <w:b w:val="0"/>
                <w:bCs w:val="0"/>
                <w:vertAlign w:val="superscript"/>
                <w:lang w:val="en-US" w:eastAsia="zh-CN"/>
              </w:rPr>
              <w:t>3</w:t>
            </w:r>
            <w:r>
              <w:rPr>
                <w:rFonts w:hint="default"/>
                <w:b w:val="0"/>
                <w:bCs w:val="0"/>
                <w:lang w:val="en-US" w:eastAsia="zh-CN"/>
              </w:rPr>
              <w:t>储油罐4</w:t>
            </w:r>
            <w:r>
              <w:rPr>
                <w:rFonts w:hint="eastAsia"/>
                <w:b w:val="0"/>
                <w:bCs w:val="0"/>
                <w:lang w:val="en-US" w:eastAsia="zh-CN"/>
              </w:rPr>
              <w:t>个</w:t>
            </w:r>
            <w:r>
              <w:rPr>
                <w:rFonts w:hint="default"/>
                <w:b w:val="0"/>
                <w:bCs w:val="0"/>
                <w:lang w:val="en-US" w:eastAsia="zh-CN"/>
              </w:rPr>
              <w:t>(0#柴油、95#汽油储罐各1个，92#汽油储罐2个)，并配套供水供电以及绿化等设施，年销售汽油1500吨、柴油500吨</w:t>
            </w:r>
          </w:p>
          <w:p>
            <w:pPr>
              <w:numPr>
                <w:ilvl w:val="0"/>
                <w:numId w:val="0"/>
              </w:numPr>
              <w:bidi w:val="0"/>
              <w:ind w:firstLine="480" w:firstLineChars="200"/>
              <w:rPr>
                <w:rFonts w:hint="eastAsia"/>
                <w:b w:val="0"/>
                <w:bCs w:val="0"/>
                <w:lang w:val="en-US" w:eastAsia="zh-CN"/>
              </w:rPr>
            </w:pPr>
            <w:r>
              <w:rPr>
                <w:rFonts w:hint="eastAsia"/>
                <w:b w:val="0"/>
                <w:bCs w:val="0"/>
                <w:lang w:val="en-US" w:eastAsia="zh-CN"/>
              </w:rPr>
              <w:t>（8）</w:t>
            </w:r>
            <w:r>
              <w:rPr>
                <w:rFonts w:hint="default"/>
                <w:b w:val="0"/>
                <w:bCs w:val="0"/>
                <w:lang w:val="en-US" w:eastAsia="zh-CN"/>
              </w:rPr>
              <w:t>职工人数：职工人数4人，均不在</w:t>
            </w:r>
            <w:r>
              <w:rPr>
                <w:rFonts w:hint="eastAsia"/>
                <w:b w:val="0"/>
                <w:bCs w:val="0"/>
                <w:lang w:val="en-US" w:eastAsia="zh-CN"/>
              </w:rPr>
              <w:t>场内进行食宿</w:t>
            </w:r>
          </w:p>
          <w:p>
            <w:pPr>
              <w:numPr>
                <w:ilvl w:val="0"/>
                <w:numId w:val="0"/>
              </w:numPr>
              <w:bidi w:val="0"/>
              <w:ind w:firstLine="480" w:firstLineChars="200"/>
              <w:rPr>
                <w:rFonts w:hint="eastAsia"/>
                <w:b w:val="0"/>
                <w:bCs w:val="0"/>
                <w:lang w:val="en-US" w:eastAsia="zh-CN"/>
              </w:rPr>
            </w:pPr>
            <w:r>
              <w:rPr>
                <w:rFonts w:hint="eastAsia"/>
                <w:b w:val="0"/>
                <w:bCs w:val="0"/>
                <w:lang w:val="en-US" w:eastAsia="zh-CN"/>
              </w:rPr>
              <w:t>（9）工作制度：年工作日365天，工作时间24h(双班制）</w:t>
            </w:r>
          </w:p>
          <w:p>
            <w:pPr>
              <w:numPr>
                <w:ilvl w:val="0"/>
                <w:numId w:val="0"/>
              </w:numPr>
              <w:bidi w:val="0"/>
              <w:rPr>
                <w:rFonts w:hint="eastAsia"/>
                <w:b/>
                <w:bCs/>
                <w:lang w:val="en-US" w:eastAsia="zh-CN"/>
              </w:rPr>
            </w:pPr>
            <w:r>
              <w:rPr>
                <w:rFonts w:hint="eastAsia"/>
                <w:b/>
                <w:bCs/>
                <w:lang w:val="en-US" w:eastAsia="zh-CN"/>
              </w:rPr>
              <w:t>3、项目产品方案</w:t>
            </w:r>
          </w:p>
          <w:p>
            <w:pPr>
              <w:numPr>
                <w:ilvl w:val="0"/>
                <w:numId w:val="0"/>
              </w:numPr>
              <w:bidi w:val="0"/>
              <w:ind w:firstLine="480" w:firstLineChars="200"/>
              <w:rPr>
                <w:rFonts w:hint="default"/>
                <w:b w:val="0"/>
                <w:bCs w:val="0"/>
                <w:lang w:val="en-US" w:eastAsia="zh-CN"/>
              </w:rPr>
            </w:pPr>
            <w:r>
              <w:rPr>
                <w:rFonts w:hint="default"/>
                <w:b w:val="0"/>
                <w:bCs w:val="0"/>
                <w:lang w:val="en-US" w:eastAsia="zh-CN"/>
              </w:rPr>
              <w:t>根据建设单位提供资料，从事汽油、柴油的生产，项目具体产品方案详见表2-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1</w:t>
            </w:r>
            <w:r>
              <w:rPr>
                <w:rFonts w:hint="default"/>
                <w:b w:val="0"/>
                <w:bCs w:val="0"/>
                <w:lang w:eastAsia="zh-CN"/>
              </w:rPr>
              <w:fldChar w:fldCharType="end"/>
            </w:r>
            <w:r>
              <w:rPr>
                <w:rFonts w:hint="default"/>
                <w:b w:val="0"/>
                <w:bCs w:val="0"/>
                <w:lang w:val="en-US" w:eastAsia="zh-CN"/>
              </w:rPr>
              <w:t>。</w:t>
            </w:r>
          </w:p>
          <w:p>
            <w:pPr>
              <w:numPr>
                <w:ilvl w:val="0"/>
                <w:numId w:val="0"/>
              </w:numPr>
              <w:bidi w:val="0"/>
              <w:spacing w:line="240" w:lineRule="auto"/>
              <w:jc w:val="center"/>
              <w:rPr>
                <w:rFonts w:hint="default"/>
                <w:b/>
                <w:bCs/>
                <w:lang w:val="en-US" w:eastAsia="zh-CN"/>
              </w:rPr>
            </w:pPr>
          </w:p>
          <w:p>
            <w:pPr>
              <w:pStyle w:val="10"/>
              <w:bidi w:val="0"/>
              <w:rPr>
                <w:rFonts w:hint="default"/>
                <w:lang w:val="en-US" w:eastAsia="zh-CN"/>
              </w:rPr>
            </w:pPr>
            <w:r>
              <w:rPr>
                <w:rFonts w:hint="default"/>
                <w:lang w:val="en-US" w:eastAsia="zh-CN"/>
              </w:rPr>
              <w:t>表2-</w:t>
            </w:r>
            <w:r>
              <w:rPr>
                <w:rFonts w:hint="default"/>
                <w:lang w:eastAsia="zh-CN"/>
              </w:rPr>
              <w:fldChar w:fldCharType="begin"/>
            </w:r>
            <w:r>
              <w:rPr>
                <w:rFonts w:hint="default"/>
                <w:lang w:eastAsia="zh-CN"/>
              </w:rPr>
              <w:instrText xml:space="preserve"> SEQ  表2- </w:instrText>
            </w:r>
            <w:r>
              <w:rPr>
                <w:rFonts w:hint="default"/>
                <w:lang w:eastAsia="zh-CN"/>
              </w:rPr>
              <w:fldChar w:fldCharType="separate"/>
            </w:r>
            <w:r>
              <w:rPr>
                <w:rFonts w:hint="default"/>
                <w:lang w:eastAsia="zh-CN"/>
              </w:rPr>
              <w:t>1</w:t>
            </w:r>
            <w:r>
              <w:rPr>
                <w:rFonts w:hint="default"/>
                <w:lang w:eastAsia="zh-CN"/>
              </w:rPr>
              <w:fldChar w:fldCharType="end"/>
            </w:r>
            <w:r>
              <w:rPr>
                <w:rFonts w:hint="default"/>
                <w:lang w:val="en-US" w:eastAsia="zh-CN"/>
              </w:rPr>
              <w:t xml:space="preserve">  项目具体产品方案一览表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7"/>
              <w:gridCol w:w="1983"/>
              <w:gridCol w:w="1867"/>
              <w:gridCol w:w="2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序号</w:t>
                  </w:r>
                </w:p>
              </w:tc>
              <w:tc>
                <w:tcPr>
                  <w:tcW w:w="19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产品名称</w:t>
                  </w:r>
                </w:p>
              </w:tc>
              <w:tc>
                <w:tcPr>
                  <w:tcW w:w="186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销售量</w:t>
                  </w:r>
                </w:p>
              </w:tc>
              <w:tc>
                <w:tcPr>
                  <w:tcW w:w="240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c>
                <w:tcPr>
                  <w:tcW w:w="19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汽油</w:t>
                  </w:r>
                </w:p>
              </w:tc>
              <w:tc>
                <w:tcPr>
                  <w:tcW w:w="186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1500吨</w:t>
                  </w:r>
                  <w:r>
                    <w:rPr>
                      <w:rFonts w:hint="eastAsia" w:ascii="Calibri" w:hAnsi="Calibri" w:cs="Calibri"/>
                      <w:b w:val="0"/>
                      <w:bCs w:val="0"/>
                      <w:sz w:val="21"/>
                      <w:szCs w:val="21"/>
                      <w:vertAlign w:val="baseline"/>
                      <w:lang w:val="en-US" w:eastAsia="zh-CN"/>
                    </w:rPr>
                    <w:t>/</w:t>
                  </w:r>
                  <w:r>
                    <w:rPr>
                      <w:rFonts w:hint="eastAsia" w:asciiTheme="minorAscii"/>
                      <w:b w:val="0"/>
                      <w:bCs w:val="0"/>
                      <w:sz w:val="21"/>
                      <w:szCs w:val="21"/>
                      <w:vertAlign w:val="baseline"/>
                      <w:lang w:val="en-US" w:eastAsia="zh-CN"/>
                    </w:rPr>
                    <w:t>年</w:t>
                  </w:r>
                </w:p>
              </w:tc>
              <w:tc>
                <w:tcPr>
                  <w:tcW w:w="240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含92#、95#汽油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2</w:t>
                  </w:r>
                </w:p>
              </w:tc>
              <w:tc>
                <w:tcPr>
                  <w:tcW w:w="19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柴油</w:t>
                  </w:r>
                </w:p>
              </w:tc>
              <w:tc>
                <w:tcPr>
                  <w:tcW w:w="186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500吨</w:t>
                  </w:r>
                  <w:r>
                    <w:rPr>
                      <w:rFonts w:hint="eastAsia" w:ascii="Calibri" w:hAnsi="Calibri" w:cs="Calibri"/>
                      <w:b w:val="0"/>
                      <w:bCs w:val="0"/>
                      <w:sz w:val="21"/>
                      <w:szCs w:val="21"/>
                      <w:vertAlign w:val="baseline"/>
                      <w:lang w:val="en-US" w:eastAsia="zh-CN"/>
                    </w:rPr>
                    <w:t>/</w:t>
                  </w:r>
                  <w:r>
                    <w:rPr>
                      <w:rFonts w:hint="eastAsia" w:asciiTheme="minorAscii"/>
                      <w:b w:val="0"/>
                      <w:bCs w:val="0"/>
                      <w:sz w:val="21"/>
                      <w:szCs w:val="21"/>
                      <w:vertAlign w:val="baseline"/>
                      <w:lang w:val="en-US" w:eastAsia="zh-CN"/>
                    </w:rPr>
                    <w:t>年</w:t>
                  </w:r>
                </w:p>
              </w:tc>
              <w:tc>
                <w:tcPr>
                  <w:tcW w:w="240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0</w:t>
                  </w:r>
                  <w:r>
                    <w:rPr>
                      <w:rFonts w:hint="default"/>
                      <w:b w:val="0"/>
                      <w:bCs w:val="0"/>
                      <w:sz w:val="21"/>
                      <w:szCs w:val="21"/>
                      <w:vertAlign w:val="baseline"/>
                      <w:lang w:val="en-US" w:eastAsia="zh-CN"/>
                    </w:rPr>
                    <w:t>#</w:t>
                  </w:r>
                  <w:r>
                    <w:rPr>
                      <w:rFonts w:hint="eastAsia"/>
                      <w:b w:val="0"/>
                      <w:bCs w:val="0"/>
                      <w:sz w:val="21"/>
                      <w:szCs w:val="21"/>
                      <w:vertAlign w:val="baseline"/>
                      <w:lang w:val="en-US" w:eastAsia="zh-CN"/>
                    </w:rPr>
                    <w:t>柴</w:t>
                  </w:r>
                  <w:r>
                    <w:rPr>
                      <w:rFonts w:hint="default"/>
                      <w:b w:val="0"/>
                      <w:bCs w:val="0"/>
                      <w:sz w:val="21"/>
                      <w:szCs w:val="21"/>
                      <w:vertAlign w:val="baseline"/>
                      <w:lang w:val="en-US" w:eastAsia="zh-CN"/>
                    </w:rPr>
                    <w:t>油</w:t>
                  </w:r>
                </w:p>
              </w:tc>
            </w:tr>
          </w:tbl>
          <w:p>
            <w:pPr>
              <w:numPr>
                <w:ilvl w:val="0"/>
                <w:numId w:val="0"/>
              </w:numPr>
              <w:bidi w:val="0"/>
              <w:jc w:val="both"/>
              <w:rPr>
                <w:rFonts w:hint="eastAsia"/>
                <w:b/>
                <w:bCs/>
                <w:lang w:val="en-US" w:eastAsia="zh-CN"/>
              </w:rPr>
            </w:pPr>
            <w:r>
              <w:rPr>
                <w:rFonts w:hint="eastAsia"/>
                <w:b/>
                <w:bCs/>
                <w:lang w:val="en-US" w:eastAsia="zh-CN"/>
              </w:rPr>
              <w:t>4、项目组成情况</w:t>
            </w:r>
          </w:p>
          <w:p>
            <w:pPr>
              <w:numPr>
                <w:ilvl w:val="0"/>
                <w:numId w:val="0"/>
              </w:numPr>
              <w:bidi w:val="0"/>
              <w:ind w:firstLine="480" w:firstLineChars="200"/>
              <w:jc w:val="both"/>
              <w:rPr>
                <w:rFonts w:hint="default"/>
                <w:b w:val="0"/>
                <w:bCs w:val="0"/>
                <w:lang w:val="en-US" w:eastAsia="zh-CN"/>
              </w:rPr>
            </w:pPr>
            <w:r>
              <w:rPr>
                <w:rFonts w:hint="default"/>
                <w:b w:val="0"/>
                <w:bCs w:val="0"/>
                <w:lang w:val="en-US" w:eastAsia="zh-CN"/>
              </w:rPr>
              <w:t>本项目规划加油站站房占地面积394.88m</w:t>
            </w:r>
            <w:r>
              <w:rPr>
                <w:rFonts w:hint="default"/>
                <w:b w:val="0"/>
                <w:bCs w:val="0"/>
                <w:vertAlign w:val="superscript"/>
                <w:lang w:val="en-US" w:eastAsia="zh-CN"/>
              </w:rPr>
              <w:t>2</w:t>
            </w:r>
            <w:r>
              <w:rPr>
                <w:rFonts w:hint="default"/>
                <w:b w:val="0"/>
                <w:bCs w:val="0"/>
                <w:lang w:val="en-US" w:eastAsia="zh-CN"/>
              </w:rPr>
              <w:t>，加油棚占地面积472.5m</w:t>
            </w:r>
            <w:r>
              <w:rPr>
                <w:rFonts w:hint="default"/>
                <w:b w:val="0"/>
                <w:bCs w:val="0"/>
                <w:vertAlign w:val="superscript"/>
                <w:lang w:val="en-US" w:eastAsia="zh-CN"/>
              </w:rPr>
              <w:t>2</w:t>
            </w:r>
            <w:r>
              <w:rPr>
                <w:rFonts w:hint="default"/>
                <w:b w:val="0"/>
                <w:bCs w:val="0"/>
                <w:lang w:val="en-US" w:eastAsia="zh-CN"/>
              </w:rPr>
              <w:t>，储油罐4个，容积均为40m</w:t>
            </w:r>
            <w:r>
              <w:rPr>
                <w:rFonts w:hint="default"/>
                <w:b w:val="0"/>
                <w:bCs w:val="0"/>
                <w:vertAlign w:val="superscript"/>
                <w:lang w:val="en-US" w:eastAsia="zh-CN"/>
              </w:rPr>
              <w:t>3</w:t>
            </w:r>
            <w:r>
              <w:rPr>
                <w:rFonts w:hint="default"/>
                <w:b w:val="0"/>
                <w:bCs w:val="0"/>
                <w:lang w:val="en-US" w:eastAsia="zh-CN"/>
              </w:rPr>
              <w:t>，建成后预计年销售汽油1500吨、柴油500吨。拟建项目主要工程内容包括站房、加油棚、埋地油罐、隔油池等，项目主要建设内容详见表2-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2</w:t>
            </w:r>
            <w:r>
              <w:rPr>
                <w:rFonts w:hint="default"/>
                <w:b w:val="0"/>
                <w:bCs w:val="0"/>
                <w:lang w:eastAsia="zh-CN"/>
              </w:rPr>
              <w:fldChar w:fldCharType="end"/>
            </w:r>
            <w:r>
              <w:rPr>
                <w:rFonts w:hint="default"/>
                <w:b w:val="0"/>
                <w:bCs w:val="0"/>
                <w:lang w:val="en-US" w:eastAsia="zh-CN"/>
              </w:rPr>
              <w:t>，经济技术指标详见表2-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3</w:t>
            </w:r>
            <w:r>
              <w:rPr>
                <w:rFonts w:hint="default"/>
                <w:b w:val="0"/>
                <w:bCs w:val="0"/>
                <w:lang w:eastAsia="zh-CN"/>
              </w:rPr>
              <w:fldChar w:fldCharType="end"/>
            </w:r>
            <w:r>
              <w:rPr>
                <w:rFonts w:hint="default"/>
                <w:b w:val="0"/>
                <w:bCs w:val="0"/>
                <w:lang w:val="en-US" w:eastAsia="zh-CN"/>
              </w:rPr>
              <w:t>。</w:t>
            </w:r>
          </w:p>
          <w:p>
            <w:pPr>
              <w:numPr>
                <w:ilvl w:val="0"/>
                <w:numId w:val="0"/>
              </w:numPr>
              <w:bidi w:val="0"/>
              <w:spacing w:line="240" w:lineRule="auto"/>
              <w:jc w:val="center"/>
              <w:rPr>
                <w:rFonts w:hint="default"/>
                <w:b/>
                <w:bCs/>
                <w:lang w:val="en-US" w:eastAsia="zh-CN"/>
              </w:rPr>
            </w:pPr>
            <w:r>
              <w:rPr>
                <w:rFonts w:hint="default"/>
                <w:b/>
                <w:bCs/>
                <w:lang w:val="en-US" w:eastAsia="zh-CN"/>
              </w:rPr>
              <w:t>表2-</w:t>
            </w:r>
            <w:r>
              <w:rPr>
                <w:rFonts w:hint="default"/>
                <w:b/>
                <w:bCs/>
                <w:lang w:eastAsia="zh-CN"/>
              </w:rPr>
              <w:fldChar w:fldCharType="begin"/>
            </w:r>
            <w:r>
              <w:rPr>
                <w:rFonts w:hint="default"/>
                <w:b/>
                <w:bCs/>
                <w:lang w:eastAsia="zh-CN"/>
              </w:rPr>
              <w:instrText xml:space="preserve"> SEQ 表2- </w:instrText>
            </w:r>
            <w:r>
              <w:rPr>
                <w:rFonts w:hint="default"/>
                <w:b/>
                <w:bCs/>
                <w:lang w:eastAsia="zh-CN"/>
              </w:rPr>
              <w:fldChar w:fldCharType="separate"/>
            </w:r>
            <w:r>
              <w:rPr>
                <w:rFonts w:hint="default"/>
                <w:b/>
                <w:bCs/>
                <w:lang w:eastAsia="zh-CN"/>
              </w:rPr>
              <w:t>2</w:t>
            </w:r>
            <w:r>
              <w:rPr>
                <w:rFonts w:hint="default"/>
                <w:b/>
                <w:bCs/>
                <w:lang w:eastAsia="zh-CN"/>
              </w:rPr>
              <w:fldChar w:fldCharType="end"/>
            </w:r>
            <w:r>
              <w:rPr>
                <w:rFonts w:hint="default"/>
                <w:b/>
                <w:bCs/>
                <w:lang w:val="en-US" w:eastAsia="zh-CN"/>
              </w:rPr>
              <w:t xml:space="preserve"> 项目建设内容一览表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1183"/>
              <w:gridCol w:w="4417"/>
              <w:gridCol w:w="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工程类别</w:t>
                  </w: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单项工程名称</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工程建设内容</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主体工程</w:t>
                  </w: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油罐区</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位于加油棚东侧，设有1个40 m</w:t>
                  </w:r>
                  <w:r>
                    <w:rPr>
                      <w:rFonts w:hint="default"/>
                      <w:b w:val="0"/>
                      <w:bCs w:val="0"/>
                      <w:sz w:val="21"/>
                      <w:szCs w:val="21"/>
                      <w:vertAlign w:val="superscript"/>
                      <w:lang w:val="en-US" w:eastAsia="zh-CN"/>
                    </w:rPr>
                    <w:t>3</w:t>
                  </w:r>
                  <w:r>
                    <w:rPr>
                      <w:rFonts w:hint="default"/>
                      <w:b w:val="0"/>
                      <w:bCs w:val="0"/>
                      <w:sz w:val="21"/>
                      <w:szCs w:val="21"/>
                      <w:vertAlign w:val="baseline"/>
                      <w:lang w:val="en-US" w:eastAsia="zh-CN"/>
                    </w:rPr>
                    <w:t>0#柴油罐、2个40m</w:t>
                  </w:r>
                  <w:r>
                    <w:rPr>
                      <w:rFonts w:hint="default"/>
                      <w:b w:val="0"/>
                      <w:bCs w:val="0"/>
                      <w:sz w:val="21"/>
                      <w:szCs w:val="21"/>
                      <w:vertAlign w:val="superscript"/>
                      <w:lang w:val="en-US" w:eastAsia="zh-CN"/>
                    </w:rPr>
                    <w:t>3</w:t>
                  </w:r>
                  <w:r>
                    <w:rPr>
                      <w:rFonts w:hint="default"/>
                      <w:b w:val="0"/>
                      <w:bCs w:val="0"/>
                      <w:sz w:val="21"/>
                      <w:szCs w:val="21"/>
                      <w:vertAlign w:val="baseline"/>
                      <w:lang w:val="en-US" w:eastAsia="zh-CN"/>
                    </w:rPr>
                    <w:t>92#汽油罐、1个40m</w:t>
                  </w:r>
                  <w:r>
                    <w:rPr>
                      <w:rFonts w:hint="default"/>
                      <w:b w:val="0"/>
                      <w:bCs w:val="0"/>
                      <w:sz w:val="21"/>
                      <w:szCs w:val="21"/>
                      <w:vertAlign w:val="superscript"/>
                      <w:lang w:val="en-US" w:eastAsia="zh-CN"/>
                    </w:rPr>
                    <w:t>3</w:t>
                  </w:r>
                  <w:r>
                    <w:rPr>
                      <w:rFonts w:hint="default"/>
                      <w:b w:val="0"/>
                      <w:bCs w:val="0"/>
                      <w:sz w:val="21"/>
                      <w:szCs w:val="21"/>
                      <w:vertAlign w:val="baseline"/>
                      <w:lang w:val="en-US" w:eastAsia="zh-CN"/>
                    </w:rPr>
                    <w:t>95#汽油罐</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加油棚</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1F，轻钢结构，内设6台六枪三油品潜油泵型加油机</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储运工程</w:t>
                  </w: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成品油运输</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油罐车（由供油方运输）</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辅助工程</w:t>
                  </w: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站房</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2F，站房与罩棚搭接</w:t>
                  </w:r>
                  <w:r>
                    <w:rPr>
                      <w:rFonts w:hint="eastAsia"/>
                      <w:b w:val="0"/>
                      <w:bCs w:val="0"/>
                      <w:sz w:val="21"/>
                      <w:szCs w:val="21"/>
                      <w:vertAlign w:val="baseline"/>
                      <w:lang w:val="en-US" w:eastAsia="zh-CN"/>
                    </w:rPr>
                    <w:t>，</w:t>
                  </w:r>
                  <w:r>
                    <w:rPr>
                      <w:rFonts w:hint="default"/>
                      <w:b w:val="0"/>
                      <w:bCs w:val="0"/>
                      <w:sz w:val="21"/>
                      <w:szCs w:val="21"/>
                      <w:vertAlign w:val="baseline"/>
                      <w:lang w:val="en-US" w:eastAsia="zh-CN"/>
                    </w:rPr>
                    <w:t>设置有营业厅、办公室、活动室、值班室、卫浴间、男女卫生间及楼梯间等功能间</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辅房</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3F，位于站区西南侧，办公生活区，设置有汽车商品卖场、办公室、储藏间（戊类）、发配电间、活动室、会议室、值班室、备餐间、餐厅、卫生间及楼梯间等功能间</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卸油区</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位于站区东侧</w:t>
                  </w:r>
                  <w:r>
                    <w:rPr>
                      <w:rFonts w:hint="eastAsia"/>
                      <w:b w:val="0"/>
                      <w:bCs w:val="0"/>
                      <w:sz w:val="21"/>
                      <w:szCs w:val="21"/>
                      <w:vertAlign w:val="baseline"/>
                      <w:lang w:val="en-US" w:eastAsia="zh-CN"/>
                    </w:rPr>
                    <w:t>，面积40m</w:t>
                  </w:r>
                  <w:r>
                    <w:rPr>
                      <w:rFonts w:hint="eastAsia"/>
                      <w:b w:val="0"/>
                      <w:bCs w:val="0"/>
                      <w:sz w:val="21"/>
                      <w:szCs w:val="21"/>
                      <w:vertAlign w:val="superscript"/>
                      <w:lang w:val="en-US" w:eastAsia="zh-CN"/>
                    </w:rPr>
                    <w:t>2</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洗车区</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站区西侧设有通过式洗车机，东南侧设有精洗车棚</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充电区</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位于站区西北侧，设置充电桩5个</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地磅</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位于站区东北侧，站内入口侧花坛边</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公用工程</w:t>
                  </w: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给水</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由市政给水管网供给</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排水</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color w:val="auto"/>
                      <w:sz w:val="21"/>
                      <w:szCs w:val="21"/>
                      <w:vertAlign w:val="baseline"/>
                      <w:lang w:val="en-US" w:eastAsia="zh-CN"/>
                    </w:rPr>
                    <w:t>采用</w:t>
                  </w:r>
                  <w:r>
                    <w:rPr>
                      <w:rFonts w:hint="eastAsia"/>
                      <w:b w:val="0"/>
                      <w:bCs w:val="0"/>
                      <w:color w:val="auto"/>
                      <w:sz w:val="21"/>
                      <w:szCs w:val="21"/>
                      <w:vertAlign w:val="baseline"/>
                      <w:lang w:val="en-US" w:eastAsia="zh-CN"/>
                    </w:rPr>
                    <w:t>雨污分流制</w:t>
                  </w:r>
                  <w:r>
                    <w:rPr>
                      <w:rFonts w:hint="default"/>
                      <w:b w:val="0"/>
                      <w:bCs w:val="0"/>
                      <w:color w:val="auto"/>
                      <w:sz w:val="21"/>
                      <w:szCs w:val="21"/>
                      <w:vertAlign w:val="baseline"/>
                      <w:lang w:val="en-US" w:eastAsia="zh-CN"/>
                    </w:rPr>
                    <w:t>，生活和公厕污水</w:t>
                  </w:r>
                  <w:r>
                    <w:rPr>
                      <w:rFonts w:hint="eastAsia"/>
                      <w:b w:val="0"/>
                      <w:bCs w:val="0"/>
                      <w:color w:val="auto"/>
                      <w:sz w:val="21"/>
                      <w:szCs w:val="21"/>
                      <w:vertAlign w:val="baseline"/>
                      <w:lang w:val="en-US" w:eastAsia="zh-CN"/>
                    </w:rPr>
                    <w:t>经</w:t>
                  </w:r>
                  <w:r>
                    <w:rPr>
                      <w:rFonts w:hint="default"/>
                      <w:b w:val="0"/>
                      <w:bCs w:val="0"/>
                      <w:color w:val="auto"/>
                      <w:sz w:val="21"/>
                      <w:szCs w:val="21"/>
                      <w:vertAlign w:val="baseline"/>
                      <w:lang w:val="en-US" w:eastAsia="zh-CN"/>
                    </w:rPr>
                    <w:t>化粪池</w:t>
                  </w:r>
                  <w:r>
                    <w:rPr>
                      <w:rFonts w:hint="eastAsia"/>
                      <w:b w:val="0"/>
                      <w:bCs w:val="0"/>
                      <w:color w:val="auto"/>
                      <w:sz w:val="21"/>
                      <w:szCs w:val="21"/>
                      <w:vertAlign w:val="baseline"/>
                      <w:lang w:val="en-US" w:eastAsia="zh-CN"/>
                    </w:rPr>
                    <w:t>预</w:t>
                  </w:r>
                  <w:r>
                    <w:rPr>
                      <w:rFonts w:hint="default"/>
                      <w:b w:val="0"/>
                      <w:bCs w:val="0"/>
                      <w:color w:val="auto"/>
                      <w:sz w:val="21"/>
                      <w:szCs w:val="21"/>
                      <w:vertAlign w:val="baseline"/>
                      <w:lang w:val="en-US" w:eastAsia="zh-CN"/>
                    </w:rPr>
                    <w:t>处理后</w:t>
                  </w:r>
                  <w:r>
                    <w:rPr>
                      <w:rFonts w:hint="eastAsia"/>
                      <w:b w:val="0"/>
                      <w:bCs w:val="0"/>
                      <w:color w:val="auto"/>
                      <w:sz w:val="21"/>
                      <w:szCs w:val="21"/>
                      <w:vertAlign w:val="baseline"/>
                      <w:lang w:val="en-US" w:eastAsia="zh-CN"/>
                    </w:rPr>
                    <w:t>通过</w:t>
                  </w:r>
                  <w:r>
                    <w:rPr>
                      <w:rFonts w:hint="default"/>
                      <w:b w:val="0"/>
                      <w:bCs w:val="0"/>
                      <w:color w:val="auto"/>
                      <w:sz w:val="21"/>
                      <w:szCs w:val="21"/>
                      <w:vertAlign w:val="baseline"/>
                      <w:lang w:val="en-US" w:eastAsia="zh-CN"/>
                    </w:rPr>
                    <w:t>市政污水管网</w:t>
                  </w:r>
                  <w:r>
                    <w:rPr>
                      <w:rFonts w:hint="eastAsia"/>
                      <w:b w:val="0"/>
                      <w:bCs w:val="0"/>
                      <w:color w:val="auto"/>
                      <w:sz w:val="21"/>
                      <w:szCs w:val="21"/>
                      <w:vertAlign w:val="baseline"/>
                      <w:lang w:val="en-US" w:eastAsia="zh-CN"/>
                    </w:rPr>
                    <w:t>引至松木污水处理厂处理；地面冲洗废水</w:t>
                  </w:r>
                  <w:r>
                    <w:rPr>
                      <w:rFonts w:hint="default"/>
                      <w:b w:val="0"/>
                      <w:bCs w:val="0"/>
                      <w:color w:val="auto"/>
                      <w:sz w:val="21"/>
                      <w:szCs w:val="21"/>
                      <w:vertAlign w:val="baseline"/>
                      <w:lang w:val="en-US" w:eastAsia="zh-CN"/>
                    </w:rPr>
                    <w:t>、洗车废水沿地面坡向经排水沟排至</w:t>
                  </w:r>
                  <w:r>
                    <w:rPr>
                      <w:rFonts w:hint="eastAsia"/>
                      <w:b w:val="0"/>
                      <w:bCs w:val="0"/>
                      <w:color w:val="auto"/>
                      <w:sz w:val="21"/>
                      <w:szCs w:val="21"/>
                      <w:vertAlign w:val="baseline"/>
                      <w:lang w:val="en-US" w:eastAsia="zh-CN"/>
                    </w:rPr>
                    <w:t>隔油池预处理后通过</w:t>
                  </w:r>
                  <w:r>
                    <w:rPr>
                      <w:rFonts w:hint="default"/>
                      <w:b w:val="0"/>
                      <w:bCs w:val="0"/>
                      <w:color w:val="auto"/>
                      <w:sz w:val="21"/>
                      <w:szCs w:val="21"/>
                      <w:vertAlign w:val="baseline"/>
                      <w:lang w:val="en-US" w:eastAsia="zh-CN"/>
                    </w:rPr>
                    <w:t>市政污水管网</w:t>
                  </w:r>
                  <w:r>
                    <w:rPr>
                      <w:rFonts w:hint="eastAsia"/>
                      <w:b w:val="0"/>
                      <w:bCs w:val="0"/>
                      <w:color w:val="auto"/>
                      <w:sz w:val="21"/>
                      <w:szCs w:val="21"/>
                      <w:vertAlign w:val="baseline"/>
                      <w:lang w:val="en-US" w:eastAsia="zh-CN"/>
                    </w:rPr>
                    <w:t>引至松木污水处理厂处理；</w:t>
                  </w:r>
                  <w:r>
                    <w:rPr>
                      <w:rFonts w:hint="default"/>
                      <w:b w:val="0"/>
                      <w:bCs w:val="0"/>
                      <w:color w:val="auto"/>
                      <w:sz w:val="21"/>
                      <w:szCs w:val="21"/>
                      <w:vertAlign w:val="baseline"/>
                      <w:lang w:val="en-US" w:eastAsia="zh-CN"/>
                    </w:rPr>
                    <w:t>罩棚雨水通过暗管排至市政雨水管网。</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供电</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市政供电</w:t>
                  </w:r>
                </w:p>
              </w:tc>
              <w:tc>
                <w:tcPr>
                  <w:tcW w:w="956"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37" w:type="dxa"/>
                  <w:vMerge w:val="continue"/>
                  <w:vAlign w:val="center"/>
                </w:tcPr>
                <w:p>
                  <w:pPr>
                    <w:bidi w:val="0"/>
                    <w:spacing w:line="240" w:lineRule="auto"/>
                    <w:jc w:val="center"/>
                  </w:pPr>
                </w:p>
              </w:tc>
              <w:tc>
                <w:tcPr>
                  <w:tcW w:w="1183"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消防</w:t>
                  </w:r>
                </w:p>
              </w:tc>
              <w:tc>
                <w:tcPr>
                  <w:tcW w:w="44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根据相关规定按要求配备了消防设施</w:t>
                  </w:r>
                </w:p>
              </w:tc>
              <w:tc>
                <w:tcPr>
                  <w:tcW w:w="956" w:type="dxa"/>
                  <w:vMerge w:val="continue"/>
                  <w:vAlign w:val="center"/>
                </w:tcPr>
                <w:p>
                  <w:pPr>
                    <w:bidi w:val="0"/>
                    <w:spacing w:line="240" w:lineRule="auto"/>
                    <w:jc w:val="center"/>
                    <w:rPr>
                      <w:rFonts w:hint="eastAsia"/>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环保工程</w:t>
                  </w:r>
                </w:p>
              </w:tc>
              <w:tc>
                <w:tcPr>
                  <w:tcW w:w="1183"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废气</w:t>
                  </w:r>
                </w:p>
              </w:tc>
              <w:tc>
                <w:tcPr>
                  <w:tcW w:w="44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三次</w:t>
                  </w:r>
                  <w:r>
                    <w:rPr>
                      <w:rFonts w:hint="default"/>
                      <w:b w:val="0"/>
                      <w:bCs w:val="0"/>
                      <w:color w:val="auto"/>
                      <w:sz w:val="21"/>
                      <w:szCs w:val="21"/>
                      <w:vertAlign w:val="baseline"/>
                      <w:lang w:val="en-US" w:eastAsia="zh-CN"/>
                    </w:rPr>
                    <w:t>油气回收</w:t>
                  </w:r>
                  <w:r>
                    <w:rPr>
                      <w:rFonts w:hint="eastAsia"/>
                      <w:b w:val="0"/>
                      <w:bCs w:val="0"/>
                      <w:color w:val="auto"/>
                      <w:sz w:val="21"/>
                      <w:szCs w:val="21"/>
                      <w:vertAlign w:val="baseline"/>
                      <w:lang w:val="en-US" w:eastAsia="zh-CN"/>
                    </w:rPr>
                    <w:t>系统</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废水</w:t>
                  </w:r>
                </w:p>
              </w:tc>
              <w:tc>
                <w:tcPr>
                  <w:tcW w:w="44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隔油池、化粪池</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噪声</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减震、隔声、绿化、距离衰减等</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固废</w:t>
                  </w:r>
                </w:p>
              </w:tc>
              <w:tc>
                <w:tcPr>
                  <w:tcW w:w="44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加油站的日常运营过程中产生的生活垃圾一起收集后交由环卫部门统一处理；</w:t>
                  </w:r>
                  <w:r>
                    <w:rPr>
                      <w:rFonts w:hint="default"/>
                      <w:b w:val="0"/>
                      <w:bCs w:val="0"/>
                      <w:color w:val="auto"/>
                      <w:sz w:val="21"/>
                      <w:szCs w:val="21"/>
                      <w:vertAlign w:val="baseline"/>
                      <w:lang w:val="en-US" w:eastAsia="zh-CN"/>
                    </w:rPr>
                    <w:t>油罐底泥</w:t>
                  </w:r>
                  <w:r>
                    <w:rPr>
                      <w:rFonts w:hint="eastAsia"/>
                      <w:b w:val="0"/>
                      <w:bCs w:val="0"/>
                      <w:color w:val="auto"/>
                      <w:sz w:val="21"/>
                      <w:szCs w:val="21"/>
                      <w:vertAlign w:val="baseline"/>
                      <w:lang w:val="en-US" w:eastAsia="zh-CN"/>
                    </w:rPr>
                    <w:t>和废活性炭由专门人士定期清理（更换）后带走，委托有资质单位处置；设置两个危废暂存箱，分别暂存隔油池废油泥及含油抹布、手套等</w:t>
                  </w:r>
                  <w:r>
                    <w:rPr>
                      <w:rFonts w:hint="default"/>
                      <w:b w:val="0"/>
                      <w:bCs w:val="0"/>
                      <w:color w:val="auto"/>
                      <w:sz w:val="21"/>
                      <w:szCs w:val="21"/>
                      <w:vertAlign w:val="baseline"/>
                      <w:lang w:val="en-US" w:eastAsia="zh-CN"/>
                    </w:rPr>
                    <w:t>，定期委托有资质单位处置</w:t>
                  </w:r>
                </w:p>
              </w:tc>
              <w:tc>
                <w:tcPr>
                  <w:tcW w:w="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10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183"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分区防渗</w:t>
                  </w:r>
                </w:p>
              </w:tc>
              <w:tc>
                <w:tcPr>
                  <w:tcW w:w="44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重点防渗区包括：油罐区、埋地加油管道区、加油棚区</w:t>
                  </w:r>
                  <w:r>
                    <w:rPr>
                      <w:rFonts w:hint="eastAsia"/>
                      <w:b w:val="0"/>
                      <w:bCs w:val="0"/>
                      <w:color w:val="auto"/>
                      <w:sz w:val="21"/>
                      <w:szCs w:val="21"/>
                      <w:vertAlign w:val="baseline"/>
                      <w:lang w:val="en-US" w:eastAsia="zh-CN"/>
                    </w:rPr>
                    <w:t>、</w:t>
                  </w:r>
                  <w:r>
                    <w:rPr>
                      <w:rFonts w:hint="default"/>
                      <w:b w:val="0"/>
                      <w:bCs w:val="0"/>
                      <w:color w:val="auto"/>
                      <w:sz w:val="21"/>
                      <w:szCs w:val="21"/>
                      <w:vertAlign w:val="baseline"/>
                      <w:lang w:val="en-US" w:eastAsia="zh-CN"/>
                    </w:rPr>
                    <w:t>隔油池等</w:t>
                  </w:r>
                </w:p>
              </w:tc>
              <w:tc>
                <w:tcPr>
                  <w:tcW w:w="956"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6" w:hRule="atLeast"/>
                <w:jc w:val="center"/>
              </w:trPr>
              <w:tc>
                <w:tcPr>
                  <w:tcW w:w="1037" w:type="dxa"/>
                  <w:vMerge w:val="continue"/>
                  <w:vAlign w:val="center"/>
                </w:tcPr>
                <w:p>
                  <w:pPr>
                    <w:bidi w:val="0"/>
                    <w:spacing w:line="240" w:lineRule="auto"/>
                    <w:jc w:val="center"/>
                  </w:pPr>
                </w:p>
              </w:tc>
              <w:tc>
                <w:tcPr>
                  <w:tcW w:w="1183" w:type="dxa"/>
                  <w:vMerge w:val="continue"/>
                  <w:vAlign w:val="center"/>
                </w:tcPr>
                <w:p>
                  <w:pPr>
                    <w:bidi w:val="0"/>
                    <w:spacing w:line="240" w:lineRule="auto"/>
                    <w:jc w:val="center"/>
                  </w:pPr>
                </w:p>
              </w:tc>
              <w:tc>
                <w:tcPr>
                  <w:tcW w:w="44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一般防渗区包括：化粪池、洗车区、充电区、</w:t>
                  </w:r>
                  <w:r>
                    <w:rPr>
                      <w:rFonts w:hint="eastAsia"/>
                      <w:b w:val="0"/>
                      <w:bCs w:val="0"/>
                      <w:color w:val="auto"/>
                      <w:sz w:val="21"/>
                      <w:szCs w:val="21"/>
                      <w:vertAlign w:val="baseline"/>
                      <w:lang w:val="en-US" w:eastAsia="zh-CN"/>
                    </w:rPr>
                    <w:t>卸油区、排水沟</w:t>
                  </w:r>
                  <w:r>
                    <w:rPr>
                      <w:rFonts w:hint="default"/>
                      <w:b w:val="0"/>
                      <w:bCs w:val="0"/>
                      <w:color w:val="auto"/>
                      <w:sz w:val="21"/>
                      <w:szCs w:val="21"/>
                      <w:vertAlign w:val="baseline"/>
                      <w:lang w:val="en-US" w:eastAsia="zh-CN"/>
                    </w:rPr>
                    <w:t>等</w:t>
                  </w:r>
                </w:p>
              </w:tc>
              <w:tc>
                <w:tcPr>
                  <w:tcW w:w="956" w:type="dxa"/>
                  <w:vMerge w:val="continue"/>
                  <w:vAlign w:val="center"/>
                </w:tcPr>
                <w:p>
                  <w:pPr>
                    <w:bidi w:val="0"/>
                    <w:spacing w:line="240" w:lineRule="auto"/>
                    <w:jc w:val="center"/>
                    <w:rPr>
                      <w:rFonts w:hint="default"/>
                      <w:b w:val="0"/>
                      <w:bCs w:val="0"/>
                      <w:sz w:val="21"/>
                      <w:szCs w:val="21"/>
                      <w:vertAlign w:val="baseline"/>
                      <w:lang w:val="en-US" w:eastAsia="zh-CN"/>
                    </w:rPr>
                  </w:pPr>
                </w:p>
              </w:tc>
            </w:tr>
          </w:tbl>
          <w:p>
            <w:pPr>
              <w:pStyle w:val="10"/>
              <w:bidi w:val="0"/>
              <w:rPr>
                <w:rFonts w:hint="default"/>
                <w:lang w:val="en-US" w:eastAsia="zh-CN"/>
              </w:rPr>
            </w:pPr>
            <w:r>
              <w:rPr>
                <w:rFonts w:hint="default"/>
                <w:lang w:val="en-US" w:eastAsia="zh-CN"/>
              </w:rPr>
              <w:t>表2-</w:t>
            </w:r>
            <w:r>
              <w:rPr>
                <w:rFonts w:hint="default"/>
                <w:lang w:eastAsia="zh-CN"/>
              </w:rPr>
              <w:fldChar w:fldCharType="begin"/>
            </w:r>
            <w:r>
              <w:rPr>
                <w:rFonts w:hint="default"/>
                <w:lang w:eastAsia="zh-CN"/>
              </w:rPr>
              <w:instrText xml:space="preserve"> SEQ 表2- </w:instrText>
            </w:r>
            <w:r>
              <w:rPr>
                <w:rFonts w:hint="default"/>
                <w:lang w:eastAsia="zh-CN"/>
              </w:rPr>
              <w:fldChar w:fldCharType="separate"/>
            </w:r>
            <w:r>
              <w:rPr>
                <w:rFonts w:hint="default"/>
                <w:lang w:eastAsia="zh-CN"/>
              </w:rPr>
              <w:t>3</w:t>
            </w:r>
            <w:r>
              <w:rPr>
                <w:rFonts w:hint="default"/>
                <w:lang w:eastAsia="zh-CN"/>
              </w:rPr>
              <w:fldChar w:fldCharType="end"/>
            </w:r>
            <w:r>
              <w:rPr>
                <w:rFonts w:hint="default"/>
                <w:lang w:val="en-US" w:eastAsia="zh-CN"/>
              </w:rPr>
              <w:t xml:space="preserve"> 项目主要技术经济指标表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
              <w:gridCol w:w="500"/>
              <w:gridCol w:w="983"/>
              <w:gridCol w:w="1100"/>
              <w:gridCol w:w="1635"/>
              <w:gridCol w:w="1519"/>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项目</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单位</w:t>
                  </w:r>
                </w:p>
              </w:tc>
              <w:tc>
                <w:tcPr>
                  <w:tcW w:w="1635"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控制要求</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核算指标</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总用地面积</w:t>
                  </w:r>
                </w:p>
              </w:tc>
              <w:tc>
                <w:tcPr>
                  <w:tcW w:w="1100" w:type="dxa"/>
                  <w:vAlign w:val="center"/>
                </w:tcPr>
                <w:p>
                  <w:pPr>
                    <w:numPr>
                      <w:ilvl w:val="0"/>
                      <w:numId w:val="0"/>
                    </w:numPr>
                    <w:bidi w:val="0"/>
                    <w:spacing w:line="240" w:lineRule="auto"/>
                    <w:jc w:val="center"/>
                    <w:rPr>
                      <w:rFonts w:hint="default"/>
                      <w:b w:val="0"/>
                      <w:bCs w:val="0"/>
                      <w:sz w:val="21"/>
                      <w:szCs w:val="21"/>
                      <w:vertAlign w:val="superscript"/>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4430.70</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4430.70</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净用地面积</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4430.70</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4430.70</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总建筑面积</w:t>
                  </w:r>
                </w:p>
              </w:tc>
              <w:tc>
                <w:tcPr>
                  <w:tcW w:w="1100" w:type="dxa"/>
                  <w:vAlign w:val="center"/>
                </w:tcPr>
                <w:p>
                  <w:pPr>
                    <w:numPr>
                      <w:ilvl w:val="0"/>
                      <w:numId w:val="0"/>
                    </w:numPr>
                    <w:bidi w:val="0"/>
                    <w:spacing w:line="240" w:lineRule="auto"/>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1488.33</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7"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其中</w:t>
                  </w:r>
                </w:p>
              </w:tc>
              <w:tc>
                <w:tcPr>
                  <w:tcW w:w="1483" w:type="dxa"/>
                  <w:gridSpan w:val="2"/>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地上建筑面积</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1488.33</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500"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其中</w:t>
                  </w:r>
                </w:p>
              </w:tc>
              <w:tc>
                <w:tcPr>
                  <w:tcW w:w="9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站房</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394.88</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500" w:type="dxa"/>
                  <w:vMerge w:val="continue"/>
                  <w:vAlign w:val="center"/>
                </w:tcPr>
                <w:p>
                  <w:pPr>
                    <w:bidi w:val="0"/>
                    <w:spacing w:line="240" w:lineRule="auto"/>
                    <w:jc w:val="center"/>
                    <w:rPr>
                      <w:rFonts w:hint="default"/>
                      <w:b w:val="0"/>
                      <w:bCs w:val="0"/>
                      <w:sz w:val="21"/>
                      <w:szCs w:val="21"/>
                      <w:vertAlign w:val="baseline"/>
                      <w:lang w:val="en-US" w:eastAsia="zh-CN"/>
                    </w:rPr>
                  </w:pPr>
                </w:p>
              </w:tc>
              <w:tc>
                <w:tcPr>
                  <w:tcW w:w="9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辅房</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620.95</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500" w:type="dxa"/>
                  <w:vMerge w:val="continue"/>
                  <w:vAlign w:val="center"/>
                </w:tcPr>
                <w:p>
                  <w:pPr>
                    <w:bidi w:val="0"/>
                    <w:spacing w:line="240" w:lineRule="auto"/>
                    <w:jc w:val="center"/>
                    <w:rPr>
                      <w:rFonts w:hint="default"/>
                      <w:b w:val="0"/>
                      <w:bCs w:val="0"/>
                      <w:sz w:val="21"/>
                      <w:szCs w:val="21"/>
                      <w:vertAlign w:val="baseline"/>
                      <w:lang w:val="en-US" w:eastAsia="zh-CN"/>
                    </w:rPr>
                  </w:pPr>
                </w:p>
              </w:tc>
              <w:tc>
                <w:tcPr>
                  <w:tcW w:w="983"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罩棚</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472.50</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投影一半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建筑占地面积</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1327.59</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绿化面积</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m</w:t>
                  </w:r>
                  <w:r>
                    <w:rPr>
                      <w:rFonts w:hint="eastAsia"/>
                      <w:b w:val="0"/>
                      <w:bCs w:val="0"/>
                      <w:sz w:val="21"/>
                      <w:szCs w:val="21"/>
                      <w:vertAlign w:val="superscript"/>
                      <w:lang w:val="en-US" w:eastAsia="zh-CN"/>
                    </w:rPr>
                    <w:t>2</w:t>
                  </w:r>
                </w:p>
              </w:tc>
              <w:tc>
                <w:tcPr>
                  <w:tcW w:w="1635"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910.87</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容积率</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635"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≤0.5</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0.34</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建筑密度</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w:t>
                  </w:r>
                </w:p>
              </w:tc>
              <w:tc>
                <w:tcPr>
                  <w:tcW w:w="1635"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w:t>
                  </w:r>
                  <w:r>
                    <w:rPr>
                      <w:rFonts w:hint="eastAsia"/>
                      <w:b w:val="0"/>
                      <w:bCs w:val="0"/>
                      <w:sz w:val="21"/>
                      <w:szCs w:val="21"/>
                      <w:vertAlign w:val="baseline"/>
                      <w:lang w:val="en-US" w:eastAsia="zh-CN"/>
                    </w:rPr>
                    <w:t>30</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29.97</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0" w:type="dxa"/>
                  <w:gridSpan w:val="3"/>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绿化率</w:t>
                  </w:r>
                </w:p>
              </w:tc>
              <w:tc>
                <w:tcPr>
                  <w:tcW w:w="110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w:t>
                  </w:r>
                </w:p>
              </w:tc>
              <w:tc>
                <w:tcPr>
                  <w:tcW w:w="1635"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≥20</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20.55</w:t>
                  </w:r>
                </w:p>
              </w:tc>
              <w:tc>
                <w:tcPr>
                  <w:tcW w:w="1519" w:type="dxa"/>
                  <w:vAlign w:val="center"/>
                </w:tcPr>
                <w:p>
                  <w:pPr>
                    <w:numPr>
                      <w:ilvl w:val="0"/>
                      <w:numId w:val="0"/>
                    </w:numPr>
                    <w:bidi w:val="0"/>
                    <w:spacing w:line="240" w:lineRule="auto"/>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3" w:type="dxa"/>
                  <w:gridSpan w:val="7"/>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备注：此表内容来源于业主提供的新竹加油站方案设计说明</w:t>
                  </w:r>
                </w:p>
              </w:tc>
            </w:tr>
          </w:tbl>
          <w:p>
            <w:pPr>
              <w:numPr>
                <w:ilvl w:val="0"/>
                <w:numId w:val="0"/>
              </w:numPr>
              <w:bidi w:val="0"/>
              <w:jc w:val="both"/>
              <w:rPr>
                <w:rFonts w:hint="default"/>
                <w:b/>
                <w:bCs/>
                <w:lang w:val="en-US" w:eastAsia="zh-CN"/>
              </w:rPr>
            </w:pPr>
            <w:r>
              <w:rPr>
                <w:rFonts w:hint="eastAsia"/>
                <w:b/>
                <w:bCs/>
                <w:lang w:val="en-US" w:eastAsia="zh-CN"/>
              </w:rPr>
              <w:t>5、建设规模</w:t>
            </w:r>
          </w:p>
          <w:p>
            <w:pPr>
              <w:numPr>
                <w:ilvl w:val="0"/>
                <w:numId w:val="0"/>
              </w:numPr>
              <w:bidi w:val="0"/>
              <w:ind w:firstLine="480" w:firstLineChars="200"/>
              <w:jc w:val="both"/>
              <w:rPr>
                <w:rFonts w:hint="eastAsia"/>
                <w:b/>
                <w:bCs/>
                <w:lang w:val="en-US" w:eastAsia="zh-CN"/>
              </w:rPr>
            </w:pPr>
            <w:r>
              <w:rPr>
                <w:rFonts w:hint="default"/>
                <w:b w:val="0"/>
                <w:bCs w:val="0"/>
                <w:lang w:val="en-US" w:eastAsia="zh-CN"/>
              </w:rPr>
              <w:t>项目92#汽油储罐2个，</w:t>
            </w:r>
            <w:r>
              <w:rPr>
                <w:rFonts w:hint="eastAsia"/>
                <w:b w:val="0"/>
                <w:bCs w:val="0"/>
                <w:lang w:val="en-US" w:eastAsia="zh-CN"/>
              </w:rPr>
              <w:t>每个汽油罐容积为40m</w:t>
            </w:r>
            <w:r>
              <w:rPr>
                <w:rFonts w:hint="eastAsia"/>
                <w:b w:val="0"/>
                <w:bCs w:val="0"/>
                <w:vertAlign w:val="superscript"/>
                <w:lang w:val="en-US" w:eastAsia="zh-CN"/>
              </w:rPr>
              <w:t>3</w:t>
            </w:r>
            <w:r>
              <w:rPr>
                <w:rFonts w:hint="eastAsia"/>
                <w:b w:val="0"/>
                <w:bCs w:val="0"/>
                <w:lang w:val="en-US" w:eastAsia="zh-CN"/>
              </w:rPr>
              <w:t>，95#汽油储罐1个，容积为40m</w:t>
            </w:r>
            <w:r>
              <w:rPr>
                <w:rFonts w:hint="eastAsia"/>
                <w:b w:val="0"/>
                <w:bCs w:val="0"/>
                <w:vertAlign w:val="superscript"/>
                <w:lang w:val="en-US" w:eastAsia="zh-CN"/>
              </w:rPr>
              <w:t>3</w:t>
            </w:r>
            <w:r>
              <w:rPr>
                <w:rFonts w:hint="eastAsia"/>
                <w:b w:val="0"/>
                <w:bCs w:val="0"/>
                <w:lang w:val="en-US" w:eastAsia="zh-CN"/>
              </w:rPr>
              <w:t>，0#柴油储罐1个，容积为40m</w:t>
            </w:r>
            <w:r>
              <w:rPr>
                <w:rFonts w:hint="eastAsia"/>
                <w:b w:val="0"/>
                <w:bCs w:val="0"/>
                <w:vertAlign w:val="superscript"/>
                <w:lang w:val="en-US" w:eastAsia="zh-CN"/>
              </w:rPr>
              <w:t>3</w:t>
            </w:r>
            <w:r>
              <w:rPr>
                <w:rFonts w:hint="eastAsia"/>
                <w:b w:val="0"/>
                <w:bCs w:val="0"/>
                <w:lang w:val="en-US" w:eastAsia="zh-CN"/>
              </w:rPr>
              <w:t>，总罐容为160m</w:t>
            </w:r>
            <w:r>
              <w:rPr>
                <w:rFonts w:hint="eastAsia"/>
                <w:b w:val="0"/>
                <w:bCs w:val="0"/>
                <w:vertAlign w:val="superscript"/>
                <w:lang w:val="en-US" w:eastAsia="zh-CN"/>
              </w:rPr>
              <w:t>3</w:t>
            </w:r>
            <w:r>
              <w:rPr>
                <w:rFonts w:hint="eastAsia"/>
                <w:b w:val="0"/>
                <w:bCs w:val="0"/>
                <w:lang w:val="en-US" w:eastAsia="zh-CN"/>
              </w:rPr>
              <w:t>，则油罐折合总容积为140m</w:t>
            </w:r>
            <w:r>
              <w:rPr>
                <w:rFonts w:hint="eastAsia"/>
                <w:b w:val="0"/>
                <w:bCs w:val="0"/>
                <w:vertAlign w:val="superscript"/>
                <w:lang w:val="en-US" w:eastAsia="zh-CN"/>
              </w:rPr>
              <w:t>3</w:t>
            </w:r>
            <w:r>
              <w:rPr>
                <w:rFonts w:hint="eastAsia"/>
                <w:b w:val="0"/>
                <w:bCs w:val="0"/>
                <w:lang w:val="en-US" w:eastAsia="zh-CN"/>
              </w:rPr>
              <w:t>（柴油罐容折半计入总罐容）。储罐均为埋地储罐，油品经油罐车厂外运至站内指定地点，借助位差，集中密闭卸油，经计量管路系统注入油罐。根据《汽车加油加气加氢站技术标准》（GB50156-2021）中对加油站的等级划分规定，本项目加油站属于二级加油站。详见下表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4</w:t>
            </w:r>
            <w:r>
              <w:rPr>
                <w:rFonts w:hint="default"/>
                <w:b w:val="0"/>
                <w:bCs w:val="0"/>
                <w:lang w:eastAsia="zh-CN"/>
              </w:rPr>
              <w:fldChar w:fldCharType="end"/>
            </w:r>
            <w:r>
              <w:rPr>
                <w:rFonts w:hint="eastAsia"/>
                <w:b w:val="0"/>
                <w:bCs w:val="0"/>
                <w:lang w:val="en-US" w:eastAsia="zh-CN"/>
              </w:rPr>
              <w:t>。</w:t>
            </w:r>
          </w:p>
          <w:p>
            <w:pPr>
              <w:numPr>
                <w:ilvl w:val="0"/>
                <w:numId w:val="0"/>
              </w:numPr>
              <w:bidi w:val="0"/>
              <w:spacing w:line="240" w:lineRule="auto"/>
              <w:ind w:firstLine="482" w:firstLineChars="200"/>
              <w:jc w:val="center"/>
              <w:rPr>
                <w:rFonts w:hint="default"/>
                <w:b w:val="0"/>
                <w:bCs w:val="0"/>
                <w:lang w:val="en-US" w:eastAsia="zh-CN"/>
              </w:rPr>
            </w:pPr>
            <w:r>
              <w:rPr>
                <w:rFonts w:hint="eastAsia"/>
                <w:b/>
                <w:bCs/>
                <w:lang w:val="en-US" w:eastAsia="zh-CN"/>
              </w:rPr>
              <w:t>表2-</w:t>
            </w:r>
            <w:r>
              <w:rPr>
                <w:rFonts w:hint="default"/>
                <w:b/>
                <w:bCs/>
                <w:lang w:eastAsia="zh-CN"/>
              </w:rPr>
              <w:fldChar w:fldCharType="begin"/>
            </w:r>
            <w:r>
              <w:rPr>
                <w:rFonts w:hint="default"/>
                <w:b/>
                <w:bCs/>
                <w:lang w:eastAsia="zh-CN"/>
              </w:rPr>
              <w:instrText xml:space="preserve"> SEQ 表2- </w:instrText>
            </w:r>
            <w:r>
              <w:rPr>
                <w:rFonts w:hint="default"/>
                <w:b/>
                <w:bCs/>
                <w:lang w:eastAsia="zh-CN"/>
              </w:rPr>
              <w:fldChar w:fldCharType="separate"/>
            </w:r>
            <w:r>
              <w:rPr>
                <w:rFonts w:hint="default"/>
                <w:b/>
                <w:bCs/>
                <w:lang w:eastAsia="zh-CN"/>
              </w:rPr>
              <w:t>4</w:t>
            </w:r>
            <w:r>
              <w:rPr>
                <w:rFonts w:hint="default"/>
                <w:b/>
                <w:bCs/>
                <w:lang w:eastAsia="zh-CN"/>
              </w:rPr>
              <w:fldChar w:fldCharType="end"/>
            </w:r>
            <w:r>
              <w:rPr>
                <w:rFonts w:hint="eastAsia"/>
                <w:b/>
                <w:bCs/>
                <w:lang w:val="en-US" w:eastAsia="zh-CN"/>
              </w:rPr>
              <w:t xml:space="preserve">  加油站的等级划分</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1354"/>
              <w:gridCol w:w="1429"/>
              <w:gridCol w:w="983"/>
              <w:gridCol w:w="1750"/>
              <w:gridCol w:w="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级别</w:t>
                  </w:r>
                </w:p>
              </w:tc>
              <w:tc>
                <w:tcPr>
                  <w:tcW w:w="2783" w:type="dxa"/>
                  <w:gridSpan w:val="2"/>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油罐容积（m</w:t>
                  </w:r>
                  <w:r>
                    <w:rPr>
                      <w:rFonts w:hint="eastAsia"/>
                      <w:b w:val="0"/>
                      <w:bCs w:val="0"/>
                      <w:sz w:val="21"/>
                      <w:szCs w:val="21"/>
                      <w:vertAlign w:val="superscript"/>
                      <w:lang w:val="en-US" w:eastAsia="zh-CN"/>
                    </w:rPr>
                    <w:t>3</w:t>
                  </w:r>
                  <w:r>
                    <w:rPr>
                      <w:rFonts w:hint="eastAsia"/>
                      <w:b w:val="0"/>
                      <w:bCs w:val="0"/>
                      <w:sz w:val="21"/>
                      <w:szCs w:val="21"/>
                      <w:vertAlign w:val="baseline"/>
                      <w:lang w:val="en-US" w:eastAsia="zh-CN"/>
                    </w:rPr>
                    <w:t>）</w:t>
                  </w:r>
                </w:p>
              </w:tc>
              <w:tc>
                <w:tcPr>
                  <w:tcW w:w="2733" w:type="dxa"/>
                  <w:gridSpan w:val="2"/>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本加油站建设情况</w:t>
                  </w:r>
                </w:p>
              </w:tc>
              <w:tc>
                <w:tcPr>
                  <w:tcW w:w="990"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判定等级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354"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总容积</w:t>
                  </w:r>
                </w:p>
              </w:tc>
              <w:tc>
                <w:tcPr>
                  <w:tcW w:w="142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单罐容积</w:t>
                  </w:r>
                </w:p>
              </w:tc>
              <w:tc>
                <w:tcPr>
                  <w:tcW w:w="983"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总容积</w:t>
                  </w:r>
                </w:p>
              </w:tc>
              <w:tc>
                <w:tcPr>
                  <w:tcW w:w="1750"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单罐容积</w:t>
                  </w:r>
                </w:p>
              </w:tc>
              <w:tc>
                <w:tcPr>
                  <w:tcW w:w="990"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一级</w:t>
                  </w:r>
                </w:p>
              </w:tc>
              <w:tc>
                <w:tcPr>
                  <w:tcW w:w="1354"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150&lt;V≤210</w:t>
                  </w:r>
                </w:p>
              </w:tc>
              <w:tc>
                <w:tcPr>
                  <w:tcW w:w="142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≤50</w:t>
                  </w:r>
                </w:p>
              </w:tc>
              <w:tc>
                <w:tcPr>
                  <w:tcW w:w="983"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140m</w:t>
                  </w:r>
                  <w:r>
                    <w:rPr>
                      <w:rFonts w:hint="eastAsia"/>
                      <w:b w:val="0"/>
                      <w:bCs w:val="0"/>
                      <w:sz w:val="21"/>
                      <w:szCs w:val="21"/>
                      <w:vertAlign w:val="superscript"/>
                      <w:lang w:val="en-US" w:eastAsia="zh-CN"/>
                    </w:rPr>
                    <w:t>3</w:t>
                  </w:r>
                </w:p>
              </w:tc>
              <w:tc>
                <w:tcPr>
                  <w:tcW w:w="1750"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92#汽V=40m</w:t>
                  </w:r>
                  <w:r>
                    <w:rPr>
                      <w:rFonts w:hint="default"/>
                      <w:b w:val="0"/>
                      <w:bCs w:val="0"/>
                      <w:sz w:val="21"/>
                      <w:szCs w:val="21"/>
                      <w:vertAlign w:val="superscript"/>
                      <w:lang w:val="en-US" w:eastAsia="zh-CN"/>
                    </w:rPr>
                    <w:t>3</w:t>
                  </w:r>
                  <w:r>
                    <w:rPr>
                      <w:rFonts w:hint="default"/>
                      <w:b w:val="0"/>
                      <w:bCs w:val="0"/>
                      <w:sz w:val="21"/>
                      <w:szCs w:val="21"/>
                      <w:vertAlign w:val="baseline"/>
                      <w:lang w:val="en-US" w:eastAsia="zh-CN"/>
                    </w:rPr>
                    <w:t>；</w:t>
                  </w:r>
                </w:p>
                <w:p>
                  <w:pPr>
                    <w:numPr>
                      <w:ilvl w:val="0"/>
                      <w:numId w:val="0"/>
                    </w:numPr>
                    <w:bidi w:val="0"/>
                    <w:spacing w:line="240" w:lineRule="auto"/>
                    <w:jc w:val="both"/>
                    <w:rPr>
                      <w:rFonts w:hint="default"/>
                      <w:b w:val="0"/>
                      <w:bCs w:val="0"/>
                      <w:sz w:val="21"/>
                      <w:szCs w:val="21"/>
                      <w:vertAlign w:val="baseline"/>
                      <w:lang w:val="en-US" w:eastAsia="zh-CN"/>
                    </w:rPr>
                  </w:pPr>
                  <w:r>
                    <w:rPr>
                      <w:rFonts w:hint="default"/>
                      <w:b w:val="0"/>
                      <w:bCs w:val="0"/>
                      <w:sz w:val="21"/>
                      <w:szCs w:val="21"/>
                      <w:vertAlign w:val="baseline"/>
                      <w:lang w:val="en-US" w:eastAsia="zh-CN"/>
                    </w:rPr>
                    <w:t>95汽油V=40m</w:t>
                  </w:r>
                  <w:r>
                    <w:rPr>
                      <w:rFonts w:hint="default"/>
                      <w:b w:val="0"/>
                      <w:bCs w:val="0"/>
                      <w:sz w:val="21"/>
                      <w:szCs w:val="21"/>
                      <w:vertAlign w:val="superscript"/>
                      <w:lang w:val="en-US" w:eastAsia="zh-CN"/>
                    </w:rPr>
                    <w:t>3</w:t>
                  </w:r>
                  <w:r>
                    <w:rPr>
                      <w:rFonts w:hint="default"/>
                      <w:b w:val="0"/>
                      <w:bCs w:val="0"/>
                      <w:sz w:val="21"/>
                      <w:szCs w:val="21"/>
                      <w:vertAlign w:val="baseline"/>
                      <w:lang w:val="en-US" w:eastAsia="zh-CN"/>
                    </w:rPr>
                    <w:t>；</w:t>
                  </w:r>
                </w:p>
                <w:p>
                  <w:pPr>
                    <w:numPr>
                      <w:ilvl w:val="0"/>
                      <w:numId w:val="0"/>
                    </w:numPr>
                    <w:bidi w:val="0"/>
                    <w:spacing w:line="240" w:lineRule="auto"/>
                    <w:jc w:val="both"/>
                    <w:rPr>
                      <w:rFonts w:hint="default"/>
                      <w:b w:val="0"/>
                      <w:bCs w:val="0"/>
                      <w:sz w:val="21"/>
                      <w:szCs w:val="21"/>
                      <w:vertAlign w:val="baseline"/>
                      <w:lang w:val="en-US" w:eastAsia="zh-CN"/>
                    </w:rPr>
                  </w:pPr>
                  <w:r>
                    <w:rPr>
                      <w:rFonts w:hint="default"/>
                      <w:b w:val="0"/>
                      <w:bCs w:val="0"/>
                      <w:sz w:val="21"/>
                      <w:szCs w:val="21"/>
                      <w:vertAlign w:val="baseline"/>
                      <w:lang w:val="en-US" w:eastAsia="zh-CN"/>
                    </w:rPr>
                    <w:t>0柴油罐V=40m</w:t>
                  </w:r>
                  <w:r>
                    <w:rPr>
                      <w:rFonts w:hint="default"/>
                      <w:b w:val="0"/>
                      <w:bCs w:val="0"/>
                      <w:sz w:val="21"/>
                      <w:szCs w:val="21"/>
                      <w:vertAlign w:val="superscript"/>
                      <w:lang w:val="en-US" w:eastAsia="zh-CN"/>
                    </w:rPr>
                    <w:t>3</w:t>
                  </w:r>
                </w:p>
              </w:tc>
              <w:tc>
                <w:tcPr>
                  <w:tcW w:w="990"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二级</w:t>
                  </w:r>
                </w:p>
              </w:tc>
              <w:tc>
                <w:tcPr>
                  <w:tcW w:w="1354"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9</w:t>
                  </w:r>
                  <w:r>
                    <w:rPr>
                      <w:rFonts w:hint="default"/>
                      <w:b w:val="0"/>
                      <w:bCs w:val="0"/>
                      <w:sz w:val="21"/>
                      <w:szCs w:val="21"/>
                      <w:vertAlign w:val="baseline"/>
                      <w:lang w:val="en-US" w:eastAsia="zh-CN"/>
                    </w:rPr>
                    <w:t>0&lt;V≤</w:t>
                  </w:r>
                  <w:r>
                    <w:rPr>
                      <w:rFonts w:hint="eastAsia"/>
                      <w:b w:val="0"/>
                      <w:bCs w:val="0"/>
                      <w:sz w:val="21"/>
                      <w:szCs w:val="21"/>
                      <w:vertAlign w:val="baseline"/>
                      <w:lang w:val="en-US" w:eastAsia="zh-CN"/>
                    </w:rPr>
                    <w:t>15</w:t>
                  </w:r>
                  <w:r>
                    <w:rPr>
                      <w:rFonts w:hint="default"/>
                      <w:b w:val="0"/>
                      <w:bCs w:val="0"/>
                      <w:sz w:val="21"/>
                      <w:szCs w:val="21"/>
                      <w:vertAlign w:val="baseline"/>
                      <w:lang w:val="en-US" w:eastAsia="zh-CN"/>
                    </w:rPr>
                    <w:t>0</w:t>
                  </w:r>
                </w:p>
              </w:tc>
              <w:tc>
                <w:tcPr>
                  <w:tcW w:w="1429" w:type="dxa"/>
                  <w:vAlign w:val="center"/>
                </w:tcPr>
                <w:p>
                  <w:pPr>
                    <w:numPr>
                      <w:ilvl w:val="0"/>
                      <w:numId w:val="0"/>
                    </w:numPr>
                    <w:bidi w:val="0"/>
                    <w:spacing w:line="240" w:lineRule="auto"/>
                    <w:jc w:val="center"/>
                    <w:rPr>
                      <w:rFonts w:hint="eastAsia"/>
                      <w:b w:val="0"/>
                      <w:bCs w:val="0"/>
                      <w:sz w:val="21"/>
                      <w:szCs w:val="21"/>
                      <w:vertAlign w:val="baseline"/>
                      <w:lang w:val="en-US" w:eastAsia="zh-CN"/>
                    </w:rPr>
                  </w:pPr>
                  <w:r>
                    <w:rPr>
                      <w:rFonts w:hint="default"/>
                      <w:b w:val="0"/>
                      <w:bCs w:val="0"/>
                      <w:sz w:val="21"/>
                      <w:szCs w:val="21"/>
                      <w:vertAlign w:val="baseline"/>
                      <w:lang w:val="en-US" w:eastAsia="zh-CN"/>
                    </w:rPr>
                    <w:t>≤50</w:t>
                  </w:r>
                </w:p>
              </w:tc>
              <w:tc>
                <w:tcPr>
                  <w:tcW w:w="983"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750"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990"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三级</w:t>
                  </w:r>
                </w:p>
              </w:tc>
              <w:tc>
                <w:tcPr>
                  <w:tcW w:w="1354"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V≤90</w:t>
                  </w:r>
                </w:p>
              </w:tc>
              <w:tc>
                <w:tcPr>
                  <w:tcW w:w="1429" w:type="dxa"/>
                  <w:vAlign w:val="center"/>
                </w:tcPr>
                <w:p>
                  <w:pPr>
                    <w:numPr>
                      <w:ilvl w:val="0"/>
                      <w:numId w:val="0"/>
                    </w:numPr>
                    <w:bidi w:val="0"/>
                    <w:spacing w:line="240" w:lineRule="auto"/>
                    <w:jc w:val="left"/>
                    <w:rPr>
                      <w:rFonts w:hint="default"/>
                      <w:b w:val="0"/>
                      <w:bCs w:val="0"/>
                      <w:sz w:val="21"/>
                      <w:szCs w:val="21"/>
                      <w:vertAlign w:val="baseline"/>
                      <w:lang w:val="en-US" w:eastAsia="zh-CN"/>
                    </w:rPr>
                  </w:pPr>
                  <w:r>
                    <w:rPr>
                      <w:rFonts w:hint="eastAsia"/>
                      <w:b w:val="0"/>
                      <w:bCs w:val="0"/>
                      <w:sz w:val="21"/>
                      <w:szCs w:val="21"/>
                      <w:vertAlign w:val="baseline"/>
                      <w:lang w:val="en-US" w:eastAsia="zh-CN"/>
                    </w:rPr>
                    <w:t>汽油罐</w:t>
                  </w:r>
                  <w:r>
                    <w:rPr>
                      <w:rFonts w:hint="default"/>
                      <w:b w:val="0"/>
                      <w:bCs w:val="0"/>
                      <w:sz w:val="21"/>
                      <w:szCs w:val="21"/>
                      <w:vertAlign w:val="baseline"/>
                      <w:lang w:val="en-US" w:eastAsia="zh-CN"/>
                    </w:rPr>
                    <w:t>≤</w:t>
                  </w:r>
                  <w:r>
                    <w:rPr>
                      <w:rFonts w:hint="eastAsia"/>
                      <w:b w:val="0"/>
                      <w:bCs w:val="0"/>
                      <w:sz w:val="21"/>
                      <w:szCs w:val="21"/>
                      <w:vertAlign w:val="baseline"/>
                      <w:lang w:val="en-US" w:eastAsia="zh-CN"/>
                    </w:rPr>
                    <w:t>3</w:t>
                  </w:r>
                  <w:r>
                    <w:rPr>
                      <w:rFonts w:hint="default"/>
                      <w:b w:val="0"/>
                      <w:bCs w:val="0"/>
                      <w:sz w:val="21"/>
                      <w:szCs w:val="21"/>
                      <w:vertAlign w:val="baseline"/>
                      <w:lang w:val="en-US" w:eastAsia="zh-CN"/>
                    </w:rPr>
                    <w:t>0</w:t>
                  </w:r>
                  <w:r>
                    <w:rPr>
                      <w:rFonts w:hint="eastAsia"/>
                      <w:b w:val="0"/>
                      <w:bCs w:val="0"/>
                      <w:sz w:val="21"/>
                      <w:szCs w:val="21"/>
                      <w:vertAlign w:val="baseline"/>
                      <w:lang w:val="en-US" w:eastAsia="zh-CN"/>
                    </w:rPr>
                    <w:t>；柴油罐</w:t>
                  </w:r>
                  <w:r>
                    <w:rPr>
                      <w:rFonts w:hint="default"/>
                      <w:b w:val="0"/>
                      <w:bCs w:val="0"/>
                      <w:sz w:val="21"/>
                      <w:szCs w:val="21"/>
                      <w:vertAlign w:val="baseline"/>
                      <w:lang w:val="en-US" w:eastAsia="zh-CN"/>
                    </w:rPr>
                    <w:t>≤50</w:t>
                  </w:r>
                </w:p>
              </w:tc>
              <w:tc>
                <w:tcPr>
                  <w:tcW w:w="983"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750"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990"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r>
          </w:tbl>
          <w:p>
            <w:pPr>
              <w:numPr>
                <w:ilvl w:val="0"/>
                <w:numId w:val="0"/>
              </w:numPr>
              <w:bidi w:val="0"/>
              <w:rPr>
                <w:rFonts w:hint="default"/>
                <w:b/>
                <w:bCs/>
                <w:lang w:val="en-US" w:eastAsia="zh-CN"/>
              </w:rPr>
            </w:pPr>
            <w:r>
              <w:rPr>
                <w:rFonts w:hint="eastAsia"/>
                <w:b/>
                <w:bCs/>
                <w:lang w:val="en-US" w:eastAsia="zh-CN"/>
              </w:rPr>
              <w:t>6、项目主要设备</w:t>
            </w:r>
          </w:p>
          <w:p>
            <w:pPr>
              <w:numPr>
                <w:ilvl w:val="0"/>
                <w:numId w:val="0"/>
              </w:numPr>
              <w:bidi w:val="0"/>
              <w:ind w:firstLine="480" w:firstLineChars="200"/>
              <w:rPr>
                <w:rFonts w:hint="default"/>
                <w:b w:val="0"/>
                <w:bCs w:val="0"/>
                <w:lang w:val="en-US" w:eastAsia="zh-CN"/>
              </w:rPr>
            </w:pPr>
            <w:r>
              <w:rPr>
                <w:rFonts w:hint="eastAsia"/>
                <w:b w:val="0"/>
                <w:bCs w:val="0"/>
                <w:lang w:val="en-US" w:eastAsia="zh-CN"/>
              </w:rPr>
              <w:t>本项目</w:t>
            </w:r>
            <w:r>
              <w:rPr>
                <w:rFonts w:hint="default"/>
                <w:b w:val="0"/>
                <w:bCs w:val="0"/>
                <w:lang w:val="en-US" w:eastAsia="zh-CN"/>
              </w:rPr>
              <w:t>主要设备一览表见表2-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5</w:t>
            </w:r>
            <w:r>
              <w:rPr>
                <w:rFonts w:hint="default"/>
                <w:b w:val="0"/>
                <w:bCs w:val="0"/>
                <w:lang w:eastAsia="zh-CN"/>
              </w:rPr>
              <w:fldChar w:fldCharType="end"/>
            </w:r>
            <w:r>
              <w:rPr>
                <w:rFonts w:hint="default"/>
                <w:b w:val="0"/>
                <w:bCs w:val="0"/>
                <w:lang w:val="en-US" w:eastAsia="zh-CN"/>
              </w:rPr>
              <w:t>。</w:t>
            </w:r>
          </w:p>
          <w:p>
            <w:pPr>
              <w:numPr>
                <w:ilvl w:val="0"/>
                <w:numId w:val="0"/>
              </w:numPr>
              <w:bidi w:val="0"/>
              <w:spacing w:line="240" w:lineRule="auto"/>
              <w:jc w:val="center"/>
              <w:rPr>
                <w:rFonts w:hint="default"/>
                <w:b/>
                <w:bCs/>
                <w:lang w:val="en-US" w:eastAsia="zh-CN"/>
              </w:rPr>
            </w:pPr>
            <w:r>
              <w:rPr>
                <w:rFonts w:hint="default"/>
                <w:b/>
                <w:bCs/>
                <w:lang w:val="en-US" w:eastAsia="zh-CN"/>
              </w:rPr>
              <w:t>表2-</w:t>
            </w:r>
            <w:r>
              <w:rPr>
                <w:rFonts w:hint="default"/>
                <w:b/>
                <w:bCs/>
                <w:lang w:eastAsia="zh-CN"/>
              </w:rPr>
              <w:fldChar w:fldCharType="begin"/>
            </w:r>
            <w:r>
              <w:rPr>
                <w:rFonts w:hint="default"/>
                <w:b/>
                <w:bCs/>
                <w:lang w:eastAsia="zh-CN"/>
              </w:rPr>
              <w:instrText xml:space="preserve"> SEQ 表2- </w:instrText>
            </w:r>
            <w:r>
              <w:rPr>
                <w:rFonts w:hint="default"/>
                <w:b/>
                <w:bCs/>
                <w:lang w:eastAsia="zh-CN"/>
              </w:rPr>
              <w:fldChar w:fldCharType="separate"/>
            </w:r>
            <w:r>
              <w:rPr>
                <w:rFonts w:hint="default"/>
                <w:b/>
                <w:bCs/>
                <w:lang w:eastAsia="zh-CN"/>
              </w:rPr>
              <w:t>5</w:t>
            </w:r>
            <w:r>
              <w:rPr>
                <w:rFonts w:hint="default"/>
                <w:b/>
                <w:bCs/>
                <w:lang w:eastAsia="zh-CN"/>
              </w:rPr>
              <w:fldChar w:fldCharType="end"/>
            </w:r>
            <w:r>
              <w:rPr>
                <w:rFonts w:hint="eastAsia"/>
                <w:b/>
                <w:bCs/>
                <w:lang w:val="en-US" w:eastAsia="zh-CN"/>
              </w:rPr>
              <w:t xml:space="preserve">  </w:t>
            </w:r>
            <w:r>
              <w:rPr>
                <w:rFonts w:hint="default"/>
                <w:b/>
                <w:bCs/>
                <w:lang w:val="en-US" w:eastAsia="zh-CN"/>
              </w:rPr>
              <w:t>主要设备一览表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1949"/>
              <w:gridCol w:w="1519"/>
              <w:gridCol w:w="1082"/>
              <w:gridCol w:w="1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序号</w:t>
                  </w:r>
                </w:p>
              </w:tc>
              <w:tc>
                <w:tcPr>
                  <w:tcW w:w="194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设备名称</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规格型号</w:t>
                  </w:r>
                </w:p>
              </w:tc>
              <w:tc>
                <w:tcPr>
                  <w:tcW w:w="1082"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数量</w:t>
                  </w:r>
                </w:p>
              </w:tc>
              <w:tc>
                <w:tcPr>
                  <w:tcW w:w="1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c>
                <w:tcPr>
                  <w:tcW w:w="194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0#柴油储罐</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40m</w:t>
                  </w:r>
                  <w:r>
                    <w:rPr>
                      <w:rFonts w:hint="default"/>
                      <w:b w:val="0"/>
                      <w:bCs w:val="0"/>
                      <w:sz w:val="21"/>
                      <w:szCs w:val="21"/>
                      <w:vertAlign w:val="superscript"/>
                      <w:lang w:val="en-US" w:eastAsia="zh-CN"/>
                    </w:rPr>
                    <w:t>3</w:t>
                  </w:r>
                </w:p>
              </w:tc>
              <w:tc>
                <w:tcPr>
                  <w:tcW w:w="1082"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1个</w:t>
                  </w:r>
                </w:p>
              </w:tc>
              <w:tc>
                <w:tcPr>
                  <w:tcW w:w="1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双层复合油罐（SF），卧式，埋地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2</w:t>
                  </w:r>
                </w:p>
              </w:tc>
              <w:tc>
                <w:tcPr>
                  <w:tcW w:w="194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92#汽油储罐</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40m</w:t>
                  </w:r>
                  <w:r>
                    <w:rPr>
                      <w:rFonts w:hint="default"/>
                      <w:b w:val="0"/>
                      <w:bCs w:val="0"/>
                      <w:sz w:val="21"/>
                      <w:szCs w:val="21"/>
                      <w:vertAlign w:val="superscript"/>
                      <w:lang w:val="en-US" w:eastAsia="zh-CN"/>
                    </w:rPr>
                    <w:t>3</w:t>
                  </w:r>
                </w:p>
              </w:tc>
              <w:tc>
                <w:tcPr>
                  <w:tcW w:w="1082"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2个</w:t>
                  </w:r>
                </w:p>
              </w:tc>
              <w:tc>
                <w:tcPr>
                  <w:tcW w:w="1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双层复合油罐（SF），卧式，埋地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3</w:t>
                  </w:r>
                </w:p>
              </w:tc>
              <w:tc>
                <w:tcPr>
                  <w:tcW w:w="194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9</w:t>
                  </w:r>
                  <w:r>
                    <w:rPr>
                      <w:rFonts w:hint="eastAsia"/>
                      <w:b w:val="0"/>
                      <w:bCs w:val="0"/>
                      <w:sz w:val="21"/>
                      <w:szCs w:val="21"/>
                      <w:vertAlign w:val="baseline"/>
                      <w:lang w:val="en-US" w:eastAsia="zh-CN"/>
                    </w:rPr>
                    <w:t>5</w:t>
                  </w:r>
                  <w:r>
                    <w:rPr>
                      <w:rFonts w:hint="default"/>
                      <w:b w:val="0"/>
                      <w:bCs w:val="0"/>
                      <w:sz w:val="21"/>
                      <w:szCs w:val="21"/>
                      <w:vertAlign w:val="baseline"/>
                      <w:lang w:val="en-US" w:eastAsia="zh-CN"/>
                    </w:rPr>
                    <w:t>#汽油储罐</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40m</w:t>
                  </w:r>
                  <w:r>
                    <w:rPr>
                      <w:rFonts w:hint="default"/>
                      <w:b w:val="0"/>
                      <w:bCs w:val="0"/>
                      <w:sz w:val="21"/>
                      <w:szCs w:val="21"/>
                      <w:vertAlign w:val="superscript"/>
                      <w:lang w:val="en-US" w:eastAsia="zh-CN"/>
                    </w:rPr>
                    <w:t>3</w:t>
                  </w:r>
                </w:p>
              </w:tc>
              <w:tc>
                <w:tcPr>
                  <w:tcW w:w="1082"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1个</w:t>
                  </w:r>
                </w:p>
              </w:tc>
              <w:tc>
                <w:tcPr>
                  <w:tcW w:w="1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双层复合油罐（SF），卧式，埋地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4</w:t>
                  </w:r>
                </w:p>
              </w:tc>
              <w:tc>
                <w:tcPr>
                  <w:tcW w:w="194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加油机</w:t>
                  </w:r>
                </w:p>
              </w:tc>
              <w:tc>
                <w:tcPr>
                  <w:tcW w:w="1519"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潜油型</w:t>
                  </w:r>
                </w:p>
              </w:tc>
              <w:tc>
                <w:tcPr>
                  <w:tcW w:w="1082"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6台</w:t>
                  </w:r>
                </w:p>
              </w:tc>
              <w:tc>
                <w:tcPr>
                  <w:tcW w:w="195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六枪三油品潜油泵型台加油机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5</w:t>
                  </w:r>
                </w:p>
              </w:tc>
              <w:tc>
                <w:tcPr>
                  <w:tcW w:w="194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潜油泵</w:t>
                  </w:r>
                </w:p>
              </w:tc>
              <w:tc>
                <w:tcPr>
                  <w:tcW w:w="1519" w:type="dxa"/>
                  <w:vAlign w:val="center"/>
                </w:tcPr>
                <w:p>
                  <w:pPr>
                    <w:numPr>
                      <w:ilvl w:val="0"/>
                      <w:numId w:val="0"/>
                    </w:numPr>
                    <w:bidi w:val="0"/>
                    <w:spacing w:line="240" w:lineRule="auto"/>
                    <w:ind w:left="0" w:leftChars="0" w:firstLine="0" w:firstLineChars="0"/>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c>
                <w:tcPr>
                  <w:tcW w:w="1082"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4台</w:t>
                  </w:r>
                </w:p>
              </w:tc>
              <w:tc>
                <w:tcPr>
                  <w:tcW w:w="1956" w:type="dxa"/>
                  <w:vAlign w:val="center"/>
                </w:tcPr>
                <w:p>
                  <w:pPr>
                    <w:numPr>
                      <w:ilvl w:val="0"/>
                      <w:numId w:val="0"/>
                    </w:numPr>
                    <w:bidi w:val="0"/>
                    <w:spacing w:line="240" w:lineRule="auto"/>
                    <w:ind w:left="0" w:leftChars="0" w:firstLine="0" w:firstLineChars="0"/>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6</w:t>
                  </w:r>
                </w:p>
              </w:tc>
              <w:tc>
                <w:tcPr>
                  <w:tcW w:w="194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三次油气回收系统</w:t>
                  </w:r>
                </w:p>
              </w:tc>
              <w:tc>
                <w:tcPr>
                  <w:tcW w:w="1519" w:type="dxa"/>
                  <w:vAlign w:val="center"/>
                </w:tcPr>
                <w:p>
                  <w:pPr>
                    <w:numPr>
                      <w:ilvl w:val="0"/>
                      <w:numId w:val="0"/>
                    </w:numPr>
                    <w:bidi w:val="0"/>
                    <w:spacing w:line="240" w:lineRule="auto"/>
                    <w:ind w:left="0" w:leftChars="0" w:firstLine="0" w:firstLineChars="0"/>
                    <w:jc w:val="center"/>
                    <w:rPr>
                      <w:rFonts w:hint="default" w:asciiTheme="minorAsci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082"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1套</w:t>
                  </w:r>
                </w:p>
              </w:tc>
              <w:tc>
                <w:tcPr>
                  <w:tcW w:w="1956" w:type="dxa"/>
                  <w:vAlign w:val="center"/>
                </w:tcPr>
                <w:p>
                  <w:pPr>
                    <w:numPr>
                      <w:ilvl w:val="0"/>
                      <w:numId w:val="0"/>
                    </w:numPr>
                    <w:bidi w:val="0"/>
                    <w:spacing w:line="240" w:lineRule="auto"/>
                    <w:ind w:left="0" w:leftChars="0" w:firstLine="0" w:firstLineChars="0"/>
                    <w:jc w:val="center"/>
                    <w:rPr>
                      <w:rFonts w:hint="default" w:asciiTheme="minorAsci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7</w:t>
                  </w:r>
                </w:p>
              </w:tc>
              <w:tc>
                <w:tcPr>
                  <w:tcW w:w="194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发电机</w:t>
                  </w:r>
                </w:p>
              </w:tc>
              <w:tc>
                <w:tcPr>
                  <w:tcW w:w="151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30kw</w:t>
                  </w:r>
                </w:p>
              </w:tc>
              <w:tc>
                <w:tcPr>
                  <w:tcW w:w="1082"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1台</w:t>
                  </w:r>
                </w:p>
              </w:tc>
              <w:tc>
                <w:tcPr>
                  <w:tcW w:w="1956"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柴油发电机（备用）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8</w:t>
                  </w:r>
                </w:p>
              </w:tc>
              <w:tc>
                <w:tcPr>
                  <w:tcW w:w="194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隧道式洗车机</w:t>
                  </w:r>
                </w:p>
              </w:tc>
              <w:tc>
                <w:tcPr>
                  <w:tcW w:w="1519" w:type="dxa"/>
                  <w:vAlign w:val="center"/>
                </w:tcPr>
                <w:p>
                  <w:pPr>
                    <w:numPr>
                      <w:ilvl w:val="0"/>
                      <w:numId w:val="0"/>
                    </w:numPr>
                    <w:bidi w:val="0"/>
                    <w:spacing w:line="240" w:lineRule="auto"/>
                    <w:ind w:left="0" w:leftChars="0" w:firstLine="0" w:firstLineChars="0"/>
                    <w:jc w:val="center"/>
                    <w:rPr>
                      <w:rFonts w:hint="default" w:asciiTheme="minorAscii"/>
                      <w:b w:val="0"/>
                      <w:bCs w:val="0"/>
                      <w:color w:val="auto"/>
                      <w:sz w:val="21"/>
                      <w:szCs w:val="21"/>
                      <w:vertAlign w:val="baseline"/>
                      <w:lang w:val="en-US" w:eastAsia="zh-CN"/>
                    </w:rPr>
                  </w:pPr>
                  <w:r>
                    <w:rPr>
                      <w:rFonts w:hint="eastAsia" w:ascii="Calibri" w:hAnsi="Calibri"/>
                      <w:b w:val="0"/>
                      <w:bCs w:val="0"/>
                      <w:color w:val="auto"/>
                      <w:sz w:val="21"/>
                      <w:szCs w:val="21"/>
                      <w:vertAlign w:val="baseline"/>
                      <w:lang w:val="en-US" w:eastAsia="zh-CN"/>
                    </w:rPr>
                    <w:t>海天牌TX380B</w:t>
                  </w:r>
                </w:p>
              </w:tc>
              <w:tc>
                <w:tcPr>
                  <w:tcW w:w="1082"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1台</w:t>
                  </w:r>
                </w:p>
              </w:tc>
              <w:tc>
                <w:tcPr>
                  <w:tcW w:w="1956" w:type="dxa"/>
                  <w:vAlign w:val="center"/>
                </w:tcPr>
                <w:p>
                  <w:pPr>
                    <w:numPr>
                      <w:ilvl w:val="0"/>
                      <w:numId w:val="0"/>
                    </w:numPr>
                    <w:bidi w:val="0"/>
                    <w:spacing w:line="240" w:lineRule="auto"/>
                    <w:ind w:left="0" w:leftChars="0" w:firstLine="0" w:firstLineChars="0"/>
                    <w:jc w:val="center"/>
                    <w:rPr>
                      <w:rFonts w:hint="default" w:asciiTheme="minorAscii"/>
                      <w:b w:val="0"/>
                      <w:bCs w:val="0"/>
                      <w:color w:val="auto"/>
                      <w:sz w:val="21"/>
                      <w:szCs w:val="21"/>
                      <w:vertAlign w:val="baseline"/>
                      <w:lang w:val="en-US" w:eastAsia="zh-CN"/>
                    </w:rPr>
                  </w:pPr>
                  <w:r>
                    <w:rPr>
                      <w:rFonts w:hint="eastAsia" w:ascii="Calibri" w:hAnsi="Calibri"/>
                      <w:b w:val="0"/>
                      <w:bCs w:val="0"/>
                      <w:color w:val="auto"/>
                      <w:sz w:val="21"/>
                      <w:szCs w:val="21"/>
                      <w:vertAlign w:val="baseline"/>
                      <w:lang w:val="en-US" w:eastAsia="zh-CN"/>
                    </w:rPr>
                    <w:t>洗车能力40-80辆</w:t>
                  </w:r>
                  <w:r>
                    <w:rPr>
                      <w:rFonts w:hint="eastAsia" w:ascii="Calibri" w:hAnsi="Calibri" w:cs="Calibri"/>
                      <w:b w:val="0"/>
                      <w:bCs w:val="0"/>
                      <w:color w:val="auto"/>
                      <w:sz w:val="21"/>
                      <w:szCs w:val="21"/>
                      <w:vertAlign w:val="baseline"/>
                      <w:lang w:val="en-US" w:eastAsia="zh-CN"/>
                    </w:rPr>
                    <w:t>/</w:t>
                  </w:r>
                  <w:r>
                    <w:rPr>
                      <w:rFonts w:hint="eastAsia" w:ascii="Calibri" w:hAnsi="Calibri"/>
                      <w:b w:val="0"/>
                      <w:bCs w:val="0"/>
                      <w:color w:val="auto"/>
                      <w:sz w:val="21"/>
                      <w:szCs w:val="21"/>
                      <w:vertAlign w:val="baseline"/>
                      <w:lang w:val="en-US" w:eastAsia="zh-CN"/>
                    </w:rPr>
                    <w:t>h，速度可调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9</w:t>
                  </w:r>
                </w:p>
              </w:tc>
              <w:tc>
                <w:tcPr>
                  <w:tcW w:w="194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精洗冲洗设备</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082"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1台</w:t>
                  </w:r>
                </w:p>
              </w:tc>
              <w:tc>
                <w:tcPr>
                  <w:tcW w:w="1956" w:type="dxa"/>
                  <w:vAlign w:val="center"/>
                </w:tcPr>
                <w:p>
                  <w:pPr>
                    <w:numPr>
                      <w:ilvl w:val="0"/>
                      <w:numId w:val="0"/>
                    </w:numPr>
                    <w:bidi w:val="0"/>
                    <w:spacing w:line="240" w:lineRule="auto"/>
                    <w:ind w:left="0" w:leftChars="0" w:firstLine="0" w:firstLineChars="0"/>
                    <w:jc w:val="center"/>
                    <w:rPr>
                      <w:rFonts w:hint="default" w:ascii="Calibri" w:hAnsi="Calibr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10</w:t>
                  </w:r>
                </w:p>
              </w:tc>
              <w:tc>
                <w:tcPr>
                  <w:tcW w:w="194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直流快充充电桩</w:t>
                  </w:r>
                </w:p>
              </w:tc>
              <w:tc>
                <w:tcPr>
                  <w:tcW w:w="1519" w:type="dxa"/>
                  <w:vAlign w:val="center"/>
                </w:tcPr>
                <w:p>
                  <w:pPr>
                    <w:numPr>
                      <w:ilvl w:val="0"/>
                      <w:numId w:val="0"/>
                    </w:numPr>
                    <w:bidi w:val="0"/>
                    <w:spacing w:line="240" w:lineRule="auto"/>
                    <w:ind w:left="0" w:leftChars="0" w:firstLine="0" w:firstLineChars="0"/>
                    <w:jc w:val="center"/>
                    <w:rPr>
                      <w:rFonts w:hint="default" w:asciiTheme="minorAsci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082"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5个</w:t>
                  </w:r>
                </w:p>
              </w:tc>
              <w:tc>
                <w:tcPr>
                  <w:tcW w:w="1956" w:type="dxa"/>
                  <w:vAlign w:val="center"/>
                </w:tcPr>
                <w:p>
                  <w:pPr>
                    <w:numPr>
                      <w:ilvl w:val="0"/>
                      <w:numId w:val="0"/>
                    </w:numPr>
                    <w:bidi w:val="0"/>
                    <w:spacing w:line="240" w:lineRule="auto"/>
                    <w:ind w:left="0" w:leftChars="0" w:firstLine="0" w:firstLineChars="0"/>
                    <w:jc w:val="center"/>
                    <w:rPr>
                      <w:rFonts w:hint="default" w:asciiTheme="minorAsci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11</w:t>
                  </w:r>
                </w:p>
              </w:tc>
              <w:tc>
                <w:tcPr>
                  <w:tcW w:w="194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箱变</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082"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1台</w:t>
                  </w:r>
                </w:p>
              </w:tc>
              <w:tc>
                <w:tcPr>
                  <w:tcW w:w="1956" w:type="dxa"/>
                  <w:vAlign w:val="center"/>
                </w:tcPr>
                <w:p>
                  <w:pPr>
                    <w:numPr>
                      <w:ilvl w:val="0"/>
                      <w:numId w:val="0"/>
                    </w:numPr>
                    <w:bidi w:val="0"/>
                    <w:spacing w:line="240" w:lineRule="auto"/>
                    <w:ind w:left="0" w:leftChars="0" w:firstLine="0" w:firstLineChars="0"/>
                    <w:jc w:val="center"/>
                    <w:rPr>
                      <w:rFonts w:hint="default" w:ascii="Calibri" w:hAnsi="Calibr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12</w:t>
                  </w:r>
                </w:p>
              </w:tc>
              <w:tc>
                <w:tcPr>
                  <w:tcW w:w="194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地磅</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082"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1台</w:t>
                  </w:r>
                </w:p>
              </w:tc>
              <w:tc>
                <w:tcPr>
                  <w:tcW w:w="1956" w:type="dxa"/>
                  <w:vAlign w:val="center"/>
                </w:tcPr>
                <w:p>
                  <w:pPr>
                    <w:numPr>
                      <w:ilvl w:val="0"/>
                      <w:numId w:val="0"/>
                    </w:numPr>
                    <w:bidi w:val="0"/>
                    <w:spacing w:line="240" w:lineRule="auto"/>
                    <w:ind w:left="0" w:leftChars="0" w:firstLine="0" w:firstLineChars="0"/>
                    <w:jc w:val="center"/>
                    <w:rPr>
                      <w:rFonts w:hint="default" w:ascii="Calibri" w:hAnsi="Calibri"/>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r>
          </w:tbl>
          <w:p>
            <w:pPr>
              <w:numPr>
                <w:ilvl w:val="0"/>
                <w:numId w:val="0"/>
              </w:numPr>
              <w:bidi w:val="0"/>
              <w:spacing w:line="240" w:lineRule="auto"/>
              <w:jc w:val="center"/>
              <w:rPr>
                <w:rFonts w:hint="default"/>
                <w:b/>
                <w:bCs/>
                <w:lang w:val="en-US" w:eastAsia="zh-CN"/>
              </w:rPr>
            </w:pPr>
          </w:p>
          <w:p>
            <w:pPr>
              <w:bidi w:val="0"/>
              <w:rPr>
                <w:rFonts w:hint="eastAsia"/>
                <w:b/>
                <w:bCs/>
                <w:lang w:val="en-US" w:eastAsia="zh-CN"/>
              </w:rPr>
            </w:pPr>
            <w:r>
              <w:rPr>
                <w:rFonts w:hint="eastAsia"/>
                <w:b/>
                <w:bCs/>
                <w:lang w:val="en-US" w:eastAsia="zh-CN"/>
              </w:rPr>
              <w:t>7、主要原辅材料用量及能耗</w:t>
            </w:r>
          </w:p>
          <w:p>
            <w:pPr>
              <w:bidi w:val="0"/>
              <w:ind w:firstLine="480" w:firstLineChars="200"/>
              <w:rPr>
                <w:rFonts w:hint="eastAsia"/>
                <w:lang w:val="en-US" w:eastAsia="zh-CN"/>
              </w:rPr>
            </w:pPr>
            <w:r>
              <w:rPr>
                <w:rFonts w:hint="eastAsia"/>
                <w:lang w:val="en-US" w:eastAsia="zh-CN"/>
              </w:rPr>
              <w:t>（1）本项目主要的原材料和能源消耗详见表</w:t>
            </w:r>
            <w:r>
              <w:rPr>
                <w:rFonts w:hint="eastAsia"/>
                <w:b w:val="0"/>
                <w:bCs w:val="0"/>
                <w:lang w:val="en-US" w:eastAsia="zh-CN"/>
              </w:rPr>
              <w:t>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6</w:t>
            </w:r>
            <w:r>
              <w:rPr>
                <w:rFonts w:hint="default"/>
                <w:b w:val="0"/>
                <w:bCs w:val="0"/>
                <w:lang w:eastAsia="zh-CN"/>
              </w:rPr>
              <w:fldChar w:fldCharType="end"/>
            </w:r>
            <w:r>
              <w:rPr>
                <w:rFonts w:hint="eastAsia"/>
                <w:lang w:val="en-US" w:eastAsia="zh-CN"/>
              </w:rPr>
              <w:t>。</w:t>
            </w:r>
          </w:p>
          <w:p>
            <w:pPr>
              <w:numPr>
                <w:ilvl w:val="0"/>
                <w:numId w:val="0"/>
              </w:numPr>
              <w:spacing w:line="240" w:lineRule="auto"/>
              <w:ind w:leftChars="0"/>
              <w:jc w:val="center"/>
              <w:rPr>
                <w:rFonts w:hint="default"/>
                <w:b/>
                <w:bCs/>
                <w:lang w:val="en-US" w:eastAsia="zh-CN"/>
              </w:rPr>
            </w:pPr>
            <w:r>
              <w:rPr>
                <w:rFonts w:hint="eastAsia"/>
                <w:b/>
                <w:bCs/>
                <w:lang w:val="en-US" w:eastAsia="zh-CN"/>
              </w:rPr>
              <w:t>表2-</w:t>
            </w:r>
            <w:r>
              <w:rPr>
                <w:rFonts w:hint="eastAsia"/>
                <w:b/>
                <w:bCs/>
                <w:lang w:val="en-US" w:eastAsia="zh-CN"/>
              </w:rPr>
              <w:fldChar w:fldCharType="begin"/>
            </w:r>
            <w:r>
              <w:rPr>
                <w:rFonts w:hint="eastAsia"/>
                <w:b/>
                <w:bCs/>
                <w:lang w:val="en-US" w:eastAsia="zh-CN"/>
              </w:rPr>
              <w:instrText xml:space="preserve"> SEQ 表2- </w:instrText>
            </w:r>
            <w:r>
              <w:rPr>
                <w:rFonts w:hint="eastAsia"/>
                <w:b/>
                <w:bCs/>
                <w:lang w:val="en-US" w:eastAsia="zh-CN"/>
              </w:rPr>
              <w:fldChar w:fldCharType="separate"/>
            </w:r>
            <w:r>
              <w:rPr>
                <w:rFonts w:hint="eastAsia"/>
                <w:b/>
                <w:bCs/>
                <w:lang w:val="en-US" w:eastAsia="zh-CN"/>
              </w:rPr>
              <w:t>6</w:t>
            </w:r>
            <w:r>
              <w:rPr>
                <w:rFonts w:hint="eastAsia"/>
                <w:b/>
                <w:bCs/>
                <w:lang w:val="en-US" w:eastAsia="zh-CN"/>
              </w:rPr>
              <w:fldChar w:fldCharType="end"/>
            </w:r>
            <w:r>
              <w:rPr>
                <w:rFonts w:hint="eastAsia"/>
                <w:b/>
                <w:bCs/>
                <w:lang w:val="en-US" w:eastAsia="zh-CN"/>
              </w:rPr>
              <w:t xml:space="preserve">  主要原辅材料一览表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8"/>
              <w:gridCol w:w="1518"/>
              <w:gridCol w:w="1519"/>
              <w:gridCol w:w="1519"/>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8"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类别</w:t>
                  </w:r>
                </w:p>
              </w:tc>
              <w:tc>
                <w:tcPr>
                  <w:tcW w:w="1518"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原辅材料名称</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用</w:t>
                  </w:r>
                  <w:r>
                    <w:rPr>
                      <w:rFonts w:hint="default"/>
                      <w:b w:val="0"/>
                      <w:bCs w:val="0"/>
                      <w:sz w:val="21"/>
                      <w:szCs w:val="21"/>
                      <w:vertAlign w:val="baseline"/>
                      <w:lang w:val="en-US" w:eastAsia="zh-CN"/>
                    </w:rPr>
                    <w:t>量</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规格</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最大暂存量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8"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原料</w:t>
                  </w:r>
                </w:p>
              </w:tc>
              <w:tc>
                <w:tcPr>
                  <w:tcW w:w="1518"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汽油</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1500t</w:t>
                  </w:r>
                  <w:r>
                    <w:rPr>
                      <w:rFonts w:hint="default" w:ascii="Calibri" w:hAnsi="Calibri" w:cs="Calibri"/>
                      <w:b w:val="0"/>
                      <w:bCs w:val="0"/>
                      <w:sz w:val="21"/>
                      <w:szCs w:val="21"/>
                      <w:vertAlign w:val="baseline"/>
                      <w:lang w:val="en-US" w:eastAsia="zh-CN"/>
                    </w:rPr>
                    <w:t>/</w:t>
                  </w:r>
                  <w:r>
                    <w:rPr>
                      <w:rFonts w:hint="eastAsia"/>
                      <w:b w:val="0"/>
                      <w:bCs w:val="0"/>
                      <w:sz w:val="21"/>
                      <w:szCs w:val="21"/>
                      <w:vertAlign w:val="baseline"/>
                      <w:lang w:val="en-US" w:eastAsia="zh-CN"/>
                    </w:rPr>
                    <w:t>a</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92</w:t>
                  </w:r>
                  <w:r>
                    <w:rPr>
                      <w:rFonts w:hint="default"/>
                      <w:b w:val="0"/>
                      <w:bCs w:val="0"/>
                      <w:sz w:val="21"/>
                      <w:szCs w:val="21"/>
                      <w:vertAlign w:val="baseline"/>
                      <w:lang w:val="en-US" w:eastAsia="zh-CN"/>
                    </w:rPr>
                    <w:t>#、</w:t>
                  </w:r>
                  <w:r>
                    <w:rPr>
                      <w:rFonts w:hint="eastAsia"/>
                      <w:b w:val="0"/>
                      <w:bCs w:val="0"/>
                      <w:sz w:val="21"/>
                      <w:szCs w:val="21"/>
                      <w:vertAlign w:val="baseline"/>
                      <w:lang w:val="en-US" w:eastAsia="zh-CN"/>
                    </w:rPr>
                    <w:t>95</w:t>
                  </w:r>
                  <w:r>
                    <w:rPr>
                      <w:rFonts w:hint="default"/>
                      <w:b w:val="0"/>
                      <w:bCs w:val="0"/>
                      <w:sz w:val="21"/>
                      <w:szCs w:val="21"/>
                      <w:vertAlign w:val="baseline"/>
                      <w:lang w:val="en-US" w:eastAsia="zh-CN"/>
                    </w:rPr>
                    <w:t>#</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82</w:t>
                  </w:r>
                  <w:r>
                    <w:rPr>
                      <w:rFonts w:hint="default"/>
                      <w:b w:val="0"/>
                      <w:bCs w:val="0"/>
                      <w:sz w:val="21"/>
                      <w:szCs w:val="21"/>
                      <w:vertAlign w:val="baseline"/>
                      <w:lang w:val="en-US" w:eastAsia="zh-CN"/>
                    </w:rPr>
                    <w:t>.</w:t>
                  </w:r>
                  <w:r>
                    <w:rPr>
                      <w:rFonts w:hint="eastAsia"/>
                      <w:b w:val="0"/>
                      <w:bCs w:val="0"/>
                      <w:sz w:val="21"/>
                      <w:szCs w:val="21"/>
                      <w:vertAlign w:val="baseline"/>
                      <w:lang w:val="en-US" w:eastAsia="zh-CN"/>
                    </w:rPr>
                    <w:t>08t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8"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518"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柴油</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500t</w:t>
                  </w:r>
                  <w:r>
                    <w:rPr>
                      <w:rFonts w:hint="default" w:ascii="Calibri" w:hAnsi="Calibri" w:cs="Calibri"/>
                      <w:b w:val="0"/>
                      <w:bCs w:val="0"/>
                      <w:sz w:val="21"/>
                      <w:szCs w:val="21"/>
                      <w:vertAlign w:val="baseline"/>
                      <w:lang w:val="en-US" w:eastAsia="zh-CN"/>
                    </w:rPr>
                    <w:t>/</w:t>
                  </w:r>
                  <w:r>
                    <w:rPr>
                      <w:rFonts w:hint="eastAsia"/>
                      <w:b w:val="0"/>
                      <w:bCs w:val="0"/>
                      <w:sz w:val="21"/>
                      <w:szCs w:val="21"/>
                      <w:vertAlign w:val="baseline"/>
                      <w:lang w:val="en-US" w:eastAsia="zh-CN"/>
                    </w:rPr>
                    <w:t>a</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0</w:t>
                  </w:r>
                  <w:r>
                    <w:rPr>
                      <w:rFonts w:hint="default"/>
                      <w:b w:val="0"/>
                      <w:bCs w:val="0"/>
                      <w:sz w:val="21"/>
                      <w:szCs w:val="21"/>
                      <w:vertAlign w:val="baseline"/>
                      <w:lang w:val="en-US" w:eastAsia="zh-CN"/>
                    </w:rPr>
                    <w:t>#</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30</w:t>
                  </w:r>
                  <w:r>
                    <w:rPr>
                      <w:rFonts w:hint="default"/>
                      <w:b w:val="0"/>
                      <w:bCs w:val="0"/>
                      <w:sz w:val="21"/>
                      <w:szCs w:val="21"/>
                      <w:vertAlign w:val="baseline"/>
                      <w:lang w:val="en-US" w:eastAsia="zh-CN"/>
                    </w:rPr>
                    <w:t>.</w:t>
                  </w:r>
                  <w:r>
                    <w:rPr>
                      <w:rFonts w:hint="eastAsia"/>
                      <w:b w:val="0"/>
                      <w:bCs w:val="0"/>
                      <w:sz w:val="21"/>
                      <w:szCs w:val="21"/>
                      <w:vertAlign w:val="baseline"/>
                      <w:lang w:val="en-US" w:eastAsia="zh-CN"/>
                    </w:rPr>
                    <w:t>24t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8" w:type="dxa"/>
                  <w:vMerge w:val="restart"/>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辅料</w:t>
                  </w:r>
                </w:p>
              </w:tc>
              <w:tc>
                <w:tcPr>
                  <w:tcW w:w="1518"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泡沫剂</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40t</w:t>
                  </w:r>
                  <w:r>
                    <w:rPr>
                      <w:rFonts w:hint="eastAsia" w:ascii="Calibri" w:hAnsi="Calibri" w:cs="Calibri"/>
                      <w:b w:val="0"/>
                      <w:bCs w:val="0"/>
                      <w:sz w:val="21"/>
                      <w:szCs w:val="21"/>
                      <w:vertAlign w:val="baseline"/>
                      <w:lang w:val="en-US" w:eastAsia="zh-CN"/>
                    </w:rPr>
                    <w:t>/</w:t>
                  </w:r>
                  <w:r>
                    <w:rPr>
                      <w:rFonts w:hint="eastAsia"/>
                      <w:b w:val="0"/>
                      <w:bCs w:val="0"/>
                      <w:sz w:val="21"/>
                      <w:szCs w:val="21"/>
                      <w:vertAlign w:val="baseline"/>
                      <w:lang w:val="en-US" w:eastAsia="zh-CN"/>
                    </w:rPr>
                    <w:t>a</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cs="Calibri"/>
                      <w:b w:val="0"/>
                      <w:bCs w:val="0"/>
                      <w:sz w:val="21"/>
                      <w:szCs w:val="21"/>
                      <w:vertAlign w:val="baseline"/>
                      <w:lang w:val="en-US" w:eastAsia="zh-CN"/>
                    </w:rPr>
                  </w:pPr>
                  <w:r>
                    <w:rPr>
                      <w:rFonts w:hint="default" w:ascii="Calibri" w:hAnsi="Calibri" w:cs="Calibri"/>
                      <w:b w:val="0"/>
                      <w:bCs w:val="0"/>
                      <w:sz w:val="21"/>
                      <w:szCs w:val="21"/>
                      <w:vertAlign w:val="baseline"/>
                      <w:lang w:val="en-US" w:eastAsia="zh-CN"/>
                    </w:rPr>
                    <w:t>海天金鹰系列1-1003</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cs="Calibr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8" w:type="dxa"/>
                  <w:vMerge w:val="continue"/>
                  <w:vAlign w:val="center"/>
                </w:tcPr>
                <w:p>
                  <w:pPr>
                    <w:numPr>
                      <w:ilvl w:val="0"/>
                      <w:numId w:val="0"/>
                    </w:numPr>
                    <w:bidi w:val="0"/>
                    <w:spacing w:line="240" w:lineRule="auto"/>
                    <w:ind w:left="0" w:leftChars="0" w:firstLine="0" w:firstLineChars="0"/>
                    <w:jc w:val="center"/>
                    <w:rPr>
                      <w:rFonts w:hint="eastAsia"/>
                      <w:b w:val="0"/>
                      <w:bCs w:val="0"/>
                      <w:sz w:val="21"/>
                      <w:szCs w:val="21"/>
                      <w:vertAlign w:val="baseline"/>
                      <w:lang w:val="en-US" w:eastAsia="zh-CN"/>
                    </w:rPr>
                  </w:pPr>
                </w:p>
              </w:tc>
              <w:tc>
                <w:tcPr>
                  <w:tcW w:w="1518"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腊水剂</w:t>
                  </w:r>
                </w:p>
              </w:tc>
              <w:tc>
                <w:tcPr>
                  <w:tcW w:w="151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40t</w:t>
                  </w:r>
                  <w:r>
                    <w:rPr>
                      <w:rFonts w:hint="eastAsia" w:ascii="Calibri" w:hAnsi="Calibri" w:cs="Calibri"/>
                      <w:b w:val="0"/>
                      <w:bCs w:val="0"/>
                      <w:sz w:val="21"/>
                      <w:szCs w:val="21"/>
                      <w:vertAlign w:val="baseline"/>
                      <w:lang w:val="en-US" w:eastAsia="zh-CN"/>
                    </w:rPr>
                    <w:t>/</w:t>
                  </w:r>
                  <w:r>
                    <w:rPr>
                      <w:rFonts w:hint="eastAsia"/>
                      <w:b w:val="0"/>
                      <w:bCs w:val="0"/>
                      <w:sz w:val="21"/>
                      <w:szCs w:val="21"/>
                      <w:vertAlign w:val="baseline"/>
                      <w:lang w:val="en-US" w:eastAsia="zh-CN"/>
                    </w:rPr>
                    <w:t>a</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cs="Calibri"/>
                      <w:b w:val="0"/>
                      <w:bCs w:val="0"/>
                      <w:sz w:val="21"/>
                      <w:szCs w:val="21"/>
                      <w:vertAlign w:val="baseline"/>
                      <w:lang w:val="en-US" w:eastAsia="zh-CN"/>
                    </w:rPr>
                  </w:pPr>
                  <w:r>
                    <w:rPr>
                      <w:rFonts w:hint="default" w:ascii="Calibri" w:hAnsi="Calibri" w:cs="Calibri"/>
                      <w:b w:val="0"/>
                      <w:bCs w:val="0"/>
                      <w:sz w:val="21"/>
                      <w:szCs w:val="21"/>
                      <w:vertAlign w:val="baseline"/>
                      <w:lang w:val="en-US" w:eastAsia="zh-CN"/>
                    </w:rPr>
                    <w:t>海天金鹰系列2-2002</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cs="Calibr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8" w:type="dxa"/>
                  <w:vMerge w:val="continue"/>
                  <w:vAlign w:val="center"/>
                </w:tcPr>
                <w:p>
                  <w:pPr>
                    <w:numPr>
                      <w:ilvl w:val="0"/>
                      <w:numId w:val="0"/>
                    </w:numPr>
                    <w:bidi w:val="0"/>
                    <w:spacing w:line="240" w:lineRule="auto"/>
                    <w:ind w:left="0" w:leftChars="0" w:firstLine="0" w:firstLineChars="0"/>
                    <w:jc w:val="center"/>
                    <w:rPr>
                      <w:rFonts w:hint="eastAsia"/>
                      <w:b w:val="0"/>
                      <w:bCs w:val="0"/>
                      <w:sz w:val="21"/>
                      <w:szCs w:val="21"/>
                      <w:vertAlign w:val="baseline"/>
                      <w:lang w:val="en-US" w:eastAsia="zh-CN"/>
                    </w:rPr>
                  </w:pPr>
                </w:p>
              </w:tc>
              <w:tc>
                <w:tcPr>
                  <w:tcW w:w="1518"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水</w:t>
                  </w:r>
                </w:p>
              </w:tc>
              <w:tc>
                <w:tcPr>
                  <w:tcW w:w="1519" w:type="dxa"/>
                  <w:vAlign w:val="center"/>
                </w:tcPr>
                <w:p>
                  <w:pPr>
                    <w:numPr>
                      <w:ilvl w:val="0"/>
                      <w:numId w:val="0"/>
                    </w:numPr>
                    <w:bidi w:val="0"/>
                    <w:spacing w:line="240" w:lineRule="auto"/>
                    <w:ind w:left="0" w:leftChars="0"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1837</w:t>
                  </w:r>
                  <w:r>
                    <w:rPr>
                      <w:rFonts w:hint="default"/>
                      <w:b w:val="0"/>
                      <w:bCs w:val="0"/>
                      <w:sz w:val="21"/>
                      <w:szCs w:val="21"/>
                      <w:vertAlign w:val="baseline"/>
                      <w:lang w:val="en-US" w:eastAsia="zh-CN"/>
                    </w:rPr>
                    <w:t>.</w:t>
                  </w:r>
                  <w:r>
                    <w:rPr>
                      <w:rFonts w:hint="eastAsia"/>
                      <w:b w:val="0"/>
                      <w:bCs w:val="0"/>
                      <w:sz w:val="21"/>
                      <w:szCs w:val="21"/>
                      <w:vertAlign w:val="baseline"/>
                      <w:lang w:val="en-US" w:eastAsia="zh-CN"/>
                    </w:rPr>
                    <w:t>62m</w:t>
                  </w:r>
                  <w:r>
                    <w:rPr>
                      <w:rFonts w:hint="eastAsia"/>
                      <w:b w:val="0"/>
                      <w:bCs w:val="0"/>
                      <w:sz w:val="21"/>
                      <w:szCs w:val="21"/>
                      <w:vertAlign w:val="superscript"/>
                      <w:lang w:val="en-US" w:eastAsia="zh-CN"/>
                    </w:rPr>
                    <w:t>3</w:t>
                  </w:r>
                  <w:r>
                    <w:rPr>
                      <w:rFonts w:hint="default" w:ascii="Calibri" w:hAnsi="Calibri" w:cs="Calibri"/>
                      <w:b w:val="0"/>
                      <w:bCs w:val="0"/>
                      <w:sz w:val="21"/>
                      <w:szCs w:val="21"/>
                      <w:vertAlign w:val="baseline"/>
                      <w:lang w:val="en-US" w:eastAsia="zh-CN"/>
                    </w:rPr>
                    <w:t>/</w:t>
                  </w:r>
                  <w:r>
                    <w:rPr>
                      <w:rFonts w:hint="eastAsia"/>
                      <w:b w:val="0"/>
                      <w:bCs w:val="0"/>
                      <w:sz w:val="21"/>
                      <w:szCs w:val="21"/>
                      <w:vertAlign w:val="baseline"/>
                      <w:lang w:val="en-US" w:eastAsia="zh-CN"/>
                    </w:rPr>
                    <w:t>a</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cs="Calibri"/>
                      <w:b w:val="0"/>
                      <w:bCs w:val="0"/>
                      <w:sz w:val="21"/>
                      <w:szCs w:val="21"/>
                      <w:vertAlign w:val="baseline"/>
                      <w:lang w:val="en-US" w:eastAsia="zh-CN"/>
                    </w:rPr>
                  </w:pPr>
                  <w:r>
                    <w:rPr>
                      <w:rFonts w:hint="default"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cs="Calibri"/>
                      <w:b w:val="0"/>
                      <w:bCs w:val="0"/>
                      <w:sz w:val="21"/>
                      <w:szCs w:val="21"/>
                      <w:vertAlign w:val="baseline"/>
                      <w:lang w:val="en-US" w:eastAsia="zh-CN"/>
                    </w:rPr>
                  </w:pPr>
                  <w:r>
                    <w:rPr>
                      <w:rFonts w:hint="default"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8" w:type="dxa"/>
                  <w:vAlign w:val="center"/>
                </w:tcPr>
                <w:p>
                  <w:pPr>
                    <w:numPr>
                      <w:ilvl w:val="0"/>
                      <w:numId w:val="0"/>
                    </w:numPr>
                    <w:bidi w:val="0"/>
                    <w:spacing w:line="240" w:lineRule="auto"/>
                    <w:ind w:left="0" w:leftChars="0"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能源</w:t>
                  </w:r>
                </w:p>
              </w:tc>
              <w:tc>
                <w:tcPr>
                  <w:tcW w:w="1518"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电</w:t>
                  </w:r>
                </w:p>
              </w:tc>
              <w:tc>
                <w:tcPr>
                  <w:tcW w:w="1519" w:type="dxa"/>
                  <w:vAlign w:val="center"/>
                </w:tcPr>
                <w:p>
                  <w:pPr>
                    <w:numPr>
                      <w:ilvl w:val="0"/>
                      <w:numId w:val="0"/>
                    </w:numPr>
                    <w:bidi w:val="0"/>
                    <w:spacing w:line="240" w:lineRule="auto"/>
                    <w:ind w:left="0" w:leftChars="0" w:firstLine="0" w:firstLineChars="0"/>
                    <w:jc w:val="center"/>
                    <w:rPr>
                      <w:rFonts w:hint="eastAsia"/>
                      <w:b w:val="0"/>
                      <w:bCs w:val="0"/>
                      <w:sz w:val="21"/>
                      <w:szCs w:val="21"/>
                      <w:vertAlign w:val="baseline"/>
                      <w:lang w:val="en-US" w:eastAsia="zh-CN"/>
                    </w:rPr>
                  </w:pPr>
                  <w:r>
                    <w:rPr>
                      <w:rFonts w:hint="eastAsia"/>
                      <w:b w:val="0"/>
                      <w:bCs w:val="0"/>
                      <w:sz w:val="21"/>
                      <w:szCs w:val="21"/>
                      <w:vertAlign w:val="baseline"/>
                      <w:lang w:val="en-US" w:eastAsia="zh-CN"/>
                    </w:rPr>
                    <w:t>50000</w:t>
                  </w:r>
                  <w:r>
                    <w:rPr>
                      <w:rFonts w:hint="default"/>
                      <w:b w:val="0"/>
                      <w:bCs w:val="0"/>
                      <w:sz w:val="21"/>
                      <w:szCs w:val="21"/>
                      <w:vertAlign w:val="baseline"/>
                      <w:lang w:val="en-US" w:eastAsia="zh-CN"/>
                    </w:rPr>
                    <w:t xml:space="preserve"> </w:t>
                  </w:r>
                  <w:r>
                    <w:rPr>
                      <w:rFonts w:hint="eastAsia"/>
                      <w:b w:val="0"/>
                      <w:bCs w:val="0"/>
                      <w:sz w:val="21"/>
                      <w:szCs w:val="21"/>
                      <w:vertAlign w:val="baseline"/>
                      <w:lang w:val="en-US" w:eastAsia="zh-CN"/>
                    </w:rPr>
                    <w:t>kW</w:t>
                  </w:r>
                  <w:r>
                    <w:rPr>
                      <w:rFonts w:hint="default"/>
                      <w:b w:val="0"/>
                      <w:bCs w:val="0"/>
                      <w:sz w:val="21"/>
                      <w:szCs w:val="21"/>
                      <w:vertAlign w:val="baseline"/>
                      <w:lang w:val="en-US" w:eastAsia="zh-CN"/>
                    </w:rPr>
                    <w:t>•</w:t>
                  </w:r>
                  <w:r>
                    <w:rPr>
                      <w:rFonts w:hint="eastAsia"/>
                      <w:b w:val="0"/>
                      <w:bCs w:val="0"/>
                      <w:sz w:val="21"/>
                      <w:szCs w:val="21"/>
                      <w:vertAlign w:val="baseline"/>
                      <w:lang w:val="en-US" w:eastAsia="zh-CN"/>
                    </w:rPr>
                    <w:t>h</w:t>
                  </w:r>
                  <w:r>
                    <w:rPr>
                      <w:rFonts w:hint="default" w:ascii="Calibri" w:hAnsi="Calibri" w:cs="Calibri"/>
                      <w:b w:val="0"/>
                      <w:bCs w:val="0"/>
                      <w:sz w:val="21"/>
                      <w:szCs w:val="21"/>
                      <w:vertAlign w:val="baseline"/>
                      <w:lang w:val="en-US" w:eastAsia="zh-CN"/>
                    </w:rPr>
                    <w:t>/</w:t>
                  </w:r>
                  <w:r>
                    <w:rPr>
                      <w:rFonts w:hint="eastAsia"/>
                      <w:b w:val="0"/>
                      <w:bCs w:val="0"/>
                      <w:sz w:val="21"/>
                      <w:szCs w:val="21"/>
                      <w:vertAlign w:val="baseline"/>
                      <w:lang w:val="en-US" w:eastAsia="zh-CN"/>
                    </w:rPr>
                    <w:t>a</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cs="Calibri"/>
                      <w:b w:val="0"/>
                      <w:bCs w:val="0"/>
                      <w:sz w:val="21"/>
                      <w:szCs w:val="21"/>
                      <w:vertAlign w:val="baseline"/>
                      <w:lang w:val="en-US" w:eastAsia="zh-CN"/>
                    </w:rPr>
                  </w:pPr>
                  <w:r>
                    <w:rPr>
                      <w:rFonts w:hint="default" w:ascii="Calibri" w:hAnsi="Calibri" w:cs="Calibri"/>
                      <w:b w:val="0"/>
                      <w:bCs w:val="0"/>
                      <w:sz w:val="21"/>
                      <w:szCs w:val="21"/>
                      <w:vertAlign w:val="baseline"/>
                      <w:lang w:val="en-US" w:eastAsia="zh-CN"/>
                    </w:rPr>
                    <w:t>/</w:t>
                  </w:r>
                </w:p>
              </w:tc>
              <w:tc>
                <w:tcPr>
                  <w:tcW w:w="1519" w:type="dxa"/>
                  <w:vAlign w:val="center"/>
                </w:tcPr>
                <w:p>
                  <w:pPr>
                    <w:numPr>
                      <w:ilvl w:val="0"/>
                      <w:numId w:val="0"/>
                    </w:numPr>
                    <w:bidi w:val="0"/>
                    <w:spacing w:line="240" w:lineRule="auto"/>
                    <w:ind w:left="0" w:leftChars="0" w:firstLine="0" w:firstLineChars="0"/>
                    <w:jc w:val="center"/>
                    <w:rPr>
                      <w:rFonts w:hint="default" w:ascii="Calibri" w:hAnsi="Calibri" w:cs="Calibri"/>
                      <w:b w:val="0"/>
                      <w:bCs w:val="0"/>
                      <w:sz w:val="21"/>
                      <w:szCs w:val="21"/>
                      <w:vertAlign w:val="baseline"/>
                      <w:lang w:val="en-US" w:eastAsia="zh-CN"/>
                    </w:rPr>
                  </w:pPr>
                  <w:r>
                    <w:rPr>
                      <w:rFonts w:hint="default"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3" w:type="dxa"/>
                  <w:gridSpan w:val="5"/>
                  <w:vAlign w:val="center"/>
                </w:tcPr>
                <w:p>
                  <w:pPr>
                    <w:numPr>
                      <w:ilvl w:val="0"/>
                      <w:numId w:val="0"/>
                    </w:numPr>
                    <w:bidi w:val="0"/>
                    <w:spacing w:line="240" w:lineRule="auto"/>
                    <w:jc w:val="left"/>
                    <w:rPr>
                      <w:rFonts w:hint="default"/>
                      <w:b w:val="0"/>
                      <w:bCs w:val="0"/>
                      <w:sz w:val="21"/>
                      <w:szCs w:val="21"/>
                      <w:vertAlign w:val="baseline"/>
                      <w:lang w:val="en-US" w:eastAsia="zh-CN"/>
                    </w:rPr>
                  </w:pPr>
                  <w:r>
                    <w:rPr>
                      <w:rFonts w:hint="default"/>
                      <w:b w:val="0"/>
                      <w:bCs w:val="0"/>
                      <w:sz w:val="21"/>
                      <w:szCs w:val="21"/>
                      <w:vertAlign w:val="baseline"/>
                      <w:lang w:val="en-US" w:eastAsia="zh-CN"/>
                    </w:rPr>
                    <w:t>注：根据同类加油站项目类比，汽油、柴油最大暂存量按照储罐容积的90%计，汽油密度以0.76g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ml、柴油密度以0.84g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ml计。</w:t>
                  </w:r>
                  <w:r>
                    <w:rPr>
                      <w:rFonts w:hint="eastAsia"/>
                      <w:b w:val="0"/>
                      <w:bCs w:val="0"/>
                      <w:sz w:val="21"/>
                      <w:szCs w:val="21"/>
                      <w:vertAlign w:val="baseline"/>
                      <w:lang w:val="en-US" w:eastAsia="zh-CN"/>
                    </w:rPr>
                    <w:t>洗车用的清洗剂都是</w:t>
                  </w:r>
                  <w:r>
                    <w:rPr>
                      <w:rFonts w:hint="default"/>
                      <w:b w:val="0"/>
                      <w:bCs w:val="0"/>
                      <w:sz w:val="21"/>
                      <w:szCs w:val="21"/>
                      <w:vertAlign w:val="baseline"/>
                      <w:lang w:val="en-US" w:eastAsia="zh-CN"/>
                    </w:rPr>
                    <w:t>无磷中性洗涤剂</w:t>
                  </w:r>
                  <w:r>
                    <w:rPr>
                      <w:rFonts w:hint="eastAsia"/>
                      <w:b w:val="0"/>
                      <w:bCs w:val="0"/>
                      <w:sz w:val="21"/>
                      <w:szCs w:val="21"/>
                      <w:vertAlign w:val="baseline"/>
                      <w:lang w:val="en-US" w:eastAsia="zh-CN"/>
                    </w:rPr>
                    <w:t>。</w:t>
                  </w:r>
                </w:p>
              </w:tc>
            </w:tr>
          </w:tbl>
          <w:p>
            <w:pPr>
              <w:numPr>
                <w:ilvl w:val="0"/>
                <w:numId w:val="0"/>
              </w:numPr>
              <w:bidi w:val="0"/>
              <w:rPr>
                <w:rFonts w:hint="default"/>
                <w:b w:val="0"/>
                <w:bCs w:val="0"/>
                <w:lang w:val="en-US" w:eastAsia="zh-CN"/>
              </w:rPr>
            </w:pPr>
          </w:p>
          <w:p>
            <w:pPr>
              <w:numPr>
                <w:ilvl w:val="0"/>
                <w:numId w:val="0"/>
              </w:numPr>
              <w:bidi w:val="0"/>
              <w:ind w:firstLine="480" w:firstLineChars="200"/>
              <w:rPr>
                <w:rFonts w:hint="default"/>
                <w:b/>
                <w:bCs/>
                <w:lang w:val="en-US" w:eastAsia="zh-CN"/>
              </w:rPr>
            </w:pPr>
            <w:r>
              <w:rPr>
                <w:rFonts w:hint="eastAsia"/>
                <w:b w:val="0"/>
                <w:bCs w:val="0"/>
                <w:lang w:val="en-US" w:eastAsia="zh-CN"/>
              </w:rPr>
              <w:t>（2）</w:t>
            </w:r>
            <w:r>
              <w:rPr>
                <w:rFonts w:hint="default"/>
                <w:b w:val="0"/>
                <w:bCs w:val="0"/>
                <w:lang w:val="en-US" w:eastAsia="zh-CN"/>
              </w:rPr>
              <w:t>本项目经营油品理化性质见表2-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7</w:t>
            </w:r>
            <w:r>
              <w:rPr>
                <w:rFonts w:hint="default"/>
                <w:b w:val="0"/>
                <w:bCs w:val="0"/>
                <w:lang w:eastAsia="zh-CN"/>
              </w:rPr>
              <w:fldChar w:fldCharType="end"/>
            </w:r>
            <w:r>
              <w:rPr>
                <w:rFonts w:hint="default"/>
                <w:b w:val="0"/>
                <w:bCs w:val="0"/>
                <w:lang w:val="en-US" w:eastAsia="zh-CN"/>
              </w:rPr>
              <w:t>。</w:t>
            </w:r>
          </w:p>
          <w:p>
            <w:pPr>
              <w:numPr>
                <w:ilvl w:val="0"/>
                <w:numId w:val="0"/>
              </w:numPr>
              <w:bidi w:val="0"/>
              <w:spacing w:line="240" w:lineRule="auto"/>
              <w:jc w:val="center"/>
              <w:rPr>
                <w:rFonts w:hint="default"/>
                <w:b/>
                <w:bCs/>
                <w:lang w:val="en-US" w:eastAsia="zh-CN"/>
              </w:rPr>
            </w:pPr>
            <w:r>
              <w:rPr>
                <w:rFonts w:hint="default"/>
                <w:b/>
                <w:bCs/>
                <w:lang w:val="en-US" w:eastAsia="zh-CN"/>
              </w:rPr>
              <w:t>表2-</w:t>
            </w:r>
            <w:r>
              <w:rPr>
                <w:rFonts w:hint="default"/>
                <w:b/>
                <w:bCs/>
                <w:lang w:eastAsia="zh-CN"/>
              </w:rPr>
              <w:fldChar w:fldCharType="begin"/>
            </w:r>
            <w:r>
              <w:rPr>
                <w:rFonts w:hint="default"/>
                <w:b/>
                <w:bCs/>
                <w:lang w:eastAsia="zh-CN"/>
              </w:rPr>
              <w:instrText xml:space="preserve"> SEQ 表2- </w:instrText>
            </w:r>
            <w:r>
              <w:rPr>
                <w:rFonts w:hint="default"/>
                <w:b/>
                <w:bCs/>
                <w:lang w:eastAsia="zh-CN"/>
              </w:rPr>
              <w:fldChar w:fldCharType="separate"/>
            </w:r>
            <w:r>
              <w:rPr>
                <w:rFonts w:hint="default"/>
                <w:b/>
                <w:bCs/>
                <w:lang w:eastAsia="zh-CN"/>
              </w:rPr>
              <w:t>7</w:t>
            </w:r>
            <w:r>
              <w:rPr>
                <w:rFonts w:hint="default"/>
                <w:b/>
                <w:bCs/>
                <w:lang w:eastAsia="zh-CN"/>
              </w:rPr>
              <w:fldChar w:fldCharType="end"/>
            </w:r>
            <w:r>
              <w:rPr>
                <w:rFonts w:hint="eastAsia"/>
                <w:b/>
                <w:bCs/>
                <w:lang w:val="en-US" w:eastAsia="zh-CN"/>
              </w:rPr>
              <w:t xml:space="preserve"> </w:t>
            </w:r>
            <w:r>
              <w:rPr>
                <w:rFonts w:hint="default"/>
                <w:b/>
                <w:bCs/>
                <w:lang w:val="en-US" w:eastAsia="zh-CN"/>
              </w:rPr>
              <w:t xml:space="preserve"> 油品理化性质一览表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766"/>
              <w:gridCol w:w="5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序号</w:t>
                  </w:r>
                </w:p>
              </w:tc>
              <w:tc>
                <w:tcPr>
                  <w:tcW w:w="76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油品名 称</w:t>
                  </w:r>
                </w:p>
              </w:tc>
              <w:tc>
                <w:tcPr>
                  <w:tcW w:w="5990"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理化性质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1</w:t>
                  </w:r>
                </w:p>
              </w:tc>
              <w:tc>
                <w:tcPr>
                  <w:tcW w:w="76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汽油</w:t>
                  </w:r>
                </w:p>
              </w:tc>
              <w:tc>
                <w:tcPr>
                  <w:tcW w:w="5990" w:type="dxa"/>
                  <w:vAlign w:val="top"/>
                </w:tcPr>
                <w:p>
                  <w:pPr>
                    <w:numPr>
                      <w:ilvl w:val="0"/>
                      <w:numId w:val="0"/>
                    </w:numPr>
                    <w:bidi w:val="0"/>
                    <w:spacing w:line="240" w:lineRule="auto"/>
                    <w:ind w:firstLine="420" w:firstLineChars="200"/>
                    <w:jc w:val="left"/>
                    <w:rPr>
                      <w:rFonts w:hint="default"/>
                      <w:b w:val="0"/>
                      <w:bCs w:val="0"/>
                      <w:sz w:val="21"/>
                      <w:szCs w:val="21"/>
                      <w:vertAlign w:val="baseline"/>
                      <w:lang w:val="en-US" w:eastAsia="zh-CN"/>
                    </w:rPr>
                  </w:pPr>
                  <w:r>
                    <w:rPr>
                      <w:rFonts w:hint="default"/>
                      <w:b w:val="0"/>
                      <w:bCs w:val="0"/>
                      <w:sz w:val="21"/>
                      <w:szCs w:val="21"/>
                      <w:vertAlign w:val="baseline"/>
                      <w:lang w:val="en-US" w:eastAsia="zh-CN"/>
                    </w:rPr>
                    <w:t>汽油为油品的一大类，是四碳至十二碳复杂烃类的混合物，虽然为无色至淡黄色的易流动液体，但很难溶解于水，易燃，馏程为30℃至205℃，空气中含量为74～123g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w:t>
                  </w:r>
                  <w:r>
                    <w:rPr>
                      <w:rFonts w:hint="default"/>
                      <w:b w:val="0"/>
                      <w:bCs w:val="0"/>
                      <w:sz w:val="21"/>
                      <w:szCs w:val="21"/>
                      <w:vertAlign w:val="superscript"/>
                      <w:lang w:val="en-US" w:eastAsia="zh-CN"/>
                    </w:rPr>
                    <w:t>3</w:t>
                  </w:r>
                  <w:r>
                    <w:rPr>
                      <w:rFonts w:hint="default"/>
                      <w:b w:val="0"/>
                      <w:bCs w:val="0"/>
                      <w:sz w:val="21"/>
                      <w:szCs w:val="21"/>
                      <w:vertAlign w:val="baseline"/>
                      <w:lang w:val="en-US" w:eastAsia="zh-CN"/>
                    </w:rPr>
                    <w:t>时遇火爆炸，乙醇汽油含 10%乙醇其余为汽油。汽油的热值约为44000kJ</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kg。燃料的热值是指1kg燃料完全燃烧后所产生的热量。汽油最重要的性能为蒸发性、抗爆性、安定性和腐蚀性。汽油的密度因季节气候不同会有略微变化，按研究法辛烷值分为90号、92号（原 93号）、95号（原97号）、98号四个牌号，平均如下：90#汽油的平均密度为 0.72g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ml；92#汽油的密度为0.725g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ml-0.76g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ml；95#汽油的密度为0.737g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ml-0.765g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ml；98#汽油的密度为0.753g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ml-0.78g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2</w:t>
                  </w:r>
                </w:p>
              </w:tc>
              <w:tc>
                <w:tcPr>
                  <w:tcW w:w="766"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柴油</w:t>
                  </w:r>
                </w:p>
              </w:tc>
              <w:tc>
                <w:tcPr>
                  <w:tcW w:w="5990" w:type="dxa"/>
                  <w:vAlign w:val="top"/>
                </w:tcPr>
                <w:p>
                  <w:pPr>
                    <w:numPr>
                      <w:ilvl w:val="0"/>
                      <w:numId w:val="0"/>
                    </w:numPr>
                    <w:bidi w:val="0"/>
                    <w:spacing w:line="240" w:lineRule="auto"/>
                    <w:ind w:firstLine="420" w:firstLineChars="200"/>
                    <w:rPr>
                      <w:rFonts w:hint="default"/>
                      <w:b w:val="0"/>
                      <w:bCs w:val="0"/>
                      <w:sz w:val="21"/>
                      <w:szCs w:val="21"/>
                      <w:vertAlign w:val="baseline"/>
                      <w:lang w:val="en-US" w:eastAsia="zh-CN"/>
                    </w:rPr>
                  </w:pPr>
                  <w:r>
                    <w:rPr>
                      <w:rFonts w:hint="default"/>
                      <w:b w:val="0"/>
                      <w:bCs w:val="0"/>
                      <w:sz w:val="21"/>
                      <w:szCs w:val="21"/>
                      <w:vertAlign w:val="baseline"/>
                      <w:lang w:val="en-US" w:eastAsia="zh-CN"/>
                    </w:rPr>
                    <w:t>柴油的化学和物理特性位于汽油和重油之间，沸点在170℃至390℃间，比重为0.82~0.845kg</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L，热值为3.3×107J</w:t>
                  </w:r>
                  <w:r>
                    <w:rPr>
                      <w:rFonts w:hint="default" w:ascii="Calibri" w:hAnsi="Calibri" w:cs="Calibri"/>
                      <w:b w:val="0"/>
                      <w:bCs w:val="0"/>
                      <w:sz w:val="21"/>
                      <w:szCs w:val="21"/>
                      <w:vertAlign w:val="baseline"/>
                      <w:lang w:val="en-US" w:eastAsia="zh-CN"/>
                    </w:rPr>
                    <w:t>/</w:t>
                  </w:r>
                  <w:r>
                    <w:rPr>
                      <w:rFonts w:hint="default"/>
                      <w:b w:val="0"/>
                      <w:bCs w:val="0"/>
                      <w:sz w:val="21"/>
                      <w:szCs w:val="21"/>
                      <w:vertAlign w:val="baseline"/>
                      <w:lang w:val="en-US" w:eastAsia="zh-CN"/>
                    </w:rPr>
                    <w:t>L。冷滤点是衡量轻柴油低温性能的重要指标，具体来说，就是在规定条件下，柴油开始堵塞发动机滤网的最高温度。冷滤点能够反映柴油低温实际使用性能，最接近柴油的实际最低使用温度。用户在选用柴油牌号时，应同时兼顾当地气温和柴油牌号对应的冷滤点。5号轻柴油的冷滤点为8℃，0号轻柴油的冷滤点为4℃，-10号轻柴油的冷滤点为-5℃，-20号轻柴油的冷滤点为-14℃。</w:t>
                  </w:r>
                </w:p>
              </w:tc>
            </w:tr>
          </w:tbl>
          <w:p>
            <w:pPr>
              <w:numPr>
                <w:ilvl w:val="0"/>
                <w:numId w:val="0"/>
              </w:numPr>
              <w:bidi w:val="0"/>
              <w:rPr>
                <w:rFonts w:hint="eastAsia"/>
                <w:b/>
                <w:bCs/>
                <w:lang w:val="en-US" w:eastAsia="zh-CN"/>
              </w:rPr>
            </w:pPr>
            <w:r>
              <w:rPr>
                <w:rFonts w:hint="eastAsia"/>
                <w:b/>
                <w:bCs/>
                <w:lang w:val="en-US" w:eastAsia="zh-CN"/>
              </w:rPr>
              <w:t>8</w:t>
            </w:r>
            <w:r>
              <w:rPr>
                <w:rFonts w:hint="eastAsia"/>
                <w:b/>
                <w:bCs/>
                <w:color w:val="auto"/>
                <w:lang w:val="en-US" w:eastAsia="zh-CN"/>
              </w:rPr>
              <w:t>、公用工程</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(1)</w:t>
            </w:r>
            <w:r>
              <w:rPr>
                <w:rFonts w:hint="eastAsia"/>
                <w:b w:val="0"/>
                <w:bCs w:val="0"/>
                <w:color w:val="auto"/>
                <w:lang w:val="en-US" w:eastAsia="zh-CN"/>
              </w:rPr>
              <w:t>给水</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本项目</w:t>
            </w:r>
            <w:r>
              <w:rPr>
                <w:rFonts w:hint="eastAsia"/>
                <w:b w:val="0"/>
                <w:bCs w:val="0"/>
                <w:color w:val="auto"/>
                <w:lang w:val="en-US" w:eastAsia="zh-CN"/>
              </w:rPr>
              <w:t>给水由市政给水管网供给，</w:t>
            </w:r>
            <w:r>
              <w:rPr>
                <w:rFonts w:hint="default"/>
                <w:b w:val="0"/>
                <w:bCs w:val="0"/>
                <w:color w:val="auto"/>
                <w:lang w:val="en-US" w:eastAsia="zh-CN"/>
              </w:rPr>
              <w:t>运营期用水主要为地面冲洗用水、洗车用水、员工生活用水</w:t>
            </w:r>
            <w:r>
              <w:rPr>
                <w:rFonts w:hint="eastAsia"/>
                <w:b w:val="0"/>
                <w:bCs w:val="0"/>
                <w:color w:val="auto"/>
                <w:lang w:val="en-US" w:eastAsia="zh-CN"/>
              </w:rPr>
              <w:t>和</w:t>
            </w:r>
            <w:r>
              <w:rPr>
                <w:rFonts w:hint="default"/>
                <w:b w:val="0"/>
                <w:bCs w:val="0"/>
                <w:color w:val="auto"/>
                <w:lang w:val="en-US" w:eastAsia="zh-CN"/>
              </w:rPr>
              <w:t>来往人员公厕用水。</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①地面冲洗用水</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根据业主提供资料，加油棚地面冲洗约为每月</w:t>
            </w:r>
            <w:r>
              <w:rPr>
                <w:rFonts w:hint="eastAsia"/>
                <w:b w:val="0"/>
                <w:bCs w:val="0"/>
                <w:color w:val="auto"/>
                <w:lang w:val="en-US" w:eastAsia="zh-CN"/>
              </w:rPr>
              <w:t>一</w:t>
            </w:r>
            <w:r>
              <w:rPr>
                <w:rFonts w:hint="default"/>
                <w:b w:val="0"/>
                <w:bCs w:val="0"/>
                <w:color w:val="auto"/>
                <w:lang w:val="en-US" w:eastAsia="zh-CN"/>
              </w:rPr>
              <w:t>次(全年共计</w:t>
            </w:r>
            <w:r>
              <w:rPr>
                <w:rFonts w:hint="eastAsia"/>
                <w:b w:val="0"/>
                <w:bCs w:val="0"/>
                <w:color w:val="auto"/>
                <w:lang w:val="en-US" w:eastAsia="zh-CN"/>
              </w:rPr>
              <w:t>12</w:t>
            </w:r>
            <w:r>
              <w:rPr>
                <w:rFonts w:hint="default"/>
                <w:b w:val="0"/>
                <w:bCs w:val="0"/>
                <w:color w:val="auto"/>
                <w:lang w:val="en-US" w:eastAsia="zh-CN"/>
              </w:rPr>
              <w:t>次)，参照类比《建筑给水排水设计规范》(GB50015-2019)停车库地面冲洗水2～3L</w:t>
            </w:r>
            <w:r>
              <w:rPr>
                <w:rFonts w:hint="default" w:ascii="Calibri" w:hAnsi="Calibri" w:cs="Calibri"/>
                <w:b w:val="0"/>
                <w:bCs w:val="0"/>
                <w:color w:val="auto"/>
                <w:lang w:val="en-US" w:eastAsia="zh-CN"/>
              </w:rPr>
              <w:t>/</w:t>
            </w:r>
            <w:r>
              <w:rPr>
                <w:rFonts w:hint="default"/>
                <w:b w:val="0"/>
                <w:bCs w:val="0"/>
                <w:color w:val="auto"/>
                <w:lang w:val="en-US" w:eastAsia="zh-CN"/>
              </w:rPr>
              <w:t>m</w:t>
            </w:r>
            <w:r>
              <w:rPr>
                <w:rFonts w:hint="default"/>
                <w:b w:val="0"/>
                <w:bCs w:val="0"/>
                <w:color w:val="auto"/>
                <w:vertAlign w:val="superscript"/>
                <w:lang w:val="en-US" w:eastAsia="zh-CN"/>
              </w:rPr>
              <w:t>2</w:t>
            </w:r>
            <w:r>
              <w:rPr>
                <w:rFonts w:hint="default"/>
                <w:b w:val="0"/>
                <w:bCs w:val="0"/>
                <w:color w:val="auto"/>
                <w:lang w:val="en-US" w:eastAsia="zh-CN"/>
              </w:rPr>
              <w:t>•次，加油棚地面冲洗水取3L</w:t>
            </w:r>
            <w:r>
              <w:rPr>
                <w:rFonts w:hint="default" w:ascii="Calibri" w:hAnsi="Calibri" w:cs="Calibri"/>
                <w:b w:val="0"/>
                <w:bCs w:val="0"/>
                <w:color w:val="auto"/>
                <w:lang w:val="en-US" w:eastAsia="zh-CN"/>
              </w:rPr>
              <w:t>/</w:t>
            </w:r>
            <w:r>
              <w:rPr>
                <w:rFonts w:hint="default"/>
                <w:b w:val="0"/>
                <w:bCs w:val="0"/>
                <w:color w:val="auto"/>
                <w:lang w:val="en-US" w:eastAsia="zh-CN"/>
              </w:rPr>
              <w:t>m</w:t>
            </w:r>
            <w:r>
              <w:rPr>
                <w:rFonts w:hint="default"/>
                <w:b w:val="0"/>
                <w:bCs w:val="0"/>
                <w:color w:val="auto"/>
                <w:vertAlign w:val="superscript"/>
                <w:lang w:val="en-US" w:eastAsia="zh-CN"/>
              </w:rPr>
              <w:t>2</w:t>
            </w:r>
            <w:r>
              <w:rPr>
                <w:rFonts w:hint="default"/>
                <w:b w:val="0"/>
                <w:bCs w:val="0"/>
                <w:color w:val="auto"/>
                <w:lang w:val="en-US" w:eastAsia="zh-CN"/>
              </w:rPr>
              <w:t>•次，加油棚面积为472.5m</w:t>
            </w:r>
            <w:r>
              <w:rPr>
                <w:rFonts w:hint="default"/>
                <w:b w:val="0"/>
                <w:bCs w:val="0"/>
                <w:color w:val="auto"/>
                <w:vertAlign w:val="superscript"/>
                <w:lang w:val="en-US" w:eastAsia="zh-CN"/>
              </w:rPr>
              <w:t>2</w:t>
            </w:r>
            <w:r>
              <w:rPr>
                <w:rFonts w:hint="default"/>
                <w:b w:val="0"/>
                <w:bCs w:val="0"/>
                <w:color w:val="auto"/>
                <w:lang w:val="en-US" w:eastAsia="zh-CN"/>
              </w:rPr>
              <w:t>，</w:t>
            </w:r>
            <w:r>
              <w:rPr>
                <w:rFonts w:hint="eastAsia"/>
                <w:b w:val="0"/>
                <w:bCs w:val="0"/>
                <w:color w:val="auto"/>
                <w:lang w:val="en-US" w:eastAsia="zh-CN"/>
              </w:rPr>
              <w:t>则</w:t>
            </w:r>
            <w:r>
              <w:rPr>
                <w:rFonts w:hint="default"/>
                <w:b w:val="0"/>
                <w:bCs w:val="0"/>
                <w:color w:val="auto"/>
                <w:lang w:val="en-US" w:eastAsia="zh-CN"/>
              </w:rPr>
              <w:t>项目冲洗加油棚地面用水量约为</w:t>
            </w:r>
            <w:r>
              <w:rPr>
                <w:rFonts w:hint="eastAsia"/>
                <w:b w:val="0"/>
                <w:bCs w:val="0"/>
                <w:color w:val="auto"/>
                <w:lang w:val="en-US" w:eastAsia="zh-CN"/>
              </w:rPr>
              <w:t>17.01</w:t>
            </w:r>
            <w:r>
              <w:rPr>
                <w:rFonts w:hint="default"/>
                <w:b w:val="0"/>
                <w:bCs w:val="0"/>
                <w:color w:val="auto"/>
                <w:lang w:val="en-US" w:eastAsia="zh-CN"/>
              </w:rPr>
              <w:t>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a。</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②洗车用水</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根据业主提供资料，项目预计洗车数为10000台</w:t>
            </w:r>
            <w:r>
              <w:rPr>
                <w:rFonts w:hint="default" w:ascii="Calibri" w:hAnsi="Calibri" w:cs="Calibri"/>
                <w:b w:val="0"/>
                <w:bCs w:val="0"/>
                <w:color w:val="auto"/>
                <w:lang w:val="en-US" w:eastAsia="zh-CN"/>
              </w:rPr>
              <w:t>/</w:t>
            </w:r>
            <w:r>
              <w:rPr>
                <w:rFonts w:hint="default"/>
                <w:b w:val="0"/>
                <w:bCs w:val="0"/>
                <w:color w:val="auto"/>
                <w:lang w:val="en-US" w:eastAsia="zh-CN"/>
              </w:rPr>
              <w:t>年，根据《湖南省用水定额》(DB43</w:t>
            </w:r>
            <w:r>
              <w:rPr>
                <w:rFonts w:hint="default" w:ascii="Calibri" w:hAnsi="Calibri" w:cs="Calibri"/>
                <w:b w:val="0"/>
                <w:bCs w:val="0"/>
                <w:color w:val="auto"/>
                <w:lang w:val="en-US" w:eastAsia="zh-CN"/>
              </w:rPr>
              <w:t>/</w:t>
            </w:r>
            <w:r>
              <w:rPr>
                <w:rFonts w:hint="default"/>
                <w:b w:val="0"/>
                <w:bCs w:val="0"/>
                <w:color w:val="auto"/>
                <w:lang w:val="en-US" w:eastAsia="zh-CN"/>
              </w:rPr>
              <w:t>T388-2020)表3</w:t>
            </w:r>
            <w:r>
              <w:rPr>
                <w:rFonts w:hint="eastAsia"/>
                <w:b w:val="0"/>
                <w:bCs w:val="0"/>
                <w:color w:val="auto"/>
                <w:lang w:val="en-US" w:eastAsia="zh-CN"/>
              </w:rPr>
              <w:t>1中公共事业及公共建筑</w:t>
            </w:r>
            <w:r>
              <w:rPr>
                <w:rFonts w:hint="default"/>
                <w:b w:val="0"/>
                <w:bCs w:val="0"/>
                <w:color w:val="auto"/>
                <w:lang w:val="en-US" w:eastAsia="zh-CN"/>
              </w:rPr>
              <w:t>用水定额，</w:t>
            </w:r>
            <w:r>
              <w:rPr>
                <w:rFonts w:hint="eastAsia"/>
                <w:b w:val="0"/>
                <w:bCs w:val="0"/>
                <w:color w:val="auto"/>
                <w:lang w:val="en-US" w:eastAsia="zh-CN"/>
              </w:rPr>
              <w:t>汽车洗车用水量为0.04m</w:t>
            </w:r>
            <w:r>
              <w:rPr>
                <w:rFonts w:hint="eastAsia"/>
                <w:b w:val="0"/>
                <w:bCs w:val="0"/>
                <w:color w:val="auto"/>
                <w:vertAlign w:val="superscript"/>
                <w:lang w:val="en-US" w:eastAsia="zh-CN"/>
              </w:rPr>
              <w:t>3</w:t>
            </w:r>
            <w:r>
              <w:rPr>
                <w:rFonts w:hint="eastAsia" w:ascii="Calibri" w:hAnsi="Calibri" w:cs="Calibri"/>
                <w:b w:val="0"/>
                <w:bCs w:val="0"/>
                <w:color w:val="auto"/>
                <w:lang w:val="en-US" w:eastAsia="zh-CN"/>
              </w:rPr>
              <w:t>/</w:t>
            </w:r>
            <w:r>
              <w:rPr>
                <w:rFonts w:hint="eastAsia" w:asciiTheme="minorAscii"/>
                <w:b w:val="0"/>
                <w:bCs w:val="0"/>
                <w:color w:val="auto"/>
                <w:lang w:val="en-US" w:eastAsia="zh-CN"/>
              </w:rPr>
              <w:t>车</w:t>
            </w:r>
            <w:r>
              <w:rPr>
                <w:rFonts w:hint="default"/>
                <w:b w:val="0"/>
                <w:bCs w:val="0"/>
                <w:color w:val="auto"/>
                <w:lang w:val="en-US" w:eastAsia="zh-CN"/>
              </w:rPr>
              <w:t>•次，则洗车用水量</w:t>
            </w:r>
            <w:r>
              <w:rPr>
                <w:rFonts w:hint="eastAsia"/>
                <w:b w:val="0"/>
                <w:bCs w:val="0"/>
                <w:color w:val="auto"/>
                <w:lang w:val="en-US" w:eastAsia="zh-CN"/>
              </w:rPr>
              <w:t>为4</w:t>
            </w:r>
            <w:r>
              <w:rPr>
                <w:rFonts w:hint="default"/>
                <w:b w:val="0"/>
                <w:bCs w:val="0"/>
                <w:color w:val="auto"/>
                <w:lang w:val="en-US" w:eastAsia="zh-CN"/>
              </w:rPr>
              <w:t>00m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a。</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③职工生活用水和公厕用水</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A.职工生活用水</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根据建设单位介绍，项目定员4人，均不在站区食宿，根据《建筑给水排水设计规范》(GB50015-2019)，不住厂职工生活用水量取50L</w:t>
            </w:r>
            <w:r>
              <w:rPr>
                <w:rFonts w:hint="default" w:ascii="Calibri" w:hAnsi="Calibri" w:cs="Calibri"/>
                <w:b w:val="0"/>
                <w:bCs w:val="0"/>
                <w:color w:val="auto"/>
                <w:lang w:val="en-US" w:eastAsia="zh-CN"/>
              </w:rPr>
              <w:t>/</w:t>
            </w:r>
            <w:r>
              <w:rPr>
                <w:rFonts w:hint="default"/>
                <w:b w:val="0"/>
                <w:bCs w:val="0"/>
                <w:color w:val="auto"/>
                <w:lang w:val="en-US" w:eastAsia="zh-CN"/>
              </w:rPr>
              <w:t>d·人，则项目生活用水量0.2m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d，年总用量为73m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a。</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B.公厕用水</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根据《湖南省用水定额》(DB43</w:t>
            </w:r>
            <w:r>
              <w:rPr>
                <w:rFonts w:hint="default" w:ascii="Calibri" w:hAnsi="Calibri" w:cs="Calibri"/>
                <w:b w:val="0"/>
                <w:bCs w:val="0"/>
                <w:color w:val="auto"/>
                <w:lang w:val="en-US" w:eastAsia="zh-CN"/>
              </w:rPr>
              <w:t>/</w:t>
            </w:r>
            <w:r>
              <w:rPr>
                <w:rFonts w:hint="default"/>
                <w:b w:val="0"/>
                <w:bCs w:val="0"/>
                <w:color w:val="auto"/>
                <w:lang w:val="en-US" w:eastAsia="zh-CN"/>
              </w:rPr>
              <w:t>T388-2020)表32公共设施用水定额，公厕用水量按照10L</w:t>
            </w:r>
            <w:r>
              <w:rPr>
                <w:rFonts w:hint="default" w:ascii="Calibri" w:hAnsi="Calibri" w:cs="Calibri"/>
                <w:b w:val="0"/>
                <w:bCs w:val="0"/>
                <w:color w:val="auto"/>
                <w:lang w:val="en-US" w:eastAsia="zh-CN"/>
              </w:rPr>
              <w:t>/</w:t>
            </w:r>
            <w:r>
              <w:rPr>
                <w:rFonts w:hint="default"/>
                <w:b w:val="0"/>
                <w:bCs w:val="0"/>
                <w:color w:val="auto"/>
                <w:lang w:val="en-US" w:eastAsia="zh-CN"/>
              </w:rPr>
              <w:t>人•次计算，根据同类加油站项目类比，项目预计来往人员每天用公厕人数为2</w:t>
            </w:r>
            <w:r>
              <w:rPr>
                <w:rFonts w:hint="eastAsia"/>
                <w:b w:val="0"/>
                <w:bCs w:val="0"/>
                <w:color w:val="auto"/>
                <w:lang w:val="en-US" w:eastAsia="zh-CN"/>
              </w:rPr>
              <w:t>00</w:t>
            </w:r>
            <w:r>
              <w:rPr>
                <w:rFonts w:hint="default"/>
                <w:b w:val="0"/>
                <w:bCs w:val="0"/>
                <w:color w:val="auto"/>
                <w:lang w:val="en-US" w:eastAsia="zh-CN"/>
              </w:rPr>
              <w:t>人，每人用一次，</w:t>
            </w:r>
            <w:r>
              <w:rPr>
                <w:rFonts w:hint="eastAsia"/>
                <w:b w:val="0"/>
                <w:bCs w:val="0"/>
                <w:color w:val="auto"/>
                <w:lang w:val="en-US" w:eastAsia="zh-CN"/>
              </w:rPr>
              <w:t>则</w:t>
            </w:r>
            <w:r>
              <w:rPr>
                <w:rFonts w:hint="default"/>
                <w:b w:val="0"/>
                <w:bCs w:val="0"/>
                <w:color w:val="auto"/>
                <w:lang w:val="en-US" w:eastAsia="zh-CN"/>
              </w:rPr>
              <w:t>其用水量为2m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d(730m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a)。</w:t>
            </w:r>
          </w:p>
          <w:p>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（2）排水</w:t>
            </w:r>
          </w:p>
          <w:p>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本项目排水</w:t>
            </w:r>
            <w:r>
              <w:rPr>
                <w:rFonts w:hint="default"/>
                <w:b w:val="0"/>
                <w:bCs w:val="0"/>
                <w:color w:val="auto"/>
                <w:lang w:val="en-US" w:eastAsia="zh-CN"/>
              </w:rPr>
              <w:t>采用雨污分流制，</w:t>
            </w:r>
            <w:r>
              <w:rPr>
                <w:rFonts w:hint="eastAsia"/>
                <w:b w:val="0"/>
                <w:bCs w:val="0"/>
                <w:color w:val="auto"/>
                <w:lang w:val="en-US" w:eastAsia="zh-CN"/>
              </w:rPr>
              <w:t>项目废水主要为</w:t>
            </w:r>
            <w:r>
              <w:rPr>
                <w:rFonts w:hint="default"/>
                <w:b w:val="0"/>
                <w:bCs w:val="0"/>
                <w:color w:val="auto"/>
                <w:lang w:val="en-US" w:eastAsia="zh-CN"/>
              </w:rPr>
              <w:t>地面冲洗</w:t>
            </w:r>
            <w:r>
              <w:rPr>
                <w:rFonts w:hint="eastAsia"/>
                <w:b w:val="0"/>
                <w:bCs w:val="0"/>
                <w:color w:val="auto"/>
                <w:lang w:val="en-US" w:eastAsia="zh-CN"/>
              </w:rPr>
              <w:t>废</w:t>
            </w:r>
            <w:r>
              <w:rPr>
                <w:rFonts w:hint="default"/>
                <w:b w:val="0"/>
                <w:bCs w:val="0"/>
                <w:color w:val="auto"/>
                <w:lang w:val="en-US" w:eastAsia="zh-CN"/>
              </w:rPr>
              <w:t>水、洗车</w:t>
            </w:r>
            <w:r>
              <w:rPr>
                <w:rFonts w:hint="eastAsia"/>
                <w:b w:val="0"/>
                <w:bCs w:val="0"/>
                <w:color w:val="auto"/>
                <w:lang w:val="en-US" w:eastAsia="zh-CN"/>
              </w:rPr>
              <w:t>废</w:t>
            </w:r>
            <w:r>
              <w:rPr>
                <w:rFonts w:hint="default"/>
                <w:b w:val="0"/>
                <w:bCs w:val="0"/>
                <w:color w:val="auto"/>
                <w:lang w:val="en-US" w:eastAsia="zh-CN"/>
              </w:rPr>
              <w:t>水、员工生活</w:t>
            </w:r>
            <w:r>
              <w:rPr>
                <w:rFonts w:hint="eastAsia"/>
                <w:b w:val="0"/>
                <w:bCs w:val="0"/>
                <w:color w:val="auto"/>
                <w:lang w:val="en-US" w:eastAsia="zh-CN"/>
              </w:rPr>
              <w:t>污水和</w:t>
            </w:r>
            <w:r>
              <w:rPr>
                <w:rFonts w:hint="default"/>
                <w:b w:val="0"/>
                <w:bCs w:val="0"/>
                <w:color w:val="auto"/>
                <w:lang w:val="en-US" w:eastAsia="zh-CN"/>
              </w:rPr>
              <w:t>来往人员公厕</w:t>
            </w:r>
            <w:r>
              <w:rPr>
                <w:rFonts w:hint="eastAsia"/>
                <w:b w:val="0"/>
                <w:bCs w:val="0"/>
                <w:color w:val="auto"/>
                <w:lang w:val="en-US" w:eastAsia="zh-CN"/>
              </w:rPr>
              <w:t>污水</w:t>
            </w:r>
            <w:r>
              <w:rPr>
                <w:rFonts w:hint="default"/>
                <w:b w:val="0"/>
                <w:bCs w:val="0"/>
                <w:color w:val="auto"/>
                <w:lang w:val="en-US" w:eastAsia="zh-CN"/>
              </w:rPr>
              <w:t>。</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站内场地冲洗</w:t>
            </w:r>
            <w:r>
              <w:rPr>
                <w:rFonts w:hint="eastAsia"/>
                <w:b w:val="0"/>
                <w:bCs w:val="0"/>
                <w:color w:val="auto"/>
                <w:lang w:val="en-US" w:eastAsia="zh-CN"/>
              </w:rPr>
              <w:t>废</w:t>
            </w:r>
            <w:r>
              <w:rPr>
                <w:rFonts w:hint="default"/>
                <w:b w:val="0"/>
                <w:bCs w:val="0"/>
                <w:color w:val="auto"/>
                <w:lang w:val="en-US" w:eastAsia="zh-CN"/>
              </w:rPr>
              <w:t>水</w:t>
            </w:r>
            <w:r>
              <w:rPr>
                <w:rFonts w:hint="eastAsia"/>
                <w:b w:val="0"/>
                <w:bCs w:val="0"/>
                <w:color w:val="auto"/>
                <w:lang w:val="en-US" w:eastAsia="zh-CN"/>
              </w:rPr>
              <w:t>和</w:t>
            </w:r>
            <w:r>
              <w:rPr>
                <w:rFonts w:hint="default"/>
                <w:b w:val="0"/>
                <w:bCs w:val="0"/>
                <w:color w:val="auto"/>
                <w:lang w:val="en-US" w:eastAsia="zh-CN"/>
              </w:rPr>
              <w:t>洗车废水</w:t>
            </w:r>
            <w:r>
              <w:rPr>
                <w:rFonts w:hint="eastAsia"/>
                <w:b w:val="0"/>
                <w:bCs w:val="0"/>
                <w:color w:val="auto"/>
                <w:lang w:val="en-US" w:eastAsia="zh-CN"/>
              </w:rPr>
              <w:t>污水产生系数均按</w:t>
            </w:r>
            <w:r>
              <w:rPr>
                <w:rFonts w:hint="default"/>
                <w:b w:val="0"/>
                <w:bCs w:val="0"/>
                <w:color w:val="auto"/>
                <w:lang w:val="en-US" w:eastAsia="zh-CN"/>
              </w:rPr>
              <w:t>90%计算</w:t>
            </w:r>
            <w:r>
              <w:rPr>
                <w:rFonts w:hint="eastAsia"/>
                <w:b w:val="0"/>
                <w:bCs w:val="0"/>
                <w:color w:val="auto"/>
                <w:lang w:val="en-US" w:eastAsia="zh-CN"/>
              </w:rPr>
              <w:t>，则废水产生量分别为15.31</w:t>
            </w:r>
            <w:r>
              <w:rPr>
                <w:rFonts w:hint="default"/>
                <w:b w:val="0"/>
                <w:bCs w:val="0"/>
                <w:color w:val="auto"/>
                <w:lang w:val="en-US" w:eastAsia="zh-CN"/>
              </w:rPr>
              <w:t>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a</w:t>
            </w:r>
            <w:r>
              <w:rPr>
                <w:rFonts w:hint="eastAsia"/>
                <w:b w:val="0"/>
                <w:bCs w:val="0"/>
                <w:color w:val="auto"/>
                <w:lang w:val="en-US" w:eastAsia="zh-CN"/>
              </w:rPr>
              <w:t>和36</w:t>
            </w:r>
            <w:r>
              <w:rPr>
                <w:rFonts w:hint="default"/>
                <w:b w:val="0"/>
                <w:bCs w:val="0"/>
                <w:color w:val="auto"/>
                <w:lang w:val="en-US" w:eastAsia="zh-CN"/>
              </w:rPr>
              <w:t>0m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a</w:t>
            </w:r>
            <w:r>
              <w:rPr>
                <w:rFonts w:hint="eastAsia"/>
                <w:b w:val="0"/>
                <w:bCs w:val="0"/>
                <w:color w:val="auto"/>
                <w:lang w:val="en-US" w:eastAsia="zh-CN"/>
              </w:rPr>
              <w:t>，经</w:t>
            </w:r>
            <w:r>
              <w:rPr>
                <w:rFonts w:hint="default"/>
                <w:b w:val="0"/>
                <w:bCs w:val="0"/>
                <w:color w:val="auto"/>
                <w:lang w:val="en-US" w:eastAsia="zh-CN"/>
              </w:rPr>
              <w:t>隔油池预处理后</w:t>
            </w:r>
            <w:r>
              <w:rPr>
                <w:rFonts w:hint="eastAsia"/>
                <w:b w:val="0"/>
                <w:bCs w:val="0"/>
                <w:color w:val="auto"/>
                <w:lang w:val="en-US" w:eastAsia="zh-CN"/>
              </w:rPr>
              <w:t>通过</w:t>
            </w:r>
            <w:r>
              <w:rPr>
                <w:rFonts w:hint="default"/>
                <w:b w:val="0"/>
                <w:bCs w:val="0"/>
                <w:color w:val="auto"/>
                <w:lang w:val="en-US" w:eastAsia="zh-CN"/>
              </w:rPr>
              <w:t>市政污水管网</w:t>
            </w:r>
            <w:r>
              <w:rPr>
                <w:rFonts w:hint="eastAsia"/>
                <w:b w:val="0"/>
                <w:bCs w:val="0"/>
                <w:color w:val="auto"/>
                <w:lang w:val="en-US" w:eastAsia="zh-CN"/>
              </w:rPr>
              <w:t>引至松木污水处理厂处理；</w:t>
            </w:r>
            <w:r>
              <w:rPr>
                <w:rFonts w:hint="default"/>
                <w:b w:val="0"/>
                <w:bCs w:val="0"/>
                <w:color w:val="auto"/>
                <w:lang w:val="en-US" w:eastAsia="zh-CN"/>
              </w:rPr>
              <w:t>员工生活</w:t>
            </w:r>
            <w:r>
              <w:rPr>
                <w:rFonts w:hint="eastAsia"/>
                <w:b w:val="0"/>
                <w:bCs w:val="0"/>
                <w:color w:val="auto"/>
                <w:lang w:val="en-US" w:eastAsia="zh-CN"/>
              </w:rPr>
              <w:t>污水和</w:t>
            </w:r>
            <w:r>
              <w:rPr>
                <w:rFonts w:hint="default"/>
                <w:b w:val="0"/>
                <w:bCs w:val="0"/>
                <w:color w:val="auto"/>
                <w:lang w:val="en-US" w:eastAsia="zh-CN"/>
              </w:rPr>
              <w:t>来往人员公厕</w:t>
            </w:r>
            <w:r>
              <w:rPr>
                <w:rFonts w:hint="eastAsia"/>
                <w:b w:val="0"/>
                <w:bCs w:val="0"/>
                <w:color w:val="auto"/>
                <w:lang w:val="en-US" w:eastAsia="zh-CN"/>
              </w:rPr>
              <w:t>污水产生系数均按</w:t>
            </w:r>
            <w:r>
              <w:rPr>
                <w:rFonts w:hint="default"/>
                <w:b w:val="0"/>
                <w:bCs w:val="0"/>
                <w:color w:val="auto"/>
                <w:lang w:val="en-US" w:eastAsia="zh-CN"/>
              </w:rPr>
              <w:t>80%计算</w:t>
            </w:r>
            <w:r>
              <w:rPr>
                <w:rFonts w:hint="eastAsia"/>
                <w:b w:val="0"/>
                <w:bCs w:val="0"/>
                <w:color w:val="auto"/>
                <w:lang w:val="en-US" w:eastAsia="zh-CN"/>
              </w:rPr>
              <w:t>，则废水产生量分别为</w:t>
            </w:r>
            <w:r>
              <w:rPr>
                <w:rFonts w:hint="default"/>
                <w:b w:val="0"/>
                <w:bCs w:val="0"/>
                <w:color w:val="auto"/>
                <w:lang w:val="en-US" w:eastAsia="zh-CN"/>
              </w:rPr>
              <w:t>0.16m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eastAsia" w:asciiTheme="minorAscii"/>
                <w:b w:val="0"/>
                <w:bCs w:val="0"/>
                <w:color w:val="auto"/>
                <w:lang w:val="en-US" w:eastAsia="zh-CN"/>
              </w:rPr>
              <w:t>d</w:t>
            </w:r>
            <w:r>
              <w:rPr>
                <w:rFonts w:hint="default"/>
                <w:b w:val="0"/>
                <w:bCs w:val="0"/>
                <w:color w:val="auto"/>
                <w:lang w:val="en-US" w:eastAsia="zh-CN"/>
              </w:rPr>
              <w:t>(58.4m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a)</w:t>
            </w:r>
            <w:r>
              <w:rPr>
                <w:rFonts w:hint="eastAsia"/>
                <w:b w:val="0"/>
                <w:bCs w:val="0"/>
                <w:color w:val="auto"/>
                <w:lang w:val="en-US" w:eastAsia="zh-CN"/>
              </w:rPr>
              <w:t>和</w:t>
            </w:r>
            <w:r>
              <w:rPr>
                <w:rFonts w:hint="default"/>
                <w:b w:val="0"/>
                <w:bCs w:val="0"/>
                <w:color w:val="auto"/>
                <w:lang w:val="en-US" w:eastAsia="zh-CN"/>
              </w:rPr>
              <w:t>1.6m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d(584m</w:t>
            </w:r>
            <w:r>
              <w:rPr>
                <w:rFonts w:hint="eastAsia"/>
                <w:b w:val="0"/>
                <w:bCs w:val="0"/>
                <w:color w:val="auto"/>
                <w:vertAlign w:val="superscript"/>
                <w:lang w:val="en-US" w:eastAsia="zh-CN"/>
              </w:rPr>
              <w:t>3</w:t>
            </w:r>
            <w:r>
              <w:rPr>
                <w:rFonts w:hint="default" w:ascii="Calibri" w:hAnsi="Calibri" w:cs="Calibri"/>
                <w:b w:val="0"/>
                <w:bCs w:val="0"/>
                <w:color w:val="auto"/>
                <w:lang w:val="en-US" w:eastAsia="zh-CN"/>
              </w:rPr>
              <w:t>/</w:t>
            </w:r>
            <w:r>
              <w:rPr>
                <w:rFonts w:hint="default"/>
                <w:b w:val="0"/>
                <w:bCs w:val="0"/>
                <w:color w:val="auto"/>
                <w:lang w:val="en-US" w:eastAsia="zh-CN"/>
              </w:rPr>
              <w:t>a)</w:t>
            </w:r>
            <w:r>
              <w:rPr>
                <w:rFonts w:hint="eastAsia"/>
                <w:b w:val="0"/>
                <w:bCs w:val="0"/>
                <w:color w:val="auto"/>
                <w:lang w:val="en-US" w:eastAsia="zh-CN"/>
              </w:rPr>
              <w:t>，</w:t>
            </w:r>
            <w:r>
              <w:rPr>
                <w:rFonts w:hint="default"/>
                <w:b w:val="0"/>
                <w:bCs w:val="0"/>
                <w:color w:val="auto"/>
                <w:lang w:val="en-US" w:eastAsia="zh-CN"/>
              </w:rPr>
              <w:t>经化粪池预处理后</w:t>
            </w:r>
            <w:r>
              <w:rPr>
                <w:rFonts w:hint="eastAsia"/>
                <w:b w:val="0"/>
                <w:bCs w:val="0"/>
                <w:color w:val="auto"/>
                <w:lang w:val="en-US" w:eastAsia="zh-CN"/>
              </w:rPr>
              <w:t>通过</w:t>
            </w:r>
            <w:r>
              <w:rPr>
                <w:rFonts w:hint="default"/>
                <w:b w:val="0"/>
                <w:bCs w:val="0"/>
                <w:color w:val="auto"/>
                <w:lang w:val="en-US" w:eastAsia="zh-CN"/>
              </w:rPr>
              <w:t>市政污水管网</w:t>
            </w:r>
            <w:r>
              <w:rPr>
                <w:rFonts w:hint="eastAsia"/>
                <w:b w:val="0"/>
                <w:bCs w:val="0"/>
                <w:color w:val="auto"/>
                <w:lang w:val="en-US" w:eastAsia="zh-CN"/>
              </w:rPr>
              <w:t>引至松木污水处理厂处理</w:t>
            </w:r>
            <w:r>
              <w:rPr>
                <w:rFonts w:hint="default"/>
                <w:b w:val="0"/>
                <w:bCs w:val="0"/>
                <w:color w:val="auto"/>
                <w:lang w:val="en-US" w:eastAsia="zh-CN"/>
              </w:rPr>
              <w:t>。</w:t>
            </w:r>
          </w:p>
          <w:p>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项目给排水量</w:t>
            </w:r>
            <w:r>
              <w:rPr>
                <w:rFonts w:hint="eastAsia"/>
                <w:b w:val="0"/>
                <w:bCs w:val="0"/>
                <w:color w:val="auto"/>
                <w:lang w:val="en-US" w:eastAsia="zh-CN"/>
              </w:rPr>
              <w:t>情况详</w:t>
            </w:r>
            <w:r>
              <w:rPr>
                <w:rFonts w:hint="default"/>
                <w:b w:val="0"/>
                <w:bCs w:val="0"/>
                <w:color w:val="auto"/>
                <w:lang w:val="en-US" w:eastAsia="zh-CN"/>
              </w:rPr>
              <w:t>见表2-</w:t>
            </w:r>
            <w:r>
              <w:rPr>
                <w:rFonts w:hint="default"/>
                <w:b w:val="0"/>
                <w:bCs w:val="0"/>
                <w:color w:val="auto"/>
                <w:lang w:eastAsia="zh-CN"/>
              </w:rPr>
              <w:fldChar w:fldCharType="begin"/>
            </w:r>
            <w:r>
              <w:rPr>
                <w:rFonts w:hint="default"/>
                <w:b w:val="0"/>
                <w:bCs w:val="0"/>
                <w:color w:val="auto"/>
                <w:lang w:eastAsia="zh-CN"/>
              </w:rPr>
              <w:instrText xml:space="preserve"> SEQ 2- \* MERGEFORMAT </w:instrText>
            </w:r>
            <w:r>
              <w:rPr>
                <w:rFonts w:hint="default"/>
                <w:b w:val="0"/>
                <w:bCs w:val="0"/>
                <w:color w:val="auto"/>
                <w:lang w:eastAsia="zh-CN"/>
              </w:rPr>
              <w:fldChar w:fldCharType="separate"/>
            </w:r>
            <w:r>
              <w:rPr>
                <w:rFonts w:hint="default"/>
                <w:b w:val="0"/>
                <w:bCs w:val="0"/>
                <w:color w:val="auto"/>
                <w:lang w:eastAsia="zh-CN"/>
              </w:rPr>
              <w:t>8</w:t>
            </w:r>
            <w:r>
              <w:rPr>
                <w:rFonts w:hint="default"/>
                <w:b w:val="0"/>
                <w:bCs w:val="0"/>
                <w:color w:val="auto"/>
                <w:lang w:eastAsia="zh-CN"/>
              </w:rPr>
              <w:fldChar w:fldCharType="end"/>
            </w:r>
            <w:r>
              <w:rPr>
                <w:rFonts w:hint="default"/>
                <w:b w:val="0"/>
                <w:bCs w:val="0"/>
                <w:color w:val="auto"/>
                <w:lang w:val="en-US" w:eastAsia="zh-CN"/>
              </w:rPr>
              <w:t>。项目水平衡图详见</w:t>
            </w:r>
            <w:r>
              <w:rPr>
                <w:rFonts w:hint="eastAsia" w:ascii="宋体" w:hAnsi="宋体" w:eastAsia="宋体" w:cs="宋体"/>
                <w:b w:val="0"/>
                <w:bCs w:val="0"/>
                <w:color w:val="auto"/>
                <w:sz w:val="24"/>
                <w:szCs w:val="24"/>
                <w:lang w:val="en-US" w:eastAsia="zh-CN"/>
              </w:rPr>
              <w:t>图</w:t>
            </w:r>
            <w:r>
              <w:rPr>
                <w:rFonts w:hint="eastAsia"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1</w:t>
            </w:r>
            <w:r>
              <w:rPr>
                <w:rFonts w:hint="default"/>
                <w:b w:val="0"/>
                <w:bCs w:val="0"/>
                <w:color w:val="auto"/>
                <w:lang w:val="en-US" w:eastAsia="zh-CN"/>
              </w:rPr>
              <w:t>。</w:t>
            </w:r>
          </w:p>
          <w:p>
            <w:pPr>
              <w:numPr>
                <w:ilvl w:val="0"/>
                <w:numId w:val="0"/>
              </w:numPr>
              <w:bidi w:val="0"/>
              <w:spacing w:line="240" w:lineRule="auto"/>
              <w:jc w:val="center"/>
              <w:rPr>
                <w:rFonts w:hint="default"/>
                <w:b/>
                <w:bCs/>
                <w:color w:val="auto"/>
                <w:lang w:val="en-US" w:eastAsia="zh-CN"/>
              </w:rPr>
            </w:pPr>
            <w:r>
              <w:rPr>
                <w:rFonts w:hint="default"/>
                <w:b/>
                <w:bCs/>
                <w:color w:val="auto"/>
                <w:lang w:val="en-US" w:eastAsia="zh-CN"/>
              </w:rPr>
              <w:t>表2-</w:t>
            </w:r>
            <w:r>
              <w:rPr>
                <w:rFonts w:hint="default"/>
                <w:b/>
                <w:bCs/>
                <w:color w:val="auto"/>
                <w:lang w:eastAsia="zh-CN"/>
              </w:rPr>
              <w:fldChar w:fldCharType="begin"/>
            </w:r>
            <w:r>
              <w:rPr>
                <w:rFonts w:hint="default"/>
                <w:b/>
                <w:bCs/>
                <w:color w:val="auto"/>
                <w:lang w:eastAsia="zh-CN"/>
              </w:rPr>
              <w:instrText xml:space="preserve"> SEQ 表2- </w:instrText>
            </w:r>
            <w:r>
              <w:rPr>
                <w:rFonts w:hint="default"/>
                <w:b/>
                <w:bCs/>
                <w:color w:val="auto"/>
                <w:lang w:eastAsia="zh-CN"/>
              </w:rPr>
              <w:fldChar w:fldCharType="separate"/>
            </w:r>
            <w:r>
              <w:rPr>
                <w:rFonts w:hint="default"/>
                <w:b/>
                <w:bCs/>
                <w:color w:val="auto"/>
                <w:lang w:eastAsia="zh-CN"/>
              </w:rPr>
              <w:t>8</w:t>
            </w:r>
            <w:r>
              <w:rPr>
                <w:rFonts w:hint="default"/>
                <w:b/>
                <w:bCs/>
                <w:color w:val="auto"/>
                <w:lang w:eastAsia="zh-CN"/>
              </w:rPr>
              <w:fldChar w:fldCharType="end"/>
            </w:r>
            <w:r>
              <w:rPr>
                <w:rFonts w:hint="eastAsia"/>
                <w:b/>
                <w:bCs/>
                <w:color w:val="auto"/>
                <w:lang w:val="en-US" w:eastAsia="zh-CN"/>
              </w:rPr>
              <w:t xml:space="preserve">  </w:t>
            </w:r>
            <w:r>
              <w:rPr>
                <w:rFonts w:hint="default"/>
                <w:b/>
                <w:bCs/>
                <w:color w:val="auto"/>
                <w:lang w:val="en-US" w:eastAsia="zh-CN"/>
              </w:rPr>
              <w:t>项目用水排水量一览标</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1265"/>
              <w:gridCol w:w="1265"/>
              <w:gridCol w:w="1265"/>
              <w:gridCol w:w="1266"/>
              <w:gridCol w:w="1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名称</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用水标准</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日用水量</w:t>
                  </w:r>
                  <w:r>
                    <w:rPr>
                      <w:rFonts w:hint="default" w:eastAsia="宋体"/>
                      <w:b w:val="0"/>
                      <w:bCs w:val="0"/>
                      <w:color w:val="auto"/>
                      <w:sz w:val="21"/>
                      <w:szCs w:val="21"/>
                      <w:vertAlign w:val="baseline"/>
                      <w:lang w:val="en-US" w:eastAsia="zh-CN"/>
                    </w:rPr>
                    <w:t>（</w:t>
                  </w:r>
                  <w:r>
                    <w:rPr>
                      <w:rFonts w:hint="eastAsia"/>
                      <w:b w:val="0"/>
                      <w:bCs w:val="0"/>
                      <w:color w:val="auto"/>
                      <w:sz w:val="21"/>
                      <w:szCs w:val="21"/>
                      <w:vertAlign w:val="baseline"/>
                      <w:lang w:val="en-US" w:eastAsia="zh-CN"/>
                    </w:rPr>
                    <w:t>m</w:t>
                  </w:r>
                  <w:r>
                    <w:rPr>
                      <w:rFonts w:hint="eastAsia"/>
                      <w:b w:val="0"/>
                      <w:bCs w:val="0"/>
                      <w:color w:val="auto"/>
                      <w:sz w:val="21"/>
                      <w:szCs w:val="21"/>
                      <w:vertAlign w:val="superscript"/>
                      <w:lang w:val="en-US" w:eastAsia="zh-CN"/>
                    </w:rPr>
                    <w:t>3</w:t>
                  </w:r>
                  <w:r>
                    <w:rPr>
                      <w:rFonts w:hint="default" w:ascii="Calibri" w:hAnsi="Calibri" w:eastAsia="宋体" w:cs="Calibri"/>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d</w:t>
                  </w:r>
                  <w:r>
                    <w:rPr>
                      <w:rFonts w:hint="default" w:eastAsia="宋体"/>
                      <w:b w:val="0"/>
                      <w:bCs w:val="0"/>
                      <w:color w:val="auto"/>
                      <w:sz w:val="21"/>
                      <w:szCs w:val="21"/>
                      <w:vertAlign w:val="baseline"/>
                      <w:lang w:val="en-US" w:eastAsia="zh-CN"/>
                    </w:rPr>
                    <w:t>）</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年用水量（</w:t>
                  </w:r>
                  <w:r>
                    <w:rPr>
                      <w:rFonts w:hint="eastAsia"/>
                      <w:b w:val="0"/>
                      <w:bCs w:val="0"/>
                      <w:color w:val="auto"/>
                      <w:sz w:val="21"/>
                      <w:szCs w:val="21"/>
                      <w:vertAlign w:val="baseline"/>
                      <w:lang w:val="en-US" w:eastAsia="zh-CN"/>
                    </w:rPr>
                    <w:t>m</w:t>
                  </w:r>
                  <w:r>
                    <w:rPr>
                      <w:rFonts w:hint="eastAsia"/>
                      <w:b w:val="0"/>
                      <w:bCs w:val="0"/>
                      <w:color w:val="auto"/>
                      <w:sz w:val="21"/>
                      <w:szCs w:val="21"/>
                      <w:vertAlign w:val="superscript"/>
                      <w:lang w:val="en-US" w:eastAsia="zh-CN"/>
                    </w:rPr>
                    <w:t>3</w:t>
                  </w:r>
                  <w:r>
                    <w:rPr>
                      <w:rFonts w:hint="default" w:ascii="Calibri" w:hAnsi="Calibri" w:eastAsia="宋体" w:cs="Calibri"/>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a）</w:t>
                  </w:r>
                </w:p>
              </w:tc>
              <w:tc>
                <w:tcPr>
                  <w:tcW w:w="1266"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日排水量（</w:t>
                  </w:r>
                  <w:r>
                    <w:rPr>
                      <w:rFonts w:hint="eastAsia"/>
                      <w:b w:val="0"/>
                      <w:bCs w:val="0"/>
                      <w:color w:val="auto"/>
                      <w:sz w:val="21"/>
                      <w:szCs w:val="21"/>
                      <w:vertAlign w:val="baseline"/>
                      <w:lang w:val="en-US" w:eastAsia="zh-CN"/>
                    </w:rPr>
                    <w:t>m</w:t>
                  </w:r>
                  <w:r>
                    <w:rPr>
                      <w:rFonts w:hint="eastAsia"/>
                      <w:b w:val="0"/>
                      <w:bCs w:val="0"/>
                      <w:color w:val="auto"/>
                      <w:sz w:val="21"/>
                      <w:szCs w:val="21"/>
                      <w:vertAlign w:val="superscript"/>
                      <w:lang w:val="en-US" w:eastAsia="zh-CN"/>
                    </w:rPr>
                    <w:t>3</w:t>
                  </w:r>
                  <w:r>
                    <w:rPr>
                      <w:rFonts w:hint="default" w:ascii="Calibri" w:hAnsi="Calibri" w:eastAsia="宋体" w:cs="Calibri"/>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d）</w:t>
                  </w:r>
                </w:p>
              </w:tc>
              <w:tc>
                <w:tcPr>
                  <w:tcW w:w="126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年排水量（</w:t>
                  </w:r>
                  <w:r>
                    <w:rPr>
                      <w:rFonts w:hint="eastAsia"/>
                      <w:b w:val="0"/>
                      <w:bCs w:val="0"/>
                      <w:color w:val="auto"/>
                      <w:sz w:val="21"/>
                      <w:szCs w:val="21"/>
                      <w:vertAlign w:val="baseline"/>
                      <w:lang w:val="en-US" w:eastAsia="zh-CN"/>
                    </w:rPr>
                    <w:t>m</w:t>
                  </w:r>
                  <w:r>
                    <w:rPr>
                      <w:rFonts w:hint="eastAsia"/>
                      <w:b w:val="0"/>
                      <w:bCs w:val="0"/>
                      <w:color w:val="auto"/>
                      <w:sz w:val="21"/>
                      <w:szCs w:val="21"/>
                      <w:vertAlign w:val="superscript"/>
                      <w:lang w:val="en-US" w:eastAsia="zh-CN"/>
                    </w:rPr>
                    <w:t>3</w:t>
                  </w:r>
                  <w:r>
                    <w:rPr>
                      <w:rFonts w:hint="default" w:ascii="Calibri" w:hAnsi="Calibri" w:eastAsia="宋体" w:cs="Calibri"/>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地面冲洗水</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3L</w:t>
                  </w:r>
                  <w:r>
                    <w:rPr>
                      <w:rFonts w:hint="default" w:ascii="Calibri" w:hAnsi="Calibri" w:eastAsia="宋体" w:cs="Calibri"/>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m</w:t>
                  </w:r>
                  <w:r>
                    <w:rPr>
                      <w:rFonts w:hint="eastAsia" w:eastAsia="宋体"/>
                      <w:b w:val="0"/>
                      <w:bCs w:val="0"/>
                      <w:color w:val="auto"/>
                      <w:sz w:val="21"/>
                      <w:szCs w:val="21"/>
                      <w:vertAlign w:val="superscript"/>
                      <w:lang w:val="en-US" w:eastAsia="zh-CN"/>
                    </w:rPr>
                    <w:t>2</w:t>
                  </w:r>
                  <w:r>
                    <w:rPr>
                      <w:rFonts w:hint="eastAsia" w:eastAsia="宋体"/>
                      <w:b w:val="0"/>
                      <w:bCs w:val="0"/>
                      <w:color w:val="auto"/>
                      <w:sz w:val="21"/>
                      <w:szCs w:val="21"/>
                      <w:vertAlign w:val="baseline"/>
                      <w:lang w:val="en-US" w:eastAsia="zh-CN"/>
                    </w:rPr>
                    <w:t>•次</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17.01</w:t>
                  </w:r>
                </w:p>
              </w:tc>
              <w:tc>
                <w:tcPr>
                  <w:tcW w:w="1266"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26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洗车用水</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0.04m</w:t>
                  </w:r>
                  <w:r>
                    <w:rPr>
                      <w:rFonts w:hint="eastAsia" w:eastAsia="宋体"/>
                      <w:b w:val="0"/>
                      <w:bCs w:val="0"/>
                      <w:color w:val="auto"/>
                      <w:sz w:val="21"/>
                      <w:szCs w:val="21"/>
                      <w:vertAlign w:val="superscript"/>
                      <w:lang w:val="en-US" w:eastAsia="zh-CN"/>
                    </w:rPr>
                    <w:t>3</w:t>
                  </w:r>
                  <w:r>
                    <w:rPr>
                      <w:rFonts w:hint="eastAsia" w:ascii="Calibri" w:hAnsi="Calibri" w:eastAsia="宋体" w:cs="Calibri"/>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车•次</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1.10</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4</w:t>
                  </w:r>
                  <w:r>
                    <w:rPr>
                      <w:rFonts w:hint="eastAsia" w:eastAsia="宋体"/>
                      <w:b w:val="0"/>
                      <w:bCs w:val="0"/>
                      <w:color w:val="auto"/>
                      <w:sz w:val="21"/>
                      <w:szCs w:val="21"/>
                      <w:vertAlign w:val="baseline"/>
                      <w:lang w:val="en-US" w:eastAsia="zh-CN"/>
                    </w:rPr>
                    <w:t>00</w:t>
                  </w:r>
                </w:p>
              </w:tc>
              <w:tc>
                <w:tcPr>
                  <w:tcW w:w="1266"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0.99</w:t>
                  </w:r>
                </w:p>
              </w:tc>
              <w:tc>
                <w:tcPr>
                  <w:tcW w:w="126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职工生活用水</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50L</w:t>
                  </w:r>
                  <w:r>
                    <w:rPr>
                      <w:rFonts w:hint="default" w:ascii="Calibri" w:hAnsi="Calibri" w:eastAsia="宋体" w:cs="Calibri"/>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d·人</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0</w:t>
                  </w:r>
                  <w:r>
                    <w:rPr>
                      <w:rFonts w:hint="default" w:eastAsia="宋体"/>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2</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73</w:t>
                  </w:r>
                </w:p>
              </w:tc>
              <w:tc>
                <w:tcPr>
                  <w:tcW w:w="1266"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0</w:t>
                  </w:r>
                  <w:r>
                    <w:rPr>
                      <w:rFonts w:hint="default" w:eastAsia="宋体"/>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16</w:t>
                  </w:r>
                </w:p>
              </w:tc>
              <w:tc>
                <w:tcPr>
                  <w:tcW w:w="126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58</w:t>
                  </w:r>
                  <w:r>
                    <w:rPr>
                      <w:rFonts w:hint="default" w:eastAsia="宋体"/>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公厕用水</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10L</w:t>
                  </w:r>
                  <w:r>
                    <w:rPr>
                      <w:rFonts w:hint="default" w:ascii="Calibri" w:hAnsi="Calibri" w:eastAsia="宋体" w:cs="Calibri"/>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人•次</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2</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730</w:t>
                  </w:r>
                </w:p>
              </w:tc>
              <w:tc>
                <w:tcPr>
                  <w:tcW w:w="1266"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1</w:t>
                  </w:r>
                  <w:r>
                    <w:rPr>
                      <w:rFonts w:hint="default" w:eastAsia="宋体"/>
                      <w:b w:val="0"/>
                      <w:bCs w:val="0"/>
                      <w:color w:val="auto"/>
                      <w:sz w:val="21"/>
                      <w:szCs w:val="21"/>
                      <w:vertAlign w:val="baseline"/>
                      <w:lang w:val="en-US" w:eastAsia="zh-CN"/>
                    </w:rPr>
                    <w:t>.</w:t>
                  </w:r>
                  <w:r>
                    <w:rPr>
                      <w:rFonts w:hint="eastAsia" w:eastAsia="宋体"/>
                      <w:b w:val="0"/>
                      <w:bCs w:val="0"/>
                      <w:color w:val="auto"/>
                      <w:sz w:val="21"/>
                      <w:szCs w:val="21"/>
                      <w:vertAlign w:val="baseline"/>
                      <w:lang w:val="en-US" w:eastAsia="zh-CN"/>
                    </w:rPr>
                    <w:t>6</w:t>
                  </w:r>
                </w:p>
              </w:tc>
              <w:tc>
                <w:tcPr>
                  <w:tcW w:w="126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eastAsia="宋体"/>
                      <w:b w:val="0"/>
                      <w:bCs w:val="0"/>
                      <w:color w:val="auto"/>
                      <w:sz w:val="21"/>
                      <w:szCs w:val="21"/>
                      <w:vertAlign w:val="baseline"/>
                      <w:lang w:val="en-US" w:eastAsia="zh-CN"/>
                    </w:rPr>
                    <w:t>合计</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ascii="Calibri" w:hAnsi="Calibri" w:eastAsia="宋体" w:cs="Calibri"/>
                      <w:b w:val="0"/>
                      <w:bCs w:val="0"/>
                      <w:color w:val="auto"/>
                      <w:sz w:val="21"/>
                      <w:szCs w:val="21"/>
                      <w:vertAlign w:val="baseline"/>
                      <w:lang w:val="en-US" w:eastAsia="zh-CN"/>
                    </w:rPr>
                    <w:t>/</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265"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1220.01</w:t>
                  </w:r>
                </w:p>
              </w:tc>
              <w:tc>
                <w:tcPr>
                  <w:tcW w:w="1266"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26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1017</w:t>
                  </w:r>
                  <w:r>
                    <w:rPr>
                      <w:rFonts w:hint="default" w:eastAsia="宋体"/>
                      <w:b w:val="0"/>
                      <w:bCs w:val="0"/>
                      <w:color w:val="auto"/>
                      <w:sz w:val="21"/>
                      <w:szCs w:val="21"/>
                      <w:vertAlign w:val="baseline"/>
                      <w:lang w:val="en-US" w:eastAsia="zh-CN"/>
                    </w:rPr>
                    <w:t>.</w:t>
                  </w:r>
                  <w:r>
                    <w:rPr>
                      <w:rFonts w:hint="eastAsia"/>
                      <w:b w:val="0"/>
                      <w:bCs w:val="0"/>
                      <w:color w:val="auto"/>
                      <w:sz w:val="21"/>
                      <w:szCs w:val="21"/>
                      <w:vertAlign w:val="baseline"/>
                      <w:lang w:val="en-US" w:eastAsia="zh-CN"/>
                    </w:rPr>
                    <w:t>71</w:t>
                  </w:r>
                </w:p>
              </w:tc>
            </w:tr>
          </w:tbl>
          <w:p>
            <w:pPr>
              <w:numPr>
                <w:ilvl w:val="0"/>
                <w:numId w:val="0"/>
              </w:numPr>
              <w:bidi w:val="0"/>
              <w:rPr>
                <w:rFonts w:hint="default"/>
                <w:b w:val="0"/>
                <w:bCs w:val="0"/>
                <w:lang w:val="en-US" w:eastAsia="zh-CN"/>
              </w:rPr>
            </w:pPr>
          </w:p>
          <w:p>
            <w:pPr>
              <w:numPr>
                <w:ilvl w:val="0"/>
                <w:numId w:val="0"/>
              </w:numPr>
              <w:bidi w:val="0"/>
              <w:rPr>
                <w:rFonts w:hint="default"/>
                <w:b w:val="0"/>
                <w:bCs w:val="0"/>
                <w:lang w:val="en-US" w:eastAsia="zh-CN"/>
              </w:rPr>
            </w:pPr>
          </w:p>
          <w:p>
            <w:pPr>
              <w:numPr>
                <w:ilvl w:val="0"/>
                <w:numId w:val="0"/>
              </w:numPr>
              <w:bidi w:val="0"/>
              <w:rPr>
                <w:rFonts w:hint="default"/>
                <w:b w:val="0"/>
                <w:bCs w:val="0"/>
                <w:lang w:val="en-US" w:eastAsia="zh-CN"/>
              </w:rPr>
            </w:pPr>
          </w:p>
          <w:p>
            <w:pPr>
              <w:numPr>
                <w:ilvl w:val="0"/>
                <w:numId w:val="0"/>
              </w:numPr>
              <w:bidi w:val="0"/>
              <w:rPr>
                <w:rFonts w:hint="default"/>
                <w:b w:val="0"/>
                <w:bCs w:val="0"/>
                <w:lang w:val="en-US" w:eastAsia="zh-CN"/>
              </w:rPr>
            </w:pPr>
            <w:r>
              <w:drawing>
                <wp:inline distT="0" distB="0" distL="114300" distR="114300">
                  <wp:extent cx="4816475" cy="3517900"/>
                  <wp:effectExtent l="0" t="0" r="3175" b="635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0"/>
                          <a:stretch>
                            <a:fillRect/>
                          </a:stretch>
                        </pic:blipFill>
                        <pic:spPr>
                          <a:xfrm>
                            <a:off x="0" y="0"/>
                            <a:ext cx="4816475" cy="3517900"/>
                          </a:xfrm>
                          <a:prstGeom prst="rect">
                            <a:avLst/>
                          </a:prstGeom>
                          <a:noFill/>
                          <a:ln>
                            <a:noFill/>
                          </a:ln>
                        </pic:spPr>
                      </pic:pic>
                    </a:graphicData>
                  </a:graphic>
                </wp:inline>
              </w:drawing>
            </w:r>
          </w:p>
          <w:p>
            <w:pPr>
              <w:pStyle w:val="10"/>
              <w:bidi w:val="0"/>
              <w:rPr>
                <w:rFonts w:hint="eastAsia"/>
                <w:color w:val="auto"/>
              </w:rPr>
            </w:pPr>
            <w:r>
              <w:rPr>
                <w:rFonts w:hint="eastAsia"/>
                <w:color w:val="auto"/>
                <w:lang w:val="en-US" w:eastAsia="zh-CN"/>
              </w:rPr>
              <w:t>图2</w:t>
            </w:r>
            <w:r>
              <w:rPr>
                <w:rFonts w:hint="default"/>
                <w:color w:val="auto"/>
                <w:lang w:val="en-US" w:eastAsia="zh-CN"/>
              </w:rPr>
              <w:t>-</w:t>
            </w:r>
            <w:r>
              <w:rPr>
                <w:rFonts w:hint="default"/>
                <w:color w:val="auto"/>
                <w:lang w:eastAsia="zh-CN"/>
              </w:rPr>
              <w:fldChar w:fldCharType="begin"/>
            </w:r>
            <w:r>
              <w:rPr>
                <w:rFonts w:hint="default"/>
                <w:color w:val="auto"/>
                <w:lang w:eastAsia="zh-CN"/>
              </w:rPr>
              <w:instrText xml:space="preserve"> SEQ 图2- \* MERGEFORMAT </w:instrText>
            </w:r>
            <w:r>
              <w:rPr>
                <w:rFonts w:hint="default"/>
                <w:color w:val="auto"/>
                <w:lang w:eastAsia="zh-CN"/>
              </w:rPr>
              <w:fldChar w:fldCharType="separate"/>
            </w:r>
            <w:r>
              <w:rPr>
                <w:rFonts w:hint="default"/>
                <w:color w:val="auto"/>
                <w:lang w:eastAsia="zh-CN"/>
              </w:rPr>
              <w:t>1</w:t>
            </w:r>
            <w:r>
              <w:rPr>
                <w:rFonts w:hint="default"/>
                <w:color w:val="auto"/>
                <w:lang w:eastAsia="zh-CN"/>
              </w:rPr>
              <w:fldChar w:fldCharType="end"/>
            </w:r>
            <w:r>
              <w:rPr>
                <w:rFonts w:hint="eastAsia"/>
                <w:color w:val="auto"/>
                <w:lang w:val="en-US" w:eastAsia="zh-CN"/>
              </w:rPr>
              <w:t xml:space="preserve">  项目水平衡图</w:t>
            </w:r>
            <w:r>
              <w:rPr>
                <w:rFonts w:hint="eastAsia"/>
                <w:color w:val="auto"/>
              </w:rPr>
              <w:t>(单位：</w:t>
            </w:r>
            <w:r>
              <w:rPr>
                <w:rFonts w:hint="eastAsia"/>
                <w:color w:val="auto"/>
                <w:lang w:val="en-US" w:eastAsia="zh-CN"/>
              </w:rPr>
              <w:t>m</w:t>
            </w:r>
            <w:r>
              <w:rPr>
                <w:rFonts w:hint="eastAsia"/>
                <w:color w:val="auto"/>
                <w:vertAlign w:val="superscript"/>
                <w:lang w:val="en-US" w:eastAsia="zh-CN"/>
              </w:rPr>
              <w:t>3</w:t>
            </w:r>
            <w:r>
              <w:rPr>
                <w:rFonts w:hint="default" w:ascii="Calibri" w:hAnsi="Calibri" w:cs="Calibri"/>
                <w:color w:val="auto"/>
              </w:rPr>
              <w:t>/</w:t>
            </w:r>
            <w:r>
              <w:rPr>
                <w:rFonts w:hint="eastAsia"/>
                <w:color w:val="auto"/>
                <w:lang w:eastAsia="zh-CN"/>
              </w:rPr>
              <w:t>a</w:t>
            </w:r>
            <w:r>
              <w:rPr>
                <w:rFonts w:hint="eastAsia"/>
                <w:color w:val="auto"/>
              </w:rPr>
              <w:t>)</w:t>
            </w:r>
          </w:p>
          <w:p>
            <w:pPr>
              <w:numPr>
                <w:ilvl w:val="0"/>
                <w:numId w:val="0"/>
              </w:numPr>
              <w:bidi w:val="0"/>
              <w:ind w:leftChars="0" w:firstLine="480" w:firstLineChars="200"/>
              <w:rPr>
                <w:rFonts w:hint="eastAsia"/>
                <w:color w:val="auto"/>
                <w:lang w:val="en-US" w:eastAsia="zh-CN"/>
              </w:rPr>
            </w:pPr>
            <w:r>
              <w:rPr>
                <w:rFonts w:hint="eastAsia"/>
                <w:color w:val="auto"/>
                <w:lang w:val="en-US" w:eastAsia="zh-CN"/>
              </w:rPr>
              <w:t>（3）供电</w:t>
            </w:r>
          </w:p>
          <w:p>
            <w:pPr>
              <w:bidi w:val="0"/>
              <w:ind w:firstLine="480" w:firstLineChars="200"/>
              <w:rPr>
                <w:rFonts w:hint="eastAsia"/>
                <w:lang w:val="en-US" w:eastAsia="zh-CN"/>
              </w:rPr>
            </w:pPr>
            <w:r>
              <w:rPr>
                <w:rFonts w:hint="eastAsia"/>
                <w:lang w:val="en-US" w:eastAsia="zh-CN"/>
              </w:rPr>
              <w:t>项目电源引自市电进线，市政供电。</w:t>
            </w:r>
          </w:p>
          <w:p>
            <w:pPr>
              <w:numPr>
                <w:ilvl w:val="0"/>
                <w:numId w:val="0"/>
              </w:numPr>
              <w:bidi w:val="0"/>
              <w:ind w:firstLine="480" w:firstLineChars="200"/>
              <w:rPr>
                <w:rFonts w:hint="eastAsia"/>
                <w:color w:val="auto"/>
                <w:lang w:val="en-US" w:eastAsia="zh-CN"/>
              </w:rPr>
            </w:pPr>
            <w:r>
              <w:rPr>
                <w:rFonts w:hint="eastAsia"/>
                <w:color w:val="auto"/>
                <w:lang w:val="en-US" w:eastAsia="zh-CN"/>
              </w:rPr>
              <w:t>（4）消防</w:t>
            </w:r>
          </w:p>
          <w:p>
            <w:pPr>
              <w:bidi w:val="0"/>
              <w:ind w:firstLine="480" w:firstLineChars="200"/>
              <w:rPr>
                <w:rFonts w:hint="default"/>
                <w:color w:val="auto"/>
                <w:lang w:val="en-US" w:eastAsia="zh-CN"/>
              </w:rPr>
            </w:pPr>
            <w:r>
              <w:rPr>
                <w:rFonts w:hint="default"/>
                <w:color w:val="auto"/>
                <w:lang w:val="en-US" w:eastAsia="zh-CN"/>
              </w:rPr>
              <w:t>本</w:t>
            </w:r>
            <w:r>
              <w:rPr>
                <w:rFonts w:hint="eastAsia"/>
                <w:color w:val="auto"/>
                <w:lang w:val="en-US" w:eastAsia="zh-CN"/>
              </w:rPr>
              <w:t>项目</w:t>
            </w:r>
            <w:r>
              <w:rPr>
                <w:rFonts w:hint="default"/>
                <w:color w:val="auto"/>
                <w:lang w:val="en-US" w:eastAsia="zh-CN"/>
              </w:rPr>
              <w:t>属于二级加油站，根据现行《石油化工企业设计防火规范》，汽油的火灾危险性为甲类，本站的火灾危险性为甲类。根据《汽车加油加气加氢站技术标准》GB50156-2021的规定，埋地卧式油罐的加油站可不设消防给水系统。着火时用站内配置的消防器材进行灭火。</w:t>
            </w:r>
          </w:p>
          <w:p>
            <w:pPr>
              <w:bidi w:val="0"/>
              <w:ind w:firstLine="480" w:firstLineChars="200"/>
              <w:rPr>
                <w:rFonts w:hint="default"/>
                <w:color w:val="auto"/>
                <w:lang w:val="en-US" w:eastAsia="zh-CN"/>
              </w:rPr>
            </w:pPr>
            <w:r>
              <w:rPr>
                <w:rFonts w:hint="default"/>
                <w:color w:val="auto"/>
                <w:lang w:val="en-US" w:eastAsia="zh-CN"/>
              </w:rPr>
              <w:t>根据《建筑灭火器配置设计规范》GB50140-2005第5.1.3条的规定，室外的灭火器应存放在灭火器箱内。建设单位需根据所购灭火器的规格尺寸制作存放箱，外涂红色油漆并标注"灭火器箱"字样。灭火器箱可做成2座，每座存放二只灭火器，存放在加油岛旁。箱底距地面高度应大于0.15米。</w:t>
            </w:r>
          </w:p>
          <w:p>
            <w:pPr>
              <w:bidi w:val="0"/>
              <w:ind w:firstLine="480" w:firstLineChars="200"/>
              <w:rPr>
                <w:rFonts w:hint="eastAsia"/>
                <w:color w:val="auto"/>
                <w:lang w:val="en-US" w:eastAsia="zh-CN"/>
              </w:rPr>
            </w:pPr>
            <w:r>
              <w:rPr>
                <w:rFonts w:hint="eastAsia"/>
                <w:color w:val="auto"/>
                <w:lang w:val="en-US" w:eastAsia="zh-CN"/>
              </w:rPr>
              <w:t>本项目具体消防设备详见表2-</w:t>
            </w:r>
            <w:r>
              <w:rPr>
                <w:rFonts w:hint="eastAsia"/>
                <w:color w:val="auto"/>
                <w:lang w:val="en-US" w:eastAsia="zh-CN"/>
              </w:rPr>
              <w:fldChar w:fldCharType="begin"/>
            </w:r>
            <w:r>
              <w:rPr>
                <w:rFonts w:hint="eastAsia"/>
                <w:color w:val="auto"/>
                <w:lang w:val="en-US" w:eastAsia="zh-CN"/>
              </w:rPr>
              <w:instrText xml:space="preserve"> SEQ 2- \* MERGEFORMAT </w:instrText>
            </w:r>
            <w:r>
              <w:rPr>
                <w:rFonts w:hint="eastAsia"/>
                <w:color w:val="auto"/>
                <w:lang w:val="en-US" w:eastAsia="zh-CN"/>
              </w:rPr>
              <w:fldChar w:fldCharType="separate"/>
            </w:r>
            <w:r>
              <w:rPr>
                <w:rFonts w:hint="eastAsia"/>
                <w:color w:val="auto"/>
                <w:lang w:val="en-US" w:eastAsia="zh-CN"/>
              </w:rPr>
              <w:t>9</w:t>
            </w:r>
            <w:r>
              <w:rPr>
                <w:rFonts w:hint="eastAsia"/>
                <w:color w:val="auto"/>
                <w:lang w:val="en-US" w:eastAsia="zh-CN"/>
              </w:rPr>
              <w:fldChar w:fldCharType="end"/>
            </w:r>
            <w:r>
              <w:rPr>
                <w:rFonts w:hint="eastAsia"/>
                <w:color w:val="auto"/>
                <w:lang w:val="en-US" w:eastAsia="zh-CN"/>
              </w:rPr>
              <w:t>。</w:t>
            </w:r>
          </w:p>
          <w:p>
            <w:pPr>
              <w:pStyle w:val="10"/>
              <w:bidi w:val="0"/>
              <w:rPr>
                <w:rFonts w:hint="eastAsia"/>
                <w:color w:val="auto"/>
                <w:lang w:val="en-US" w:eastAsia="zh-CN"/>
              </w:rPr>
            </w:pPr>
            <w:r>
              <w:rPr>
                <w:rFonts w:hint="eastAsia"/>
                <w:color w:val="auto"/>
                <w:lang w:val="en-US" w:eastAsia="zh-CN"/>
              </w:rPr>
              <w:t>表2-</w:t>
            </w:r>
            <w:r>
              <w:rPr>
                <w:rFonts w:hint="eastAsia"/>
                <w:color w:val="auto"/>
                <w:lang w:val="en-US" w:eastAsia="zh-CN"/>
              </w:rPr>
              <w:fldChar w:fldCharType="begin"/>
            </w:r>
            <w:r>
              <w:rPr>
                <w:rFonts w:hint="eastAsia"/>
                <w:color w:val="auto"/>
                <w:lang w:val="en-US" w:eastAsia="zh-CN"/>
              </w:rPr>
              <w:instrText xml:space="preserve"> SEQ 表2- \* MERGEFORMAT </w:instrText>
            </w:r>
            <w:r>
              <w:rPr>
                <w:rFonts w:hint="eastAsia"/>
                <w:color w:val="auto"/>
                <w:lang w:val="en-US" w:eastAsia="zh-CN"/>
              </w:rPr>
              <w:fldChar w:fldCharType="separate"/>
            </w:r>
            <w:r>
              <w:rPr>
                <w:rFonts w:hint="eastAsia"/>
                <w:color w:val="auto"/>
                <w:lang w:val="en-US" w:eastAsia="zh-CN"/>
              </w:rPr>
              <w:t>9</w:t>
            </w:r>
            <w:r>
              <w:rPr>
                <w:rFonts w:hint="eastAsia"/>
                <w:color w:val="auto"/>
                <w:lang w:val="en-US" w:eastAsia="zh-CN"/>
              </w:rPr>
              <w:fldChar w:fldCharType="end"/>
            </w:r>
            <w:r>
              <w:rPr>
                <w:rFonts w:hint="eastAsia"/>
                <w:color w:val="auto"/>
                <w:lang w:val="en-US" w:eastAsia="zh-CN"/>
              </w:rPr>
              <w:t xml:space="preserve">  项目消防设备一览表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2461"/>
              <w:gridCol w:w="640"/>
              <w:gridCol w:w="708"/>
              <w:gridCol w:w="3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序号</w:t>
                  </w:r>
                </w:p>
              </w:tc>
              <w:tc>
                <w:tcPr>
                  <w:tcW w:w="2461" w:type="dxa"/>
                  <w:vAlign w:val="center"/>
                </w:tcPr>
                <w:p>
                  <w:pPr>
                    <w:pStyle w:val="9"/>
                    <w:widowControl w:val="0"/>
                    <w:rPr>
                      <w:rFonts w:hint="default"/>
                      <w:vertAlign w:val="baseline"/>
                      <w:lang w:val="en-US" w:eastAsia="zh-CN"/>
                    </w:rPr>
                  </w:pPr>
                  <w:r>
                    <w:rPr>
                      <w:rFonts w:hint="eastAsia"/>
                      <w:vertAlign w:val="baseline"/>
                      <w:lang w:val="en-US" w:eastAsia="zh-CN"/>
                    </w:rPr>
                    <w:t>安全防护设施</w:t>
                  </w:r>
                </w:p>
              </w:tc>
              <w:tc>
                <w:tcPr>
                  <w:tcW w:w="640" w:type="dxa"/>
                  <w:vAlign w:val="center"/>
                </w:tcPr>
                <w:p>
                  <w:pPr>
                    <w:pStyle w:val="9"/>
                    <w:widowControl w:val="0"/>
                    <w:rPr>
                      <w:rFonts w:hint="default"/>
                      <w:vertAlign w:val="baseline"/>
                      <w:lang w:val="en-US" w:eastAsia="zh-CN"/>
                    </w:rPr>
                  </w:pPr>
                  <w:r>
                    <w:rPr>
                      <w:rFonts w:hint="eastAsia"/>
                      <w:vertAlign w:val="baseline"/>
                      <w:lang w:val="en-US" w:eastAsia="zh-CN"/>
                    </w:rPr>
                    <w:t>单位</w:t>
                  </w:r>
                </w:p>
              </w:tc>
              <w:tc>
                <w:tcPr>
                  <w:tcW w:w="708" w:type="dxa"/>
                  <w:vAlign w:val="center"/>
                </w:tcPr>
                <w:p>
                  <w:pPr>
                    <w:pStyle w:val="9"/>
                    <w:widowControl w:val="0"/>
                    <w:rPr>
                      <w:rFonts w:hint="default"/>
                      <w:vertAlign w:val="baseline"/>
                      <w:lang w:val="en-US" w:eastAsia="zh-CN"/>
                    </w:rPr>
                  </w:pPr>
                  <w:r>
                    <w:rPr>
                      <w:rFonts w:hint="eastAsia"/>
                      <w:vertAlign w:val="baseline"/>
                      <w:lang w:val="en-US" w:eastAsia="zh-CN"/>
                    </w:rPr>
                    <w:t>数量</w:t>
                  </w:r>
                </w:p>
              </w:tc>
              <w:tc>
                <w:tcPr>
                  <w:tcW w:w="3061" w:type="dxa"/>
                  <w:vAlign w:val="center"/>
                </w:tcPr>
                <w:p>
                  <w:pPr>
                    <w:pStyle w:val="9"/>
                    <w:widowControl w:val="0"/>
                    <w:rPr>
                      <w:rFonts w:hint="default"/>
                      <w:vertAlign w:val="baseline"/>
                      <w:lang w:val="en-US" w:eastAsia="zh-CN"/>
                    </w:rPr>
                  </w:pPr>
                  <w:r>
                    <w:rPr>
                      <w:rFonts w:hint="eastAsia"/>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1</w:t>
                  </w:r>
                </w:p>
              </w:tc>
              <w:tc>
                <w:tcPr>
                  <w:tcW w:w="2461" w:type="dxa"/>
                  <w:vAlign w:val="center"/>
                </w:tcPr>
                <w:p>
                  <w:pPr>
                    <w:pStyle w:val="9"/>
                    <w:widowControl w:val="0"/>
                    <w:rPr>
                      <w:rFonts w:hint="default"/>
                      <w:vertAlign w:val="baseline"/>
                      <w:lang w:val="en-US" w:eastAsia="zh-CN"/>
                    </w:rPr>
                  </w:pPr>
                  <w:r>
                    <w:rPr>
                      <w:rFonts w:hint="eastAsia"/>
                      <w:vertAlign w:val="baseline"/>
                      <w:lang w:val="en-US" w:eastAsia="zh-CN"/>
                    </w:rPr>
                    <w:t>5</w:t>
                  </w:r>
                  <w:r>
                    <w:rPr>
                      <w:rFonts w:hint="default"/>
                      <w:vertAlign w:val="baseline"/>
                      <w:lang w:val="en-US" w:eastAsia="zh-CN"/>
                    </w:rPr>
                    <w:t>kg手提式干粉灭火器</w:t>
                  </w:r>
                </w:p>
              </w:tc>
              <w:tc>
                <w:tcPr>
                  <w:tcW w:w="640" w:type="dxa"/>
                  <w:vAlign w:val="center"/>
                </w:tcPr>
                <w:p>
                  <w:pPr>
                    <w:pStyle w:val="9"/>
                    <w:widowControl w:val="0"/>
                    <w:rPr>
                      <w:rFonts w:hint="default"/>
                      <w:vertAlign w:val="baseline"/>
                      <w:lang w:val="en-US" w:eastAsia="zh-CN"/>
                    </w:rPr>
                  </w:pPr>
                  <w:r>
                    <w:rPr>
                      <w:rFonts w:hint="eastAsia"/>
                      <w:vertAlign w:val="baseline"/>
                      <w:lang w:val="en-US" w:eastAsia="zh-CN"/>
                    </w:rPr>
                    <w:t>只</w:t>
                  </w:r>
                </w:p>
              </w:tc>
              <w:tc>
                <w:tcPr>
                  <w:tcW w:w="708" w:type="dxa"/>
                  <w:vAlign w:val="center"/>
                </w:tcPr>
                <w:p>
                  <w:pPr>
                    <w:pStyle w:val="9"/>
                    <w:widowControl w:val="0"/>
                    <w:rPr>
                      <w:rFonts w:hint="default"/>
                      <w:vertAlign w:val="baseline"/>
                      <w:lang w:val="en-US" w:eastAsia="zh-CN"/>
                    </w:rPr>
                  </w:pPr>
                  <w:r>
                    <w:rPr>
                      <w:rFonts w:hint="eastAsia"/>
                      <w:vertAlign w:val="baseline"/>
                      <w:lang w:val="en-US" w:eastAsia="zh-CN"/>
                    </w:rPr>
                    <w:t>24</w:t>
                  </w:r>
                </w:p>
              </w:tc>
              <w:tc>
                <w:tcPr>
                  <w:tcW w:w="3061" w:type="dxa"/>
                  <w:vAlign w:val="center"/>
                </w:tcPr>
                <w:p>
                  <w:pPr>
                    <w:pStyle w:val="9"/>
                    <w:widowControl w:val="0"/>
                    <w:rPr>
                      <w:rFonts w:hint="default"/>
                      <w:vertAlign w:val="baseline"/>
                      <w:lang w:val="en-US" w:eastAsia="zh-CN"/>
                    </w:rPr>
                  </w:pPr>
                  <w:r>
                    <w:rPr>
                      <w:rFonts w:hint="eastAsia"/>
                      <w:vertAlign w:val="baseline"/>
                      <w:lang w:val="en-US" w:eastAsia="zh-CN"/>
                    </w:rPr>
                    <w:t>每两台加油机设2只，其余分别放在站辅房等地方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2</w:t>
                  </w:r>
                </w:p>
              </w:tc>
              <w:tc>
                <w:tcPr>
                  <w:tcW w:w="2461" w:type="dxa"/>
                  <w:vAlign w:val="center"/>
                </w:tcPr>
                <w:p>
                  <w:pPr>
                    <w:pStyle w:val="9"/>
                    <w:widowControl w:val="0"/>
                    <w:rPr>
                      <w:rFonts w:hint="default"/>
                      <w:vertAlign w:val="baseline"/>
                      <w:lang w:val="en-US" w:eastAsia="zh-CN"/>
                    </w:rPr>
                  </w:pPr>
                  <w:r>
                    <w:rPr>
                      <w:rFonts w:hint="eastAsia"/>
                      <w:vertAlign w:val="baseline"/>
                      <w:lang w:val="en-US" w:eastAsia="zh-CN"/>
                    </w:rPr>
                    <w:t>5</w:t>
                  </w:r>
                  <w:r>
                    <w:rPr>
                      <w:rFonts w:hint="default"/>
                      <w:vertAlign w:val="baseline"/>
                      <w:lang w:val="en-US" w:eastAsia="zh-CN"/>
                    </w:rPr>
                    <w:t>kg</w:t>
                  </w:r>
                  <w:r>
                    <w:rPr>
                      <w:rFonts w:hint="eastAsia"/>
                      <w:vertAlign w:val="baseline"/>
                      <w:lang w:val="en-US" w:eastAsia="zh-CN"/>
                    </w:rPr>
                    <w:t>二氧化碳</w:t>
                  </w:r>
                  <w:r>
                    <w:rPr>
                      <w:rFonts w:hint="default"/>
                      <w:vertAlign w:val="baseline"/>
                      <w:lang w:val="en-US" w:eastAsia="zh-CN"/>
                    </w:rPr>
                    <w:t>灭火器</w:t>
                  </w:r>
                </w:p>
              </w:tc>
              <w:tc>
                <w:tcPr>
                  <w:tcW w:w="640" w:type="dxa"/>
                  <w:vAlign w:val="center"/>
                </w:tcPr>
                <w:p>
                  <w:pPr>
                    <w:pStyle w:val="9"/>
                    <w:widowControl w:val="0"/>
                    <w:rPr>
                      <w:rFonts w:hint="default"/>
                      <w:vertAlign w:val="baseline"/>
                      <w:lang w:val="en-US" w:eastAsia="zh-CN"/>
                    </w:rPr>
                  </w:pPr>
                  <w:r>
                    <w:rPr>
                      <w:rFonts w:hint="eastAsia"/>
                      <w:vertAlign w:val="baseline"/>
                      <w:lang w:val="en-US" w:eastAsia="zh-CN"/>
                    </w:rPr>
                    <w:t>只</w:t>
                  </w:r>
                </w:p>
              </w:tc>
              <w:tc>
                <w:tcPr>
                  <w:tcW w:w="708" w:type="dxa"/>
                  <w:vAlign w:val="center"/>
                </w:tcPr>
                <w:p>
                  <w:pPr>
                    <w:pStyle w:val="9"/>
                    <w:widowControl w:val="0"/>
                    <w:rPr>
                      <w:rFonts w:hint="default"/>
                      <w:vertAlign w:val="baseline"/>
                      <w:lang w:val="en-US" w:eastAsia="zh-CN"/>
                    </w:rPr>
                  </w:pPr>
                  <w:r>
                    <w:rPr>
                      <w:rFonts w:hint="eastAsia"/>
                      <w:vertAlign w:val="baseline"/>
                      <w:lang w:val="en-US" w:eastAsia="zh-CN"/>
                    </w:rPr>
                    <w:t>4</w:t>
                  </w:r>
                </w:p>
              </w:tc>
              <w:tc>
                <w:tcPr>
                  <w:tcW w:w="3061" w:type="dxa"/>
                  <w:vAlign w:val="center"/>
                </w:tcPr>
                <w:p>
                  <w:pPr>
                    <w:pStyle w:val="9"/>
                    <w:widowControl w:val="0"/>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3</w:t>
                  </w:r>
                </w:p>
              </w:tc>
              <w:tc>
                <w:tcPr>
                  <w:tcW w:w="2461" w:type="dxa"/>
                  <w:vAlign w:val="center"/>
                </w:tcPr>
                <w:p>
                  <w:pPr>
                    <w:pStyle w:val="9"/>
                    <w:widowControl w:val="0"/>
                    <w:rPr>
                      <w:rFonts w:hint="default"/>
                      <w:vertAlign w:val="baseline"/>
                      <w:lang w:val="en-US" w:eastAsia="zh-CN"/>
                    </w:rPr>
                  </w:pPr>
                  <w:r>
                    <w:rPr>
                      <w:rFonts w:hint="default"/>
                      <w:vertAlign w:val="baseline"/>
                      <w:lang w:val="en-US" w:eastAsia="zh-CN"/>
                    </w:rPr>
                    <w:t>35kg推车式干粉灭火器</w:t>
                  </w:r>
                </w:p>
              </w:tc>
              <w:tc>
                <w:tcPr>
                  <w:tcW w:w="640" w:type="dxa"/>
                  <w:vAlign w:val="center"/>
                </w:tcPr>
                <w:p>
                  <w:pPr>
                    <w:pStyle w:val="9"/>
                    <w:widowControl w:val="0"/>
                    <w:rPr>
                      <w:rFonts w:hint="default"/>
                      <w:vertAlign w:val="baseline"/>
                      <w:lang w:val="en-US" w:eastAsia="zh-CN"/>
                    </w:rPr>
                  </w:pPr>
                  <w:r>
                    <w:rPr>
                      <w:rFonts w:hint="eastAsia"/>
                      <w:vertAlign w:val="baseline"/>
                      <w:lang w:val="en-US" w:eastAsia="zh-CN"/>
                    </w:rPr>
                    <w:t>台</w:t>
                  </w:r>
                </w:p>
              </w:tc>
              <w:tc>
                <w:tcPr>
                  <w:tcW w:w="708" w:type="dxa"/>
                  <w:vAlign w:val="center"/>
                </w:tcPr>
                <w:p>
                  <w:pPr>
                    <w:pStyle w:val="9"/>
                    <w:widowControl w:val="0"/>
                    <w:rPr>
                      <w:rFonts w:hint="default"/>
                      <w:vertAlign w:val="baseline"/>
                      <w:lang w:val="en-US" w:eastAsia="zh-CN"/>
                    </w:rPr>
                  </w:pPr>
                  <w:r>
                    <w:rPr>
                      <w:rFonts w:hint="default"/>
                      <w:vertAlign w:val="baseline"/>
                      <w:lang w:val="en-US" w:eastAsia="zh-CN"/>
                    </w:rPr>
                    <w:t>1</w:t>
                  </w:r>
                </w:p>
              </w:tc>
              <w:tc>
                <w:tcPr>
                  <w:tcW w:w="3061" w:type="dxa"/>
                  <w:vAlign w:val="center"/>
                </w:tcPr>
                <w:p>
                  <w:pPr>
                    <w:pStyle w:val="9"/>
                    <w:widowControl w:val="0"/>
                    <w:rPr>
                      <w:rFonts w:hint="default"/>
                      <w:vertAlign w:val="baseline"/>
                      <w:lang w:val="en-US" w:eastAsia="zh-CN"/>
                    </w:rPr>
                  </w:pPr>
                  <w:r>
                    <w:rPr>
                      <w:rFonts w:hint="eastAsia"/>
                      <w:vertAlign w:val="baseline"/>
                      <w:lang w:val="en-US" w:eastAsia="zh-CN"/>
                    </w:rPr>
                    <w:t>位于地下储罐附近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4</w:t>
                  </w:r>
                </w:p>
              </w:tc>
              <w:tc>
                <w:tcPr>
                  <w:tcW w:w="2461" w:type="dxa"/>
                  <w:vAlign w:val="center"/>
                </w:tcPr>
                <w:p>
                  <w:pPr>
                    <w:pStyle w:val="9"/>
                    <w:widowControl w:val="0"/>
                    <w:rPr>
                      <w:rFonts w:hint="default"/>
                      <w:vertAlign w:val="baseline"/>
                      <w:lang w:val="en-US" w:eastAsia="zh-CN"/>
                    </w:rPr>
                  </w:pPr>
                  <w:r>
                    <w:rPr>
                      <w:rFonts w:hint="default"/>
                      <w:vertAlign w:val="baseline"/>
                      <w:lang w:val="en-US" w:eastAsia="zh-CN"/>
                    </w:rPr>
                    <w:t>灭火毯</w:t>
                  </w:r>
                </w:p>
              </w:tc>
              <w:tc>
                <w:tcPr>
                  <w:tcW w:w="640" w:type="dxa"/>
                  <w:vAlign w:val="center"/>
                </w:tcPr>
                <w:p>
                  <w:pPr>
                    <w:pStyle w:val="9"/>
                    <w:widowControl w:val="0"/>
                    <w:rPr>
                      <w:rFonts w:hint="default"/>
                      <w:vertAlign w:val="baseline"/>
                      <w:lang w:val="en-US" w:eastAsia="zh-CN"/>
                    </w:rPr>
                  </w:pPr>
                  <w:r>
                    <w:rPr>
                      <w:rFonts w:hint="default"/>
                      <w:vertAlign w:val="baseline"/>
                      <w:lang w:val="en-US" w:eastAsia="zh-CN"/>
                    </w:rPr>
                    <w:t>块</w:t>
                  </w:r>
                </w:p>
              </w:tc>
              <w:tc>
                <w:tcPr>
                  <w:tcW w:w="708" w:type="dxa"/>
                  <w:vAlign w:val="center"/>
                </w:tcPr>
                <w:p>
                  <w:pPr>
                    <w:pStyle w:val="9"/>
                    <w:widowControl w:val="0"/>
                    <w:rPr>
                      <w:rFonts w:hint="default"/>
                      <w:vertAlign w:val="baseline"/>
                      <w:lang w:val="en-US" w:eastAsia="zh-CN"/>
                    </w:rPr>
                  </w:pPr>
                  <w:r>
                    <w:rPr>
                      <w:rFonts w:hint="eastAsia"/>
                      <w:vertAlign w:val="baseline"/>
                      <w:lang w:val="en-US" w:eastAsia="zh-CN"/>
                    </w:rPr>
                    <w:t>5</w:t>
                  </w:r>
                </w:p>
              </w:tc>
              <w:tc>
                <w:tcPr>
                  <w:tcW w:w="3061" w:type="dxa"/>
                  <w:vAlign w:val="center"/>
                </w:tcPr>
                <w:p>
                  <w:pPr>
                    <w:pStyle w:val="9"/>
                    <w:widowControl w:val="0"/>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5</w:t>
                  </w:r>
                </w:p>
              </w:tc>
              <w:tc>
                <w:tcPr>
                  <w:tcW w:w="2461" w:type="dxa"/>
                  <w:vAlign w:val="center"/>
                </w:tcPr>
                <w:p>
                  <w:pPr>
                    <w:pStyle w:val="9"/>
                    <w:widowControl w:val="0"/>
                    <w:rPr>
                      <w:rFonts w:hint="default"/>
                      <w:vertAlign w:val="baseline"/>
                      <w:lang w:val="en-US" w:eastAsia="zh-CN"/>
                    </w:rPr>
                  </w:pPr>
                  <w:r>
                    <w:rPr>
                      <w:rFonts w:hint="default"/>
                      <w:vertAlign w:val="baseline"/>
                      <w:lang w:val="en-US" w:eastAsia="zh-CN"/>
                    </w:rPr>
                    <w:t>消防</w:t>
                  </w:r>
                  <w:r>
                    <w:rPr>
                      <w:rFonts w:hint="eastAsia"/>
                      <w:vertAlign w:val="baseline"/>
                      <w:lang w:val="en-US" w:eastAsia="zh-CN"/>
                    </w:rPr>
                    <w:t>沙</w:t>
                  </w:r>
                </w:p>
              </w:tc>
              <w:tc>
                <w:tcPr>
                  <w:tcW w:w="640" w:type="dxa"/>
                  <w:vAlign w:val="center"/>
                </w:tcPr>
                <w:p>
                  <w:pPr>
                    <w:pStyle w:val="9"/>
                    <w:widowControl w:val="0"/>
                    <w:rPr>
                      <w:rFonts w:hint="default"/>
                      <w:vertAlign w:val="baseline"/>
                      <w:lang w:val="en-US" w:eastAsia="zh-CN"/>
                    </w:rPr>
                  </w:pPr>
                  <w:r>
                    <w:rPr>
                      <w:rFonts w:hint="eastAsia"/>
                      <w:vertAlign w:val="baseline"/>
                      <w:lang w:val="en-US" w:eastAsia="zh-CN"/>
                    </w:rPr>
                    <w:t>m3</w:t>
                  </w:r>
                </w:p>
              </w:tc>
              <w:tc>
                <w:tcPr>
                  <w:tcW w:w="708" w:type="dxa"/>
                  <w:vAlign w:val="center"/>
                </w:tcPr>
                <w:p>
                  <w:pPr>
                    <w:pStyle w:val="9"/>
                    <w:widowControl w:val="0"/>
                    <w:rPr>
                      <w:rFonts w:hint="default"/>
                      <w:vertAlign w:val="baseline"/>
                      <w:lang w:val="en-US" w:eastAsia="zh-CN"/>
                    </w:rPr>
                  </w:pPr>
                  <w:r>
                    <w:rPr>
                      <w:rFonts w:hint="eastAsia"/>
                      <w:vertAlign w:val="baseline"/>
                      <w:lang w:val="en-US" w:eastAsia="zh-CN"/>
                    </w:rPr>
                    <w:t>2</w:t>
                  </w:r>
                </w:p>
              </w:tc>
              <w:tc>
                <w:tcPr>
                  <w:tcW w:w="3061" w:type="dxa"/>
                  <w:vAlign w:val="center"/>
                </w:tcPr>
                <w:p>
                  <w:pPr>
                    <w:pStyle w:val="9"/>
                    <w:widowControl w:val="0"/>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6</w:t>
                  </w:r>
                </w:p>
              </w:tc>
              <w:tc>
                <w:tcPr>
                  <w:tcW w:w="2461" w:type="dxa"/>
                  <w:vAlign w:val="center"/>
                </w:tcPr>
                <w:p>
                  <w:pPr>
                    <w:pStyle w:val="9"/>
                    <w:widowControl w:val="0"/>
                    <w:rPr>
                      <w:rFonts w:hint="default"/>
                      <w:vertAlign w:val="baseline"/>
                      <w:lang w:val="en-US" w:eastAsia="zh-CN"/>
                    </w:rPr>
                  </w:pPr>
                  <w:r>
                    <w:rPr>
                      <w:rFonts w:hint="default"/>
                      <w:vertAlign w:val="baseline"/>
                      <w:lang w:val="en-US" w:eastAsia="zh-CN"/>
                    </w:rPr>
                    <w:t>消防</w:t>
                  </w:r>
                  <w:r>
                    <w:rPr>
                      <w:rFonts w:hint="eastAsia"/>
                      <w:vertAlign w:val="baseline"/>
                      <w:lang w:val="en-US" w:eastAsia="zh-CN"/>
                    </w:rPr>
                    <w:t>器材箱</w:t>
                  </w:r>
                </w:p>
              </w:tc>
              <w:tc>
                <w:tcPr>
                  <w:tcW w:w="640" w:type="dxa"/>
                  <w:vAlign w:val="center"/>
                </w:tcPr>
                <w:p>
                  <w:pPr>
                    <w:pStyle w:val="9"/>
                    <w:widowControl w:val="0"/>
                    <w:rPr>
                      <w:rFonts w:hint="default"/>
                      <w:vertAlign w:val="baseline"/>
                      <w:lang w:val="en-US" w:eastAsia="zh-CN"/>
                    </w:rPr>
                  </w:pPr>
                  <w:r>
                    <w:rPr>
                      <w:rFonts w:hint="eastAsia"/>
                      <w:vertAlign w:val="baseline"/>
                      <w:lang w:val="en-US" w:eastAsia="zh-CN"/>
                    </w:rPr>
                    <w:t>座</w:t>
                  </w:r>
                </w:p>
              </w:tc>
              <w:tc>
                <w:tcPr>
                  <w:tcW w:w="708" w:type="dxa"/>
                  <w:vAlign w:val="center"/>
                </w:tcPr>
                <w:p>
                  <w:pPr>
                    <w:pStyle w:val="9"/>
                    <w:widowControl w:val="0"/>
                    <w:rPr>
                      <w:rFonts w:hint="default"/>
                      <w:vertAlign w:val="baseline"/>
                      <w:lang w:val="en-US" w:eastAsia="zh-CN"/>
                    </w:rPr>
                  </w:pPr>
                  <w:r>
                    <w:rPr>
                      <w:rFonts w:hint="eastAsia"/>
                      <w:vertAlign w:val="baseline"/>
                      <w:lang w:val="en-US" w:eastAsia="zh-CN"/>
                    </w:rPr>
                    <w:t>1</w:t>
                  </w:r>
                </w:p>
              </w:tc>
              <w:tc>
                <w:tcPr>
                  <w:tcW w:w="3061" w:type="dxa"/>
                  <w:vAlign w:val="center"/>
                </w:tcPr>
                <w:p>
                  <w:pPr>
                    <w:pStyle w:val="9"/>
                    <w:widowControl w:val="0"/>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7</w:t>
                  </w:r>
                </w:p>
              </w:tc>
              <w:tc>
                <w:tcPr>
                  <w:tcW w:w="2461" w:type="dxa"/>
                  <w:vAlign w:val="center"/>
                </w:tcPr>
                <w:p>
                  <w:pPr>
                    <w:pStyle w:val="9"/>
                    <w:widowControl w:val="0"/>
                    <w:rPr>
                      <w:rFonts w:hint="default"/>
                      <w:vertAlign w:val="baseline"/>
                      <w:lang w:val="en-US" w:eastAsia="zh-CN"/>
                    </w:rPr>
                  </w:pPr>
                  <w:r>
                    <w:rPr>
                      <w:rFonts w:hint="eastAsia"/>
                      <w:vertAlign w:val="baseline"/>
                      <w:lang w:val="en-US" w:eastAsia="zh-CN"/>
                    </w:rPr>
                    <w:t>消防沙箱</w:t>
                  </w:r>
                </w:p>
              </w:tc>
              <w:tc>
                <w:tcPr>
                  <w:tcW w:w="640" w:type="dxa"/>
                  <w:vAlign w:val="center"/>
                </w:tcPr>
                <w:p>
                  <w:pPr>
                    <w:pStyle w:val="9"/>
                    <w:widowControl w:val="0"/>
                    <w:rPr>
                      <w:rFonts w:hint="default"/>
                      <w:vertAlign w:val="baseline"/>
                      <w:lang w:val="en-US" w:eastAsia="zh-CN"/>
                    </w:rPr>
                  </w:pPr>
                  <w:r>
                    <w:rPr>
                      <w:rFonts w:hint="eastAsia"/>
                      <w:vertAlign w:val="baseline"/>
                      <w:lang w:val="en-US" w:eastAsia="zh-CN"/>
                    </w:rPr>
                    <w:t>座</w:t>
                  </w:r>
                </w:p>
              </w:tc>
              <w:tc>
                <w:tcPr>
                  <w:tcW w:w="708" w:type="dxa"/>
                  <w:vAlign w:val="center"/>
                </w:tcPr>
                <w:p>
                  <w:pPr>
                    <w:pStyle w:val="9"/>
                    <w:widowControl w:val="0"/>
                    <w:rPr>
                      <w:rFonts w:hint="default"/>
                      <w:vertAlign w:val="baseline"/>
                      <w:lang w:val="en-US" w:eastAsia="zh-CN"/>
                    </w:rPr>
                  </w:pPr>
                  <w:r>
                    <w:rPr>
                      <w:rFonts w:hint="eastAsia"/>
                      <w:vertAlign w:val="baseline"/>
                      <w:lang w:val="en-US" w:eastAsia="zh-CN"/>
                    </w:rPr>
                    <w:t>1</w:t>
                  </w:r>
                </w:p>
              </w:tc>
              <w:tc>
                <w:tcPr>
                  <w:tcW w:w="3061" w:type="dxa"/>
                  <w:vAlign w:val="center"/>
                </w:tcPr>
                <w:p>
                  <w:pPr>
                    <w:pStyle w:val="9"/>
                    <w:widowControl w:val="0"/>
                    <w:rPr>
                      <w:rFonts w:hint="default"/>
                      <w:vertAlign w:val="baseline"/>
                      <w:lang w:val="en-US" w:eastAsia="zh-CN"/>
                    </w:rPr>
                  </w:pPr>
                  <w:r>
                    <w:rPr>
                      <w:rFonts w:hint="eastAsia" w:ascii="Calibri" w:hAnsi="Calibri" w:cs="Calibri"/>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3" w:type="dxa"/>
                  <w:vAlign w:val="center"/>
                </w:tcPr>
                <w:p>
                  <w:pPr>
                    <w:pStyle w:val="9"/>
                    <w:widowControl w:val="0"/>
                    <w:rPr>
                      <w:rFonts w:hint="default"/>
                      <w:vertAlign w:val="baseline"/>
                      <w:lang w:val="en-US" w:eastAsia="zh-CN"/>
                    </w:rPr>
                  </w:pPr>
                  <w:r>
                    <w:rPr>
                      <w:rFonts w:hint="eastAsia"/>
                      <w:vertAlign w:val="baseline"/>
                      <w:lang w:val="en-US" w:eastAsia="zh-CN"/>
                    </w:rPr>
                    <w:t>8</w:t>
                  </w:r>
                </w:p>
              </w:tc>
              <w:tc>
                <w:tcPr>
                  <w:tcW w:w="2461" w:type="dxa"/>
                  <w:vAlign w:val="center"/>
                </w:tcPr>
                <w:p>
                  <w:pPr>
                    <w:pStyle w:val="9"/>
                    <w:widowControl w:val="0"/>
                    <w:rPr>
                      <w:rFonts w:hint="default"/>
                      <w:vertAlign w:val="baseline"/>
                      <w:lang w:val="en-US" w:eastAsia="zh-CN"/>
                    </w:rPr>
                  </w:pPr>
                  <w:r>
                    <w:rPr>
                      <w:rFonts w:hint="eastAsia"/>
                      <w:vertAlign w:val="baseline"/>
                      <w:lang w:val="en-US" w:eastAsia="zh-CN"/>
                    </w:rPr>
                    <w:t>灭火器箱</w:t>
                  </w:r>
                </w:p>
              </w:tc>
              <w:tc>
                <w:tcPr>
                  <w:tcW w:w="640" w:type="dxa"/>
                  <w:vAlign w:val="center"/>
                </w:tcPr>
                <w:p>
                  <w:pPr>
                    <w:pStyle w:val="9"/>
                    <w:widowControl w:val="0"/>
                    <w:rPr>
                      <w:rFonts w:hint="default"/>
                      <w:vertAlign w:val="baseline"/>
                      <w:lang w:val="en-US" w:eastAsia="zh-CN"/>
                    </w:rPr>
                  </w:pPr>
                  <w:r>
                    <w:rPr>
                      <w:rFonts w:hint="eastAsia"/>
                      <w:vertAlign w:val="baseline"/>
                      <w:lang w:val="en-US" w:eastAsia="zh-CN"/>
                    </w:rPr>
                    <w:t>座</w:t>
                  </w:r>
                </w:p>
              </w:tc>
              <w:tc>
                <w:tcPr>
                  <w:tcW w:w="708" w:type="dxa"/>
                  <w:vAlign w:val="center"/>
                </w:tcPr>
                <w:p>
                  <w:pPr>
                    <w:pStyle w:val="9"/>
                    <w:widowControl w:val="0"/>
                    <w:rPr>
                      <w:rFonts w:hint="default"/>
                      <w:vertAlign w:val="baseline"/>
                      <w:lang w:val="en-US" w:eastAsia="zh-CN"/>
                    </w:rPr>
                  </w:pPr>
                  <w:r>
                    <w:rPr>
                      <w:rFonts w:hint="default"/>
                      <w:vertAlign w:val="baseline"/>
                      <w:lang w:val="en-US" w:eastAsia="zh-CN"/>
                    </w:rPr>
                    <w:t>14</w:t>
                  </w:r>
                </w:p>
              </w:tc>
              <w:tc>
                <w:tcPr>
                  <w:tcW w:w="3061" w:type="dxa"/>
                  <w:vAlign w:val="center"/>
                </w:tcPr>
                <w:p>
                  <w:pPr>
                    <w:pStyle w:val="9"/>
                    <w:widowControl w:val="0"/>
                    <w:rPr>
                      <w:rFonts w:hint="default"/>
                      <w:vertAlign w:val="baseline"/>
                      <w:lang w:val="en-US" w:eastAsia="zh-CN"/>
                    </w:rPr>
                  </w:pPr>
                  <w:r>
                    <w:rPr>
                      <w:rFonts w:hint="eastAsia" w:ascii="Calibri" w:hAnsi="Calibri" w:cs="Calibri"/>
                      <w:vertAlign w:val="baseline"/>
                      <w:lang w:val="en-US" w:eastAsia="zh-CN"/>
                    </w:rPr>
                    <w:t>/</w:t>
                  </w:r>
                </w:p>
              </w:tc>
            </w:tr>
          </w:tbl>
          <w:p>
            <w:pPr>
              <w:pStyle w:val="9"/>
              <w:widowControl w:val="0"/>
              <w:rPr>
                <w:rFonts w:hint="default"/>
                <w:lang w:val="en-US" w:eastAsia="zh-CN"/>
              </w:rPr>
            </w:pPr>
          </w:p>
          <w:p>
            <w:pPr>
              <w:numPr>
                <w:ilvl w:val="0"/>
                <w:numId w:val="0"/>
              </w:numPr>
              <w:bidi w:val="0"/>
              <w:rPr>
                <w:rFonts w:hint="eastAsia"/>
                <w:b/>
                <w:bCs/>
                <w:lang w:val="en-US" w:eastAsia="zh-CN"/>
              </w:rPr>
            </w:pPr>
            <w:r>
              <w:rPr>
                <w:rFonts w:hint="eastAsia"/>
                <w:b/>
                <w:bCs/>
                <w:lang w:val="en-US" w:eastAsia="zh-CN"/>
              </w:rPr>
              <w:t>9、总平面布置</w:t>
            </w:r>
          </w:p>
          <w:p>
            <w:pPr>
              <w:bidi w:val="0"/>
              <w:ind w:firstLine="480" w:firstLineChars="200"/>
              <w:rPr>
                <w:rFonts w:hint="default"/>
                <w:lang w:val="en-US" w:eastAsia="zh-CN"/>
              </w:rPr>
            </w:pPr>
            <w:r>
              <w:rPr>
                <w:rFonts w:hint="default"/>
                <w:lang w:val="en-US" w:eastAsia="zh-CN"/>
              </w:rPr>
              <w:t>由项目平面布置图可知，本站站界为规则矩形，净用地红线内的站区最大进深长度为62m，沿道路敞开长度为74.5m。加油站由站辅房、卸油区、加油区（罩棚和加油岛）、储罐区、洗车区、地磅和停车位等组成，站区西侧、南侧、北侧均设有挡土墙及2.2米高非燃烧实体围墙，东侧朝向衡岳大道（该站出入口侧），未设置围墙，地面为水泥混凝土地面。</w:t>
            </w:r>
          </w:p>
          <w:p>
            <w:pPr>
              <w:bidi w:val="0"/>
              <w:ind w:firstLine="480" w:firstLineChars="200"/>
              <w:rPr>
                <w:rFonts w:hint="default"/>
                <w:lang w:val="en-US" w:eastAsia="zh-CN"/>
              </w:rPr>
            </w:pPr>
            <w:r>
              <w:rPr>
                <w:rFonts w:hint="default"/>
                <w:color w:val="auto"/>
                <w:lang w:val="en-US" w:eastAsia="zh-CN"/>
              </w:rPr>
              <w:t>加油棚布设在站区中部，</w:t>
            </w:r>
            <w:r>
              <w:rPr>
                <w:rFonts w:hint="eastAsia"/>
                <w:color w:val="auto"/>
                <w:lang w:val="en-US" w:eastAsia="zh-CN"/>
              </w:rPr>
              <w:t>拟设置6个加油岛，设有6台六枪三油品潜油泵型加油机；</w:t>
            </w:r>
            <w:r>
              <w:rPr>
                <w:rFonts w:hint="default"/>
                <w:color w:val="auto"/>
                <w:lang w:val="en-US" w:eastAsia="zh-CN"/>
              </w:rPr>
              <w:t>油罐区在罩棚下</w:t>
            </w:r>
            <w:r>
              <w:rPr>
                <w:rFonts w:hint="eastAsia"/>
                <w:color w:val="auto"/>
                <w:lang w:val="en-US" w:eastAsia="zh-CN"/>
              </w:rPr>
              <w:t>，位于棚区东侧4个加油岛之间的地下，为承重罐池，罐区拟设4个SF储罐，由东向西双排设置：</w:t>
            </w:r>
            <w:r>
              <w:rPr>
                <w:rFonts w:hint="default"/>
                <w:color w:val="auto"/>
                <w:lang w:val="en-US" w:eastAsia="zh-CN"/>
              </w:rPr>
              <w:t>0#</w:t>
            </w:r>
            <w:r>
              <w:rPr>
                <w:rFonts w:hint="eastAsia"/>
                <w:color w:val="auto"/>
                <w:lang w:val="en-US" w:eastAsia="zh-CN"/>
              </w:rPr>
              <w:t>SF柴油储罐（40m</w:t>
            </w:r>
            <w:r>
              <w:rPr>
                <w:rFonts w:hint="eastAsia"/>
                <w:color w:val="auto"/>
                <w:vertAlign w:val="superscript"/>
                <w:lang w:val="en-US" w:eastAsia="zh-CN"/>
              </w:rPr>
              <w:t>3</w:t>
            </w:r>
            <w:r>
              <w:rPr>
                <w:rFonts w:hint="eastAsia"/>
                <w:color w:val="auto"/>
                <w:lang w:val="en-US" w:eastAsia="zh-CN"/>
              </w:rPr>
              <w:t>）和95</w:t>
            </w:r>
            <w:r>
              <w:rPr>
                <w:rFonts w:hint="default"/>
                <w:color w:val="auto"/>
                <w:lang w:val="en-US" w:eastAsia="zh-CN"/>
              </w:rPr>
              <w:t>#</w:t>
            </w:r>
            <w:r>
              <w:rPr>
                <w:rFonts w:hint="eastAsia"/>
                <w:color w:val="auto"/>
                <w:lang w:val="en-US" w:eastAsia="zh-CN"/>
              </w:rPr>
              <w:t>SF汽油油储罐（40m</w:t>
            </w:r>
            <w:r>
              <w:rPr>
                <w:rFonts w:hint="eastAsia"/>
                <w:color w:val="auto"/>
                <w:vertAlign w:val="superscript"/>
                <w:lang w:val="en-US" w:eastAsia="zh-CN"/>
              </w:rPr>
              <w:t>3</w:t>
            </w:r>
            <w:r>
              <w:rPr>
                <w:rFonts w:hint="eastAsia"/>
                <w:color w:val="auto"/>
                <w:lang w:val="en-US" w:eastAsia="zh-CN"/>
              </w:rPr>
              <w:t>）位于罐区东侧，柴油储罐相对靠北</w:t>
            </w:r>
            <w:r>
              <w:rPr>
                <w:rFonts w:hint="default"/>
                <w:color w:val="auto"/>
                <w:lang w:val="en-US" w:eastAsia="zh-CN"/>
              </w:rPr>
              <w:t>；</w:t>
            </w:r>
            <w:r>
              <w:rPr>
                <w:rFonts w:hint="eastAsia"/>
                <w:color w:val="auto"/>
                <w:lang w:val="en-US" w:eastAsia="zh-CN"/>
              </w:rPr>
              <w:t>2个92</w:t>
            </w:r>
            <w:r>
              <w:rPr>
                <w:rFonts w:hint="default"/>
                <w:color w:val="auto"/>
                <w:lang w:val="en-US" w:eastAsia="zh-CN"/>
              </w:rPr>
              <w:t>#</w:t>
            </w:r>
            <w:r>
              <w:rPr>
                <w:rFonts w:hint="eastAsia"/>
                <w:color w:val="auto"/>
                <w:lang w:val="en-US" w:eastAsia="zh-CN"/>
              </w:rPr>
              <w:t>SF汽油油储罐（40m</w:t>
            </w:r>
            <w:r>
              <w:rPr>
                <w:rFonts w:hint="eastAsia"/>
                <w:color w:val="auto"/>
                <w:vertAlign w:val="superscript"/>
                <w:lang w:val="en-US" w:eastAsia="zh-CN"/>
              </w:rPr>
              <w:t>3</w:t>
            </w:r>
            <w:r>
              <w:rPr>
                <w:rFonts w:hint="eastAsia"/>
                <w:color w:val="auto"/>
                <w:lang w:val="en-US" w:eastAsia="zh-CN"/>
              </w:rPr>
              <w:t>）位于罐区西侧；地下水监控井位于油罐区东北测；</w:t>
            </w:r>
            <w:r>
              <w:rPr>
                <w:rFonts w:hint="default"/>
                <w:lang w:val="en-US" w:eastAsia="zh-CN"/>
              </w:rPr>
              <w:t>卸油</w:t>
            </w:r>
            <w:r>
              <w:rPr>
                <w:rFonts w:hint="eastAsia"/>
                <w:lang w:val="en-US" w:eastAsia="zh-CN"/>
              </w:rPr>
              <w:t>区</w:t>
            </w:r>
            <w:r>
              <w:rPr>
                <w:rFonts w:hint="default"/>
                <w:lang w:val="en-US" w:eastAsia="zh-CN"/>
              </w:rPr>
              <w:t>位于站区东侧；站房位于加油棚西侧；加油站车辆入口和出口分开设置，均位于衡岳大道旁，方便来往车辆进出加油。</w:t>
            </w:r>
            <w:r>
              <w:rPr>
                <w:rFonts w:hint="eastAsia"/>
                <w:lang w:val="en-US" w:eastAsia="zh-CN"/>
              </w:rPr>
              <w:t>通过式</w:t>
            </w:r>
            <w:r>
              <w:rPr>
                <w:rFonts w:hint="default"/>
                <w:lang w:val="en-US" w:eastAsia="zh-CN"/>
              </w:rPr>
              <w:t>洗车区设置于站房后侧，地磅设置于站内入口侧花坛边，充电位及停车位设置于站区进口侧围墙边绿化带内，出口侧花坛处设置精洗车棚。</w:t>
            </w:r>
          </w:p>
          <w:p>
            <w:pPr>
              <w:bidi w:val="0"/>
              <w:ind w:firstLine="480" w:firstLineChars="200"/>
              <w:rPr>
                <w:rFonts w:hint="default"/>
                <w:lang w:val="en-US" w:eastAsia="zh-CN"/>
              </w:rPr>
            </w:pPr>
            <w:r>
              <w:rPr>
                <w:rFonts w:hint="eastAsia"/>
                <w:lang w:val="en-US" w:eastAsia="zh-CN"/>
              </w:rPr>
              <w:t>本项目</w:t>
            </w:r>
            <w:r>
              <w:rPr>
                <w:rFonts w:hint="default"/>
                <w:lang w:val="en-US" w:eastAsia="zh-CN"/>
              </w:rPr>
              <w:t>站辅房分开设置，营业区与办公生活区互不干扰，罐区设置在罩棚下，且可在本项目用地红线范围内消化与站外一类保护物的距离要求，安全程度高且利于日常管理</w:t>
            </w:r>
            <w:r>
              <w:rPr>
                <w:rFonts w:hint="eastAsia"/>
                <w:lang w:val="en-US" w:eastAsia="zh-CN"/>
              </w:rPr>
              <w:t>。</w:t>
            </w:r>
            <w:r>
              <w:rPr>
                <w:rFonts w:hint="default"/>
                <w:lang w:val="en-US" w:eastAsia="zh-CN"/>
              </w:rPr>
              <w:t>平面布置疏密有致，从环保角度考虑，本项目总平面布置基本合理，能够满足其性质和功能要求。</w:t>
            </w:r>
          </w:p>
          <w:p>
            <w:pPr>
              <w:bidi w:val="0"/>
              <w:ind w:firstLine="480" w:firstLineChars="200"/>
              <w:rPr>
                <w:rFonts w:hint="default"/>
                <w:b/>
                <w:bCs/>
                <w:lang w:val="en-US" w:eastAsia="zh-CN"/>
              </w:rPr>
            </w:pPr>
            <w:r>
              <w:rPr>
                <w:rFonts w:hint="default"/>
                <w:lang w:val="en-US" w:eastAsia="zh-CN"/>
              </w:rPr>
              <w:t>项目总平面布置与《汽车加油加气加氢站技术标准》（GB50156-2021）的要求分析结果详见表</w:t>
            </w:r>
            <w:r>
              <w:rPr>
                <w:rFonts w:hint="default"/>
                <w:b w:val="0"/>
                <w:bCs w:val="0"/>
                <w:lang w:val="en-US" w:eastAsia="zh-CN"/>
              </w:rPr>
              <w:t>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10</w:t>
            </w:r>
            <w:r>
              <w:rPr>
                <w:rFonts w:hint="default"/>
                <w:b w:val="0"/>
                <w:bCs w:val="0"/>
                <w:lang w:eastAsia="zh-CN"/>
              </w:rPr>
              <w:fldChar w:fldCharType="end"/>
            </w:r>
            <w:r>
              <w:rPr>
                <w:rFonts w:hint="default"/>
                <w:lang w:val="en-US" w:eastAsia="zh-CN"/>
              </w:rPr>
              <w:t>。</w:t>
            </w:r>
          </w:p>
          <w:p>
            <w:pPr>
              <w:bidi w:val="0"/>
              <w:spacing w:line="240" w:lineRule="auto"/>
              <w:jc w:val="center"/>
              <w:rPr>
                <w:rFonts w:hint="default"/>
                <w:b/>
                <w:bCs/>
                <w:lang w:val="en-US" w:eastAsia="zh-CN"/>
              </w:rPr>
            </w:pPr>
            <w:r>
              <w:rPr>
                <w:rFonts w:hint="default"/>
                <w:b/>
                <w:bCs/>
                <w:lang w:val="en-US" w:eastAsia="zh-CN"/>
              </w:rPr>
              <w:t>表2-</w:t>
            </w:r>
            <w:r>
              <w:rPr>
                <w:rFonts w:hint="default"/>
                <w:b/>
                <w:bCs/>
                <w:lang w:eastAsia="zh-CN"/>
              </w:rPr>
              <w:fldChar w:fldCharType="begin"/>
            </w:r>
            <w:r>
              <w:rPr>
                <w:rFonts w:hint="default"/>
                <w:b/>
                <w:bCs/>
                <w:lang w:eastAsia="zh-CN"/>
              </w:rPr>
              <w:instrText xml:space="preserve"> SEQ 表2- </w:instrText>
            </w:r>
            <w:r>
              <w:rPr>
                <w:rFonts w:hint="default"/>
                <w:b/>
                <w:bCs/>
                <w:lang w:eastAsia="zh-CN"/>
              </w:rPr>
              <w:fldChar w:fldCharType="separate"/>
            </w:r>
            <w:r>
              <w:rPr>
                <w:rFonts w:hint="default"/>
                <w:b/>
                <w:bCs/>
                <w:lang w:eastAsia="zh-CN"/>
              </w:rPr>
              <w:t>10</w:t>
            </w:r>
            <w:r>
              <w:rPr>
                <w:rFonts w:hint="default"/>
                <w:b/>
                <w:bCs/>
                <w:lang w:eastAsia="zh-CN"/>
              </w:rPr>
              <w:fldChar w:fldCharType="end"/>
            </w:r>
            <w:r>
              <w:rPr>
                <w:rFonts w:hint="eastAsia"/>
                <w:b/>
                <w:bCs/>
                <w:lang w:val="en-US" w:eastAsia="zh-CN"/>
              </w:rPr>
              <w:t xml:space="preserve">  </w:t>
            </w:r>
            <w:r>
              <w:rPr>
                <w:rFonts w:hint="default"/>
                <w:b/>
                <w:bCs/>
                <w:lang w:val="en-US" w:eastAsia="zh-CN"/>
              </w:rPr>
              <w:t xml:space="preserve"> 加油站站内主要设施间距一览表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084"/>
              <w:gridCol w:w="1084"/>
              <w:gridCol w:w="1085"/>
              <w:gridCol w:w="1085"/>
              <w:gridCol w:w="1085"/>
              <w:gridCol w:w="1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设施名称</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埋地汽油罐</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埋地柴油罐</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汽油通气管口</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柴油通气管口</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密闭卸油点</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加油机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埋地汽油油罐</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1</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0</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5</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1</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0</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5</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埋地柴油油罐</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1</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0</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5</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汽油通气管口</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23</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3</w:t>
                  </w:r>
                  <w:r>
                    <w:rPr>
                      <w:rFonts w:hint="default" w:eastAsia="宋体"/>
                      <w:b w:val="0"/>
                      <w:bCs w:val="0"/>
                      <w:sz w:val="21"/>
                      <w:szCs w:val="21"/>
                      <w:vertAlign w:val="baseline"/>
                      <w:lang w:val="en-US" w:eastAsia="zh-CN"/>
                    </w:rPr>
                    <w:t>）</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柴油通气管口</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14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8</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2</w:t>
                  </w:r>
                  <w:r>
                    <w:rPr>
                      <w:rFonts w:hint="default" w:eastAsia="宋体"/>
                      <w:b w:val="0"/>
                      <w:bCs w:val="0"/>
                      <w:sz w:val="21"/>
                      <w:szCs w:val="21"/>
                      <w:vertAlign w:val="baseline"/>
                      <w:lang w:val="en-US" w:eastAsia="zh-CN"/>
                    </w:rPr>
                    <w:t>）</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密闭卸油点</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23</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3</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14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8</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2</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加油机</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站房</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16</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2</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24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6</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3</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18</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29</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3</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5</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39</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5</w:t>
                  </w:r>
                  <w:r>
                    <w:rPr>
                      <w:rFonts w:hint="default" w:eastAsia="宋体"/>
                      <w:b w:val="0"/>
                      <w:bCs w:val="0"/>
                      <w:sz w:val="21"/>
                      <w:szCs w:val="21"/>
                      <w:vertAlign w:val="baseline"/>
                      <w:lang w:val="en-US" w:eastAsia="zh-CN"/>
                    </w:rPr>
                    <w:t>）</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7</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5</w:t>
                  </w:r>
                  <w:r>
                    <w:rPr>
                      <w:rFonts w:hint="default" w:eastAsia="宋体"/>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站区围墙</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28</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9</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2</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28</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8</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2</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23</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2</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23</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4</w:t>
                  </w:r>
                  <w:r>
                    <w:rPr>
                      <w:rFonts w:hint="default" w:eastAsia="宋体"/>
                      <w:b w:val="0"/>
                      <w:bCs w:val="0"/>
                      <w:sz w:val="21"/>
                      <w:szCs w:val="21"/>
                      <w:vertAlign w:val="baseline"/>
                      <w:lang w:val="en-US" w:eastAsia="zh-CN"/>
                    </w:rPr>
                    <w:t>（</w:t>
                  </w:r>
                  <w:r>
                    <w:rPr>
                      <w:rFonts w:hint="eastAsia" w:eastAsia="宋体"/>
                      <w:b w:val="0"/>
                      <w:bCs w:val="0"/>
                      <w:sz w:val="21"/>
                      <w:szCs w:val="21"/>
                      <w:vertAlign w:val="baseline"/>
                      <w:lang w:val="en-US" w:eastAsia="zh-CN"/>
                    </w:rPr>
                    <w:t>2</w:t>
                  </w:r>
                  <w:r>
                    <w:rPr>
                      <w:rFonts w:hint="default" w:eastAsia="宋体"/>
                      <w:b w:val="0"/>
                      <w:bCs w:val="0"/>
                      <w:sz w:val="21"/>
                      <w:szCs w:val="21"/>
                      <w:vertAlign w:val="baseline"/>
                      <w:lang w:val="en-US" w:eastAsia="zh-CN"/>
                    </w:rPr>
                    <w:t>）</w:t>
                  </w:r>
                </w:p>
              </w:tc>
              <w:tc>
                <w:tcPr>
                  <w:tcW w:w="1086"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c>
                <w:tcPr>
                  <w:tcW w:w="1087"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eastAsia="宋体"/>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3" w:type="dxa"/>
                  <w:gridSpan w:val="7"/>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eastAsia="宋体"/>
                      <w:b w:val="0"/>
                      <w:bCs w:val="0"/>
                      <w:sz w:val="21"/>
                      <w:szCs w:val="21"/>
                      <w:vertAlign w:val="baseline"/>
                      <w:lang w:val="en-US" w:eastAsia="zh-CN"/>
                    </w:rPr>
                    <w:t>备注：（）里的数字为规范要求距离</w:t>
                  </w:r>
                </w:p>
              </w:tc>
            </w:tr>
          </w:tbl>
          <w:p>
            <w:pPr>
              <w:numPr>
                <w:ilvl w:val="0"/>
                <w:numId w:val="0"/>
              </w:numPr>
              <w:bidi w:val="0"/>
              <w:ind w:firstLine="480" w:firstLineChars="200"/>
              <w:rPr>
                <w:rFonts w:hint="default"/>
                <w:b w:val="0"/>
                <w:bCs w:val="0"/>
                <w:lang w:val="en-US" w:eastAsia="zh-CN"/>
              </w:rPr>
            </w:pPr>
            <w:r>
              <w:rPr>
                <w:rFonts w:hint="default"/>
                <w:b w:val="0"/>
                <w:bCs w:val="0"/>
                <w:lang w:val="en-US" w:eastAsia="zh-CN"/>
              </w:rPr>
              <w:t>由</w:t>
            </w:r>
            <w:r>
              <w:rPr>
                <w:rFonts w:hint="eastAsia"/>
                <w:b w:val="0"/>
                <w:bCs w:val="0"/>
                <w:lang w:val="en-US" w:eastAsia="zh-CN"/>
              </w:rPr>
              <w:t>上表</w:t>
            </w:r>
            <w:r>
              <w:rPr>
                <w:rFonts w:hint="default"/>
                <w:b w:val="0"/>
                <w:bCs w:val="0"/>
                <w:lang w:val="en-US" w:eastAsia="zh-CN"/>
              </w:rPr>
              <w:t>分析可知，</w:t>
            </w:r>
            <w:r>
              <w:rPr>
                <w:rFonts w:hint="eastAsia"/>
                <w:b w:val="0"/>
                <w:bCs w:val="0"/>
                <w:lang w:val="en-US" w:eastAsia="zh-CN"/>
              </w:rPr>
              <w:t>本</w:t>
            </w:r>
            <w:r>
              <w:rPr>
                <w:rFonts w:hint="default"/>
                <w:b w:val="0"/>
                <w:bCs w:val="0"/>
                <w:lang w:val="en-US" w:eastAsia="zh-CN"/>
              </w:rPr>
              <w:t>加油站总平面布置功能分区明确，且汽、柴油设备与站内建（构）筑物符合《汽车加油加气加氢站技术标准》（GB50156-2021）的规定。因此，本项目总平面布置合理。总平布置图见附图2。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vAlign w:val="center"/>
          </w:tcPr>
          <w:p>
            <w:pPr>
              <w:bidi w:val="0"/>
              <w:jc w:val="center"/>
              <w:rPr>
                <w:rFonts w:hint="default"/>
                <w:lang w:val="en-US" w:eastAsia="zh-CN"/>
              </w:rPr>
            </w:pPr>
            <w:r>
              <w:rPr>
                <w:rFonts w:hint="eastAsia"/>
                <w:lang w:val="en-US" w:eastAsia="zh-CN"/>
              </w:rPr>
              <w:t>工艺流程和产排污环节</w:t>
            </w:r>
          </w:p>
        </w:tc>
        <w:tc>
          <w:tcPr>
            <w:tcW w:w="7819" w:type="dxa"/>
            <w:vAlign w:val="top"/>
          </w:tcPr>
          <w:p>
            <w:pPr>
              <w:numPr>
                <w:ilvl w:val="0"/>
                <w:numId w:val="0"/>
              </w:numPr>
              <w:bidi w:val="0"/>
              <w:rPr>
                <w:rFonts w:hint="eastAsia"/>
                <w:b/>
                <w:bCs/>
                <w:lang w:val="en-US" w:eastAsia="zh-CN"/>
              </w:rPr>
            </w:pPr>
            <w:r>
              <w:rPr>
                <w:rFonts w:hint="eastAsia"/>
                <w:b/>
                <w:bCs/>
                <w:lang w:val="en-US" w:eastAsia="zh-CN"/>
              </w:rPr>
              <w:t>1、施工期工艺流程及产污环节</w:t>
            </w:r>
          </w:p>
          <w:p>
            <w:pPr>
              <w:numPr>
                <w:ilvl w:val="0"/>
                <w:numId w:val="0"/>
              </w:numPr>
              <w:bidi w:val="0"/>
              <w:ind w:firstLine="480" w:firstLineChars="200"/>
              <w:rPr>
                <w:rFonts w:hint="eastAsia"/>
                <w:lang w:val="en-US" w:eastAsia="zh-CN"/>
              </w:rPr>
            </w:pPr>
            <w:r>
              <w:rPr>
                <w:rFonts w:hint="eastAsia"/>
                <w:lang w:val="en-US" w:eastAsia="zh-CN"/>
              </w:rPr>
              <w:t>（1）工艺流程图</w:t>
            </w:r>
          </w:p>
          <w:p>
            <w:pPr>
              <w:numPr>
                <w:ilvl w:val="0"/>
                <w:numId w:val="0"/>
              </w:numPr>
              <w:bidi w:val="0"/>
              <w:ind w:firstLine="480" w:firstLineChars="200"/>
              <w:rPr>
                <w:rFonts w:hint="default"/>
                <w:lang w:val="en-US" w:eastAsia="zh-CN"/>
              </w:rPr>
            </w:pPr>
            <w:r>
              <w:rPr>
                <w:rFonts w:hint="default"/>
                <w:lang w:val="en-US" w:eastAsia="zh-CN"/>
              </w:rPr>
              <w:t>本项目为新建项目，总占地面积</w:t>
            </w:r>
            <w:r>
              <w:rPr>
                <w:rFonts w:hint="eastAsia"/>
                <w:lang w:val="en-US" w:eastAsia="zh-CN"/>
              </w:rPr>
              <w:t>4430.7</w:t>
            </w:r>
            <w:r>
              <w:rPr>
                <w:rFonts w:hint="default"/>
                <w:lang w:val="en-US" w:eastAsia="zh-CN"/>
              </w:rPr>
              <w:t>m</w:t>
            </w:r>
            <w:r>
              <w:rPr>
                <w:rFonts w:hint="default"/>
                <w:vertAlign w:val="superscript"/>
                <w:lang w:val="en-US" w:eastAsia="zh-CN"/>
              </w:rPr>
              <w:t>2</w:t>
            </w:r>
            <w:r>
              <w:rPr>
                <w:rFonts w:hint="default"/>
                <w:lang w:val="en-US" w:eastAsia="zh-CN"/>
              </w:rPr>
              <w:t>，项目建设不涉及移民搬迁、拆迁。施工期建设内容主要包括罩棚、站房、储油罐区等。</w:t>
            </w:r>
          </w:p>
          <w:p>
            <w:pPr>
              <w:numPr>
                <w:ilvl w:val="0"/>
                <w:numId w:val="0"/>
              </w:numPr>
              <w:bidi w:val="0"/>
              <w:ind w:firstLine="480" w:firstLineChars="200"/>
              <w:rPr>
                <w:rFonts w:hint="default"/>
                <w:lang w:val="en-US" w:eastAsia="zh-CN"/>
              </w:rPr>
            </w:pPr>
            <w:r>
              <w:rPr>
                <w:rFonts w:hint="default"/>
                <w:lang w:val="en-US" w:eastAsia="zh-CN"/>
              </w:rPr>
              <w:t>根据建设单位提供资料，施工期不设置施工营地，施工人员为10人，均为附近村民，因此不在施工场地食宿。项目计划施工时间为202</w:t>
            </w:r>
            <w:r>
              <w:rPr>
                <w:rFonts w:hint="eastAsia"/>
                <w:lang w:val="en-US" w:eastAsia="zh-CN"/>
              </w:rPr>
              <w:t>2</w:t>
            </w:r>
            <w:r>
              <w:rPr>
                <w:rFonts w:hint="default"/>
                <w:lang w:val="en-US" w:eastAsia="zh-CN"/>
              </w:rPr>
              <w:t>年</w:t>
            </w:r>
            <w:r>
              <w:rPr>
                <w:rFonts w:hint="eastAsia"/>
                <w:lang w:val="en-US" w:eastAsia="zh-CN"/>
              </w:rPr>
              <w:t>10</w:t>
            </w:r>
            <w:r>
              <w:rPr>
                <w:rFonts w:hint="default"/>
                <w:lang w:val="en-US" w:eastAsia="zh-CN"/>
              </w:rPr>
              <w:t>月至2022年</w:t>
            </w:r>
            <w:r>
              <w:rPr>
                <w:rFonts w:hint="eastAsia"/>
                <w:lang w:val="en-US" w:eastAsia="zh-CN"/>
              </w:rPr>
              <w:t>1</w:t>
            </w:r>
            <w:r>
              <w:rPr>
                <w:rFonts w:hint="default"/>
                <w:lang w:val="en-US" w:eastAsia="zh-CN"/>
              </w:rPr>
              <w:t>月，施工期工艺流程及排污节点见图</w:t>
            </w:r>
            <w:r>
              <w:rPr>
                <w:rFonts w:hint="default"/>
                <w:b w:val="0"/>
                <w:bCs w:val="0"/>
                <w:lang w:val="en-US" w:eastAsia="zh-CN"/>
              </w:rPr>
              <w:t>2-</w:t>
            </w:r>
            <w:r>
              <w:rPr>
                <w:rFonts w:hint="eastAsia"/>
                <w:b w:val="0"/>
                <w:bCs w:val="0"/>
                <w:lang w:val="en-US" w:eastAsia="zh-CN"/>
              </w:rPr>
              <w:t>2</w:t>
            </w:r>
            <w:r>
              <w:rPr>
                <w:rFonts w:hint="default"/>
                <w:lang w:val="en-US" w:eastAsia="zh-CN"/>
              </w:rPr>
              <w:t>。</w:t>
            </w:r>
          </w:p>
          <w:p>
            <w:pPr>
              <w:numPr>
                <w:ilvl w:val="0"/>
                <w:numId w:val="0"/>
              </w:numPr>
              <w:bidi w:val="0"/>
              <w:rPr>
                <w:rFonts w:hint="default"/>
                <w:lang w:val="en-US" w:eastAsia="zh-CN"/>
              </w:rPr>
            </w:pPr>
            <w:r>
              <w:drawing>
                <wp:inline distT="0" distB="0" distL="114300" distR="114300">
                  <wp:extent cx="4882515" cy="1308735"/>
                  <wp:effectExtent l="0" t="0" r="13335" b="5715"/>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21"/>
                          <a:srcRect l="1331" t="42915" r="57597" b="37509"/>
                          <a:stretch>
                            <a:fillRect/>
                          </a:stretch>
                        </pic:blipFill>
                        <pic:spPr>
                          <a:xfrm>
                            <a:off x="0" y="0"/>
                            <a:ext cx="4882515" cy="1308735"/>
                          </a:xfrm>
                          <a:prstGeom prst="rect">
                            <a:avLst/>
                          </a:prstGeom>
                          <a:noFill/>
                          <a:ln>
                            <a:noFill/>
                          </a:ln>
                        </pic:spPr>
                      </pic:pic>
                    </a:graphicData>
                  </a:graphic>
                </wp:inline>
              </w:drawing>
            </w:r>
          </w:p>
          <w:p>
            <w:pPr>
              <w:numPr>
                <w:ilvl w:val="0"/>
                <w:numId w:val="0"/>
              </w:numPr>
              <w:bidi w:val="0"/>
              <w:jc w:val="center"/>
              <w:rPr>
                <w:rFonts w:hint="default"/>
                <w:b/>
                <w:bCs/>
                <w:lang w:val="en-US" w:eastAsia="zh-CN"/>
              </w:rPr>
            </w:pPr>
            <w:r>
              <w:rPr>
                <w:rFonts w:hint="default"/>
                <w:b/>
                <w:bCs/>
                <w:lang w:val="en-US" w:eastAsia="zh-CN"/>
              </w:rPr>
              <w:t>图</w:t>
            </w:r>
            <w:r>
              <w:rPr>
                <w:rFonts w:hint="default"/>
                <w:b w:val="0"/>
                <w:bCs w:val="0"/>
                <w:lang w:val="en-US" w:eastAsia="zh-CN"/>
              </w:rPr>
              <w:t>2-</w:t>
            </w:r>
            <w:r>
              <w:rPr>
                <w:rFonts w:hint="default"/>
                <w:b w:val="0"/>
                <w:bCs w:val="0"/>
                <w:lang w:eastAsia="zh-CN"/>
              </w:rPr>
              <w:fldChar w:fldCharType="begin"/>
            </w:r>
            <w:r>
              <w:rPr>
                <w:rFonts w:hint="default"/>
                <w:b w:val="0"/>
                <w:bCs w:val="0"/>
                <w:lang w:eastAsia="zh-CN"/>
              </w:rPr>
              <w:instrText xml:space="preserve"> SEQ 图2- \* MERGEFORMAT </w:instrText>
            </w:r>
            <w:r>
              <w:rPr>
                <w:rFonts w:hint="default"/>
                <w:b w:val="0"/>
                <w:bCs w:val="0"/>
                <w:lang w:eastAsia="zh-CN"/>
              </w:rPr>
              <w:fldChar w:fldCharType="separate"/>
            </w:r>
            <w:r>
              <w:rPr>
                <w:rFonts w:hint="default"/>
                <w:b w:val="0"/>
                <w:bCs w:val="0"/>
                <w:lang w:eastAsia="zh-CN"/>
              </w:rPr>
              <w:t>2</w:t>
            </w:r>
            <w:r>
              <w:rPr>
                <w:rFonts w:hint="default"/>
                <w:b w:val="0"/>
                <w:bCs w:val="0"/>
                <w:lang w:eastAsia="zh-CN"/>
              </w:rPr>
              <w:fldChar w:fldCharType="end"/>
            </w:r>
            <w:r>
              <w:rPr>
                <w:rFonts w:hint="default"/>
                <w:b/>
                <w:bCs/>
                <w:lang w:val="en-US" w:eastAsia="zh-CN"/>
              </w:rPr>
              <w:t xml:space="preserve">   施工期本项目工艺流程及排污节点图</w:t>
            </w:r>
          </w:p>
          <w:p>
            <w:pPr>
              <w:numPr>
                <w:ilvl w:val="0"/>
                <w:numId w:val="0"/>
              </w:numPr>
              <w:bidi w:val="0"/>
              <w:ind w:firstLine="480" w:firstLineChars="200"/>
              <w:rPr>
                <w:rFonts w:hint="eastAsia"/>
                <w:lang w:val="en-US" w:eastAsia="zh-CN"/>
              </w:rPr>
            </w:pPr>
            <w:r>
              <w:rPr>
                <w:rFonts w:hint="eastAsia"/>
                <w:lang w:val="en-US" w:eastAsia="zh-CN"/>
              </w:rPr>
              <w:t>（2）产排污环节</w:t>
            </w:r>
          </w:p>
          <w:p>
            <w:pPr>
              <w:numPr>
                <w:ilvl w:val="0"/>
                <w:numId w:val="0"/>
              </w:numPr>
              <w:spacing w:line="360" w:lineRule="auto"/>
              <w:ind w:leftChars="0" w:firstLine="480" w:firstLineChars="200"/>
              <w:rPr>
                <w:rFonts w:hint="default"/>
                <w:sz w:val="24"/>
                <w:szCs w:val="24"/>
                <w:lang w:val="en-US" w:eastAsia="zh-CN"/>
              </w:rPr>
            </w:pPr>
            <w:r>
              <w:rPr>
                <w:rFonts w:hint="default"/>
                <w:sz w:val="24"/>
                <w:szCs w:val="24"/>
                <w:lang w:val="en-US" w:eastAsia="zh-CN"/>
              </w:rPr>
              <w:t>施工期的产生的污染主要为机械噪声、扬尘、生活污水及固体废物，施工期主要污染源随着施工阶段不同略有差异，且施工期污染物的排放呈阶段排放特征。</w:t>
            </w:r>
          </w:p>
          <w:p>
            <w:pPr>
              <w:bidi w:val="0"/>
              <w:ind w:firstLine="480" w:firstLineChars="200"/>
              <w:rPr>
                <w:rFonts w:hint="default"/>
                <w:lang w:val="en-US" w:eastAsia="zh-CN"/>
              </w:rPr>
            </w:pPr>
            <w:r>
              <w:rPr>
                <w:rFonts w:hint="default" w:ascii="Times New Roman" w:hAnsi="Times New Roman" w:cs="Times New Roman"/>
                <w:lang w:val="en-US" w:eastAsia="zh-CN"/>
              </w:rPr>
              <w:t>①</w:t>
            </w:r>
            <w:r>
              <w:rPr>
                <w:rFonts w:hint="default"/>
                <w:lang w:val="en-US" w:eastAsia="zh-CN"/>
              </w:rPr>
              <w:t>噪声：本项目在施工期间主要有现场各类机械设备及运输车辆的运行的噪音。本项目采用合理安排施工时间，在建筑场外部设置围挡等措施控制施工噪声对周围环境的影响。</w:t>
            </w:r>
          </w:p>
          <w:p>
            <w:pPr>
              <w:numPr>
                <w:ilvl w:val="0"/>
                <w:numId w:val="0"/>
              </w:numPr>
              <w:spacing w:line="360" w:lineRule="auto"/>
              <w:ind w:leftChars="0" w:right="0" w:rightChars="0" w:firstLine="480" w:firstLineChars="200"/>
              <w:rPr>
                <w:rFonts w:hint="default"/>
                <w:sz w:val="24"/>
                <w:szCs w:val="24"/>
                <w:lang w:val="en-US" w:eastAsia="zh-CN"/>
              </w:rPr>
            </w:pPr>
            <w:r>
              <w:rPr>
                <w:rFonts w:hint="default" w:ascii="Times New Roman" w:hAnsi="Times New Roman" w:cs="Times New Roman"/>
                <w:sz w:val="24"/>
                <w:szCs w:val="24"/>
                <w:lang w:val="en-US" w:eastAsia="zh-CN"/>
              </w:rPr>
              <w:t>②</w:t>
            </w:r>
            <w:r>
              <w:rPr>
                <w:rFonts w:hint="default"/>
                <w:sz w:val="24"/>
                <w:szCs w:val="24"/>
                <w:lang w:val="en-US" w:eastAsia="zh-CN"/>
              </w:rPr>
              <w:t>废气：根据该建设项目的工程内容，施工扬尘产生的主要环节为：土方挖掘、建筑施工、建筑材料的运输。本项目采用施工场地、道路四周围挡、场地酒水、弃土堆存夯实遮盖等措施控制施工扬尘。</w:t>
            </w:r>
          </w:p>
          <w:p>
            <w:pPr>
              <w:numPr>
                <w:ilvl w:val="0"/>
                <w:numId w:val="0"/>
              </w:numPr>
              <w:spacing w:line="360" w:lineRule="auto"/>
              <w:ind w:leftChars="0" w:right="0" w:rightChars="0" w:firstLine="480" w:firstLineChars="200"/>
              <w:rPr>
                <w:rFonts w:hint="default"/>
                <w:sz w:val="24"/>
                <w:szCs w:val="24"/>
                <w:lang w:val="en-US" w:eastAsia="zh-CN"/>
              </w:rPr>
            </w:pPr>
            <w:r>
              <w:rPr>
                <w:rFonts w:hint="default" w:ascii="Times New Roman" w:hAnsi="Times New Roman" w:cs="Times New Roman"/>
                <w:sz w:val="24"/>
                <w:szCs w:val="24"/>
                <w:lang w:val="en-US" w:eastAsia="zh-CN"/>
              </w:rPr>
              <w:t>③</w:t>
            </w:r>
            <w:r>
              <w:rPr>
                <w:rFonts w:hint="default"/>
                <w:sz w:val="24"/>
                <w:szCs w:val="24"/>
                <w:lang w:val="en-US" w:eastAsia="zh-CN"/>
              </w:rPr>
              <w:t>废水：本项目施工期废水主要为施工废水和施工人员生活用水，施工废水污染物含量很小，可直接用于泼洒地面抑尘。施工期使用防渗早厕，不会对地表水环境产生影响。</w:t>
            </w:r>
          </w:p>
          <w:p>
            <w:pPr>
              <w:numPr>
                <w:ilvl w:val="0"/>
                <w:numId w:val="0"/>
              </w:numPr>
              <w:spacing w:line="360" w:lineRule="auto"/>
              <w:ind w:leftChars="0" w:right="0" w:rightChars="0" w:firstLine="480" w:firstLineChars="200"/>
              <w:rPr>
                <w:rFonts w:hint="eastAsia"/>
                <w:b/>
                <w:bCs/>
                <w:lang w:val="en-US" w:eastAsia="zh-CN"/>
              </w:rPr>
            </w:pPr>
            <w:r>
              <w:rPr>
                <w:rFonts w:hint="default" w:ascii="Times New Roman" w:hAnsi="Times New Roman" w:eastAsia="宋体" w:cs="Times New Roman"/>
                <w:sz w:val="24"/>
                <w:szCs w:val="24"/>
                <w:lang w:val="en-US" w:eastAsia="zh-CN"/>
              </w:rPr>
              <w:t>④</w:t>
            </w:r>
            <w:r>
              <w:rPr>
                <w:rFonts w:hint="default"/>
                <w:sz w:val="24"/>
                <w:szCs w:val="24"/>
                <w:lang w:val="en-US" w:eastAsia="zh-CN"/>
              </w:rPr>
              <w:t>固废：本项目施工期固废主要为建筑施工产生的弃土、废砖等建筑垃圾和生活垃圾。将建筑垃圾和工人生活垃圾，进行分类收集，分开处理，定期送建筑垃圾至填埋场填埋，生活垃圾送到垃圾收集点。</w:t>
            </w:r>
          </w:p>
          <w:p>
            <w:pPr>
              <w:numPr>
                <w:ilvl w:val="0"/>
                <w:numId w:val="0"/>
              </w:numPr>
              <w:bidi w:val="0"/>
              <w:jc w:val="both"/>
              <w:rPr>
                <w:rFonts w:hint="default"/>
                <w:b/>
                <w:bCs/>
                <w:lang w:val="en-US" w:eastAsia="zh-CN"/>
              </w:rPr>
            </w:pPr>
            <w:r>
              <w:rPr>
                <w:rFonts w:hint="eastAsia"/>
                <w:b/>
                <w:bCs/>
                <w:lang w:val="en-US" w:eastAsia="zh-CN"/>
              </w:rPr>
              <w:t>2、运营期工艺流程及产污环节</w:t>
            </w:r>
          </w:p>
          <w:p>
            <w:pPr>
              <w:numPr>
                <w:ilvl w:val="0"/>
                <w:numId w:val="0"/>
              </w:numPr>
              <w:bidi w:val="0"/>
              <w:ind w:firstLine="480" w:firstLineChars="200"/>
              <w:jc w:val="both"/>
              <w:rPr>
                <w:rFonts w:hint="eastAsia"/>
                <w:b w:val="0"/>
                <w:bCs w:val="0"/>
                <w:lang w:val="en-US" w:eastAsia="zh-CN"/>
              </w:rPr>
            </w:pPr>
            <w:r>
              <w:rPr>
                <w:rFonts w:hint="eastAsia"/>
                <w:b w:val="0"/>
                <w:bCs w:val="0"/>
                <w:lang w:val="en-US" w:eastAsia="zh-CN"/>
              </w:rPr>
              <w:t>（1）工艺流程图</w:t>
            </w:r>
          </w:p>
          <w:p>
            <w:pPr>
              <w:numPr>
                <w:ilvl w:val="0"/>
                <w:numId w:val="0"/>
              </w:numPr>
              <w:bidi w:val="0"/>
              <w:jc w:val="both"/>
              <w:rPr>
                <w:rFonts w:hint="default"/>
                <w:b w:val="0"/>
                <w:bCs w:val="0"/>
                <w:lang w:val="en-US" w:eastAsia="zh-CN"/>
              </w:rPr>
            </w:pPr>
            <w:r>
              <w:rPr>
                <w:sz w:val="21"/>
              </w:rPr>
              <mc:AlternateContent>
                <mc:Choice Requires="wps">
                  <w:drawing>
                    <wp:anchor distT="0" distB="0" distL="114300" distR="114300" simplePos="0" relativeHeight="251681792" behindDoc="0" locked="0" layoutInCell="1" allowOverlap="1">
                      <wp:simplePos x="0" y="0"/>
                      <wp:positionH relativeFrom="column">
                        <wp:posOffset>1456690</wp:posOffset>
                      </wp:positionH>
                      <wp:positionV relativeFrom="paragraph">
                        <wp:posOffset>2644140</wp:posOffset>
                      </wp:positionV>
                      <wp:extent cx="1090930" cy="391160"/>
                      <wp:effectExtent l="0" t="0" r="0" b="0"/>
                      <wp:wrapNone/>
                      <wp:docPr id="35" name="文本框 35"/>
                      <wp:cNvGraphicFramePr/>
                      <a:graphic xmlns:a="http://schemas.openxmlformats.org/drawingml/2006/main">
                        <a:graphicData uri="http://schemas.microsoft.com/office/word/2010/wordprocessingShape">
                          <wps:wsp>
                            <wps:cNvSpPr txBox="1"/>
                            <wps:spPr>
                              <a:xfrm>
                                <a:off x="3068320" y="7238365"/>
                                <a:ext cx="1090930"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auto"/>
                                      <w:sz w:val="21"/>
                                      <w:szCs w:val="21"/>
                                      <w:lang w:val="en-US" w:eastAsia="zh-CN"/>
                                    </w:rPr>
                                  </w:pPr>
                                  <w:r>
                                    <w:rPr>
                                      <w:rFonts w:hint="eastAsia"/>
                                      <w:color w:val="auto"/>
                                      <w:sz w:val="21"/>
                                      <w:szCs w:val="21"/>
                                      <w:lang w:val="en-US" w:eastAsia="zh-CN"/>
                                    </w:rPr>
                                    <w:t>三次油气回收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7pt;margin-top:208.2pt;height:30.8pt;width:85.9pt;z-index:251681792;mso-width-relative:page;mso-height-relative:page;" filled="f" stroked="f" coordsize="21600,21600" o:gfxdata="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nAU/2wAAAAsBAAAPAAAA&#10;AAAAAAEAIAAAACIAAABkcnMvZG93bnJldi54bWxQSwECFAAUAAAACACHTuJAaEKhAksCAAB0BAAA&#10;DgAAAAAAAAABACAAAAAqAQAAZHJzL2Uyb0RvYy54bWxQSwUGAAAAAAYABgBZAQAA5wUAAAAA&#10;">
                      <v:fill on="f" focussize="0,0"/>
                      <v:stroke on="f" weight="0.5pt"/>
                      <v:imagedata o:title=""/>
                      <o:lock v:ext="edit" aspectratio="f"/>
                      <v:textbox>
                        <w:txbxContent>
                          <w:p>
                            <w:pPr>
                              <w:rPr>
                                <w:rFonts w:hint="default" w:eastAsia="宋体"/>
                                <w:color w:val="auto"/>
                                <w:sz w:val="21"/>
                                <w:szCs w:val="21"/>
                                <w:lang w:val="en-US" w:eastAsia="zh-CN"/>
                              </w:rPr>
                            </w:pPr>
                            <w:r>
                              <w:rPr>
                                <w:rFonts w:hint="eastAsia"/>
                                <w:color w:val="auto"/>
                                <w:sz w:val="21"/>
                                <w:szCs w:val="21"/>
                                <w:lang w:val="en-US" w:eastAsia="zh-CN"/>
                              </w:rPr>
                              <w:t>三次油气回收</w:t>
                            </w:r>
                          </w:p>
                        </w:txbxContent>
                      </v:textbox>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1543050</wp:posOffset>
                      </wp:positionH>
                      <wp:positionV relativeFrom="paragraph">
                        <wp:posOffset>2620010</wp:posOffset>
                      </wp:positionV>
                      <wp:extent cx="877570" cy="2540"/>
                      <wp:effectExtent l="0" t="0" r="0" b="0"/>
                      <wp:wrapNone/>
                      <wp:docPr id="33" name="直接连接符 33"/>
                      <wp:cNvGraphicFramePr/>
                      <a:graphic xmlns:a="http://schemas.openxmlformats.org/drawingml/2006/main">
                        <a:graphicData uri="http://schemas.microsoft.com/office/word/2010/wordprocessingShape">
                          <wps:wsp>
                            <wps:cNvCnPr/>
                            <wps:spPr>
                              <a:xfrm flipH="1" flipV="1">
                                <a:off x="3057525" y="7141845"/>
                                <a:ext cx="877570" cy="2540"/>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21.5pt;margin-top:206.3pt;height:0.2pt;width:69.1pt;z-index:251679744;mso-width-relative:page;mso-height-relative:page;" filled="f" stroked="t" coordsize="21600,21600" o:gfxdata="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&#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42wADaAAAACwEAAA8AAAAAAAAAAQAgAAAAIgAAAGRy&#10;cy9kb3ducmV2LnhtbFBLAQIUABQAAAAIAIdO4kCAFcBFAwIAANYDAAAOAAAAAAAAAAEAIAAAACkB&#10;AABkcnMvZTJvRG9jLnhtbFBLBQYAAAAABgAGAFkBAACeBQAAAAA=&#10;">
                      <v:fill on="f" focussize="0,0"/>
                      <v:stroke weight="0.5pt" color="#000000 [3213]" miterlimit="8" joinstyle="miter" dashstyle="1 1"/>
                      <v:imagedata o:title=""/>
                      <o:lock v:ext="edit" aspectratio="f"/>
                    </v:lin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1543050</wp:posOffset>
                      </wp:positionH>
                      <wp:positionV relativeFrom="paragraph">
                        <wp:posOffset>2323465</wp:posOffset>
                      </wp:positionV>
                      <wp:extent cx="10795" cy="307340"/>
                      <wp:effectExtent l="46355" t="0" r="57150" b="16510"/>
                      <wp:wrapNone/>
                      <wp:docPr id="34" name="直接箭头连接符 34"/>
                      <wp:cNvGraphicFramePr/>
                      <a:graphic xmlns:a="http://schemas.openxmlformats.org/drawingml/2006/main">
                        <a:graphicData uri="http://schemas.microsoft.com/office/word/2010/wordprocessingShape">
                          <wps:wsp>
                            <wps:cNvCnPr/>
                            <wps:spPr>
                              <a:xfrm flipH="1" flipV="1">
                                <a:off x="3057525" y="6885305"/>
                                <a:ext cx="10795" cy="30734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21.5pt;margin-top:182.95pt;height:24.2pt;width:0.85pt;z-index:251680768;mso-width-relative:page;mso-height-relative:page;" filled="f" stroked="t" coordsize="21600,21600" o:gfxdata="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LKbzN2wAAAAsBAAAPAAAAAAAAAAEAIAAAACIAAABkcnMvZG93bnJldi54bWxQSwECFAAUAAAA&#10;CACHTuJAdL+BzyQCAAAEBAAADgAAAAAAAAABACAAAAAqAQAAZHJzL2Uyb0RvYy54bWxQSwUGAAAA&#10;AAYABgBZAQAAwAU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2409825</wp:posOffset>
                      </wp:positionH>
                      <wp:positionV relativeFrom="paragraph">
                        <wp:posOffset>2352675</wp:posOffset>
                      </wp:positionV>
                      <wp:extent cx="0" cy="288925"/>
                      <wp:effectExtent l="4445" t="0" r="14605" b="15875"/>
                      <wp:wrapNone/>
                      <wp:docPr id="32" name="直接连接符 32"/>
                      <wp:cNvGraphicFramePr/>
                      <a:graphic xmlns:a="http://schemas.openxmlformats.org/drawingml/2006/main">
                        <a:graphicData uri="http://schemas.microsoft.com/office/word/2010/wordprocessingShape">
                          <wps:wsp>
                            <wps:cNvCnPr/>
                            <wps:spPr>
                              <a:xfrm>
                                <a:off x="3849370" y="6917055"/>
                                <a:ext cx="0" cy="288925"/>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89.75pt;margin-top:185.25pt;height:22.75pt;width:0pt;z-index:251678720;mso-width-relative:page;mso-height-relative:page;" filled="f" stroked="t" coordsize="21600,21600" o:gfxdata="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bRnfjdgAAAALAQAADwAAAAAAAAABACAAAAAiAAAAZHJzL2Rvd25yZXYueG1sUEsBAhQA&#10;FAAAAAgAh07iQCC/hYbyAQAAvwMAAA4AAAAAAAAAAQAgAAAAJwEAAGRycy9lMm9Eb2MueG1sUEsF&#10;BgAAAAAGAAYAWQEAAIsFAAAAAA==&#10;">
                      <v:fill on="f" focussize="0,0"/>
                      <v:stroke weight="0.5pt" color="#000000 [3213]" miterlimit="8" joinstyle="miter" dashstyle="1 1"/>
                      <v:imagedata o:title=""/>
                      <o:lock v:ext="edit" aspectratio="f"/>
                    </v:line>
                  </w:pict>
                </mc:Fallback>
              </mc:AlternateContent>
            </w:r>
            <w:r>
              <w:rPr>
                <w:sz w:val="21"/>
              </w:rPr>
              <mc:AlternateContent>
                <mc:Choice Requires="wpc">
                  <w:drawing>
                    <wp:inline distT="0" distB="0" distL="114300" distR="114300">
                      <wp:extent cx="4994910" cy="2967355"/>
                      <wp:effectExtent l="0" t="0" r="0" b="0"/>
                      <wp:docPr id="88" name="画布 88"/>
                      <wp:cNvGraphicFramePr/>
                      <a:graphic xmlns:a="http://schemas.openxmlformats.org/drawingml/2006/main">
                        <a:graphicData uri="http://schemas.microsoft.com/office/word/2010/wordprocessingCanvas">
                          <wpc:wpc>
                            <wpc:bg>
                              <a:noFill/>
                            </wpc:bg>
                            <wpc:whole>
                              <a:ln>
                                <a:noFill/>
                              </a:ln>
                            </wpc:whole>
                            <wps:wsp>
                              <wps:cNvPr id="89" name="文本框 119"/>
                              <wps:cNvSpPr txBox="1"/>
                              <wps:spPr>
                                <a:xfrm>
                                  <a:off x="49530" y="261620"/>
                                  <a:ext cx="803910" cy="339090"/>
                                </a:xfrm>
                                <a:prstGeom prst="rect">
                                  <a:avLst/>
                                </a:prstGeom>
                                <a:noFill/>
                                <a:ln w="6350">
                                  <a:solidFill>
                                    <a:prstClr val="black"/>
                                  </a:solidFill>
                                  <a:prstDash val="sysDot"/>
                                </a:ln>
                                <a:effectLst/>
                              </wps:spPr>
                              <wps:txbx>
                                <w:txbxContent>
                                  <w:p>
                                    <w:pPr>
                                      <w:ind w:left="0" w:leftChars="0" w:firstLine="0" w:firstLineChars="0"/>
                                      <w:rPr>
                                        <w:rFonts w:hint="default" w:eastAsia="宋体"/>
                                        <w:sz w:val="21"/>
                                        <w:szCs w:val="21"/>
                                        <w:lang w:val="en-US" w:eastAsia="zh-CN"/>
                                      </w:rPr>
                                    </w:pPr>
                                    <w:r>
                                      <w:rPr>
                                        <w:rFonts w:hint="eastAsia"/>
                                        <w:sz w:val="21"/>
                                        <w:szCs w:val="21"/>
                                        <w:lang w:val="en-US" w:eastAsia="zh-CN"/>
                                      </w:rPr>
                                      <w:t>尾气、噪声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0" name="直接箭头连接符 120"/>
                              <wps:cNvCnPr/>
                              <wps:spPr>
                                <a:xfrm flipH="1" flipV="1">
                                  <a:off x="408940" y="590550"/>
                                  <a:ext cx="11430" cy="697865"/>
                                </a:xfrm>
                                <a:prstGeom prst="straightConnector1">
                                  <a:avLst/>
                                </a:prstGeom>
                                <a:noFill/>
                                <a:ln w="9525" cap="flat" cmpd="sng" algn="ctr">
                                  <a:solidFill>
                                    <a:srgbClr val="000000"/>
                                  </a:solidFill>
                                  <a:prstDash val="solid"/>
                                  <a:tailEnd type="arrow"/>
                                </a:ln>
                                <a:effectLst/>
                              </wps:spPr>
                              <wps:bodyPr/>
                            </wps:wsp>
                            <wps:wsp>
                              <wps:cNvPr id="91" name="文本框 121"/>
                              <wps:cNvSpPr txBox="1"/>
                              <wps:spPr>
                                <a:xfrm>
                                  <a:off x="100330" y="1278255"/>
                                  <a:ext cx="604520" cy="381000"/>
                                </a:xfrm>
                                <a:prstGeom prst="rect">
                                  <a:avLst/>
                                </a:prstGeom>
                                <a:noFill/>
                                <a:ln w="6350">
                                  <a:solidFill>
                                    <a:prstClr val="black"/>
                                  </a:solidFill>
                                </a:ln>
                                <a:effectLst/>
                              </wps:spPr>
                              <wps:txbx>
                                <w:txbxContent>
                                  <w:p>
                                    <w:pPr>
                                      <w:ind w:left="0" w:leftChars="0" w:firstLine="0" w:firstLineChars="0"/>
                                      <w:rPr>
                                        <w:rFonts w:hint="eastAsia" w:eastAsia="宋体"/>
                                        <w:b w:val="0"/>
                                        <w:bCs w:val="0"/>
                                        <w:color w:val="000000"/>
                                        <w:sz w:val="21"/>
                                        <w:szCs w:val="21"/>
                                        <w:lang w:val="en-US" w:eastAsia="zh-CN"/>
                                      </w:rPr>
                                    </w:pPr>
                                    <w:r>
                                      <w:rPr>
                                        <w:rFonts w:hint="eastAsia"/>
                                        <w:sz w:val="21"/>
                                        <w:szCs w:val="21"/>
                                        <w:lang w:val="en-US" w:eastAsia="zh-CN"/>
                                      </w:rPr>
                                      <w:t>油罐车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2" name="文本框 122"/>
                              <wps:cNvSpPr txBox="1"/>
                              <wps:spPr>
                                <a:xfrm>
                                  <a:off x="1360805" y="1945005"/>
                                  <a:ext cx="1132840" cy="372110"/>
                                </a:xfrm>
                                <a:prstGeom prst="rect">
                                  <a:avLst/>
                                </a:prstGeom>
                                <a:noFill/>
                                <a:ln w="3175">
                                  <a:solidFill>
                                    <a:srgbClr val="000000"/>
                                  </a:solidFill>
                                </a:ln>
                                <a:effectLst/>
                              </wps:spPr>
                              <wps:txbx>
                                <w:txbxContent>
                                  <w:p>
                                    <w:pPr>
                                      <w:ind w:left="0" w:leftChars="0" w:firstLine="210" w:firstLineChars="1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埋地汽油储罐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3" name="肘形连接符 83"/>
                              <wps:cNvCnPr/>
                              <wps:spPr>
                                <a:xfrm>
                                  <a:off x="683895" y="1489075"/>
                                  <a:ext cx="1158875" cy="455295"/>
                                </a:xfrm>
                                <a:prstGeom prst="bentConnector2">
                                  <a:avLst/>
                                </a:prstGeom>
                                <a:ln w="9525" cap="flat" cmpd="sng">
                                  <a:solidFill>
                                    <a:srgbClr val="000000"/>
                                  </a:solidFill>
                                  <a:prstDash val="solid"/>
                                  <a:round/>
                                  <a:headEnd type="none" w="med" len="med"/>
                                  <a:tailEnd type="arrow" w="med" len="med"/>
                                </a:ln>
                              </wps:spPr>
                              <wps:bodyPr/>
                            </wps:wsp>
                            <wps:wsp>
                              <wps:cNvPr id="94" name="文本框 124"/>
                              <wps:cNvSpPr txBox="1"/>
                              <wps:spPr>
                                <a:xfrm>
                                  <a:off x="1007110" y="1162685"/>
                                  <a:ext cx="497205" cy="356870"/>
                                </a:xfrm>
                                <a:prstGeom prst="rect">
                                  <a:avLst/>
                                </a:prstGeom>
                                <a:noFill/>
                                <a:ln w="6350">
                                  <a:noFill/>
                                </a:ln>
                                <a:effectLst/>
                              </wps:spPr>
                              <wps:txbx>
                                <w:txbxContent>
                                  <w:p>
                                    <w:pPr>
                                      <w:ind w:left="0" w:leftChars="0" w:firstLine="0" w:firstLineChars="0"/>
                                      <w:rPr>
                                        <w:rFonts w:hint="eastAsia" w:eastAsia="宋体"/>
                                        <w:sz w:val="21"/>
                                        <w:szCs w:val="21"/>
                                        <w:lang w:val="en-US" w:eastAsia="zh-CN"/>
                                      </w:rPr>
                                    </w:pPr>
                                    <w:r>
                                      <w:rPr>
                                        <w:rFonts w:hint="eastAsia"/>
                                        <w:sz w:val="21"/>
                                        <w:szCs w:val="21"/>
                                        <w:lang w:val="en-US" w:eastAsia="zh-CN"/>
                                      </w:rPr>
                                      <w:t>卸油</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5" name="直接箭头连接符 125"/>
                              <wps:cNvCnPr/>
                              <wps:spPr>
                                <a:xfrm flipH="1" flipV="1">
                                  <a:off x="1367155" y="612140"/>
                                  <a:ext cx="10795" cy="655955"/>
                                </a:xfrm>
                                <a:prstGeom prst="straightConnector1">
                                  <a:avLst/>
                                </a:prstGeom>
                                <a:noFill/>
                                <a:ln w="9525" cap="flat" cmpd="sng" algn="ctr">
                                  <a:solidFill>
                                    <a:srgbClr val="000000"/>
                                  </a:solidFill>
                                  <a:prstDash val="solid"/>
                                  <a:tailEnd type="arrow"/>
                                </a:ln>
                                <a:effectLst/>
                              </wps:spPr>
                              <wps:bodyPr/>
                            </wps:wsp>
                            <wps:wsp>
                              <wps:cNvPr id="96" name="文本框 126"/>
                              <wps:cNvSpPr txBox="1"/>
                              <wps:spPr>
                                <a:xfrm>
                                  <a:off x="2806065" y="1235710"/>
                                  <a:ext cx="804545" cy="370840"/>
                                </a:xfrm>
                                <a:prstGeom prst="rect">
                                  <a:avLst/>
                                </a:prstGeom>
                                <a:noFill/>
                                <a:ln w="6350">
                                  <a:solidFill>
                                    <a:prstClr val="black"/>
                                  </a:solidFill>
                                </a:ln>
                                <a:effectLst/>
                              </wps:spPr>
                              <wps:txbx>
                                <w:txbxContent>
                                  <w:p>
                                    <w:pPr>
                                      <w:ind w:left="0" w:leftChars="0" w:firstLine="210" w:firstLineChars="100"/>
                                      <w:rPr>
                                        <w:rFonts w:hint="eastAsia" w:eastAsia="宋体"/>
                                        <w:sz w:val="21"/>
                                        <w:szCs w:val="21"/>
                                        <w:lang w:val="en-US" w:eastAsia="zh-CN"/>
                                      </w:rPr>
                                    </w:pPr>
                                    <w:r>
                                      <w:rPr>
                                        <w:rFonts w:hint="eastAsia"/>
                                        <w:sz w:val="21"/>
                                        <w:szCs w:val="21"/>
                                        <w:lang w:val="en-US" w:eastAsia="zh-CN"/>
                                      </w:rPr>
                                      <w:t>加油机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7" name="文本框 127"/>
                              <wps:cNvSpPr txBox="1"/>
                              <wps:spPr>
                                <a:xfrm>
                                  <a:off x="4178300" y="1191895"/>
                                  <a:ext cx="657860" cy="508635"/>
                                </a:xfrm>
                                <a:prstGeom prst="rect">
                                  <a:avLst/>
                                </a:prstGeom>
                                <a:noFill/>
                                <a:ln w="6350">
                                  <a:solidFill>
                                    <a:prstClr val="black"/>
                                  </a:solidFill>
                                </a:ln>
                                <a:effectLst/>
                              </wps:spPr>
                              <wps:txbx>
                                <w:txbxContent>
                                  <w:p>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汽车邮箱</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肘形连接符 85"/>
                              <wps:cNvCnPr/>
                              <wps:spPr>
                                <a:xfrm rot="-5400000">
                                  <a:off x="2359660" y="1477010"/>
                                  <a:ext cx="471170" cy="401955"/>
                                </a:xfrm>
                                <a:prstGeom prst="bentConnector2">
                                  <a:avLst/>
                                </a:prstGeom>
                                <a:ln w="9525" cap="flat" cmpd="sng">
                                  <a:solidFill>
                                    <a:srgbClr val="000000"/>
                                  </a:solidFill>
                                  <a:prstDash val="solid"/>
                                  <a:round/>
                                  <a:headEnd type="none" w="med" len="med"/>
                                  <a:tailEnd type="arrow" w="med" len="med"/>
                                </a:ln>
                              </wps:spPr>
                              <wps:bodyPr/>
                            </wps:wsp>
                            <wps:wsp>
                              <wps:cNvPr id="99" name="直接箭头连接符 129"/>
                              <wps:cNvCnPr/>
                              <wps:spPr>
                                <a:xfrm flipH="1" flipV="1">
                                  <a:off x="2087245" y="610235"/>
                                  <a:ext cx="10795" cy="1323340"/>
                                </a:xfrm>
                                <a:prstGeom prst="straightConnector1">
                                  <a:avLst/>
                                </a:prstGeom>
                                <a:noFill/>
                                <a:ln w="9525" cap="flat" cmpd="sng" algn="ctr">
                                  <a:solidFill>
                                    <a:srgbClr val="000000"/>
                                  </a:solidFill>
                                  <a:prstDash val="solid"/>
                                  <a:tailEnd type="arrow"/>
                                </a:ln>
                                <a:effectLst/>
                              </wps:spPr>
                              <wps:bodyPr/>
                            </wps:wsp>
                            <wps:wsp>
                              <wps:cNvPr id="100" name="直接箭头连接符 130"/>
                              <wps:cNvCnPr/>
                              <wps:spPr>
                                <a:xfrm flipV="1">
                                  <a:off x="3610610" y="1439545"/>
                                  <a:ext cx="592455" cy="12700"/>
                                </a:xfrm>
                                <a:prstGeom prst="straightConnector1">
                                  <a:avLst/>
                                </a:prstGeom>
                                <a:noFill/>
                                <a:ln w="9525" cap="flat" cmpd="sng" algn="ctr">
                                  <a:solidFill>
                                    <a:srgbClr val="000000"/>
                                  </a:solidFill>
                                  <a:prstDash val="solid"/>
                                  <a:tailEnd type="arrow"/>
                                </a:ln>
                                <a:effectLst/>
                              </wps:spPr>
                              <wps:bodyPr/>
                            </wps:wsp>
                            <wps:wsp>
                              <wps:cNvPr id="104" name="文本框 131"/>
                              <wps:cNvSpPr txBox="1"/>
                              <wps:spPr>
                                <a:xfrm>
                                  <a:off x="2193290" y="1109980"/>
                                  <a:ext cx="730885" cy="356235"/>
                                </a:xfrm>
                                <a:prstGeom prst="rect">
                                  <a:avLst/>
                                </a:prstGeom>
                                <a:noFill/>
                                <a:ln w="6350">
                                  <a:noFill/>
                                </a:ln>
                                <a:effectLst/>
                              </wps:spPr>
                              <wps:txbx>
                                <w:txbxContent>
                                  <w:p>
                                    <w:pPr>
                                      <w:ind w:left="0" w:leftChars="0" w:firstLine="0" w:firstLineChars="0"/>
                                      <w:rPr>
                                        <w:rFonts w:hint="eastAsia" w:eastAsia="宋体"/>
                                        <w:sz w:val="21"/>
                                        <w:szCs w:val="21"/>
                                        <w:lang w:val="en-US" w:eastAsia="zh-CN"/>
                                      </w:rPr>
                                    </w:pPr>
                                    <w:r>
                                      <w:rPr>
                                        <w:rFonts w:hint="eastAsia"/>
                                        <w:sz w:val="21"/>
                                        <w:szCs w:val="21"/>
                                        <w:lang w:val="en-US" w:eastAsia="zh-CN"/>
                                      </w:rPr>
                                      <w:t>潜油泵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6" name="文本框 132"/>
                              <wps:cNvSpPr txBox="1"/>
                              <wps:spPr>
                                <a:xfrm>
                                  <a:off x="3557270" y="1076325"/>
                                  <a:ext cx="657225" cy="381000"/>
                                </a:xfrm>
                                <a:prstGeom prst="rect">
                                  <a:avLst/>
                                </a:prstGeom>
                                <a:noFill/>
                                <a:ln w="6350">
                                  <a:noFill/>
                                </a:ln>
                                <a:effectLst/>
                              </wps:spPr>
                              <wps:txbx>
                                <w:txbxContent>
                                  <w:p>
                                    <w:pPr>
                                      <w:ind w:left="0" w:leftChars="0" w:firstLine="0" w:firstLineChars="0"/>
                                      <w:rPr>
                                        <w:rFonts w:hint="default" w:eastAsia="宋体"/>
                                        <w:sz w:val="21"/>
                                        <w:szCs w:val="21"/>
                                        <w:lang w:val="en-US" w:eastAsia="zh-CN"/>
                                      </w:rPr>
                                    </w:pPr>
                                    <w:r>
                                      <w:rPr>
                                        <w:rFonts w:hint="eastAsia"/>
                                        <w:sz w:val="21"/>
                                        <w:szCs w:val="21"/>
                                        <w:lang w:val="en-US" w:eastAsia="zh-CN"/>
                                      </w:rPr>
                                      <w:t>加油枪</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7" name="直接箭头连接符 133"/>
                              <wps:cNvCnPr/>
                              <wps:spPr>
                                <a:xfrm flipV="1">
                                  <a:off x="3398520" y="706755"/>
                                  <a:ext cx="1270" cy="498475"/>
                                </a:xfrm>
                                <a:prstGeom prst="straightConnector1">
                                  <a:avLst/>
                                </a:prstGeom>
                                <a:noFill/>
                                <a:ln w="9525" cap="flat" cmpd="sng" algn="ctr">
                                  <a:solidFill>
                                    <a:srgbClr val="000000"/>
                                  </a:solidFill>
                                  <a:prstDash val="solid"/>
                                  <a:tailEnd type="arrow"/>
                                </a:ln>
                                <a:effectLst/>
                              </wps:spPr>
                              <wps:bodyPr/>
                            </wps:wsp>
                            <wps:wsp>
                              <wps:cNvPr id="108" name="文本框 134"/>
                              <wps:cNvSpPr txBox="1"/>
                              <wps:spPr>
                                <a:xfrm>
                                  <a:off x="4052570" y="297180"/>
                                  <a:ext cx="793115" cy="339090"/>
                                </a:xfrm>
                                <a:prstGeom prst="rect">
                                  <a:avLst/>
                                </a:prstGeom>
                                <a:noFill/>
                                <a:ln w="6350">
                                  <a:solidFill>
                                    <a:prstClr val="black"/>
                                  </a:solidFill>
                                  <a:prstDash val="sysDot"/>
                                </a:ln>
                                <a:effectLst/>
                              </wps:spPr>
                              <wps:txbx>
                                <w:txbxContent>
                                  <w:p>
                                    <w:pPr>
                                      <w:ind w:left="0" w:leftChars="0" w:firstLine="0" w:firstLineChars="0"/>
                                      <w:rPr>
                                        <w:rFonts w:hint="default" w:eastAsia="宋体"/>
                                        <w:sz w:val="21"/>
                                        <w:szCs w:val="21"/>
                                        <w:lang w:val="en-US" w:eastAsia="zh-CN"/>
                                      </w:rPr>
                                    </w:pPr>
                                    <w:r>
                                      <w:rPr>
                                        <w:rFonts w:hint="eastAsia"/>
                                        <w:sz w:val="21"/>
                                        <w:szCs w:val="21"/>
                                        <w:lang w:val="en-US" w:eastAsia="zh-CN"/>
                                      </w:rPr>
                                      <w:t>尾气、噪声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9" name="直接箭头连接符 135"/>
                              <wps:cNvCnPr/>
                              <wps:spPr>
                                <a:xfrm flipH="1" flipV="1">
                                  <a:off x="4510405" y="635635"/>
                                  <a:ext cx="8255" cy="554355"/>
                                </a:xfrm>
                                <a:prstGeom prst="straightConnector1">
                                  <a:avLst/>
                                </a:prstGeom>
                                <a:noFill/>
                                <a:ln w="9525" cap="flat" cmpd="sng" algn="ctr">
                                  <a:solidFill>
                                    <a:srgbClr val="000000"/>
                                  </a:solidFill>
                                  <a:prstDash val="solid"/>
                                  <a:tailEnd type="arrow"/>
                                </a:ln>
                                <a:effectLst/>
                              </wps:spPr>
                              <wps:bodyPr/>
                            </wps:wsp>
                            <wps:wsp>
                              <wps:cNvPr id="110" name="文本框 136"/>
                              <wps:cNvSpPr txBox="1"/>
                              <wps:spPr>
                                <a:xfrm>
                                  <a:off x="890905" y="250825"/>
                                  <a:ext cx="1882775" cy="349250"/>
                                </a:xfrm>
                                <a:prstGeom prst="rect">
                                  <a:avLst/>
                                </a:prstGeom>
                                <a:noFill/>
                                <a:ln w="6350">
                                  <a:solidFill>
                                    <a:prstClr val="black"/>
                                  </a:solidFill>
                                  <a:prstDash val="sysDot"/>
                                </a:ln>
                                <a:effectLst/>
                              </wps:spPr>
                              <wps:txbx>
                                <w:txbxContent>
                                  <w:p>
                                    <w:pPr>
                                      <w:ind w:left="0" w:leftChars="0" w:firstLine="0" w:firstLineChars="0"/>
                                      <w:rPr>
                                        <w:rFonts w:hint="default" w:eastAsia="宋体"/>
                                        <w:sz w:val="21"/>
                                        <w:szCs w:val="21"/>
                                        <w:lang w:val="en-US" w:eastAsia="zh-CN"/>
                                      </w:rPr>
                                    </w:pPr>
                                    <w:r>
                                      <w:rPr>
                                        <w:rFonts w:hint="eastAsia"/>
                                        <w:sz w:val="21"/>
                                        <w:szCs w:val="21"/>
                                        <w:lang w:val="en-US" w:eastAsia="zh-CN"/>
                                      </w:rPr>
                                      <w:t>呼吸耗损油气（非甲烷总烃）</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1" name="文本框 137"/>
                              <wps:cNvSpPr txBox="1"/>
                              <wps:spPr>
                                <a:xfrm>
                                  <a:off x="2857500" y="232410"/>
                                  <a:ext cx="1078230" cy="464820"/>
                                </a:xfrm>
                                <a:prstGeom prst="rect">
                                  <a:avLst/>
                                </a:prstGeom>
                                <a:noFill/>
                                <a:ln w="6350">
                                  <a:solidFill>
                                    <a:prstClr val="black"/>
                                  </a:solidFill>
                                  <a:prstDash val="sysDot"/>
                                </a:ln>
                                <a:effectLst/>
                              </wps:spPr>
                              <wps:txbx>
                                <w:txbxContent>
                                  <w:p>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挥发耗损油（非甲烷总烃）</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2" name="肘形连接符 86"/>
                              <wps:cNvCnPr/>
                              <wps:spPr>
                                <a:xfrm rot="10800000">
                                  <a:off x="398780" y="1679575"/>
                                  <a:ext cx="962660" cy="471805"/>
                                </a:xfrm>
                                <a:prstGeom prst="bentConnector2">
                                  <a:avLst/>
                                </a:prstGeom>
                                <a:ln w="9525" cap="flat" cmpd="sng">
                                  <a:solidFill>
                                    <a:srgbClr val="000000"/>
                                  </a:solidFill>
                                  <a:prstDash val="sysDot"/>
                                  <a:round/>
                                  <a:headEnd type="none" w="med" len="med"/>
                                  <a:tailEnd type="arrow" w="med" len="med"/>
                                </a:ln>
                              </wps:spPr>
                              <wps:bodyPr/>
                            </wps:wsp>
                            <wps:wsp>
                              <wps:cNvPr id="113" name="文本框 139"/>
                              <wps:cNvSpPr txBox="1"/>
                              <wps:spPr>
                                <a:xfrm>
                                  <a:off x="341630" y="2113915"/>
                                  <a:ext cx="1100455" cy="337185"/>
                                </a:xfrm>
                                <a:prstGeom prst="rect">
                                  <a:avLst/>
                                </a:prstGeom>
                                <a:noFill/>
                                <a:ln w="6350">
                                  <a:noFill/>
                                </a:ln>
                                <a:effectLst/>
                              </wps:spPr>
                              <wps:txbx>
                                <w:txbxContent>
                                  <w:p>
                                    <w:pPr>
                                      <w:ind w:left="0" w:leftChars="0" w:firstLine="0" w:firstLineChars="0"/>
                                      <w:rPr>
                                        <w:rFonts w:hint="default" w:eastAsia="宋体"/>
                                        <w:lang w:val="en-US" w:eastAsia="zh-CN"/>
                                      </w:rPr>
                                    </w:pPr>
                                    <w:r>
                                      <w:rPr>
                                        <w:rFonts w:hint="eastAsia"/>
                                        <w:sz w:val="21"/>
                                        <w:szCs w:val="21"/>
                                        <w:lang w:val="en-US" w:eastAsia="zh-CN"/>
                                      </w:rPr>
                                      <w:t>一次油气回收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4" name="肘形连接符 87"/>
                              <wps:cNvCnPr/>
                              <wps:spPr>
                                <a:xfrm rot="5400000">
                                  <a:off x="2522855" y="1609090"/>
                                  <a:ext cx="529590" cy="544830"/>
                                </a:xfrm>
                                <a:prstGeom prst="bentConnector2">
                                  <a:avLst/>
                                </a:prstGeom>
                                <a:ln w="9525" cap="flat" cmpd="sng">
                                  <a:solidFill>
                                    <a:srgbClr val="000000"/>
                                  </a:solidFill>
                                  <a:prstDash val="sysDot"/>
                                  <a:round/>
                                  <a:headEnd type="none" w="med" len="med"/>
                                  <a:tailEnd type="arrow" w="med" len="med"/>
                                </a:ln>
                              </wps:spPr>
                              <wps:bodyPr/>
                            </wps:wsp>
                            <wps:wsp>
                              <wps:cNvPr id="115" name="文本框 141"/>
                              <wps:cNvSpPr txBox="1"/>
                              <wps:spPr>
                                <a:xfrm>
                                  <a:off x="2444750" y="2127250"/>
                                  <a:ext cx="1100455" cy="337185"/>
                                </a:xfrm>
                                <a:prstGeom prst="rect">
                                  <a:avLst/>
                                </a:prstGeom>
                                <a:noFill/>
                                <a:ln w="6350">
                                  <a:noFill/>
                                </a:ln>
                                <a:effectLst/>
                              </wps:spPr>
                              <wps:txbx>
                                <w:txbxContent>
                                  <w:p>
                                    <w:pPr>
                                      <w:ind w:left="0" w:leftChars="0" w:firstLine="0" w:firstLineChars="0"/>
                                      <w:rPr>
                                        <w:rFonts w:hint="default" w:eastAsia="宋体"/>
                                        <w:lang w:val="en-US" w:eastAsia="zh-CN"/>
                                      </w:rPr>
                                    </w:pPr>
                                    <w:r>
                                      <w:rPr>
                                        <w:rFonts w:hint="eastAsia"/>
                                        <w:sz w:val="21"/>
                                        <w:szCs w:val="21"/>
                                        <w:lang w:val="en-US" w:eastAsia="zh-CN"/>
                                      </w:rPr>
                                      <w:t>二次油气回</w:t>
                                    </w:r>
                                    <w:r>
                                      <w:rPr>
                                        <w:rFonts w:hint="eastAsia"/>
                                        <w:lang w:val="en-US" w:eastAsia="zh-CN"/>
                                      </w:rPr>
                                      <w:t>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6" name="文本框 143"/>
                              <wps:cNvSpPr txBox="1"/>
                              <wps:spPr>
                                <a:xfrm>
                                  <a:off x="3396615" y="1883410"/>
                                  <a:ext cx="1100455" cy="337185"/>
                                </a:xfrm>
                                <a:prstGeom prst="rect">
                                  <a:avLst/>
                                </a:prstGeom>
                                <a:noFill/>
                                <a:ln w="6350">
                                  <a:noFill/>
                                </a:ln>
                                <a:effectLst/>
                              </wps:spPr>
                              <wps:txbx>
                                <w:txbxContent>
                                  <w:p>
                                    <w:pPr>
                                      <w:ind w:left="0" w:leftChars="0" w:firstLine="0" w:firstLineChars="0"/>
                                      <w:rPr>
                                        <w:rFonts w:hint="default" w:eastAsia="宋体"/>
                                        <w:lang w:val="en-US" w:eastAsia="zh-CN"/>
                                      </w:rPr>
                                    </w:pPr>
                                    <w:r>
                                      <w:rPr>
                                        <w:rFonts w:hint="eastAsia"/>
                                        <w:sz w:val="21"/>
                                        <w:szCs w:val="21"/>
                                        <w:lang w:val="en-US" w:eastAsia="zh-CN"/>
                                      </w:rPr>
                                      <w:t>二次油气回</w:t>
                                    </w:r>
                                    <w:r>
                                      <w:rPr>
                                        <w:rFonts w:hint="eastAsia"/>
                                        <w:lang w:val="en-US" w:eastAsia="zh-CN"/>
                                      </w:rPr>
                                      <w:t>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肘形连接符 144"/>
                              <wps:cNvCnPr/>
                              <wps:spPr>
                                <a:xfrm rot="5400000">
                                  <a:off x="3937000" y="1027430"/>
                                  <a:ext cx="3175" cy="1370330"/>
                                </a:xfrm>
                                <a:prstGeom prst="bentConnector3">
                                  <a:avLst>
                                    <a:gd name="adj1" fmla="val 7550000"/>
                                  </a:avLst>
                                </a:prstGeom>
                                <a:noFill/>
                                <a:ln w="9525" cap="flat" cmpd="sng" algn="ctr">
                                  <a:solidFill>
                                    <a:srgbClr val="000000"/>
                                  </a:solidFill>
                                  <a:prstDash val="sysDot"/>
                                  <a:tailEnd type="arrow"/>
                                </a:ln>
                                <a:effectLst/>
                              </wps:spPr>
                              <wps:bodyPr/>
                            </wps:wsp>
                          </wpc:wpc>
                        </a:graphicData>
                      </a:graphic>
                    </wp:inline>
                  </w:drawing>
                </mc:Choice>
                <mc:Fallback>
                  <w:pict>
                    <v:group id="_x0000_s1026" o:spid="_x0000_s1026" o:spt="203" style="height:233.65pt;width:393.3pt;" coordsize="4994910,2967355" editas="canvas" o:gfxdata="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">
                      <o:lock v:ext="edit" aspectratio="f"/>
                      <v:shape id="_x0000_s1026" o:spid="_x0000_s1026" style="position:absolute;left:0;top:0;height:2967355;width:4994910;" filled="f" stroked="f" coordsize="21600,21600" o:gfxdata="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">
                        <v:fill on="f" focussize="0,0"/>
                        <v:stroke on="f"/>
                        <v:imagedata o:title=""/>
                        <o:lock v:ext="edit" aspectratio="f"/>
                      </v:shape>
                      <v:shape id="文本框 119" o:spid="_x0000_s1026" o:spt="202" type="#_x0000_t202" style="position:absolute;left:49530;top:261620;height:339090;width:803910;" filled="f" stroked="t" coordsize="21600,21600" o:gfxdata="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I5m9vWAAAABQEAAA8AAAAAAAAAAQAgAAAAIgAAAGRycy9kb3ducmV2Lnht&#10;bFBLAQIUABQAAAAIAIdO4kBryfJzbQIAAMEEAAAOAAAAAAAAAAEAIAAAACUBAABkcnMvZTJvRG9j&#10;LnhtbFBLBQYAAAAABgAGAFkBAAAEBgAAAAA=&#10;">
                        <v:fill on="f" focussize="0,0"/>
                        <v:stroke weight="0.5pt" color="#000000" joinstyle="round" dashstyle="1 1"/>
                        <v:imagedata o:title=""/>
                        <o:lock v:ext="edit" aspectratio="f"/>
                        <v:textbox>
                          <w:txbxContent>
                            <w:p>
                              <w:pPr>
                                <w:ind w:left="0" w:leftChars="0" w:firstLine="0" w:firstLineChars="0"/>
                                <w:rPr>
                                  <w:rFonts w:hint="default" w:eastAsia="宋体"/>
                                  <w:sz w:val="21"/>
                                  <w:szCs w:val="21"/>
                                  <w:lang w:val="en-US" w:eastAsia="zh-CN"/>
                                </w:rPr>
                              </w:pPr>
                              <w:r>
                                <w:rPr>
                                  <w:rFonts w:hint="eastAsia"/>
                                  <w:sz w:val="21"/>
                                  <w:szCs w:val="21"/>
                                  <w:lang w:val="en-US" w:eastAsia="zh-CN"/>
                                </w:rPr>
                                <w:t>尾气、噪声</w:t>
                              </w:r>
                            </w:p>
                          </w:txbxContent>
                        </v:textbox>
                      </v:shape>
                      <v:shape id="直接箭头连接符 120" o:spid="_x0000_s1026" o:spt="32" type="#_x0000_t32" style="position:absolute;left:408940;top:590550;flip:x y;height:697865;width:11430;" filled="f" stroked="t" coordsize="21600,21600" o:gfxdata="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NnQWtUAAAAFAQAADwAAAAAA&#10;AAABACAAAAAiAAAAZHJzL2Rvd25yZXYueG1sUEsBAhQAFAAAAAgAh07iQL9qDt0WAgAA+QMAAA4A&#10;AAAAAAAAAQAgAAAAJAEAAGRycy9lMm9Eb2MueG1sUEsFBgAAAAAGAAYAWQEAAKwFAAAAAA==&#10;">
                        <v:fill on="f" focussize="0,0"/>
                        <v:stroke color="#000000" joinstyle="round" endarrow="open"/>
                        <v:imagedata o:title=""/>
                        <o:lock v:ext="edit" aspectratio="f"/>
                      </v:shape>
                      <v:shape id="文本框 121" o:spid="_x0000_s1026" o:spt="202" type="#_x0000_t202" style="position:absolute;left:100330;top:1278255;height:381000;width:604520;" filled="f" stroked="t" coordsize="21600,21600" o:gfxdata="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a/PDfXAAAABQEAAA8AAAAAAAAAAQAgAAAAIgAAAGRycy9kb3ducmV2LnhtbFBLAQIUABQAAAAI&#10;AIdO4kAqY1ecYAIAAKkEAAAOAAAAAAAAAAEAIAAAACYBAABkcnMvZTJvRG9jLnhtbFBLBQYAAAAA&#10;BgAGAFkBAAD4BQAAAAA=&#10;">
                        <v:fill on="f" focussize="0,0"/>
                        <v:stroke weight="0.5pt" color="#000000" joinstyle="round"/>
                        <v:imagedata o:title=""/>
                        <o:lock v:ext="edit" aspectratio="f"/>
                        <v:textbox>
                          <w:txbxContent>
                            <w:p>
                              <w:pPr>
                                <w:ind w:left="0" w:leftChars="0" w:firstLine="0" w:firstLineChars="0"/>
                                <w:rPr>
                                  <w:rFonts w:hint="eastAsia" w:eastAsia="宋体"/>
                                  <w:b w:val="0"/>
                                  <w:bCs w:val="0"/>
                                  <w:color w:val="000000"/>
                                  <w:sz w:val="21"/>
                                  <w:szCs w:val="21"/>
                                  <w:lang w:val="en-US" w:eastAsia="zh-CN"/>
                                </w:rPr>
                              </w:pPr>
                              <w:r>
                                <w:rPr>
                                  <w:rFonts w:hint="eastAsia"/>
                                  <w:sz w:val="21"/>
                                  <w:szCs w:val="21"/>
                                  <w:lang w:val="en-US" w:eastAsia="zh-CN"/>
                                </w:rPr>
                                <w:t>油罐车</w:t>
                              </w:r>
                            </w:p>
                          </w:txbxContent>
                        </v:textbox>
                      </v:shape>
                      <v:shape id="文本框 122" o:spid="_x0000_s1026" o:spt="202" type="#_x0000_t202" style="position:absolute;left:1360805;top:1945005;height:372110;width:1132840;" filled="f" stroked="t" coordsize="21600,21600" o:gfxdata="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tcNzt9YAAAAFAQAADwAAAAAAAAABACAAAAAiAAAAZHJzL2Rvd25yZXYueG1sUEsBAhQAFAAA&#10;AAgAh07iQOLXgdZjAgAArAQAAA4AAAAAAAAAAQAgAAAAJQEAAGRycy9lMm9Eb2MueG1sUEsFBgAA&#10;AAAGAAYAWQEAAPoFAAAAAA==&#10;">
                        <v:fill on="f" focussize="0,0"/>
                        <v:stroke weight="0.25pt" color="#000000" joinstyle="round"/>
                        <v:imagedata o:title=""/>
                        <o:lock v:ext="edit" aspectratio="f"/>
                        <v:textbox>
                          <w:txbxContent>
                            <w:p>
                              <w:pPr>
                                <w:ind w:left="0" w:leftChars="0" w:firstLine="210" w:firstLineChars="1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埋地汽油储罐</w:t>
                              </w:r>
                            </w:p>
                          </w:txbxContent>
                        </v:textbox>
                      </v:shape>
                      <v:shape id="肘形连接符 83" o:spid="_x0000_s1026" o:spt="33" type="#_x0000_t33" style="position:absolute;left:683895;top:1489075;height:455295;width:1158875;" filled="f" stroked="t" coordsize="21600,21600" o:gfxdata="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7sMSq1AAAAAUBAAAPAAAAAAAAAAEA&#10;IAAAACIAAABkcnMvZG93bnJldi54bWxQSwECFAAUAAAACACHTuJArmc/5xMCAAD/AwAADgAAAAAA&#10;AAABACAAAAAjAQAAZHJzL2Uyb0RvYy54bWxQSwUGAAAAAAYABgBZAQAAqAUAAAAA&#10;">
                        <v:fill on="f" focussize="0,0"/>
                        <v:stroke color="#000000" joinstyle="round" endarrow="open"/>
                        <v:imagedata o:title=""/>
                        <o:lock v:ext="edit" aspectratio="f"/>
                      </v:shape>
                      <v:shape id="文本框 124" o:spid="_x0000_s1026" o:spt="202" type="#_x0000_t202" style="position:absolute;left:1007110;top:1162685;height:356870;width:497205;" filled="f" stroked="f" coordsize="21600,21600" o:gfxdata="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eYhPvYAAAABQEAAA8A&#10;AAAAAAAAAQAgAAAAIgAAAGRycy9kb3ducmV2LnhtbFBLAQIUABQAAAAIAIdO4kBbttwoUAIAAIIE&#10;AAAOAAAAAAAAAAEAIAAAACcBAABkcnMvZTJvRG9jLnhtbFBLBQYAAAAABgAGAFkBAADpBQAAAAA=&#10;">
                        <v:fill on="f" focussize="0,0"/>
                        <v:stroke on="f" weight="0.5pt"/>
                        <v:imagedata o:title=""/>
                        <o:lock v:ext="edit" aspectratio="f"/>
                        <v:textbox>
                          <w:txbxContent>
                            <w:p>
                              <w:pPr>
                                <w:ind w:left="0" w:leftChars="0" w:firstLine="0" w:firstLineChars="0"/>
                                <w:rPr>
                                  <w:rFonts w:hint="eastAsia" w:eastAsia="宋体"/>
                                  <w:sz w:val="21"/>
                                  <w:szCs w:val="21"/>
                                  <w:lang w:val="en-US" w:eastAsia="zh-CN"/>
                                </w:rPr>
                              </w:pPr>
                              <w:r>
                                <w:rPr>
                                  <w:rFonts w:hint="eastAsia"/>
                                  <w:sz w:val="21"/>
                                  <w:szCs w:val="21"/>
                                  <w:lang w:val="en-US" w:eastAsia="zh-CN"/>
                                </w:rPr>
                                <w:t>卸油</w:t>
                              </w:r>
                            </w:p>
                          </w:txbxContent>
                        </v:textbox>
                      </v:shape>
                      <v:shape id="直接箭头连接符 125" o:spid="_x0000_s1026" o:spt="32" type="#_x0000_t32" style="position:absolute;left:1367155;top:612140;flip:x y;height:655955;width:10795;" filled="f" stroked="t" coordsize="21600,21600" o:gfxdata="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I2dBa1QAAAAUBAAAPAAAAAAAA&#10;AAEAIAAAACIAAABkcnMvZG93bnJldi54bWxQSwECFAAUAAAACACHTuJAgZeugxUCAAD6AwAADgAA&#10;AAAAAAABACAAAAAkAQAAZHJzL2Uyb0RvYy54bWxQSwUGAAAAAAYABgBZAQAAqwUAAAAA&#10;">
                        <v:fill on="f" focussize="0,0"/>
                        <v:stroke color="#000000" joinstyle="round" endarrow="open"/>
                        <v:imagedata o:title=""/>
                        <o:lock v:ext="edit" aspectratio="f"/>
                      </v:shape>
                      <v:shape id="文本框 126" o:spid="_x0000_s1026" o:spt="202" type="#_x0000_t202" style="position:absolute;left:2806065;top:1235710;height:370840;width:804545;" filled="f" stroked="t" coordsize="21600,21600" o:gfxdata="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hr88N9cAAAAFAQAADwAAAAAAAAABACAAAAAiAAAAZHJzL2Rvd25yZXYueG1sUEsBAhQA&#10;FAAAAAgAh07iQPr2qL5lAgAAqgQAAA4AAAAAAAAAAQAgAAAAJgEAAGRycy9lMm9Eb2MueG1sUEsF&#10;BgAAAAAGAAYAWQEAAP0FAAAAAA==&#10;">
                        <v:fill on="f" focussize="0,0"/>
                        <v:stroke weight="0.5pt" color="#000000" joinstyle="round"/>
                        <v:imagedata o:title=""/>
                        <o:lock v:ext="edit" aspectratio="f"/>
                        <v:textbox>
                          <w:txbxContent>
                            <w:p>
                              <w:pPr>
                                <w:ind w:left="0" w:leftChars="0" w:firstLine="210" w:firstLineChars="100"/>
                                <w:rPr>
                                  <w:rFonts w:hint="eastAsia" w:eastAsia="宋体"/>
                                  <w:sz w:val="21"/>
                                  <w:szCs w:val="21"/>
                                  <w:lang w:val="en-US" w:eastAsia="zh-CN"/>
                                </w:rPr>
                              </w:pPr>
                              <w:r>
                                <w:rPr>
                                  <w:rFonts w:hint="eastAsia"/>
                                  <w:sz w:val="21"/>
                                  <w:szCs w:val="21"/>
                                  <w:lang w:val="en-US" w:eastAsia="zh-CN"/>
                                </w:rPr>
                                <w:t>加油机</w:t>
                              </w:r>
                            </w:p>
                          </w:txbxContent>
                        </v:textbox>
                      </v:shape>
                      <v:shape id="文本框 127" o:spid="_x0000_s1026" o:spt="202" type="#_x0000_t202" style="position:absolute;left:4178300;top:1191895;height:508635;width:657860;" filled="f" stroked="t" coordsize="21600,21600" o:gfxdata="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hr88N9cAAAAFAQAADwAAAAAAAAABACAAAAAiAAAAZHJzL2Rvd25yZXYueG1sUEsBAhQA&#10;FAAAAAgAh07iQJbFzMtlAgAAqgQAAA4AAAAAAAAAAQAgAAAAJgEAAGRycy9lMm9Eb2MueG1sUEsF&#10;BgAAAAAGAAYAWQEAAP0FAAAAAA==&#10;">
                        <v:fill on="f" focussize="0,0"/>
                        <v:stroke weight="0.5pt" color="#000000" joinstyle="round"/>
                        <v:imagedata o:title=""/>
                        <o:lock v:ext="edit" aspectratio="f"/>
                        <v:textbox>
                          <w:txbxContent>
                            <w:p>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汽车邮箱</w:t>
                              </w:r>
                            </w:p>
                          </w:txbxContent>
                        </v:textbox>
                      </v:shape>
                      <v:shape id="肘形连接符 85" o:spid="_x0000_s1026" o:spt="33" type="#_x0000_t33" style="position:absolute;left:2359660;top:1477010;height:401955;width:471170;rotation:-5898240f;" filled="f" stroked="t" coordsize="21600,21600" o:gfxdata="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TWEdnWAAAA&#10;BQEAAA8AAAAAAAAAAQAgAAAAIgAAAGRycy9kb3ducmV2LnhtbFBLAQIUABQAAAAIAIdO4kDjT8yi&#10;HwIAAA4EAAAOAAAAAAAAAAEAIAAAACUBAABkcnMvZTJvRG9jLnhtbFBLBQYAAAAABgAGAFkBAAC2&#10;BQAAAAA=&#10;">
                        <v:fill on="f" focussize="0,0"/>
                        <v:stroke color="#000000" joinstyle="round" endarrow="open"/>
                        <v:imagedata o:title=""/>
                        <o:lock v:ext="edit" aspectratio="f"/>
                      </v:shape>
                      <v:shape id="直接箭头连接符 129" o:spid="_x0000_s1026" o:spt="32" type="#_x0000_t32" style="position:absolute;left:2087245;top:610235;flip:x y;height:1323340;width:10795;" filled="f" stroked="t" coordsize="21600,21600" o:gfxdata="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NnQWtUAAAAFAQAA&#10;DwAAAAAAAAABACAAAAAiAAAAZHJzL2Rvd25yZXYueG1sUEsBAhQAFAAAAAgAh07iQP/xH0McAgAA&#10;+wMAAA4AAAAAAAAAAQAgAAAAJAEAAGRycy9lMm9Eb2MueG1sUEsFBgAAAAAGAAYAWQEAALIFAAAA&#10;AA==&#10;">
                        <v:fill on="f" focussize="0,0"/>
                        <v:stroke color="#000000" joinstyle="round" endarrow="open"/>
                        <v:imagedata o:title=""/>
                        <o:lock v:ext="edit" aspectratio="f"/>
                      </v:shape>
                      <v:shape id="直接箭头连接符 130" o:spid="_x0000_s1026" o:spt="32" type="#_x0000_t32" style="position:absolute;left:3610610;top:1439545;flip:y;height:12700;width:592455;" filled="f" stroked="t" coordsize="21600,21600" o:gfxdata="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KdKfXVAAAABQEAAA8AAAAAAAAA&#10;AQAgAAAAIgAAAGRycy9kb3ducmV2LnhtbFBLAQIUABQAAAAIAIdO4kDyxwJbFAIAAPIDAAAOAAAA&#10;AAAAAAEAIAAAACQBAABkcnMvZTJvRG9jLnhtbFBLBQYAAAAABgAGAFkBAACqBQAAAAA=&#10;">
                        <v:fill on="f" focussize="0,0"/>
                        <v:stroke color="#000000" joinstyle="round" endarrow="open"/>
                        <v:imagedata o:title=""/>
                        <o:lock v:ext="edit" aspectratio="f"/>
                      </v:shape>
                      <v:shape id="文本框 131" o:spid="_x0000_s1026" o:spt="202" type="#_x0000_t202" style="position:absolute;left:2193290;top:1109980;height:356235;width:730885;" filled="f" stroked="f" coordsize="21600,21600" o:gfxdata="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5iE+9gAAAAFAQAADwAA&#10;AAAAAAABACAAAAAiAAAAZHJzL2Rvd25yZXYueG1sUEsBAhQAFAAAAAgAh07iQJXNhdJPAgAAgwQA&#10;AA4AAAAAAAAAAQAgAAAAJwEAAGRycy9lMm9Eb2MueG1sUEsFBgAAAAAGAAYAWQEAAOgFAAAAAA==&#10;">
                        <v:fill on="f" focussize="0,0"/>
                        <v:stroke on="f" weight="0.5pt"/>
                        <v:imagedata o:title=""/>
                        <o:lock v:ext="edit" aspectratio="f"/>
                        <v:textbox>
                          <w:txbxContent>
                            <w:p>
                              <w:pPr>
                                <w:ind w:left="0" w:leftChars="0" w:firstLine="0" w:firstLineChars="0"/>
                                <w:rPr>
                                  <w:rFonts w:hint="eastAsia" w:eastAsia="宋体"/>
                                  <w:sz w:val="21"/>
                                  <w:szCs w:val="21"/>
                                  <w:lang w:val="en-US" w:eastAsia="zh-CN"/>
                                </w:rPr>
                              </w:pPr>
                              <w:r>
                                <w:rPr>
                                  <w:rFonts w:hint="eastAsia"/>
                                  <w:sz w:val="21"/>
                                  <w:szCs w:val="21"/>
                                  <w:lang w:val="en-US" w:eastAsia="zh-CN"/>
                                </w:rPr>
                                <w:t>潜油泵</w:t>
                              </w:r>
                            </w:p>
                          </w:txbxContent>
                        </v:textbox>
                      </v:shape>
                      <v:shape id="文本框 132" o:spid="_x0000_s1026" o:spt="202" type="#_x0000_t202" style="position:absolute;left:3557270;top:1076325;height:381000;width:657225;" filled="f" stroked="f" coordsize="21600,21600" o:gfxdata="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5iE+9gAAAAFAQAADwAAAAAA&#10;AAABACAAAAAiAAAAZHJzL2Rvd25yZXYueG1sUEsBAhQAFAAAAAgAh07iQPeYV71MAgAAgwQAAA4A&#10;AAAAAAAAAQAgAAAAJwEAAGRycy9lMm9Eb2MueG1sUEsFBgAAAAAGAAYAWQEAAOUFAAAAAA==&#10;">
                        <v:fill on="f" focussize="0,0"/>
                        <v:stroke on="f" weight="0.5pt"/>
                        <v:imagedata o:title=""/>
                        <o:lock v:ext="edit" aspectratio="f"/>
                        <v:textbox>
                          <w:txbxContent>
                            <w:p>
                              <w:pPr>
                                <w:ind w:left="0" w:leftChars="0" w:firstLine="0" w:firstLineChars="0"/>
                                <w:rPr>
                                  <w:rFonts w:hint="default" w:eastAsia="宋体"/>
                                  <w:sz w:val="21"/>
                                  <w:szCs w:val="21"/>
                                  <w:lang w:val="en-US" w:eastAsia="zh-CN"/>
                                </w:rPr>
                              </w:pPr>
                              <w:r>
                                <w:rPr>
                                  <w:rFonts w:hint="eastAsia"/>
                                  <w:sz w:val="21"/>
                                  <w:szCs w:val="21"/>
                                  <w:lang w:val="en-US" w:eastAsia="zh-CN"/>
                                </w:rPr>
                                <w:t>加油枪</w:t>
                              </w:r>
                            </w:p>
                          </w:txbxContent>
                        </v:textbox>
                      </v:shape>
                      <v:shape id="直接箭头连接符 133" o:spid="_x0000_s1026" o:spt="32" type="#_x0000_t32" style="position:absolute;left:3398520;top:706755;flip:y;height:498475;width:1270;" filled="f" stroked="t" coordsize="21600,21600" o:gfxdata="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KdKfXVAAAABQEAAA8AAAAA&#10;AAAAAQAgAAAAIgAAAGRycy9kb3ducmV2LnhtbFBLAQIUABQAAAAIAIdO4kAyR2NsFwIAAPADAAAO&#10;AAAAAAAAAAEAIAAAACQBAABkcnMvZTJvRG9jLnhtbFBLBQYAAAAABgAGAFkBAACtBQAAAAA=&#10;">
                        <v:fill on="f" focussize="0,0"/>
                        <v:stroke color="#000000" joinstyle="round" endarrow="open"/>
                        <v:imagedata o:title=""/>
                        <o:lock v:ext="edit" aspectratio="f"/>
                      </v:shape>
                      <v:shape id="文本框 134" o:spid="_x0000_s1026" o:spt="202" type="#_x0000_t202" style="position:absolute;left:4052570;top:297180;height:339090;width:793115;" filled="f" stroked="t" coordsize="21600,21600" o:gfxdata="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jmb29YAAAAFAQAADwAAAAAAAAABACAAAAAiAAAAZHJzL2Rvd25yZXYu&#10;eG1sUEsBAhQAFAAAAAgAh07iQA6kQvpvAgAAxAQAAA4AAAAAAAAAAQAgAAAAJQEAAGRycy9lMm9E&#10;b2MueG1sUEsFBgAAAAAGAAYAWQEAAAYGAAAAAA==&#10;">
                        <v:fill on="f" focussize="0,0"/>
                        <v:stroke weight="0.5pt" color="#000000" joinstyle="round" dashstyle="1 1"/>
                        <v:imagedata o:title=""/>
                        <o:lock v:ext="edit" aspectratio="f"/>
                        <v:textbox>
                          <w:txbxContent>
                            <w:p>
                              <w:pPr>
                                <w:ind w:left="0" w:leftChars="0" w:firstLine="0" w:firstLineChars="0"/>
                                <w:rPr>
                                  <w:rFonts w:hint="default" w:eastAsia="宋体"/>
                                  <w:sz w:val="21"/>
                                  <w:szCs w:val="21"/>
                                  <w:lang w:val="en-US" w:eastAsia="zh-CN"/>
                                </w:rPr>
                              </w:pPr>
                              <w:r>
                                <w:rPr>
                                  <w:rFonts w:hint="eastAsia"/>
                                  <w:sz w:val="21"/>
                                  <w:szCs w:val="21"/>
                                  <w:lang w:val="en-US" w:eastAsia="zh-CN"/>
                                </w:rPr>
                                <w:t>尾气、噪声</w:t>
                              </w:r>
                            </w:p>
                          </w:txbxContent>
                        </v:textbox>
                      </v:shape>
                      <v:shape id="直接箭头连接符 135" o:spid="_x0000_s1026" o:spt="32" type="#_x0000_t32" style="position:absolute;left:4510405;top:635635;flip:x y;height:554355;width:8255;" filled="f" stroked="t" coordsize="21600,21600" o:gfxdata="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I2dBa1QAAAAUBAAAPAAAA&#10;AAAAAAEAIAAAACIAAABkcnMvZG93bnJldi54bWxQSwECFAAUAAAACACHTuJAdCX6FBgCAAD6AwAA&#10;DgAAAAAAAAABACAAAAAkAQAAZHJzL2Uyb0RvYy54bWxQSwUGAAAAAAYABgBZAQAArgUAAAAA&#10;">
                        <v:fill on="f" focussize="0,0"/>
                        <v:stroke color="#000000" joinstyle="round" endarrow="open"/>
                        <v:imagedata o:title=""/>
                        <o:lock v:ext="edit" aspectratio="f"/>
                      </v:shape>
                      <v:shape id="文本框 136" o:spid="_x0000_s1026" o:spt="202" type="#_x0000_t202" style="position:absolute;left:890905;top:250825;height:349250;width:1882775;" filled="f" stroked="t" coordsize="21600,21600" o:gfxdata="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yOZvb1gAAAAUBAAAPAAAAAAAAAAEAIAAAACIAAABkcnMvZG93bnJldi54bWxQ&#10;SwECFAAUAAAACACHTuJAKKS+cGsCAADEBAAADgAAAAAAAAABACAAAAAlAQAAZHJzL2Uyb0RvYy54&#10;bWxQSwUGAAAAAAYABgBZAQAAAgYAAAAA&#10;">
                        <v:fill on="f" focussize="0,0"/>
                        <v:stroke weight="0.5pt" color="#000000" joinstyle="round" dashstyle="1 1"/>
                        <v:imagedata o:title=""/>
                        <o:lock v:ext="edit" aspectratio="f"/>
                        <v:textbox>
                          <w:txbxContent>
                            <w:p>
                              <w:pPr>
                                <w:ind w:left="0" w:leftChars="0" w:firstLine="0" w:firstLineChars="0"/>
                                <w:rPr>
                                  <w:rFonts w:hint="default" w:eastAsia="宋体"/>
                                  <w:sz w:val="21"/>
                                  <w:szCs w:val="21"/>
                                  <w:lang w:val="en-US" w:eastAsia="zh-CN"/>
                                </w:rPr>
                              </w:pPr>
                              <w:r>
                                <w:rPr>
                                  <w:rFonts w:hint="eastAsia"/>
                                  <w:sz w:val="21"/>
                                  <w:szCs w:val="21"/>
                                  <w:lang w:val="en-US" w:eastAsia="zh-CN"/>
                                </w:rPr>
                                <w:t>呼吸耗损油气（非甲烷总烃）</w:t>
                              </w:r>
                            </w:p>
                          </w:txbxContent>
                        </v:textbox>
                      </v:shape>
                      <v:shape id="文本框 137" o:spid="_x0000_s1026" o:spt="202" type="#_x0000_t202" style="position:absolute;left:2857500;top:232410;height:464820;width:1078230;" filled="f" stroked="t" coordsize="21600,21600" o:gfxdata="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yOZvb1gAAAAUBAAAPAAAAAAAAAAEAIAAAACIAAABkcnMvZG93bnJldi54&#10;bWxQSwECFAAUAAAACACHTuJABLcB824CAADFBAAADgAAAAAAAAABACAAAAAlAQAAZHJzL2Uyb0Rv&#10;Yy54bWxQSwUGAAAAAAYABgBZAQAABQYAAAAA&#10;">
                        <v:fill on="f" focussize="0,0"/>
                        <v:stroke weight="0.5pt" color="#000000" joinstyle="round" dashstyle="1 1"/>
                        <v:imagedata o:title=""/>
                        <o:lock v:ext="edit" aspectratio="f"/>
                        <v:textbox>
                          <w:txbxContent>
                            <w:p>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挥发耗损油（非甲烷总烃）</w:t>
                              </w:r>
                            </w:p>
                          </w:txbxContent>
                        </v:textbox>
                      </v:shape>
                      <v:shape id="肘形连接符 86" o:spid="_x0000_s1026" o:spt="33" type="#_x0000_t33" style="position:absolute;left:398780;top:1679575;height:471805;width:962660;rotation:11796480f;" filled="f" stroked="t" coordsize="21600,21600" o:gfxdata="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SPL5HUAAAA&#10;BQEAAA8AAAAAAAAAAQAgAAAAIgAAAGRycy9kb3ducmV2LnhtbFBLAQIUABQAAAAIAIdO4kCWtutK&#10;IQIAAA8EAAAOAAAAAAAAAAEAIAAAACMBAABkcnMvZTJvRG9jLnhtbFBLBQYAAAAABgAGAFkBAAC2&#10;BQAAAAA=&#10;">
                        <v:fill on="f" focussize="0,0"/>
                        <v:stroke color="#000000" joinstyle="round" dashstyle="1 1" endarrow="open"/>
                        <v:imagedata o:title=""/>
                        <o:lock v:ext="edit" aspectratio="f"/>
                      </v:shape>
                      <v:shape id="文本框 139" o:spid="_x0000_s1026" o:spt="202" type="#_x0000_t202" style="position:absolute;left:341630;top:2113915;height:337185;width:1100455;" filled="f" stroked="f" coordsize="21600,21600" o:gfxdata="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eYhPvYAAAABQEAAA8A&#10;AAAAAAAAAQAgAAAAIgAAAGRycy9kb3ducmV2LnhtbFBLAQIUABQAAAAIAIdO4kCs/8V4UAIAAIME&#10;AAAOAAAAAAAAAAEAIAAAACcBAABkcnMvZTJvRG9jLnhtbFBLBQYAAAAABgAGAFkBAADpBQ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sz w:val="21"/>
                                  <w:szCs w:val="21"/>
                                  <w:lang w:val="en-US" w:eastAsia="zh-CN"/>
                                </w:rPr>
                                <w:t>一次油气回收</w:t>
                              </w:r>
                            </w:p>
                          </w:txbxContent>
                        </v:textbox>
                      </v:shape>
                      <v:shape id="肘形连接符 87" o:spid="_x0000_s1026" o:spt="33" type="#_x0000_t33" style="position:absolute;left:2522855;top:1609090;height:544830;width:529590;rotation:5898240f;" filled="f" stroked="t" coordsize="21600,21600" o:gfxdata="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wXylLVAAAA&#10;BQEAAA8AAAAAAAAAAQAgAAAAIgAAAGRycy9kb3ducmV2LnhtbFBLAQIUABQAAAAIAIdO4kCnCJrV&#10;IAIAAA8EAAAOAAAAAAAAAAEAIAAAACQBAABkcnMvZTJvRG9jLnhtbFBLBQYAAAAABgAGAFkBAAC2&#10;BQAAAAA=&#10;">
                        <v:fill on="f" focussize="0,0"/>
                        <v:stroke color="#000000" joinstyle="round" dashstyle="1 1" endarrow="open"/>
                        <v:imagedata o:title=""/>
                        <o:lock v:ext="edit" aspectratio="f"/>
                      </v:shape>
                      <v:shape id="文本框 141" o:spid="_x0000_s1026" o:spt="202" type="#_x0000_t202" style="position:absolute;left:2444750;top:2127250;height:337185;width:1100455;" filled="f" stroked="f" coordsize="21600,21600" o:gfxdata="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nmIT72AAAAAUBAAAPAAAAAAAA&#10;AAEAIAAAACIAAABkcnMvZG93bnJldi54bWxQSwECFAAUAAAACACHTuJApLWe8UsCAACEBAAADgAA&#10;AAAAAAABACAAAAAnAQAAZHJzL2Uyb0RvYy54bWxQSwUGAAAAAAYABgBZAQAA5AU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sz w:val="21"/>
                                  <w:szCs w:val="21"/>
                                  <w:lang w:val="en-US" w:eastAsia="zh-CN"/>
                                </w:rPr>
                                <w:t>二次油气回</w:t>
                              </w:r>
                              <w:r>
                                <w:rPr>
                                  <w:rFonts w:hint="eastAsia"/>
                                  <w:lang w:val="en-US" w:eastAsia="zh-CN"/>
                                </w:rPr>
                                <w:t>收</w:t>
                              </w:r>
                            </w:p>
                          </w:txbxContent>
                        </v:textbox>
                      </v:shape>
                      <v:shape id="文本框 143" o:spid="_x0000_s1026" o:spt="202" type="#_x0000_t202" style="position:absolute;left:3396615;top:1883410;height:337185;width:1100455;" filled="f" stroked="f" coordsize="21600,21600" o:gfxdata="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5iE+9gAAAAFAQAADwAA&#10;AAAAAAABACAAAAAiAAAAZHJzL2Rvd25yZXYueG1sUEsBAhQAFAAAAAgAh07iQGJo/59PAgAAhAQA&#10;AA4AAAAAAAAAAQAgAAAAJwEAAGRycy9lMm9Eb2MueG1sUEsFBgAAAAAGAAYAWQEAAOgFAAAAAA==&#10;">
                        <v:fill on="f" focussize="0,0"/>
                        <v:stroke on="f" weight="0.5pt"/>
                        <v:imagedata o:title=""/>
                        <o:lock v:ext="edit" aspectratio="f"/>
                        <v:textbox>
                          <w:txbxContent>
                            <w:p>
                              <w:pPr>
                                <w:ind w:left="0" w:leftChars="0" w:firstLine="0" w:firstLineChars="0"/>
                                <w:rPr>
                                  <w:rFonts w:hint="default" w:eastAsia="宋体"/>
                                  <w:lang w:val="en-US" w:eastAsia="zh-CN"/>
                                </w:rPr>
                              </w:pPr>
                              <w:r>
                                <w:rPr>
                                  <w:rFonts w:hint="eastAsia"/>
                                  <w:sz w:val="21"/>
                                  <w:szCs w:val="21"/>
                                  <w:lang w:val="en-US" w:eastAsia="zh-CN"/>
                                </w:rPr>
                                <w:t>二次油气回</w:t>
                              </w:r>
                              <w:r>
                                <w:rPr>
                                  <w:rFonts w:hint="eastAsia"/>
                                  <w:lang w:val="en-US" w:eastAsia="zh-CN"/>
                                </w:rPr>
                                <w:t>收</w:t>
                              </w:r>
                            </w:p>
                          </w:txbxContent>
                        </v:textbox>
                      </v:shape>
                      <v:shape id="肘形连接符 144" o:spid="_x0000_s1026" o:spt="34" type="#_x0000_t34" style="position:absolute;left:3937000;top:1027430;height:1370330;width:3175;rotation:5898240f;" filled="f" stroked="t" coordsize="21600,21600" o:gfxdata="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HSzay/WAAAABQEAAA8AAAAAAAAAAQAgAAAAIgAAAGRycy9kb3ducmV2LnhtbFBLAQIUABQA&#10;AAAIAIdO4kCwmHaDKwIAABwEAAAOAAAAAAAAAAEAIAAAACUBAABkcnMvZTJvRG9jLnhtbFBLBQYA&#10;AAAABgAGAFkBAADCBQAAAAA=&#10;" adj="1630800">
                        <v:fill on="f" focussize="0,0"/>
                        <v:stroke color="#000000" joinstyle="round" dashstyle="1 1" endarrow="open"/>
                        <v:imagedata o:title=""/>
                        <o:lock v:ext="edit" aspectratio="f"/>
                      </v:shape>
                      <w10:wrap type="none"/>
                      <w10:anchorlock/>
                    </v:group>
                  </w:pict>
                </mc:Fallback>
              </mc:AlternateContent>
            </w:r>
          </w:p>
          <w:p>
            <w:pPr>
              <w:pStyle w:val="10"/>
              <w:bidi w:val="0"/>
              <w:rPr>
                <w:rFonts w:hint="default"/>
                <w:lang w:val="en-US" w:eastAsia="zh-CN"/>
              </w:rPr>
            </w:pPr>
          </w:p>
          <w:p>
            <w:pPr>
              <w:pStyle w:val="10"/>
              <w:bidi w:val="0"/>
              <w:rPr>
                <w:rFonts w:hint="default"/>
                <w:lang w:val="en-US" w:eastAsia="zh-CN"/>
              </w:rPr>
            </w:pPr>
            <w:r>
              <w:rPr>
                <w:rFonts w:hint="default"/>
                <w:lang w:val="en-US" w:eastAsia="zh-CN"/>
              </w:rPr>
              <w:t>图2-</w:t>
            </w:r>
            <w:r>
              <w:rPr>
                <w:rFonts w:hint="default"/>
                <w:lang w:eastAsia="zh-CN"/>
              </w:rPr>
              <w:fldChar w:fldCharType="begin"/>
            </w:r>
            <w:r>
              <w:rPr>
                <w:rFonts w:hint="default"/>
                <w:lang w:eastAsia="zh-CN"/>
              </w:rPr>
              <w:instrText xml:space="preserve"> SEQ 图2- </w:instrText>
            </w:r>
            <w:r>
              <w:rPr>
                <w:rFonts w:hint="default"/>
                <w:lang w:eastAsia="zh-CN"/>
              </w:rPr>
              <w:fldChar w:fldCharType="separate"/>
            </w:r>
            <w:r>
              <w:rPr>
                <w:rFonts w:hint="default"/>
                <w:lang w:eastAsia="zh-CN"/>
              </w:rPr>
              <w:t>3</w:t>
            </w:r>
            <w:r>
              <w:rPr>
                <w:rFonts w:hint="default"/>
                <w:lang w:eastAsia="zh-CN"/>
              </w:rPr>
              <w:fldChar w:fldCharType="end"/>
            </w:r>
            <w:r>
              <w:rPr>
                <w:rFonts w:hint="eastAsia"/>
                <w:lang w:val="en-US" w:eastAsia="zh-CN"/>
              </w:rPr>
              <w:t xml:space="preserve"> </w:t>
            </w:r>
            <w:r>
              <w:rPr>
                <w:rFonts w:hint="default"/>
                <w:lang w:val="en-US" w:eastAsia="zh-CN"/>
              </w:rPr>
              <w:t xml:space="preserve"> 汽油卸油、加油工艺流程及产污环节分析图</w:t>
            </w:r>
          </w:p>
          <w:p>
            <w:pPr>
              <w:numPr>
                <w:ilvl w:val="0"/>
                <w:numId w:val="0"/>
              </w:numPr>
              <w:bidi w:val="0"/>
              <w:jc w:val="center"/>
              <w:rPr>
                <w:rFonts w:hint="default"/>
                <w:lang w:val="en-US" w:eastAsia="zh-CN"/>
              </w:rPr>
            </w:pPr>
            <w:r>
              <w:rPr>
                <w:sz w:val="21"/>
              </w:rPr>
              <mc:AlternateContent>
                <mc:Choice Requires="wpc">
                  <w:drawing>
                    <wp:inline distT="0" distB="0" distL="114300" distR="114300">
                      <wp:extent cx="4994910" cy="2593340"/>
                      <wp:effectExtent l="0" t="0" r="0" b="0"/>
                      <wp:docPr id="118" name="画布 118"/>
                      <wp:cNvGraphicFramePr/>
                      <a:graphic xmlns:a="http://schemas.openxmlformats.org/drawingml/2006/main">
                        <a:graphicData uri="http://schemas.microsoft.com/office/word/2010/wordprocessingCanvas">
                          <wpc:wpc>
                            <wpc:bg>
                              <a:noFill/>
                            </wpc:bg>
                            <wpc:whole>
                              <a:ln>
                                <a:noFill/>
                              </a:ln>
                            </wpc:whole>
                            <wps:wsp>
                              <wps:cNvPr id="124" name="文本框 119"/>
                              <wps:cNvSpPr txBox="1"/>
                              <wps:spPr>
                                <a:xfrm>
                                  <a:off x="49530" y="261620"/>
                                  <a:ext cx="803910" cy="339090"/>
                                </a:xfrm>
                                <a:prstGeom prst="rect">
                                  <a:avLst/>
                                </a:prstGeom>
                                <a:noFill/>
                                <a:ln w="6350">
                                  <a:solidFill>
                                    <a:prstClr val="black"/>
                                  </a:solidFill>
                                  <a:prstDash val="sysDot"/>
                                </a:ln>
                                <a:effectLst/>
                              </wps:spPr>
                              <wps:txbx>
                                <w:txbxContent>
                                  <w:p>
                                    <w:pPr>
                                      <w:ind w:left="0" w:leftChars="0" w:firstLine="0" w:firstLineChars="0"/>
                                      <w:rPr>
                                        <w:rFonts w:hint="default" w:eastAsia="宋体"/>
                                        <w:sz w:val="21"/>
                                        <w:szCs w:val="21"/>
                                        <w:lang w:val="en-US" w:eastAsia="zh-CN"/>
                                      </w:rPr>
                                    </w:pPr>
                                    <w:r>
                                      <w:rPr>
                                        <w:rFonts w:hint="eastAsia"/>
                                        <w:sz w:val="21"/>
                                        <w:szCs w:val="21"/>
                                        <w:lang w:val="en-US" w:eastAsia="zh-CN"/>
                                      </w:rPr>
                                      <w:t>尾气、噪声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直接箭头连接符 120"/>
                              <wps:cNvCnPr/>
                              <wps:spPr>
                                <a:xfrm flipH="1" flipV="1">
                                  <a:off x="408940" y="590550"/>
                                  <a:ext cx="11430" cy="697865"/>
                                </a:xfrm>
                                <a:prstGeom prst="straightConnector1">
                                  <a:avLst/>
                                </a:prstGeom>
                                <a:noFill/>
                                <a:ln w="9525" cap="flat" cmpd="sng" algn="ctr">
                                  <a:solidFill>
                                    <a:srgbClr val="000000"/>
                                  </a:solidFill>
                                  <a:prstDash val="solid"/>
                                  <a:tailEnd type="arrow"/>
                                </a:ln>
                                <a:effectLst/>
                              </wps:spPr>
                              <wps:bodyPr/>
                            </wps:wsp>
                            <wps:wsp>
                              <wps:cNvPr id="126" name="文本框 121"/>
                              <wps:cNvSpPr txBox="1"/>
                              <wps:spPr>
                                <a:xfrm>
                                  <a:off x="100330" y="1278255"/>
                                  <a:ext cx="604520" cy="381000"/>
                                </a:xfrm>
                                <a:prstGeom prst="rect">
                                  <a:avLst/>
                                </a:prstGeom>
                                <a:noFill/>
                                <a:ln w="6350">
                                  <a:solidFill>
                                    <a:prstClr val="black"/>
                                  </a:solidFill>
                                </a:ln>
                                <a:effectLst/>
                              </wps:spPr>
                              <wps:txbx>
                                <w:txbxContent>
                                  <w:p>
                                    <w:pPr>
                                      <w:ind w:left="0" w:leftChars="0" w:firstLine="0" w:firstLineChars="0"/>
                                      <w:rPr>
                                        <w:rFonts w:hint="eastAsia" w:eastAsia="宋体"/>
                                        <w:b w:val="0"/>
                                        <w:bCs w:val="0"/>
                                        <w:color w:val="000000"/>
                                        <w:sz w:val="21"/>
                                        <w:szCs w:val="21"/>
                                        <w:lang w:val="en-US" w:eastAsia="zh-CN"/>
                                      </w:rPr>
                                    </w:pPr>
                                    <w:r>
                                      <w:rPr>
                                        <w:rFonts w:hint="eastAsia"/>
                                        <w:sz w:val="21"/>
                                        <w:szCs w:val="21"/>
                                        <w:lang w:val="en-US" w:eastAsia="zh-CN"/>
                                      </w:rPr>
                                      <w:t>油罐车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7" name="文本框 122"/>
                              <wps:cNvSpPr txBox="1"/>
                              <wps:spPr>
                                <a:xfrm>
                                  <a:off x="1360805" y="1945005"/>
                                  <a:ext cx="1132840" cy="372110"/>
                                </a:xfrm>
                                <a:prstGeom prst="rect">
                                  <a:avLst/>
                                </a:prstGeom>
                                <a:noFill/>
                                <a:ln w="3175">
                                  <a:solidFill>
                                    <a:srgbClr val="000000"/>
                                  </a:solidFill>
                                </a:ln>
                                <a:effectLst/>
                              </wps:spPr>
                              <wps:txbx>
                                <w:txbxContent>
                                  <w:p>
                                    <w:pPr>
                                      <w:ind w:left="0" w:leftChars="0" w:firstLine="210" w:firstLineChars="1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埋地</w:t>
                                    </w:r>
                                    <w:r>
                                      <w:rPr>
                                        <w:rFonts w:hint="eastAsia" w:ascii="宋体" w:hAnsi="宋体" w:cs="宋体"/>
                                        <w:sz w:val="21"/>
                                        <w:szCs w:val="21"/>
                                        <w:lang w:val="en-US" w:eastAsia="zh-CN"/>
                                      </w:rPr>
                                      <w:t>柴</w:t>
                                    </w:r>
                                    <w:r>
                                      <w:rPr>
                                        <w:rFonts w:hint="eastAsia" w:ascii="宋体" w:hAnsi="宋体" w:eastAsia="宋体" w:cs="宋体"/>
                                        <w:sz w:val="21"/>
                                        <w:szCs w:val="21"/>
                                        <w:lang w:val="en-US" w:eastAsia="zh-CN"/>
                                      </w:rPr>
                                      <w:t>油储罐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8" name="肘形连接符 83"/>
                              <wps:cNvCnPr/>
                              <wps:spPr>
                                <a:xfrm>
                                  <a:off x="683895" y="1489075"/>
                                  <a:ext cx="1158875" cy="455295"/>
                                </a:xfrm>
                                <a:prstGeom prst="bentConnector2">
                                  <a:avLst/>
                                </a:prstGeom>
                                <a:ln w="9525" cap="flat" cmpd="sng">
                                  <a:solidFill>
                                    <a:srgbClr val="000000"/>
                                  </a:solidFill>
                                  <a:prstDash val="solid"/>
                                  <a:round/>
                                  <a:headEnd type="none" w="med" len="med"/>
                                  <a:tailEnd type="arrow" w="med" len="med"/>
                                </a:ln>
                              </wps:spPr>
                              <wps:bodyPr/>
                            </wps:wsp>
                            <wps:wsp>
                              <wps:cNvPr id="129" name="文本框 124"/>
                              <wps:cNvSpPr txBox="1"/>
                              <wps:spPr>
                                <a:xfrm>
                                  <a:off x="1007110" y="1162685"/>
                                  <a:ext cx="497205" cy="356870"/>
                                </a:xfrm>
                                <a:prstGeom prst="rect">
                                  <a:avLst/>
                                </a:prstGeom>
                                <a:noFill/>
                                <a:ln w="6350">
                                  <a:noFill/>
                                </a:ln>
                                <a:effectLst/>
                              </wps:spPr>
                              <wps:txbx>
                                <w:txbxContent>
                                  <w:p>
                                    <w:pPr>
                                      <w:ind w:left="0" w:leftChars="0" w:firstLine="0" w:firstLineChars="0"/>
                                      <w:rPr>
                                        <w:rFonts w:hint="eastAsia" w:eastAsia="宋体"/>
                                        <w:sz w:val="21"/>
                                        <w:szCs w:val="21"/>
                                        <w:lang w:val="en-US" w:eastAsia="zh-CN"/>
                                      </w:rPr>
                                    </w:pPr>
                                    <w:r>
                                      <w:rPr>
                                        <w:rFonts w:hint="eastAsia"/>
                                        <w:sz w:val="21"/>
                                        <w:szCs w:val="21"/>
                                        <w:lang w:val="en-US" w:eastAsia="zh-CN"/>
                                      </w:rPr>
                                      <w:t>卸油</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0" name="直接箭头连接符 125"/>
                              <wps:cNvCnPr/>
                              <wps:spPr>
                                <a:xfrm flipH="1" flipV="1">
                                  <a:off x="1367155" y="612140"/>
                                  <a:ext cx="10795" cy="655955"/>
                                </a:xfrm>
                                <a:prstGeom prst="straightConnector1">
                                  <a:avLst/>
                                </a:prstGeom>
                                <a:noFill/>
                                <a:ln w="9525" cap="flat" cmpd="sng" algn="ctr">
                                  <a:solidFill>
                                    <a:srgbClr val="000000"/>
                                  </a:solidFill>
                                  <a:prstDash val="solid"/>
                                  <a:tailEnd type="arrow"/>
                                </a:ln>
                                <a:effectLst/>
                              </wps:spPr>
                              <wps:bodyPr/>
                            </wps:wsp>
                            <wps:wsp>
                              <wps:cNvPr id="131" name="文本框 126"/>
                              <wps:cNvSpPr txBox="1"/>
                              <wps:spPr>
                                <a:xfrm>
                                  <a:off x="2806065" y="1235710"/>
                                  <a:ext cx="804545" cy="370840"/>
                                </a:xfrm>
                                <a:prstGeom prst="rect">
                                  <a:avLst/>
                                </a:prstGeom>
                                <a:noFill/>
                                <a:ln w="6350">
                                  <a:solidFill>
                                    <a:prstClr val="black"/>
                                  </a:solidFill>
                                </a:ln>
                                <a:effectLst/>
                              </wps:spPr>
                              <wps:txbx>
                                <w:txbxContent>
                                  <w:p>
                                    <w:pPr>
                                      <w:ind w:left="0" w:leftChars="0" w:firstLine="210" w:firstLineChars="100"/>
                                      <w:rPr>
                                        <w:rFonts w:hint="eastAsia" w:eastAsia="宋体"/>
                                        <w:sz w:val="21"/>
                                        <w:szCs w:val="21"/>
                                        <w:lang w:val="en-US" w:eastAsia="zh-CN"/>
                                      </w:rPr>
                                    </w:pPr>
                                    <w:r>
                                      <w:rPr>
                                        <w:rFonts w:hint="eastAsia"/>
                                        <w:sz w:val="21"/>
                                        <w:szCs w:val="21"/>
                                        <w:lang w:val="en-US" w:eastAsia="zh-CN"/>
                                      </w:rPr>
                                      <w:t>加油机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2" name="文本框 127"/>
                              <wps:cNvSpPr txBox="1"/>
                              <wps:spPr>
                                <a:xfrm>
                                  <a:off x="4178300" y="1266825"/>
                                  <a:ext cx="657860" cy="518795"/>
                                </a:xfrm>
                                <a:prstGeom prst="rect">
                                  <a:avLst/>
                                </a:prstGeom>
                                <a:noFill/>
                                <a:ln w="6350">
                                  <a:solidFill>
                                    <a:prstClr val="black"/>
                                  </a:solidFill>
                                </a:ln>
                                <a:effectLst/>
                              </wps:spPr>
                              <wps:txbx>
                                <w:txbxContent>
                                  <w:p>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汽车邮箱</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3" name="肘形连接符 85"/>
                              <wps:cNvCnPr/>
                              <wps:spPr>
                                <a:xfrm rot="-5400000">
                                  <a:off x="2359660" y="1477010"/>
                                  <a:ext cx="471170" cy="401955"/>
                                </a:xfrm>
                                <a:prstGeom prst="bentConnector2">
                                  <a:avLst/>
                                </a:prstGeom>
                                <a:ln w="9525" cap="flat" cmpd="sng">
                                  <a:solidFill>
                                    <a:srgbClr val="000000"/>
                                  </a:solidFill>
                                  <a:prstDash val="solid"/>
                                  <a:round/>
                                  <a:headEnd type="none" w="med" len="med"/>
                                  <a:tailEnd type="arrow" w="med" len="med"/>
                                </a:ln>
                              </wps:spPr>
                              <wps:bodyPr/>
                            </wps:wsp>
                            <wps:wsp>
                              <wps:cNvPr id="134" name="直接箭头连接符 129"/>
                              <wps:cNvCnPr/>
                              <wps:spPr>
                                <a:xfrm flipH="1" flipV="1">
                                  <a:off x="2087245" y="610235"/>
                                  <a:ext cx="10795" cy="1323340"/>
                                </a:xfrm>
                                <a:prstGeom prst="straightConnector1">
                                  <a:avLst/>
                                </a:prstGeom>
                                <a:noFill/>
                                <a:ln w="9525" cap="flat" cmpd="sng" algn="ctr">
                                  <a:solidFill>
                                    <a:srgbClr val="000000"/>
                                  </a:solidFill>
                                  <a:prstDash val="solid"/>
                                  <a:tailEnd type="arrow"/>
                                </a:ln>
                                <a:effectLst/>
                              </wps:spPr>
                              <wps:bodyPr/>
                            </wps:wsp>
                            <wps:wsp>
                              <wps:cNvPr id="135" name="直接箭头连接符 130"/>
                              <wps:cNvCnPr/>
                              <wps:spPr>
                                <a:xfrm flipV="1">
                                  <a:off x="3610610" y="1439545"/>
                                  <a:ext cx="592455" cy="12700"/>
                                </a:xfrm>
                                <a:prstGeom prst="straightConnector1">
                                  <a:avLst/>
                                </a:prstGeom>
                                <a:noFill/>
                                <a:ln w="9525" cap="flat" cmpd="sng" algn="ctr">
                                  <a:solidFill>
                                    <a:srgbClr val="000000"/>
                                  </a:solidFill>
                                  <a:prstDash val="solid"/>
                                  <a:tailEnd type="arrow"/>
                                </a:ln>
                                <a:effectLst/>
                              </wps:spPr>
                              <wps:bodyPr/>
                            </wps:wsp>
                            <wps:wsp>
                              <wps:cNvPr id="136" name="文本框 131"/>
                              <wps:cNvSpPr txBox="1"/>
                              <wps:spPr>
                                <a:xfrm>
                                  <a:off x="2193290" y="1109980"/>
                                  <a:ext cx="730885" cy="356235"/>
                                </a:xfrm>
                                <a:prstGeom prst="rect">
                                  <a:avLst/>
                                </a:prstGeom>
                                <a:noFill/>
                                <a:ln w="6350">
                                  <a:noFill/>
                                </a:ln>
                                <a:effectLst/>
                              </wps:spPr>
                              <wps:txbx>
                                <w:txbxContent>
                                  <w:p>
                                    <w:pPr>
                                      <w:ind w:left="0" w:leftChars="0" w:firstLine="0" w:firstLineChars="0"/>
                                      <w:rPr>
                                        <w:rFonts w:hint="eastAsia" w:eastAsia="宋体"/>
                                        <w:sz w:val="21"/>
                                        <w:szCs w:val="21"/>
                                        <w:lang w:val="en-US" w:eastAsia="zh-CN"/>
                                      </w:rPr>
                                    </w:pPr>
                                    <w:r>
                                      <w:rPr>
                                        <w:rFonts w:hint="eastAsia"/>
                                        <w:sz w:val="21"/>
                                        <w:szCs w:val="21"/>
                                        <w:lang w:val="en-US" w:eastAsia="zh-CN"/>
                                      </w:rPr>
                                      <w:t>潜油泵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7" name="文本框 132"/>
                              <wps:cNvSpPr txBox="1"/>
                              <wps:spPr>
                                <a:xfrm>
                                  <a:off x="3557270" y="1076325"/>
                                  <a:ext cx="657225" cy="381000"/>
                                </a:xfrm>
                                <a:prstGeom prst="rect">
                                  <a:avLst/>
                                </a:prstGeom>
                                <a:noFill/>
                                <a:ln w="6350">
                                  <a:noFill/>
                                </a:ln>
                                <a:effectLst/>
                              </wps:spPr>
                              <wps:txbx>
                                <w:txbxContent>
                                  <w:p>
                                    <w:pPr>
                                      <w:ind w:left="0" w:leftChars="0" w:firstLine="0" w:firstLineChars="0"/>
                                      <w:rPr>
                                        <w:rFonts w:hint="default" w:eastAsia="宋体"/>
                                        <w:sz w:val="21"/>
                                        <w:szCs w:val="21"/>
                                        <w:lang w:val="en-US" w:eastAsia="zh-CN"/>
                                      </w:rPr>
                                    </w:pPr>
                                    <w:r>
                                      <w:rPr>
                                        <w:rFonts w:hint="eastAsia"/>
                                        <w:sz w:val="21"/>
                                        <w:szCs w:val="21"/>
                                        <w:lang w:val="en-US" w:eastAsia="zh-CN"/>
                                      </w:rPr>
                                      <w:t>加油枪</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8" name="直接箭头连接符 133"/>
                              <wps:cNvCnPr/>
                              <wps:spPr>
                                <a:xfrm flipV="1">
                                  <a:off x="3398520" y="706755"/>
                                  <a:ext cx="1270" cy="498475"/>
                                </a:xfrm>
                                <a:prstGeom prst="straightConnector1">
                                  <a:avLst/>
                                </a:prstGeom>
                                <a:noFill/>
                                <a:ln w="9525" cap="flat" cmpd="sng" algn="ctr">
                                  <a:solidFill>
                                    <a:srgbClr val="000000"/>
                                  </a:solidFill>
                                  <a:prstDash val="solid"/>
                                  <a:tailEnd type="arrow"/>
                                </a:ln>
                                <a:effectLst/>
                              </wps:spPr>
                              <wps:bodyPr/>
                            </wps:wsp>
                            <wps:wsp>
                              <wps:cNvPr id="139" name="文本框 134"/>
                              <wps:cNvSpPr txBox="1"/>
                              <wps:spPr>
                                <a:xfrm>
                                  <a:off x="4052570" y="297180"/>
                                  <a:ext cx="793115" cy="339090"/>
                                </a:xfrm>
                                <a:prstGeom prst="rect">
                                  <a:avLst/>
                                </a:prstGeom>
                                <a:noFill/>
                                <a:ln w="6350">
                                  <a:solidFill>
                                    <a:prstClr val="black"/>
                                  </a:solidFill>
                                  <a:prstDash val="sysDot"/>
                                </a:ln>
                                <a:effectLst/>
                              </wps:spPr>
                              <wps:txbx>
                                <w:txbxContent>
                                  <w:p>
                                    <w:pPr>
                                      <w:ind w:left="0" w:leftChars="0" w:firstLine="0" w:firstLineChars="0"/>
                                      <w:rPr>
                                        <w:rFonts w:hint="default" w:eastAsia="宋体"/>
                                        <w:sz w:val="21"/>
                                        <w:szCs w:val="21"/>
                                        <w:lang w:val="en-US" w:eastAsia="zh-CN"/>
                                      </w:rPr>
                                    </w:pPr>
                                    <w:r>
                                      <w:rPr>
                                        <w:rFonts w:hint="eastAsia"/>
                                        <w:sz w:val="21"/>
                                        <w:szCs w:val="21"/>
                                        <w:lang w:val="en-US" w:eastAsia="zh-CN"/>
                                      </w:rPr>
                                      <w:t>尾气、噪声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0" name="直接箭头连接符 135"/>
                              <wps:cNvCnPr/>
                              <wps:spPr>
                                <a:xfrm flipH="1" flipV="1">
                                  <a:off x="4510405" y="635635"/>
                                  <a:ext cx="10795" cy="645795"/>
                                </a:xfrm>
                                <a:prstGeom prst="straightConnector1">
                                  <a:avLst/>
                                </a:prstGeom>
                                <a:noFill/>
                                <a:ln w="9525" cap="flat" cmpd="sng" algn="ctr">
                                  <a:solidFill>
                                    <a:srgbClr val="000000"/>
                                  </a:solidFill>
                                  <a:prstDash val="solid"/>
                                  <a:tailEnd type="arrow"/>
                                </a:ln>
                                <a:effectLst/>
                              </wps:spPr>
                              <wps:bodyPr/>
                            </wps:wsp>
                            <wps:wsp>
                              <wps:cNvPr id="141" name="文本框 136"/>
                              <wps:cNvSpPr txBox="1"/>
                              <wps:spPr>
                                <a:xfrm>
                                  <a:off x="890905" y="250825"/>
                                  <a:ext cx="1882775" cy="349250"/>
                                </a:xfrm>
                                <a:prstGeom prst="rect">
                                  <a:avLst/>
                                </a:prstGeom>
                                <a:noFill/>
                                <a:ln w="6350">
                                  <a:solidFill>
                                    <a:prstClr val="black"/>
                                  </a:solidFill>
                                  <a:prstDash val="sysDot"/>
                                </a:ln>
                                <a:effectLst/>
                              </wps:spPr>
                              <wps:txbx>
                                <w:txbxContent>
                                  <w:p>
                                    <w:pPr>
                                      <w:ind w:left="0" w:leftChars="0" w:firstLine="0" w:firstLineChars="0"/>
                                      <w:rPr>
                                        <w:rFonts w:hint="default" w:eastAsia="宋体"/>
                                        <w:sz w:val="21"/>
                                        <w:szCs w:val="21"/>
                                        <w:lang w:val="en-US" w:eastAsia="zh-CN"/>
                                      </w:rPr>
                                    </w:pPr>
                                    <w:r>
                                      <w:rPr>
                                        <w:rFonts w:hint="eastAsia"/>
                                        <w:sz w:val="21"/>
                                        <w:szCs w:val="21"/>
                                        <w:lang w:val="en-US" w:eastAsia="zh-CN"/>
                                      </w:rPr>
                                      <w:t>呼吸耗损油气（非甲烷总烃）</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2" name="文本框 137"/>
                              <wps:cNvSpPr txBox="1"/>
                              <wps:spPr>
                                <a:xfrm>
                                  <a:off x="2857500" y="232410"/>
                                  <a:ext cx="1078230" cy="464820"/>
                                </a:xfrm>
                                <a:prstGeom prst="rect">
                                  <a:avLst/>
                                </a:prstGeom>
                                <a:noFill/>
                                <a:ln w="6350">
                                  <a:solidFill>
                                    <a:prstClr val="black"/>
                                  </a:solidFill>
                                  <a:prstDash val="sysDot"/>
                                </a:ln>
                                <a:effectLst/>
                              </wps:spPr>
                              <wps:txbx>
                                <w:txbxContent>
                                  <w:p>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挥发耗损油（非甲烷总烃）</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04.2pt;width:393.3pt;" coordsize="4994910,2593340" editas="canvas" o:gfxdata="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">
                      <o:lock v:ext="edit" aspectratio="f"/>
                      <v:shape id="_x0000_s1026" o:spid="_x0000_s1026" style="position:absolute;left:0;top:0;height:2593340;width:4994910;" filled="f" stroked="f" coordsize="21600,21600" o:gfxdata="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">
                        <v:fill on="f" focussize="0,0"/>
                        <v:stroke on="f"/>
                        <v:imagedata o:title=""/>
                        <o:lock v:ext="edit" aspectratio="f"/>
                      </v:shape>
                      <v:shape id="文本框 119" o:spid="_x0000_s1026" o:spt="202" type="#_x0000_t202" style="position:absolute;left:49530;top:261620;height:339090;width:803910;" filled="f" stroked="t" coordsize="21600,21600" o:gfxdata="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nscHG9UAAAAFAQAADwAAAAAAAAABACAAAAAiAAAAZHJzL2Rvd25yZXYueG1s&#10;UEsBAhQAFAAAAAgAh07iQM5oVh5tAgAAwgQAAA4AAAAAAAAAAQAgAAAAJAEAAGRycy9lMm9Eb2Mu&#10;eG1sUEsFBgAAAAAGAAYAWQEAAAMGAAAAAA==&#10;">
                        <v:fill on="f" focussize="0,0"/>
                        <v:stroke weight="0.5pt" color="#000000" joinstyle="round" dashstyle="1 1"/>
                        <v:imagedata o:title=""/>
                        <o:lock v:ext="edit" aspectratio="f"/>
                        <v:textbox>
                          <w:txbxContent>
                            <w:p>
                              <w:pPr>
                                <w:ind w:left="0" w:leftChars="0" w:firstLine="0" w:firstLineChars="0"/>
                                <w:rPr>
                                  <w:rFonts w:hint="default" w:eastAsia="宋体"/>
                                  <w:sz w:val="21"/>
                                  <w:szCs w:val="21"/>
                                  <w:lang w:val="en-US" w:eastAsia="zh-CN"/>
                                </w:rPr>
                              </w:pPr>
                              <w:r>
                                <w:rPr>
                                  <w:rFonts w:hint="eastAsia"/>
                                  <w:sz w:val="21"/>
                                  <w:szCs w:val="21"/>
                                  <w:lang w:val="en-US" w:eastAsia="zh-CN"/>
                                </w:rPr>
                                <w:t>尾气、噪声</w:t>
                              </w:r>
                            </w:p>
                          </w:txbxContent>
                        </v:textbox>
                      </v:shape>
                      <v:shape id="直接箭头连接符 120" o:spid="_x0000_s1026" o:spt="32" type="#_x0000_t32" style="position:absolute;left:408940;top:590550;flip:x y;height:697865;width:11430;" filled="f" stroked="t" coordsize="21600,21600" o:gfxdata="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CdMmtQAAAAFAQAADwAAAAAA&#10;AAABACAAAAAiAAAAZHJzL2Rvd25yZXYueG1sUEsBAhQAFAAAAAgAh07iQCfYfNAXAgAA+gMAAA4A&#10;AAAAAAAAAQAgAAAAIwEAAGRycy9lMm9Eb2MueG1sUEsFBgAAAAAGAAYAWQEAAKwFAAAAAA==&#10;">
                        <v:fill on="f" focussize="0,0"/>
                        <v:stroke color="#000000" joinstyle="round" endarrow="open"/>
                        <v:imagedata o:title=""/>
                        <o:lock v:ext="edit" aspectratio="f"/>
                      </v:shape>
                      <v:shape id="文本框 121" o:spid="_x0000_s1026" o:spt="202" type="#_x0000_t202" style="position:absolute;left:100330;top:1278255;height:381000;width:604520;" filled="f" stroked="t" coordsize="21600,21600" o:gfxdata="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pBoPfXAAAABQEAAA8AAAAAAAAAAQAgAAAAIgAAAGRycy9kb3ducmV2LnhtbFBLAQIUABQAAAAI&#10;AIdO4kAgT1nvYAIAAKoEAAAOAAAAAAAAAAEAIAAAACYBAABkcnMvZTJvRG9jLnhtbFBLBQYAAAAA&#10;BgAGAFkBAAD4BQAAAAA=&#10;">
                        <v:fill on="f" focussize="0,0"/>
                        <v:stroke weight="0.5pt" color="#000000" joinstyle="round"/>
                        <v:imagedata o:title=""/>
                        <o:lock v:ext="edit" aspectratio="f"/>
                        <v:textbox>
                          <w:txbxContent>
                            <w:p>
                              <w:pPr>
                                <w:ind w:left="0" w:leftChars="0" w:firstLine="0" w:firstLineChars="0"/>
                                <w:rPr>
                                  <w:rFonts w:hint="eastAsia" w:eastAsia="宋体"/>
                                  <w:b w:val="0"/>
                                  <w:bCs w:val="0"/>
                                  <w:color w:val="000000"/>
                                  <w:sz w:val="21"/>
                                  <w:szCs w:val="21"/>
                                  <w:lang w:val="en-US" w:eastAsia="zh-CN"/>
                                </w:rPr>
                              </w:pPr>
                              <w:r>
                                <w:rPr>
                                  <w:rFonts w:hint="eastAsia"/>
                                  <w:sz w:val="21"/>
                                  <w:szCs w:val="21"/>
                                  <w:lang w:val="en-US" w:eastAsia="zh-CN"/>
                                </w:rPr>
                                <w:t>油罐车</w:t>
                              </w:r>
                            </w:p>
                          </w:txbxContent>
                        </v:textbox>
                      </v:shape>
                      <v:shape id="文本框 122" o:spid="_x0000_s1026" o:spt="202" type="#_x0000_t202" style="position:absolute;left:1360805;top:1945005;height:372110;width:1132840;" filled="f" stroked="t" coordsize="21600,21600" o:gfxdata="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T3vd9YAAAAFAQAADwAAAAAAAAABACAAAAAiAAAAZHJzL2Rvd25yZXYueG1sUEsBAhQAFAAA&#10;AAgAh07iQCT1TnNjAgAArQQAAA4AAAAAAAAAAQAgAAAAJQEAAGRycy9lMm9Eb2MueG1sUEsFBgAA&#10;AAAGAAYAWQEAAPoFAAAAAA==&#10;">
                        <v:fill on="f" focussize="0,0"/>
                        <v:stroke weight="0.25pt" color="#000000" joinstyle="round"/>
                        <v:imagedata o:title=""/>
                        <o:lock v:ext="edit" aspectratio="f"/>
                        <v:textbox>
                          <w:txbxContent>
                            <w:p>
                              <w:pPr>
                                <w:ind w:left="0" w:leftChars="0" w:firstLine="210" w:firstLineChars="1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埋地</w:t>
                              </w:r>
                              <w:r>
                                <w:rPr>
                                  <w:rFonts w:hint="eastAsia" w:ascii="宋体" w:hAnsi="宋体" w:cs="宋体"/>
                                  <w:sz w:val="21"/>
                                  <w:szCs w:val="21"/>
                                  <w:lang w:val="en-US" w:eastAsia="zh-CN"/>
                                </w:rPr>
                                <w:t>柴</w:t>
                              </w:r>
                              <w:r>
                                <w:rPr>
                                  <w:rFonts w:hint="eastAsia" w:ascii="宋体" w:hAnsi="宋体" w:eastAsia="宋体" w:cs="宋体"/>
                                  <w:sz w:val="21"/>
                                  <w:szCs w:val="21"/>
                                  <w:lang w:val="en-US" w:eastAsia="zh-CN"/>
                                </w:rPr>
                                <w:t>油储罐</w:t>
                              </w:r>
                            </w:p>
                          </w:txbxContent>
                        </v:textbox>
                      </v:shape>
                      <v:shape id="肘形连接符 83" o:spid="_x0000_s1026" o:spt="33" type="#_x0000_t33" style="position:absolute;left:683895;top:1489075;height:455295;width:1158875;" filled="f" stroked="t" coordsize="21600,21600" o:gfxdata="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05YatQAAAAFAQAADwAAAAAAAAAB&#10;ACAAAAAiAAAAZHJzL2Rvd25yZXYueG1sUEsBAhQAFAAAAAgAh07iQC3pDJsUAgAAAAQAAA4AAAAA&#10;AAAAAQAgAAAAIwEAAGRycy9lMm9Eb2MueG1sUEsFBgAAAAAGAAYAWQEAAKkFAAAAAA==&#10;">
                        <v:fill on="f" focussize="0,0"/>
                        <v:stroke color="#000000" joinstyle="round" endarrow="open"/>
                        <v:imagedata o:title=""/>
                        <o:lock v:ext="edit" aspectratio="f"/>
                      </v:shape>
                      <v:shape id="文本框 124" o:spid="_x0000_s1026" o:spt="202" type="#_x0000_t202" style="position:absolute;left:1007110;top:1162685;height:356870;width:497205;" filled="f" stroked="f" coordsize="21600,21600" o:gfxdata="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S2YYO9cAAAAFAQAADwAA&#10;AAAAAAABACAAAAAiAAAAZHJzL2Rvd25yZXYueG1sUEsBAhQAFAAAAAgAh07iQLK8Oa5QAgAAgwQA&#10;AA4AAAAAAAAAAQAgAAAAJgEAAGRycy9lMm9Eb2MueG1sUEsFBgAAAAAGAAYAWQEAAOgFAAAAAA==&#10;">
                        <v:fill on="f" focussize="0,0"/>
                        <v:stroke on="f" weight="0.5pt"/>
                        <v:imagedata o:title=""/>
                        <o:lock v:ext="edit" aspectratio="f"/>
                        <v:textbox>
                          <w:txbxContent>
                            <w:p>
                              <w:pPr>
                                <w:ind w:left="0" w:leftChars="0" w:firstLine="0" w:firstLineChars="0"/>
                                <w:rPr>
                                  <w:rFonts w:hint="eastAsia" w:eastAsia="宋体"/>
                                  <w:sz w:val="21"/>
                                  <w:szCs w:val="21"/>
                                  <w:lang w:val="en-US" w:eastAsia="zh-CN"/>
                                </w:rPr>
                              </w:pPr>
                              <w:r>
                                <w:rPr>
                                  <w:rFonts w:hint="eastAsia"/>
                                  <w:sz w:val="21"/>
                                  <w:szCs w:val="21"/>
                                  <w:lang w:val="en-US" w:eastAsia="zh-CN"/>
                                </w:rPr>
                                <w:t>卸油</w:t>
                              </w:r>
                            </w:p>
                          </w:txbxContent>
                        </v:textbox>
                      </v:shape>
                      <v:shape id="直接箭头连接符 125" o:spid="_x0000_s1026" o:spt="32" type="#_x0000_t32" style="position:absolute;left:1367155;top:612140;flip:x y;height:655955;width:10795;" filled="f" stroked="t" coordsize="21600,21600" o:gfxdata="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CdMmtQAAAAFAQAADwAAAAAA&#10;AAABACAAAAAiAAAAZHJzL2Rvd25yZXYueG1sUEsBAhQAFAAAAAgAh07iQHrWY64XAgAA+wMAAA4A&#10;AAAAAAAAAQAgAAAAIwEAAGRycy9lMm9Eb2MueG1sUEsFBgAAAAAGAAYAWQEAAKwFAAAAAA==&#10;">
                        <v:fill on="f" focussize="0,0"/>
                        <v:stroke color="#000000" joinstyle="round" endarrow="open"/>
                        <v:imagedata o:title=""/>
                        <o:lock v:ext="edit" aspectratio="f"/>
                      </v:shape>
                      <v:shape id="文本框 126" o:spid="_x0000_s1026" o:spt="202" type="#_x0000_t202" style="position:absolute;left:2806065;top:1235710;height:370840;width:804545;" filled="f" stroked="t" coordsize="21600,21600" o:gfxdata="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qQaD31wAAAAUBAAAPAAAAAAAAAAEAIAAAACIAAABkcnMvZG93bnJldi54bWxQSwECFAAU&#10;AAAACACHTuJA6DzeWGQCAACrBAAADgAAAAAAAAABACAAAAAmAQAAZHJzL2Uyb0RvYy54bWxQSwUG&#10;AAAAAAYABgBZAQAA/AUAAAAA&#10;">
                        <v:fill on="f" focussize="0,0"/>
                        <v:stroke weight="0.5pt" color="#000000" joinstyle="round"/>
                        <v:imagedata o:title=""/>
                        <o:lock v:ext="edit" aspectratio="f"/>
                        <v:textbox>
                          <w:txbxContent>
                            <w:p>
                              <w:pPr>
                                <w:ind w:left="0" w:leftChars="0" w:firstLine="210" w:firstLineChars="100"/>
                                <w:rPr>
                                  <w:rFonts w:hint="eastAsia" w:eastAsia="宋体"/>
                                  <w:sz w:val="21"/>
                                  <w:szCs w:val="21"/>
                                  <w:lang w:val="en-US" w:eastAsia="zh-CN"/>
                                </w:rPr>
                              </w:pPr>
                              <w:r>
                                <w:rPr>
                                  <w:rFonts w:hint="eastAsia"/>
                                  <w:sz w:val="21"/>
                                  <w:szCs w:val="21"/>
                                  <w:lang w:val="en-US" w:eastAsia="zh-CN"/>
                                </w:rPr>
                                <w:t>加油机</w:t>
                              </w:r>
                            </w:p>
                          </w:txbxContent>
                        </v:textbox>
                      </v:shape>
                      <v:shape id="文本框 127" o:spid="_x0000_s1026" o:spt="202" type="#_x0000_t202" style="position:absolute;left:4178300;top:1266825;height:518795;width:657860;" filled="f" stroked="t" coordsize="21600,21600" o:gfxdata="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kGg99cAAAAFAQAADwAAAAAAAAABACAAAAAiAAAAZHJzL2Rvd25yZXYueG1sUEsBAhQA&#10;FAAAAAgAh07iQCJlFhFlAgAAqwQAAA4AAAAAAAAAAQAgAAAAJgEAAGRycy9lMm9Eb2MueG1sUEsF&#10;BgAAAAAGAAYAWQEAAP0FAAAAAA==&#10;">
                        <v:fill on="f" focussize="0,0"/>
                        <v:stroke weight="0.5pt" color="#000000" joinstyle="round"/>
                        <v:imagedata o:title=""/>
                        <o:lock v:ext="edit" aspectratio="f"/>
                        <v:textbox>
                          <w:txbxContent>
                            <w:p>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汽车邮箱</w:t>
                              </w:r>
                            </w:p>
                          </w:txbxContent>
                        </v:textbox>
                      </v:shape>
                      <v:shape id="肘形连接符 85" o:spid="_x0000_s1026" o:spt="33" type="#_x0000_t33" style="position:absolute;left:2359660;top:1477010;height:401955;width:471170;rotation:-5898240f;" filled="f" stroked="t" coordsize="21600,21600" o:gfxdata="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4KI0Z1gAA&#10;AAUBAAAPAAAAAAAAAAEAIAAAACIAAABkcnMvZG93bnJldi54bWxQSwECFAAUAAAACACHTuJAsiWn&#10;ASACAAAPBAAADgAAAAAAAAABACAAAAAlAQAAZHJzL2Uyb0RvYy54bWxQSwUGAAAAAAYABgBZAQAA&#10;twUAAAAA&#10;">
                        <v:fill on="f" focussize="0,0"/>
                        <v:stroke color="#000000" joinstyle="round" endarrow="open"/>
                        <v:imagedata o:title=""/>
                        <o:lock v:ext="edit" aspectratio="f"/>
                      </v:shape>
                      <v:shape id="直接箭头连接符 129" o:spid="_x0000_s1026" o:spt="32" type="#_x0000_t32" style="position:absolute;left:2087245;top:610235;flip:x y;height:1323340;width:10795;" filled="f" stroked="t" coordsize="21600,21600" o:gfxdata="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JCdMmtQAAAAFAQAA&#10;DwAAAAAAAAABACAAAAAiAAAAZHJzL2Rvd25yZXYueG1sUEsBAhQAFAAAAAgAh07iQJdJSUcdAgAA&#10;/AMAAA4AAAAAAAAAAQAgAAAAIwEAAGRycy9lMm9Eb2MueG1sUEsFBgAAAAAGAAYAWQEAALIFAAAA&#10;AA==&#10;">
                        <v:fill on="f" focussize="0,0"/>
                        <v:stroke color="#000000" joinstyle="round" endarrow="open"/>
                        <v:imagedata o:title=""/>
                        <o:lock v:ext="edit" aspectratio="f"/>
                      </v:shape>
                      <v:shape id="直接箭头连接符 130" o:spid="_x0000_s1026" o:spt="32" type="#_x0000_t32" style="position:absolute;left:3610610;top:1439545;flip:y;height:12700;width:592455;" filled="f" stroked="t" coordsize="21600,21600" o:gfxdata="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uY7U11QAAAAUBAAAPAAAAAAAA&#10;AAEAIAAAACIAAABkcnMvZG93bnJldi54bWxQSwECFAAUAAAACACHTuJAsPKFxhUCAADyAwAADgAA&#10;AAAAAAABACAAAAAkAQAAZHJzL2Uyb0RvYy54bWxQSwUGAAAAAAYABgBZAQAAqwUAAAAA&#10;">
                        <v:fill on="f" focussize="0,0"/>
                        <v:stroke color="#000000" joinstyle="round" endarrow="open"/>
                        <v:imagedata o:title=""/>
                        <o:lock v:ext="edit" aspectratio="f"/>
                      </v:shape>
                      <v:shape id="文本框 131" o:spid="_x0000_s1026" o:spt="202" type="#_x0000_t202" style="position:absolute;left:2193290;top:1109980;height:356235;width:730885;" filled="f" stroked="f" coordsize="21600,21600" o:gfxdata="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LZhg71wAAAAUBAAAPAAAA&#10;AAAAAAEAIAAAACIAAABkcnMvZG93bnJldi54bWxQSwECFAAUAAAACACHTuJAiJPi3k8CAACDBAAA&#10;DgAAAAAAAAABACAAAAAmAQAAZHJzL2Uyb0RvYy54bWxQSwUGAAAAAAYABgBZAQAA5wUAAAAA&#10;">
                        <v:fill on="f" focussize="0,0"/>
                        <v:stroke on="f" weight="0.5pt"/>
                        <v:imagedata o:title=""/>
                        <o:lock v:ext="edit" aspectratio="f"/>
                        <v:textbox>
                          <w:txbxContent>
                            <w:p>
                              <w:pPr>
                                <w:ind w:left="0" w:leftChars="0" w:firstLine="0" w:firstLineChars="0"/>
                                <w:rPr>
                                  <w:rFonts w:hint="eastAsia" w:eastAsia="宋体"/>
                                  <w:sz w:val="21"/>
                                  <w:szCs w:val="21"/>
                                  <w:lang w:val="en-US" w:eastAsia="zh-CN"/>
                                </w:rPr>
                              </w:pPr>
                              <w:r>
                                <w:rPr>
                                  <w:rFonts w:hint="eastAsia"/>
                                  <w:sz w:val="21"/>
                                  <w:szCs w:val="21"/>
                                  <w:lang w:val="en-US" w:eastAsia="zh-CN"/>
                                </w:rPr>
                                <w:t>潜油泵</w:t>
                              </w:r>
                            </w:p>
                          </w:txbxContent>
                        </v:textbox>
                      </v:shape>
                      <v:shape id="文本框 132" o:spid="_x0000_s1026" o:spt="202" type="#_x0000_t202" style="position:absolute;left:3557270;top:1076325;height:381000;width:657225;" filled="f" stroked="f" coordsize="21600,21600" o:gfxdata="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LZhg71wAAAAUBAAAPAAAAAAAA&#10;AAEAIAAAACIAAABkcnMvZG93bnJldi54bWxQSwECFAAUAAAACACHTuJAK7zNzEwCAACDBAAADgAA&#10;AAAAAAABACAAAAAmAQAAZHJzL2Uyb0RvYy54bWxQSwUGAAAAAAYABgBZAQAA5AUAAAAA&#10;">
                        <v:fill on="f" focussize="0,0"/>
                        <v:stroke on="f" weight="0.5pt"/>
                        <v:imagedata o:title=""/>
                        <o:lock v:ext="edit" aspectratio="f"/>
                        <v:textbox>
                          <w:txbxContent>
                            <w:p>
                              <w:pPr>
                                <w:ind w:left="0" w:leftChars="0" w:firstLine="0" w:firstLineChars="0"/>
                                <w:rPr>
                                  <w:rFonts w:hint="default" w:eastAsia="宋体"/>
                                  <w:sz w:val="21"/>
                                  <w:szCs w:val="21"/>
                                  <w:lang w:val="en-US" w:eastAsia="zh-CN"/>
                                </w:rPr>
                              </w:pPr>
                              <w:r>
                                <w:rPr>
                                  <w:rFonts w:hint="eastAsia"/>
                                  <w:sz w:val="21"/>
                                  <w:szCs w:val="21"/>
                                  <w:lang w:val="en-US" w:eastAsia="zh-CN"/>
                                </w:rPr>
                                <w:t>加油枪</w:t>
                              </w:r>
                            </w:p>
                          </w:txbxContent>
                        </v:textbox>
                      </v:shape>
                      <v:shape id="直接箭头连接符 133" o:spid="_x0000_s1026" o:spt="32" type="#_x0000_t32" style="position:absolute;left:3398520;top:706755;flip:y;height:498475;width:1270;" filled="f" stroked="t" coordsize="21600,21600" o:gfxdata="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7mO1NdUAAAAFAQAADwAAAAAA&#10;AAABACAAAAAiAAAAZHJzL2Rvd25yZXYueG1sUEsBAhQAFAAAAAgAh07iQJ0hm6oWAgAA8AMAAA4A&#10;AAAAAAAAAQAgAAAAJAEAAGRycy9lMm9Eb2MueG1sUEsFBgAAAAAGAAYAWQEAAKwFAAAAAA==&#10;">
                        <v:fill on="f" focussize="0,0"/>
                        <v:stroke color="#000000" joinstyle="round" endarrow="open"/>
                        <v:imagedata o:title=""/>
                        <o:lock v:ext="edit" aspectratio="f"/>
                      </v:shape>
                      <v:shape id="文本框 134" o:spid="_x0000_s1026" o:spt="202" type="#_x0000_t202" style="position:absolute;left:4052570;top:297180;height:339090;width:793115;" filled="f" stroked="t" coordsize="21600,21600" o:gfxdata="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exwcb1QAAAAUBAAAPAAAAAAAAAAEAIAAAACIAAABkcnMvZG93bnJldi54&#10;bWxQSwECFAAUAAAACACHTuJABvKSXG8CAADEBAAADgAAAAAAAAABACAAAAAkAQAAZHJzL2Uyb0Rv&#10;Yy54bWxQSwUGAAAAAAYABgBZAQAABQYAAAAA&#10;">
                        <v:fill on="f" focussize="0,0"/>
                        <v:stroke weight="0.5pt" color="#000000" joinstyle="round" dashstyle="1 1"/>
                        <v:imagedata o:title=""/>
                        <o:lock v:ext="edit" aspectratio="f"/>
                        <v:textbox>
                          <w:txbxContent>
                            <w:p>
                              <w:pPr>
                                <w:ind w:left="0" w:leftChars="0" w:firstLine="0" w:firstLineChars="0"/>
                                <w:rPr>
                                  <w:rFonts w:hint="default" w:eastAsia="宋体"/>
                                  <w:sz w:val="21"/>
                                  <w:szCs w:val="21"/>
                                  <w:lang w:val="en-US" w:eastAsia="zh-CN"/>
                                </w:rPr>
                              </w:pPr>
                              <w:r>
                                <w:rPr>
                                  <w:rFonts w:hint="eastAsia"/>
                                  <w:sz w:val="21"/>
                                  <w:szCs w:val="21"/>
                                  <w:lang w:val="en-US" w:eastAsia="zh-CN"/>
                                </w:rPr>
                                <w:t>尾气、噪声</w:t>
                              </w:r>
                            </w:p>
                          </w:txbxContent>
                        </v:textbox>
                      </v:shape>
                      <v:shape id="直接箭头连接符 135" o:spid="_x0000_s1026" o:spt="32" type="#_x0000_t32" style="position:absolute;left:4510405;top:635635;flip:x y;height:645795;width:10795;" filled="f" stroked="t" coordsize="21600,21600" o:gfxdata="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CdMmtQAAAAFAQAADwAAAAAA&#10;AAABACAAAAAiAAAAZHJzL2Rvd25yZXYueG1sUEsBAhQAFAAAAAgAh07iQB3QIJgXAgAA+wMAAA4A&#10;AAAAAAAAAQAgAAAAIwEAAGRycy9lMm9Eb2MueG1sUEsFBgAAAAAGAAYAWQEAAKwFAAAAAA==&#10;">
                        <v:fill on="f" focussize="0,0"/>
                        <v:stroke color="#000000" joinstyle="round" endarrow="open"/>
                        <v:imagedata o:title=""/>
                        <o:lock v:ext="edit" aspectratio="f"/>
                      </v:shape>
                      <v:shape id="文本框 136" o:spid="_x0000_s1026" o:spt="202" type="#_x0000_t202" style="position:absolute;left:890905;top:250825;height:349250;width:1882775;" filled="f" stroked="t" coordsize="21600,21600" o:gfxdata="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exwcb1QAAAAUBAAAPAAAAAAAAAAEAIAAAACIAAABkcnMvZG93bnJldi54bWxQ&#10;SwECFAAUAAAACACHTuJAKPBX4GwCAADEBAAADgAAAAAAAAABACAAAAAkAQAAZHJzL2Uyb0RvYy54&#10;bWxQSwUGAAAAAAYABgBZAQAAAgYAAAAA&#10;">
                        <v:fill on="f" focussize="0,0"/>
                        <v:stroke weight="0.5pt" color="#000000" joinstyle="round" dashstyle="1 1"/>
                        <v:imagedata o:title=""/>
                        <o:lock v:ext="edit" aspectratio="f"/>
                        <v:textbox>
                          <w:txbxContent>
                            <w:p>
                              <w:pPr>
                                <w:ind w:left="0" w:leftChars="0" w:firstLine="0" w:firstLineChars="0"/>
                                <w:rPr>
                                  <w:rFonts w:hint="default" w:eastAsia="宋体"/>
                                  <w:sz w:val="21"/>
                                  <w:szCs w:val="21"/>
                                  <w:lang w:val="en-US" w:eastAsia="zh-CN"/>
                                </w:rPr>
                              </w:pPr>
                              <w:r>
                                <w:rPr>
                                  <w:rFonts w:hint="eastAsia"/>
                                  <w:sz w:val="21"/>
                                  <w:szCs w:val="21"/>
                                  <w:lang w:val="en-US" w:eastAsia="zh-CN"/>
                                </w:rPr>
                                <w:t>呼吸耗损油气（非甲烷总烃）</w:t>
                              </w:r>
                            </w:p>
                          </w:txbxContent>
                        </v:textbox>
                      </v:shape>
                      <v:shape id="文本框 137" o:spid="_x0000_s1026" o:spt="202" type="#_x0000_t202" style="position:absolute;left:2857500;top:232410;height:464820;width:1078230;" filled="f" stroked="t" coordsize="21600,21600" o:gfxdata="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7HBxvVAAAABQEAAA8AAAAAAAAAAQAgAAAAIgAAAGRycy9kb3ducmV2Lnht&#10;bFBLAQIUABQAAAAIAIdO4kCoX4bhbgIAAMUEAAAOAAAAAAAAAAEAIAAAACQBAABkcnMvZTJvRG9j&#10;LnhtbFBLBQYAAAAABgAGAFkBAAAEBgAAAAA=&#10;">
                        <v:fill on="f" focussize="0,0"/>
                        <v:stroke weight="0.5pt" color="#000000" joinstyle="round" dashstyle="1 1"/>
                        <v:imagedata o:title=""/>
                        <o:lock v:ext="edit" aspectratio="f"/>
                        <v:textbox>
                          <w:txbxContent>
                            <w:p>
                              <w:pPr>
                                <w:spacing w:line="240" w:lineRule="auto"/>
                                <w:ind w:left="0" w:leftChars="0" w:firstLine="0" w:firstLineChars="0"/>
                                <w:rPr>
                                  <w:rFonts w:hint="default" w:eastAsia="宋体"/>
                                  <w:sz w:val="21"/>
                                  <w:szCs w:val="21"/>
                                  <w:lang w:val="en-US" w:eastAsia="zh-CN"/>
                                </w:rPr>
                              </w:pPr>
                              <w:r>
                                <w:rPr>
                                  <w:rFonts w:hint="eastAsia"/>
                                  <w:sz w:val="21"/>
                                  <w:szCs w:val="21"/>
                                  <w:lang w:val="en-US" w:eastAsia="zh-CN"/>
                                </w:rPr>
                                <w:t>挥发耗损油（非甲烷总烃）</w:t>
                              </w:r>
                            </w:p>
                          </w:txbxContent>
                        </v:textbox>
                      </v:shape>
                      <w10:wrap type="none"/>
                      <w10:anchorlock/>
                    </v:group>
                  </w:pict>
                </mc:Fallback>
              </mc:AlternateContent>
            </w:r>
          </w:p>
          <w:p>
            <w:pPr>
              <w:numPr>
                <w:ilvl w:val="0"/>
                <w:numId w:val="0"/>
              </w:numPr>
              <w:bidi w:val="0"/>
              <w:jc w:val="center"/>
              <w:rPr>
                <w:rFonts w:hint="default"/>
                <w:b/>
                <w:bCs/>
                <w:lang w:val="en-US" w:eastAsia="zh-CN"/>
              </w:rPr>
            </w:pPr>
            <w:r>
              <w:rPr>
                <w:rFonts w:hint="default"/>
                <w:b/>
                <w:bCs/>
                <w:lang w:val="en-US" w:eastAsia="zh-CN"/>
              </w:rPr>
              <w:t>图2-</w:t>
            </w:r>
            <w:r>
              <w:rPr>
                <w:rFonts w:hint="default"/>
                <w:b/>
                <w:bCs/>
                <w:lang w:eastAsia="zh-CN"/>
              </w:rPr>
              <w:fldChar w:fldCharType="begin"/>
            </w:r>
            <w:r>
              <w:rPr>
                <w:rFonts w:hint="default"/>
                <w:b/>
                <w:bCs/>
                <w:lang w:eastAsia="zh-CN"/>
              </w:rPr>
              <w:instrText xml:space="preserve"> SEQ 图2- </w:instrText>
            </w:r>
            <w:r>
              <w:rPr>
                <w:rFonts w:hint="default"/>
                <w:b/>
                <w:bCs/>
                <w:lang w:eastAsia="zh-CN"/>
              </w:rPr>
              <w:fldChar w:fldCharType="separate"/>
            </w:r>
            <w:r>
              <w:rPr>
                <w:rFonts w:hint="default"/>
                <w:b/>
                <w:bCs/>
                <w:lang w:eastAsia="zh-CN"/>
              </w:rPr>
              <w:t>4</w:t>
            </w:r>
            <w:r>
              <w:rPr>
                <w:rFonts w:hint="default"/>
                <w:b/>
                <w:bCs/>
                <w:lang w:eastAsia="zh-CN"/>
              </w:rPr>
              <w:fldChar w:fldCharType="end"/>
            </w:r>
            <w:r>
              <w:rPr>
                <w:rFonts w:hint="eastAsia"/>
                <w:b/>
                <w:bCs/>
                <w:lang w:val="en-US" w:eastAsia="zh-CN"/>
              </w:rPr>
              <w:t xml:space="preserve">  </w:t>
            </w:r>
            <w:r>
              <w:rPr>
                <w:rFonts w:hint="default"/>
                <w:b/>
                <w:bCs/>
                <w:lang w:val="en-US" w:eastAsia="zh-CN"/>
              </w:rPr>
              <w:t>柴油卸油、加油工艺流程及产污环节分析图</w:t>
            </w:r>
          </w:p>
          <w:p>
            <w:pPr>
              <w:numPr>
                <w:ilvl w:val="0"/>
                <w:numId w:val="0"/>
              </w:numPr>
              <w:bidi w:val="0"/>
              <w:ind w:firstLine="480" w:firstLineChars="200"/>
              <w:jc w:val="both"/>
              <w:rPr>
                <w:rFonts w:hint="default"/>
                <w:lang w:val="en-US" w:eastAsia="zh-CN"/>
              </w:rPr>
            </w:pPr>
            <w:r>
              <w:rPr>
                <w:rFonts w:hint="default"/>
                <w:lang w:val="en-US" w:eastAsia="zh-CN"/>
              </w:rPr>
              <w:t>工艺流程说明如下：</w:t>
            </w:r>
          </w:p>
          <w:p>
            <w:pPr>
              <w:bidi w:val="0"/>
              <w:ind w:firstLine="480" w:firstLineChars="200"/>
              <w:rPr>
                <w:rFonts w:hint="default"/>
                <w:lang w:val="en-US" w:eastAsia="zh-CN"/>
              </w:rPr>
            </w:pPr>
            <w:r>
              <w:rPr>
                <w:rFonts w:hint="default"/>
                <w:lang w:val="en-US" w:eastAsia="zh-CN"/>
              </w:rPr>
              <w:t xml:space="preserve">加油站的工艺过程主要是指完成油品卸入（埋地储油罐）和油品付出（经营销售）的整个过程。即项目成品油由汽车槽车运来，采用密闭卸油方式从槽车自流卸入成品油储罐储存。按汽油各种标号设置，油罐车用导静电软管连接埋地储罐卸油阀门，与油罐相连接的所有管道均以不小于0.002坡度坡向油罐；油气回收管线、汽油通气管横管以不小于0.01的坡度坡向油罐，采取单管分品种独立卸油方式，配备快速接头和卸油软管，借助位差，集中密闭卸油，经计量管路系统注入油罐常压储存。加油站的加油机均为六枪三油品潜油泵型加油机（汽油枪带油气回收），工作人员根据顾客需要的品种和数量在加油机上预置，确认油品无误，提枪加油。提枪加油时，控制系统启动安装在油罐人孔上的潜油泵将油品经加油枪向汽车油箱加油，加油完毕后收枪复位，控制系统终止潜油泵运行。 </w:t>
            </w:r>
          </w:p>
          <w:p>
            <w:pPr>
              <w:bidi w:val="0"/>
              <w:ind w:firstLine="480" w:firstLineChars="200"/>
              <w:rPr>
                <w:rFonts w:hint="default"/>
                <w:lang w:val="en-US" w:eastAsia="zh-CN"/>
              </w:rPr>
            </w:pPr>
            <w:r>
              <w:rPr>
                <w:rFonts w:hint="default"/>
                <w:lang w:val="en-US" w:eastAsia="zh-CN"/>
              </w:rPr>
              <w:t xml:space="preserve">1）油品运输：由油品供应公司的油罐车运送至加油站密闭卸油点处，将其与卸油口接头快速连接好，打开储罐的开启阀门，闭合其它储罐阀门，利用位差将成品油输送至相应的储罐储存；然后通过带有计量、计价和税控装置的电脑加油机将储罐内的油气抽出，实现为汽车油箱充装车用油品的外售作业。 </w:t>
            </w:r>
          </w:p>
          <w:p>
            <w:pPr>
              <w:bidi w:val="0"/>
              <w:ind w:firstLine="480" w:firstLineChars="200"/>
              <w:rPr>
                <w:rFonts w:hint="default"/>
                <w:lang w:val="en-US" w:eastAsia="zh-CN"/>
              </w:rPr>
            </w:pPr>
            <w:r>
              <w:rPr>
                <w:rFonts w:hint="default"/>
                <w:lang w:val="en-US" w:eastAsia="zh-CN"/>
              </w:rPr>
              <w:t xml:space="preserve">2）油罐车卸油：由成品油罐车将燃料油运至加油站处，采用浸没式密闭卸油方式，将燃料油分别卸到各地下储油罐中。在卸油过程中，由于机械力的作用，加剧了油品的挥发程度，产生了油气。而储油罐中的气体空间随着油品的液位升高而减少，气体压力增大。为保持压力的平衡，一部分气体通过呼吸阀排出，形成了称为“大呼吸”的油气排放。 </w:t>
            </w:r>
          </w:p>
          <w:p>
            <w:pPr>
              <w:bidi w:val="0"/>
              <w:ind w:firstLine="480" w:firstLineChars="200"/>
              <w:rPr>
                <w:rFonts w:hint="default"/>
                <w:lang w:val="en-US" w:eastAsia="zh-CN"/>
              </w:rPr>
            </w:pPr>
            <w:r>
              <w:rPr>
                <w:rFonts w:hint="default"/>
                <w:lang w:val="en-US" w:eastAsia="zh-CN"/>
              </w:rPr>
              <w:t xml:space="preserve">3）储油：成品油在储油罐内静置储存过程中，储油罐内的温度昼夜有规律的变化。白天温度升高，热量使油气膨胀，压力增高，造成油气的挥发；晚间温度降低，罐内气体压力降低，吸入新鲜空气，为平衡蒸汽压，油气从液相中蒸发，直至油液面上的气体达到新的饱和蒸汽压，造成油气的挥发。上述过程昼夜交替进行，形成了称为“小呼吸”的油气排放。 </w:t>
            </w:r>
          </w:p>
          <w:p>
            <w:pPr>
              <w:bidi w:val="0"/>
              <w:ind w:firstLine="480" w:firstLineChars="200"/>
              <w:rPr>
                <w:rFonts w:hint="default"/>
                <w:lang w:val="en-US" w:eastAsia="zh-CN"/>
              </w:rPr>
            </w:pPr>
            <w:r>
              <w:rPr>
                <w:rFonts w:hint="default"/>
                <w:lang w:val="en-US" w:eastAsia="zh-CN"/>
              </w:rPr>
              <w:t>4）加油：在向车用油箱加油时，先通过加油机本身自带的压力泵将储油罐中汽油送至加油机计量系统进行计量，然后再通过与加油机连接的加油枪将油品送入车用油箱中，每个加油枪设单独管线吸油。该工序产生的油气在车用油箱的加油口处无组织排放，加油油气回收系统（二次油气回收）即是针对这部分油气而设计的，其原理是利用一根同轴胶管的连接形成一个回路，可以使机动车加油和油气回收同时进行，并且通过一个导入式的管口形成密闭系统，从而为蒸气平衡提供条件。此系统要求在加油枪和机动车的油罐口之间的接触面具有充分的密闭性。加油油气回收系统回收油气效率约为</w:t>
            </w:r>
            <w:r>
              <w:rPr>
                <w:rFonts w:hint="eastAsia"/>
                <w:lang w:val="en-US" w:eastAsia="zh-CN"/>
              </w:rPr>
              <w:t>95</w:t>
            </w:r>
            <w:r>
              <w:rPr>
                <w:rFonts w:hint="default"/>
                <w:lang w:val="en-US" w:eastAsia="zh-CN"/>
              </w:rPr>
              <w:t xml:space="preserve">%。经加油油气回收系统处理后，此工序有少量油气的排放。同时加油机工作及车辆进出场地会产生噪声。 </w:t>
            </w:r>
          </w:p>
          <w:p>
            <w:pPr>
              <w:bidi w:val="0"/>
              <w:ind w:firstLine="480" w:firstLineChars="200"/>
              <w:rPr>
                <w:rFonts w:hint="default"/>
                <w:lang w:val="en-US" w:eastAsia="zh-CN"/>
              </w:rPr>
            </w:pPr>
            <w:r>
              <w:rPr>
                <w:rFonts w:hint="default"/>
                <w:lang w:val="en-US" w:eastAsia="zh-CN"/>
              </w:rPr>
              <w:t xml:space="preserve">5）油气回收工艺 </w:t>
            </w:r>
          </w:p>
          <w:p>
            <w:pPr>
              <w:bidi w:val="0"/>
              <w:ind w:firstLine="480" w:firstLineChars="200"/>
              <w:rPr>
                <w:rFonts w:hint="default"/>
                <w:color w:val="auto"/>
                <w:lang w:val="en-US" w:eastAsia="zh-CN"/>
              </w:rPr>
            </w:pPr>
            <w:r>
              <w:rPr>
                <w:rFonts w:hint="default"/>
                <w:lang w:val="en-US" w:eastAsia="zh-CN"/>
              </w:rPr>
              <w:t>根据《关于加强储油库、加油站和油罐车油气污染治理工作的通知》（环办[2012]140号），对新建、改建、扩建储油库和加油站，都应按要求落实油气污染治理措施。</w:t>
            </w:r>
            <w:r>
              <w:rPr>
                <w:rFonts w:hint="default"/>
                <w:color w:val="auto"/>
                <w:lang w:val="en-US" w:eastAsia="zh-CN"/>
              </w:rPr>
              <w:t>本加油站设置</w:t>
            </w:r>
            <w:r>
              <w:rPr>
                <w:rFonts w:hint="eastAsia"/>
                <w:color w:val="auto"/>
                <w:lang w:val="en-US" w:eastAsia="zh-CN"/>
              </w:rPr>
              <w:t>三</w:t>
            </w:r>
            <w:r>
              <w:rPr>
                <w:rFonts w:hint="default"/>
                <w:color w:val="auto"/>
                <w:lang w:val="en-US" w:eastAsia="zh-CN"/>
              </w:rPr>
              <w:t>次油气回收系统，即卸油油气回收</w:t>
            </w:r>
            <w:r>
              <w:rPr>
                <w:rFonts w:hint="eastAsia"/>
                <w:color w:val="auto"/>
                <w:lang w:val="en-US" w:eastAsia="zh-CN"/>
              </w:rPr>
              <w:t>、</w:t>
            </w:r>
            <w:r>
              <w:rPr>
                <w:rFonts w:hint="default"/>
                <w:color w:val="auto"/>
                <w:lang w:val="en-US" w:eastAsia="zh-CN"/>
              </w:rPr>
              <w:t>加油油气回收系统</w:t>
            </w:r>
            <w:r>
              <w:rPr>
                <w:rFonts w:hint="eastAsia"/>
                <w:color w:val="auto"/>
                <w:lang w:val="en-US" w:eastAsia="zh-CN"/>
              </w:rPr>
              <w:t>和油罐呼吸口油气回收系统</w:t>
            </w:r>
            <w:r>
              <w:rPr>
                <w:rFonts w:hint="default"/>
                <w:color w:val="auto"/>
                <w:lang w:val="en-US" w:eastAsia="zh-CN"/>
              </w:rPr>
              <w:t xml:space="preserve">。 </w:t>
            </w:r>
            <w:r>
              <w:rPr>
                <w:rFonts w:hint="eastAsia"/>
                <w:color w:val="auto"/>
                <w:lang w:val="en-US" w:eastAsia="zh-CN"/>
              </w:rPr>
              <w:t>由于汽油具有很强的挥发性，柴油难挥发，因此三次油气回收系统主要是针对汽油。</w:t>
            </w:r>
          </w:p>
          <w:p>
            <w:pPr>
              <w:bidi w:val="0"/>
              <w:ind w:firstLine="480" w:firstLineChars="200"/>
              <w:rPr>
                <w:rFonts w:hint="default"/>
                <w:lang w:val="en-US" w:eastAsia="zh-CN"/>
              </w:rPr>
            </w:pPr>
            <w:r>
              <w:rPr>
                <w:rFonts w:hint="default"/>
                <w:lang w:val="en-US" w:eastAsia="zh-CN"/>
              </w:rPr>
              <w:t>①卸油油气回收系统</w:t>
            </w:r>
          </w:p>
          <w:p>
            <w:pPr>
              <w:bidi w:val="0"/>
              <w:ind w:firstLine="480" w:firstLineChars="200"/>
              <w:rPr>
                <w:rFonts w:hint="default"/>
                <w:lang w:val="en-US" w:eastAsia="zh-CN"/>
              </w:rPr>
            </w:pPr>
            <w:r>
              <w:rPr>
                <w:rFonts w:hint="default"/>
                <w:lang w:val="en-US" w:eastAsia="zh-CN"/>
              </w:rPr>
              <w:t>卸油过程中采用油气回收技术（一次油气回收），对汽油卸油时产生的油气进行回收。卸油油气回收系统主要工作原理为在油罐车卸油过程中，储油车内压力减少，地下储罐内压力增加，地下储罐与油罐车内的压力差，使卸油过程中挥发的油气通过管线密闭回到油罐车内，运回储油库进行处理，从而达到油气收集的目的。卸油时控制卸油速度，卸油完成后按规定顺序卸除输油管线以及油气回收管线，回收到油罐车内的油气由油罐车带回油库，经冷凝、吸附等方式处理。一次油气回收阶段是通过压力平衡原理，将在卸油过程中挥发的油气收集到油罐车内。待卸油结束，地下储罐与油罐车内压力达到平衡状态，一次油气回收阶段结束。</w:t>
            </w:r>
          </w:p>
          <w:p>
            <w:pPr>
              <w:bidi w:val="0"/>
              <w:ind w:firstLine="480" w:firstLineChars="200"/>
              <w:rPr>
                <w:rFonts w:hint="default"/>
                <w:lang w:val="en-US" w:eastAsia="zh-CN"/>
              </w:rPr>
            </w:pPr>
            <w:r>
              <w:rPr>
                <w:rFonts w:hint="eastAsia"/>
                <w:lang w:val="en-US" w:eastAsia="zh-CN"/>
              </w:rPr>
              <w:t>卸油</w:t>
            </w:r>
            <w:r>
              <w:rPr>
                <w:rFonts w:hint="default"/>
                <w:lang w:val="en-US" w:eastAsia="zh-CN"/>
              </w:rPr>
              <w:t>油气回收工艺流程详见图2-</w:t>
            </w:r>
            <w:r>
              <w:rPr>
                <w:rFonts w:hint="eastAsia"/>
                <w:lang w:val="en-US" w:eastAsia="zh-CN"/>
              </w:rPr>
              <w:t>5</w:t>
            </w:r>
            <w:r>
              <w:rPr>
                <w:rFonts w:hint="default"/>
                <w:lang w:val="en-US" w:eastAsia="zh-CN"/>
              </w:rPr>
              <w:t>。</w:t>
            </w:r>
          </w:p>
          <w:p>
            <w:pPr>
              <w:bidi w:val="0"/>
              <w:ind w:firstLine="480" w:firstLineChars="200"/>
              <w:rPr>
                <w:rFonts w:hint="default"/>
                <w:lang w:val="en-US" w:eastAsia="zh-CN"/>
              </w:rPr>
            </w:pPr>
            <w:r>
              <w:drawing>
                <wp:anchor distT="0" distB="0" distL="114300" distR="114300" simplePos="0" relativeHeight="251661312" behindDoc="0" locked="0" layoutInCell="1" allowOverlap="1">
                  <wp:simplePos x="0" y="0"/>
                  <wp:positionH relativeFrom="column">
                    <wp:posOffset>9525</wp:posOffset>
                  </wp:positionH>
                  <wp:positionV relativeFrom="paragraph">
                    <wp:posOffset>0</wp:posOffset>
                  </wp:positionV>
                  <wp:extent cx="4809490" cy="2096135"/>
                  <wp:effectExtent l="0" t="0" r="10160" b="18415"/>
                  <wp:wrapNone/>
                  <wp:docPr id="190" name="图片 632" descr="f81d25f1e51a9d80f1dafcc6e403c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632" descr="f81d25f1e51a9d80f1dafcc6e403cbd"/>
                          <pic:cNvPicPr>
                            <a:picLocks noChangeAspect="1"/>
                          </pic:cNvPicPr>
                        </pic:nvPicPr>
                        <pic:blipFill>
                          <a:blip r:embed="rId22"/>
                          <a:stretch>
                            <a:fillRect/>
                          </a:stretch>
                        </pic:blipFill>
                        <pic:spPr>
                          <a:xfrm>
                            <a:off x="0" y="0"/>
                            <a:ext cx="4809490" cy="2096135"/>
                          </a:xfrm>
                          <a:prstGeom prst="rect">
                            <a:avLst/>
                          </a:prstGeom>
                          <a:noFill/>
                          <a:ln>
                            <a:noFill/>
                          </a:ln>
                        </pic:spPr>
                      </pic:pic>
                    </a:graphicData>
                  </a:graphic>
                </wp:anchor>
              </w:drawing>
            </w: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ind w:firstLine="482" w:firstLineChars="200"/>
              <w:jc w:val="center"/>
              <w:rPr>
                <w:rFonts w:hint="default"/>
                <w:b/>
                <w:bCs/>
                <w:lang w:val="en-US" w:eastAsia="zh-CN"/>
              </w:rPr>
            </w:pPr>
            <w:r>
              <w:rPr>
                <w:rFonts w:hint="default"/>
                <w:b/>
                <w:bCs/>
                <w:lang w:val="en-US" w:eastAsia="zh-CN"/>
              </w:rPr>
              <w:t>图2-</w:t>
            </w:r>
            <w:r>
              <w:rPr>
                <w:rFonts w:hint="default"/>
                <w:b/>
                <w:bCs/>
                <w:lang w:eastAsia="zh-CN"/>
              </w:rPr>
              <w:fldChar w:fldCharType="begin"/>
            </w:r>
            <w:r>
              <w:rPr>
                <w:rFonts w:hint="default"/>
                <w:b/>
                <w:bCs/>
                <w:lang w:eastAsia="zh-CN"/>
              </w:rPr>
              <w:instrText xml:space="preserve"> SEQ 图2- </w:instrText>
            </w:r>
            <w:r>
              <w:rPr>
                <w:rFonts w:hint="default"/>
                <w:b/>
                <w:bCs/>
                <w:lang w:eastAsia="zh-CN"/>
              </w:rPr>
              <w:fldChar w:fldCharType="separate"/>
            </w:r>
            <w:r>
              <w:rPr>
                <w:rFonts w:hint="default"/>
                <w:b/>
                <w:bCs/>
                <w:lang w:eastAsia="zh-CN"/>
              </w:rPr>
              <w:t>5</w:t>
            </w:r>
            <w:r>
              <w:rPr>
                <w:rFonts w:hint="default"/>
                <w:b/>
                <w:bCs/>
                <w:lang w:eastAsia="zh-CN"/>
              </w:rPr>
              <w:fldChar w:fldCharType="end"/>
            </w:r>
            <w:r>
              <w:rPr>
                <w:rFonts w:hint="default"/>
                <w:b/>
                <w:bCs/>
                <w:lang w:val="en-US" w:eastAsia="zh-CN"/>
              </w:rPr>
              <w:t xml:space="preserve">  </w:t>
            </w:r>
            <w:r>
              <w:rPr>
                <w:rFonts w:hint="eastAsia"/>
                <w:b/>
                <w:bCs/>
                <w:lang w:val="en-US" w:eastAsia="zh-CN"/>
              </w:rPr>
              <w:t>卸</w:t>
            </w:r>
            <w:r>
              <w:rPr>
                <w:rFonts w:hint="default"/>
                <w:b/>
                <w:bCs/>
                <w:lang w:val="en-US" w:eastAsia="zh-CN"/>
              </w:rPr>
              <w:t>油油气回收系统（一次油气回收）</w:t>
            </w:r>
          </w:p>
          <w:p>
            <w:pPr>
              <w:numPr>
                <w:ilvl w:val="0"/>
                <w:numId w:val="0"/>
              </w:numPr>
              <w:bidi w:val="0"/>
              <w:ind w:firstLine="480" w:firstLineChars="200"/>
              <w:jc w:val="both"/>
              <w:rPr>
                <w:rFonts w:hint="default"/>
                <w:b w:val="0"/>
                <w:bCs w:val="0"/>
                <w:lang w:val="en-US" w:eastAsia="zh-CN"/>
              </w:rPr>
            </w:pPr>
            <w:r>
              <w:rPr>
                <w:rFonts w:hint="default"/>
                <w:b w:val="0"/>
                <w:bCs w:val="0"/>
                <w:lang w:val="en-US" w:eastAsia="zh-CN"/>
              </w:rPr>
              <w:t>②加油油气回收系统</w:t>
            </w:r>
          </w:p>
          <w:p>
            <w:pPr>
              <w:numPr>
                <w:ilvl w:val="0"/>
                <w:numId w:val="0"/>
              </w:numPr>
              <w:bidi w:val="0"/>
              <w:ind w:firstLine="480" w:firstLineChars="200"/>
              <w:jc w:val="both"/>
              <w:rPr>
                <w:rFonts w:hint="eastAsia"/>
                <w:b w:val="0"/>
                <w:bCs w:val="0"/>
                <w:lang w:val="en-US" w:eastAsia="zh-CN"/>
              </w:rPr>
            </w:pPr>
            <w:r>
              <w:rPr>
                <w:rFonts w:hint="eastAsia"/>
                <w:lang w:val="en-US" w:eastAsia="zh-CN"/>
              </w:rPr>
              <w:t>加</w:t>
            </w:r>
            <w:r>
              <w:rPr>
                <w:rFonts w:hint="default"/>
                <w:lang w:val="en-US" w:eastAsia="zh-CN"/>
              </w:rPr>
              <w:t>油过程中</w:t>
            </w:r>
            <w:r>
              <w:rPr>
                <w:rFonts w:hint="default"/>
                <w:b w:val="0"/>
                <w:bCs w:val="0"/>
                <w:lang w:val="en-US" w:eastAsia="zh-CN"/>
              </w:rPr>
              <w:t>采用真空辅助式油气回收工艺</w:t>
            </w:r>
            <w:r>
              <w:rPr>
                <w:rFonts w:hint="eastAsia"/>
                <w:b w:val="0"/>
                <w:bCs w:val="0"/>
                <w:lang w:val="en-US" w:eastAsia="zh-CN"/>
              </w:rPr>
              <w:t>（二次油气回收）</w:t>
            </w:r>
            <w:r>
              <w:rPr>
                <w:rFonts w:hint="default"/>
                <w:b w:val="0"/>
                <w:bCs w:val="0"/>
                <w:lang w:val="en-US" w:eastAsia="zh-CN"/>
              </w:rPr>
              <w:t>。每台加油机内分别设置油气回收泵（一泵一枪），又称“分散式”加油油气回收系统。在加油过程中，通过真空泵产生一定真空度，经过加油枪、油气回收管、真空泵等油气回收设备，按照气液比控制在1.0至1.2之间的要求，将加油过程中挥发的油气回收到油罐内</w:t>
            </w:r>
            <w:r>
              <w:rPr>
                <w:rFonts w:hint="eastAsia"/>
                <w:b w:val="0"/>
                <w:bCs w:val="0"/>
                <w:lang w:val="en-US" w:eastAsia="zh-CN"/>
              </w:rPr>
              <w:t>。</w:t>
            </w:r>
          </w:p>
          <w:p>
            <w:pPr>
              <w:numPr>
                <w:ilvl w:val="0"/>
                <w:numId w:val="0"/>
              </w:numPr>
              <w:bidi w:val="0"/>
              <w:ind w:firstLine="480" w:firstLineChars="200"/>
              <w:jc w:val="both"/>
              <w:rPr>
                <w:rFonts w:hint="default"/>
                <w:b/>
                <w:bCs/>
                <w:lang w:val="en-US" w:eastAsia="zh-CN"/>
              </w:rPr>
            </w:pPr>
            <w:r>
              <w:rPr>
                <w:rFonts w:hint="default"/>
                <w:b w:val="0"/>
                <w:bCs w:val="0"/>
                <w:lang w:val="en-US" w:eastAsia="zh-CN"/>
              </w:rPr>
              <w:t>加油油气回收</w:t>
            </w:r>
            <w:r>
              <w:rPr>
                <w:rFonts w:hint="eastAsia"/>
                <w:b w:val="0"/>
                <w:bCs w:val="0"/>
                <w:lang w:val="en-US" w:eastAsia="zh-CN"/>
              </w:rPr>
              <w:t>工艺流程详</w:t>
            </w:r>
            <w:r>
              <w:rPr>
                <w:rFonts w:hint="default"/>
                <w:b w:val="0"/>
                <w:bCs w:val="0"/>
                <w:lang w:val="en-US" w:eastAsia="zh-CN"/>
              </w:rPr>
              <w:t>见</w:t>
            </w:r>
            <w:r>
              <w:rPr>
                <w:rFonts w:hint="eastAsia"/>
                <w:b w:val="0"/>
                <w:bCs w:val="0"/>
                <w:lang w:val="en-US" w:eastAsia="zh-CN"/>
              </w:rPr>
              <w:t>图2-6</w:t>
            </w:r>
            <w:r>
              <w:rPr>
                <w:rFonts w:hint="default"/>
                <w:b w:val="0"/>
                <w:bCs w:val="0"/>
                <w:lang w:val="en-US" w:eastAsia="zh-CN"/>
              </w:rPr>
              <w:t>。</w:t>
            </w:r>
            <w:r>
              <w:drawing>
                <wp:anchor distT="0" distB="0" distL="114300" distR="114300" simplePos="0" relativeHeight="251662336" behindDoc="0" locked="0" layoutInCell="1" allowOverlap="1">
                  <wp:simplePos x="0" y="0"/>
                  <wp:positionH relativeFrom="column">
                    <wp:posOffset>10795</wp:posOffset>
                  </wp:positionH>
                  <wp:positionV relativeFrom="paragraph">
                    <wp:posOffset>276225</wp:posOffset>
                  </wp:positionV>
                  <wp:extent cx="4830445" cy="2138680"/>
                  <wp:effectExtent l="0" t="0" r="8255" b="13970"/>
                  <wp:wrapNone/>
                  <wp:docPr id="191" name="图片 635" descr="6cb9eeebc178a49487f615e2a8c28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35" descr="6cb9eeebc178a49487f615e2a8c28be"/>
                          <pic:cNvPicPr>
                            <a:picLocks noChangeAspect="1"/>
                          </pic:cNvPicPr>
                        </pic:nvPicPr>
                        <pic:blipFill>
                          <a:blip r:embed="rId23"/>
                          <a:stretch>
                            <a:fillRect/>
                          </a:stretch>
                        </pic:blipFill>
                        <pic:spPr>
                          <a:xfrm>
                            <a:off x="0" y="0"/>
                            <a:ext cx="4830445" cy="2138680"/>
                          </a:xfrm>
                          <a:prstGeom prst="rect">
                            <a:avLst/>
                          </a:prstGeom>
                          <a:noFill/>
                          <a:ln>
                            <a:noFill/>
                          </a:ln>
                        </pic:spPr>
                      </pic:pic>
                    </a:graphicData>
                  </a:graphic>
                </wp:anchor>
              </w:drawing>
            </w: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p>
          <w:p>
            <w:pPr>
              <w:numPr>
                <w:ilvl w:val="0"/>
                <w:numId w:val="0"/>
              </w:numPr>
              <w:bidi w:val="0"/>
              <w:jc w:val="center"/>
              <w:rPr>
                <w:rFonts w:hint="default"/>
                <w:b/>
                <w:bCs/>
                <w:lang w:val="en-US" w:eastAsia="zh-CN"/>
              </w:rPr>
            </w:pPr>
            <w:r>
              <w:rPr>
                <w:rFonts w:hint="default"/>
                <w:b/>
                <w:bCs/>
                <w:lang w:val="en-US" w:eastAsia="zh-CN"/>
              </w:rPr>
              <w:t>图2-</w:t>
            </w:r>
            <w:r>
              <w:rPr>
                <w:rFonts w:hint="default"/>
                <w:b/>
                <w:bCs/>
                <w:lang w:eastAsia="zh-CN"/>
              </w:rPr>
              <w:fldChar w:fldCharType="begin"/>
            </w:r>
            <w:r>
              <w:rPr>
                <w:rFonts w:hint="default"/>
                <w:b/>
                <w:bCs/>
                <w:lang w:eastAsia="zh-CN"/>
              </w:rPr>
              <w:instrText xml:space="preserve"> SEQ 图2- </w:instrText>
            </w:r>
            <w:r>
              <w:rPr>
                <w:rFonts w:hint="default"/>
                <w:b/>
                <w:bCs/>
                <w:lang w:eastAsia="zh-CN"/>
              </w:rPr>
              <w:fldChar w:fldCharType="separate"/>
            </w:r>
            <w:r>
              <w:rPr>
                <w:rFonts w:hint="default"/>
                <w:b/>
                <w:bCs/>
                <w:lang w:eastAsia="zh-CN"/>
              </w:rPr>
              <w:t>6</w:t>
            </w:r>
            <w:r>
              <w:rPr>
                <w:rFonts w:hint="default"/>
                <w:b/>
                <w:bCs/>
                <w:lang w:eastAsia="zh-CN"/>
              </w:rPr>
              <w:fldChar w:fldCharType="end"/>
            </w:r>
            <w:r>
              <w:rPr>
                <w:rFonts w:hint="default"/>
                <w:b/>
                <w:bCs/>
                <w:lang w:val="en-US" w:eastAsia="zh-CN"/>
              </w:rPr>
              <w:t xml:space="preserve">  加油油气回收系统（二次油气回收）</w:t>
            </w:r>
          </w:p>
          <w:p>
            <w:pPr>
              <w:numPr>
                <w:ilvl w:val="0"/>
                <w:numId w:val="0"/>
              </w:numPr>
              <w:bidi w:val="0"/>
              <w:ind w:firstLine="480" w:firstLineChars="200"/>
              <w:jc w:val="both"/>
              <w:rPr>
                <w:rFonts w:hint="eastAsia"/>
                <w:b w:val="0"/>
                <w:bCs w:val="0"/>
                <w:color w:val="auto"/>
                <w:lang w:val="en-US" w:eastAsia="zh-CN"/>
              </w:rPr>
            </w:pPr>
            <w:r>
              <w:rPr>
                <w:rFonts w:hint="eastAsia"/>
                <w:b w:val="0"/>
                <w:bCs w:val="0"/>
                <w:color w:val="auto"/>
                <w:lang w:val="en-US" w:eastAsia="zh-CN"/>
              </w:rPr>
              <w:fldChar w:fldCharType="begin"/>
            </w:r>
            <w:r>
              <w:rPr>
                <w:rFonts w:hint="eastAsia"/>
                <w:b w:val="0"/>
                <w:bCs w:val="0"/>
                <w:color w:val="auto"/>
                <w:lang w:val="en-US" w:eastAsia="zh-CN"/>
              </w:rPr>
              <w:instrText xml:space="preserve"> = 3 \* GB3 \* MERGEFORMAT </w:instrText>
            </w:r>
            <w:r>
              <w:rPr>
                <w:rFonts w:hint="eastAsia"/>
                <w:b w:val="0"/>
                <w:bCs w:val="0"/>
                <w:color w:val="auto"/>
                <w:lang w:val="en-US" w:eastAsia="zh-CN"/>
              </w:rPr>
              <w:fldChar w:fldCharType="separate"/>
            </w:r>
            <w:r>
              <w:rPr>
                <w:color w:val="auto"/>
              </w:rPr>
              <w:t>③</w:t>
            </w:r>
            <w:r>
              <w:rPr>
                <w:rFonts w:hint="eastAsia"/>
                <w:b w:val="0"/>
                <w:bCs w:val="0"/>
                <w:color w:val="auto"/>
                <w:lang w:val="en-US" w:eastAsia="zh-CN"/>
              </w:rPr>
              <w:fldChar w:fldCharType="end"/>
            </w:r>
            <w:r>
              <w:rPr>
                <w:rFonts w:hint="eastAsia"/>
                <w:b w:val="0"/>
                <w:bCs w:val="0"/>
                <w:color w:val="auto"/>
                <w:lang w:val="en-US" w:eastAsia="zh-CN"/>
              </w:rPr>
              <w:t>油罐呼吸口油气回收系统</w:t>
            </w:r>
          </w:p>
          <w:p>
            <w:pPr>
              <w:numPr>
                <w:ilvl w:val="0"/>
                <w:numId w:val="0"/>
              </w:numPr>
              <w:bidi w:val="0"/>
              <w:ind w:leftChars="0" w:firstLine="480" w:firstLineChars="200"/>
              <w:jc w:val="both"/>
              <w:rPr>
                <w:rFonts w:hint="eastAsia"/>
                <w:b w:val="0"/>
                <w:bCs w:val="0"/>
                <w:color w:val="auto"/>
                <w:lang w:val="en-US" w:eastAsia="zh-CN"/>
              </w:rPr>
            </w:pPr>
            <w:r>
              <w:rPr>
                <w:rFonts w:hint="eastAsia"/>
                <w:b w:val="0"/>
                <w:bCs w:val="0"/>
                <w:color w:val="auto"/>
                <w:lang w:val="en-US" w:eastAsia="zh-CN"/>
              </w:rPr>
              <w:t>储</w:t>
            </w:r>
            <w:r>
              <w:rPr>
                <w:rFonts w:hint="default"/>
                <w:b w:val="0"/>
                <w:bCs w:val="0"/>
                <w:color w:val="auto"/>
                <w:lang w:val="en-US" w:eastAsia="zh-CN"/>
              </w:rPr>
              <w:t>油过程中采用油气回收技术（</w:t>
            </w:r>
            <w:r>
              <w:rPr>
                <w:rFonts w:hint="eastAsia"/>
                <w:b w:val="0"/>
                <w:bCs w:val="0"/>
                <w:color w:val="auto"/>
                <w:lang w:val="en-US" w:eastAsia="zh-CN"/>
              </w:rPr>
              <w:t>三</w:t>
            </w:r>
            <w:r>
              <w:rPr>
                <w:rFonts w:hint="default"/>
                <w:b w:val="0"/>
                <w:bCs w:val="0"/>
                <w:color w:val="auto"/>
                <w:lang w:val="en-US" w:eastAsia="zh-CN"/>
              </w:rPr>
              <w:t>次油气回收）</w:t>
            </w:r>
            <w:r>
              <w:rPr>
                <w:rFonts w:hint="eastAsia"/>
                <w:b w:val="0"/>
                <w:bCs w:val="0"/>
                <w:color w:val="auto"/>
                <w:lang w:val="en-US" w:eastAsia="zh-CN"/>
              </w:rPr>
              <w:t>。三次油气回收是指在油品储存过程中，对储油罐内呼出的油气进行处理，将油罐内的油气转化为液态回到集液罐或储油罐中，因此三次油气回收系统也叫油气排放处理装置。基本工作原理为：储油罐内油气压力达到三次油气回收装置启动条件，三次油气回收设备启动，将油罐内的油气转化为液态回到储油罐中。</w:t>
            </w:r>
          </w:p>
          <w:p>
            <w:pPr>
              <w:numPr>
                <w:ilvl w:val="0"/>
                <w:numId w:val="0"/>
              </w:numPr>
              <w:bidi w:val="0"/>
              <w:ind w:leftChars="0" w:firstLine="480" w:firstLineChars="200"/>
              <w:jc w:val="both"/>
              <w:rPr>
                <w:rFonts w:hint="eastAsia"/>
                <w:b w:val="0"/>
                <w:bCs w:val="0"/>
                <w:color w:val="auto"/>
                <w:lang w:val="en-US" w:eastAsia="zh-CN"/>
              </w:rPr>
            </w:pPr>
            <w:r>
              <w:rPr>
                <w:rFonts w:hint="eastAsia"/>
                <w:b w:val="0"/>
                <w:bCs w:val="0"/>
                <w:color w:val="auto"/>
                <w:lang w:val="en-US" w:eastAsia="zh-CN"/>
              </w:rPr>
              <w:t>本项目三次油气回收拟采用</w:t>
            </w:r>
            <w:r>
              <w:rPr>
                <w:rFonts w:hint="default"/>
                <w:b w:val="0"/>
                <w:bCs w:val="0"/>
                <w:color w:val="auto"/>
                <w:lang w:val="en-US" w:eastAsia="zh-CN"/>
              </w:rPr>
              <w:t>冷凝+吸附式油气回收处理系统</w:t>
            </w:r>
            <w:r>
              <w:rPr>
                <w:rFonts w:hint="eastAsia"/>
                <w:b w:val="0"/>
                <w:bCs w:val="0"/>
                <w:color w:val="auto"/>
                <w:lang w:val="en-US" w:eastAsia="zh-CN"/>
              </w:rPr>
              <w:t>，其</w:t>
            </w:r>
            <w:r>
              <w:rPr>
                <w:rFonts w:hint="default"/>
                <w:b w:val="0"/>
                <w:bCs w:val="0"/>
                <w:color w:val="auto"/>
                <w:lang w:val="en-US" w:eastAsia="zh-CN"/>
              </w:rPr>
              <w:t>原理为：汽油由原油加热蒸馏得到，通常其初馏点为 40～ 60℃，终馏点为 180～205℃。因此，油蒸气只要降温到初馏点以下就有可能从气态返回液态。 试验证明，对于浓度 42％的油气，温度为 5℃时油气浓度 29％；温度为-15℃时油气浓度 20％； 温度为-20℃时，油气浓度 15％。要使油气完全净化需要更低冷凝温度，是设施成本和运行能 耗却要增加好几倍，不符合经济要求。结合运用吸附剂吸附油气的方法，可以大大降低制造成本和运行费用。汽油油气进入装置，通过冷热交换单元进行降温，85％以上的油气冷凝液化分离转化为汽油，回收的汽油从出油管道进入回收容器或地下油罐，油气浓度下降到 15％以下。剩余的油气进入吸附单元，采用活性炭作为吸附剂，自上而下流经吸附材料，未被吸附的尾气通过4m高排气筒排放</w:t>
            </w:r>
            <w:r>
              <w:rPr>
                <w:rFonts w:hint="eastAsia"/>
                <w:b w:val="0"/>
                <w:bCs w:val="0"/>
                <w:color w:val="auto"/>
                <w:lang w:val="en-US" w:eastAsia="zh-CN"/>
              </w:rPr>
              <w:t>。</w:t>
            </w:r>
          </w:p>
          <w:p>
            <w:pPr>
              <w:numPr>
                <w:ilvl w:val="0"/>
                <w:numId w:val="0"/>
              </w:numPr>
              <w:bidi w:val="0"/>
              <w:ind w:leftChars="200"/>
              <w:jc w:val="both"/>
              <w:rPr>
                <w:rFonts w:hint="eastAsia"/>
                <w:b w:val="0"/>
                <w:bCs w:val="0"/>
                <w:color w:val="auto"/>
                <w:lang w:val="en-US" w:eastAsia="zh-CN"/>
              </w:rPr>
            </w:pPr>
            <w:r>
              <w:rPr>
                <w:rFonts w:hint="eastAsia"/>
                <w:b w:val="0"/>
                <w:bCs w:val="0"/>
                <w:color w:val="auto"/>
                <w:lang w:val="en-US" w:eastAsia="zh-CN"/>
              </w:rPr>
              <w:t>6）洗车</w:t>
            </w:r>
          </w:p>
          <w:p>
            <w:pPr>
              <w:bidi w:val="0"/>
              <w:ind w:firstLine="480" w:firstLineChars="200"/>
              <w:rPr>
                <w:rFonts w:hint="eastAsia"/>
                <w:color w:val="auto"/>
                <w:lang w:val="en-US" w:eastAsia="zh-CN"/>
              </w:rPr>
            </w:pPr>
            <w:r>
              <w:rPr>
                <w:rFonts w:hint="eastAsia"/>
                <w:color w:val="auto"/>
                <w:lang w:val="en-US" w:eastAsia="zh-CN"/>
              </w:rPr>
              <w:t>根据业主提供的资料，本项目西侧的通过式洗车区，采用海天牌隧道式电脑洗车机TX380B，汽车由北向南通过洗车机，启动设备即完成自动洗车。站区南侧的精洗车棚则由人工通过精洗冲洗设备对汽车各部位进行清洗。两种洗车方式采用的清洗剂相同，为泡沫剂：海天金鹰系列1-1003和腊水剂：海天金鹰系列2-2002。（均为无磷中性洗涤剂）。</w:t>
            </w:r>
          </w:p>
          <w:p>
            <w:pPr>
              <w:numPr>
                <w:ilvl w:val="0"/>
                <w:numId w:val="0"/>
              </w:numPr>
              <w:bidi w:val="0"/>
              <w:ind w:leftChars="0" w:firstLine="480" w:firstLineChars="200"/>
              <w:jc w:val="both"/>
              <w:rPr>
                <w:rFonts w:hint="eastAsia"/>
                <w:b w:val="0"/>
                <w:bCs w:val="0"/>
                <w:lang w:val="en-US" w:eastAsia="zh-CN"/>
              </w:rPr>
            </w:pPr>
            <w:r>
              <w:rPr>
                <w:rFonts w:hint="eastAsia"/>
                <w:b w:val="0"/>
                <w:bCs w:val="0"/>
                <w:lang w:val="en-US" w:eastAsia="zh-CN"/>
              </w:rPr>
              <w:t>（2）产排污环节</w:t>
            </w:r>
          </w:p>
          <w:p>
            <w:pPr>
              <w:numPr>
                <w:ilvl w:val="0"/>
                <w:numId w:val="0"/>
              </w:numPr>
              <w:bidi w:val="0"/>
              <w:ind w:leftChars="0" w:firstLine="480" w:firstLineChars="200"/>
              <w:jc w:val="both"/>
              <w:rPr>
                <w:rFonts w:hint="eastAsia"/>
                <w:b/>
                <w:bCs/>
                <w:lang w:val="en-US" w:eastAsia="zh-CN"/>
              </w:rPr>
            </w:pPr>
            <w:r>
              <w:rPr>
                <w:rFonts w:hint="eastAsia"/>
                <w:b w:val="0"/>
                <w:bCs w:val="0"/>
                <w:lang w:val="en-US" w:eastAsia="zh-CN"/>
              </w:rPr>
              <w:t>具体产排污情况见表2-</w:t>
            </w:r>
            <w:r>
              <w:rPr>
                <w:rFonts w:hint="default"/>
                <w:b w:val="0"/>
                <w:bCs w:val="0"/>
                <w:lang w:eastAsia="zh-CN"/>
              </w:rPr>
              <w:fldChar w:fldCharType="begin"/>
            </w:r>
            <w:r>
              <w:rPr>
                <w:rFonts w:hint="default"/>
                <w:b w:val="0"/>
                <w:bCs w:val="0"/>
                <w:lang w:eastAsia="zh-CN"/>
              </w:rPr>
              <w:instrText xml:space="preserve"> SEQ 2- \* MERGEFORMAT </w:instrText>
            </w:r>
            <w:r>
              <w:rPr>
                <w:rFonts w:hint="default"/>
                <w:b w:val="0"/>
                <w:bCs w:val="0"/>
                <w:lang w:eastAsia="zh-CN"/>
              </w:rPr>
              <w:fldChar w:fldCharType="separate"/>
            </w:r>
            <w:r>
              <w:rPr>
                <w:rFonts w:hint="default"/>
                <w:b w:val="0"/>
                <w:bCs w:val="0"/>
                <w:lang w:eastAsia="zh-CN"/>
              </w:rPr>
              <w:t>11</w:t>
            </w:r>
            <w:r>
              <w:rPr>
                <w:rFonts w:hint="default"/>
                <w:b w:val="0"/>
                <w:bCs w:val="0"/>
                <w:lang w:eastAsia="zh-CN"/>
              </w:rPr>
              <w:fldChar w:fldCharType="end"/>
            </w:r>
            <w:r>
              <w:rPr>
                <w:rFonts w:hint="eastAsia"/>
                <w:b w:val="0"/>
                <w:bCs w:val="0"/>
                <w:lang w:val="en-US" w:eastAsia="zh-CN"/>
              </w:rPr>
              <w:t>。</w:t>
            </w:r>
          </w:p>
          <w:p>
            <w:pPr>
              <w:numPr>
                <w:ilvl w:val="0"/>
                <w:numId w:val="0"/>
              </w:numPr>
              <w:bidi w:val="0"/>
              <w:spacing w:line="240" w:lineRule="auto"/>
              <w:ind w:leftChars="0" w:firstLine="482" w:firstLineChars="200"/>
              <w:jc w:val="center"/>
              <w:rPr>
                <w:rFonts w:hint="default"/>
                <w:b/>
                <w:bCs/>
                <w:lang w:val="en-US" w:eastAsia="zh-CN"/>
              </w:rPr>
            </w:pPr>
            <w:r>
              <w:rPr>
                <w:rFonts w:hint="eastAsia"/>
                <w:b/>
                <w:bCs/>
                <w:lang w:val="en-US" w:eastAsia="zh-CN"/>
              </w:rPr>
              <w:t>表2-</w:t>
            </w:r>
            <w:r>
              <w:rPr>
                <w:rFonts w:hint="default"/>
                <w:b/>
                <w:bCs/>
                <w:lang w:eastAsia="zh-CN"/>
              </w:rPr>
              <w:fldChar w:fldCharType="begin"/>
            </w:r>
            <w:r>
              <w:rPr>
                <w:rFonts w:hint="default"/>
                <w:b/>
                <w:bCs/>
                <w:lang w:eastAsia="zh-CN"/>
              </w:rPr>
              <w:instrText xml:space="preserve"> SEQ 表2- </w:instrText>
            </w:r>
            <w:r>
              <w:rPr>
                <w:rFonts w:hint="default"/>
                <w:b/>
                <w:bCs/>
                <w:lang w:eastAsia="zh-CN"/>
              </w:rPr>
              <w:fldChar w:fldCharType="separate"/>
            </w:r>
            <w:r>
              <w:rPr>
                <w:rFonts w:hint="default"/>
                <w:b/>
                <w:bCs/>
                <w:lang w:eastAsia="zh-CN"/>
              </w:rPr>
              <w:t>11</w:t>
            </w:r>
            <w:r>
              <w:rPr>
                <w:rFonts w:hint="default"/>
                <w:b/>
                <w:bCs/>
                <w:lang w:eastAsia="zh-CN"/>
              </w:rPr>
              <w:fldChar w:fldCharType="end"/>
            </w:r>
            <w:r>
              <w:rPr>
                <w:rFonts w:hint="eastAsia"/>
                <w:b/>
                <w:bCs/>
                <w:lang w:val="en-US" w:eastAsia="zh-CN"/>
              </w:rPr>
              <w:t xml:space="preserve">  项目产排污一览表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4"/>
              <w:gridCol w:w="2459"/>
              <w:gridCol w:w="1917"/>
              <w:gridCol w:w="1061"/>
              <w:gridCol w:w="1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污染因素</w:t>
                  </w:r>
                </w:p>
              </w:tc>
              <w:tc>
                <w:tcPr>
                  <w:tcW w:w="245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名称</w:t>
                  </w:r>
                </w:p>
              </w:tc>
              <w:tc>
                <w:tcPr>
                  <w:tcW w:w="19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污染因子</w:t>
                  </w:r>
                </w:p>
              </w:tc>
              <w:tc>
                <w:tcPr>
                  <w:tcW w:w="2123" w:type="dxa"/>
                  <w:gridSpan w:val="2"/>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去向（</w:t>
                  </w:r>
                  <w:r>
                    <w:rPr>
                      <w:rFonts w:hint="default"/>
                      <w:b w:val="0"/>
                      <w:bCs w:val="0"/>
                      <w:sz w:val="21"/>
                      <w:szCs w:val="21"/>
                      <w:vertAlign w:val="baseline"/>
                      <w:lang w:val="en-US" w:eastAsia="zh-CN"/>
                    </w:rPr>
                    <w:t>拟采取的污染防治措施</w:t>
                  </w:r>
                  <w:r>
                    <w:rPr>
                      <w:rFonts w:hint="eastAsia"/>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废气</w:t>
                  </w:r>
                </w:p>
              </w:tc>
              <w:tc>
                <w:tcPr>
                  <w:tcW w:w="245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汽油储罐大呼吸</w:t>
                  </w:r>
                  <w:r>
                    <w:rPr>
                      <w:rFonts w:hint="eastAsia"/>
                      <w:b w:val="0"/>
                      <w:bCs w:val="0"/>
                      <w:sz w:val="21"/>
                      <w:szCs w:val="21"/>
                      <w:vertAlign w:val="baseline"/>
                      <w:lang w:val="en-US" w:eastAsia="zh-CN"/>
                    </w:rPr>
                    <w:t>废气</w:t>
                  </w:r>
                </w:p>
              </w:tc>
              <w:tc>
                <w:tcPr>
                  <w:tcW w:w="1917"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油气（非甲烷总烃）</w:t>
                  </w:r>
                </w:p>
              </w:tc>
              <w:tc>
                <w:tcPr>
                  <w:tcW w:w="1061"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卸油油气回收系统</w:t>
                  </w:r>
                </w:p>
              </w:tc>
              <w:tc>
                <w:tcPr>
                  <w:tcW w:w="1062" w:type="dxa"/>
                  <w:vMerge w:val="restart"/>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油罐呼吸口油气回收系统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汽油储罐小呼吸</w:t>
                  </w:r>
                  <w:r>
                    <w:rPr>
                      <w:rFonts w:hint="eastAsia"/>
                      <w:b w:val="0"/>
                      <w:bCs w:val="0"/>
                      <w:sz w:val="21"/>
                      <w:szCs w:val="21"/>
                      <w:vertAlign w:val="baseline"/>
                      <w:lang w:val="en-US" w:eastAsia="zh-CN"/>
                    </w:rPr>
                    <w:t>废气</w:t>
                  </w:r>
                </w:p>
              </w:tc>
              <w:tc>
                <w:tcPr>
                  <w:tcW w:w="191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061"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1062" w:type="dxa"/>
                  <w:vMerge w:val="continue"/>
                  <w:vAlign w:val="center"/>
                </w:tcPr>
                <w:p>
                  <w:pPr>
                    <w:numPr>
                      <w:ilvl w:val="0"/>
                      <w:numId w:val="0"/>
                    </w:numPr>
                    <w:bidi w:val="0"/>
                    <w:spacing w:line="240" w:lineRule="auto"/>
                    <w:ind w:left="0" w:leftChars="0" w:firstLine="0" w:firstLineChars="0"/>
                    <w:jc w:val="center"/>
                    <w:rPr>
                      <w:rFonts w:hint="eastAsia" w:ascii="Calibri" w:hAnsi="Calibri"/>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汽油加油作业废气</w:t>
                  </w:r>
                </w:p>
              </w:tc>
              <w:tc>
                <w:tcPr>
                  <w:tcW w:w="191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1061"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加油油气回收系统</w:t>
                  </w:r>
                </w:p>
              </w:tc>
              <w:tc>
                <w:tcPr>
                  <w:tcW w:w="1062" w:type="dxa"/>
                  <w:vMerge w:val="continue"/>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柴油储罐大呼吸</w:t>
                  </w:r>
                  <w:r>
                    <w:rPr>
                      <w:rFonts w:hint="eastAsia"/>
                      <w:b w:val="0"/>
                      <w:bCs w:val="0"/>
                      <w:sz w:val="21"/>
                      <w:szCs w:val="21"/>
                      <w:vertAlign w:val="baseline"/>
                      <w:lang w:val="en-US" w:eastAsia="zh-CN"/>
                    </w:rPr>
                    <w:t>废气</w:t>
                  </w:r>
                </w:p>
              </w:tc>
              <w:tc>
                <w:tcPr>
                  <w:tcW w:w="191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123" w:type="dxa"/>
                  <w:gridSpan w:val="2"/>
                  <w:vAlign w:val="center"/>
                </w:tcPr>
                <w:p>
                  <w:pPr>
                    <w:numPr>
                      <w:ilvl w:val="0"/>
                      <w:numId w:val="0"/>
                    </w:numPr>
                    <w:bidi w:val="0"/>
                    <w:spacing w:line="240" w:lineRule="auto"/>
                    <w:ind w:left="0" w:leftChars="0" w:firstLine="0" w:firstLineChars="0"/>
                    <w:jc w:val="center"/>
                    <w:rPr>
                      <w:rFonts w:hint="default" w:asciiTheme="minorAscii"/>
                      <w:b w:val="0"/>
                      <w:bCs w:val="0"/>
                      <w:sz w:val="21"/>
                      <w:szCs w:val="21"/>
                      <w:vertAlign w:val="baseline"/>
                      <w:lang w:val="en-US" w:eastAsia="zh-CN"/>
                    </w:rPr>
                  </w:pPr>
                  <w:r>
                    <w:rPr>
                      <w:rFonts w:hint="default"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柴</w:t>
                  </w:r>
                  <w:r>
                    <w:rPr>
                      <w:rFonts w:hint="default"/>
                      <w:b w:val="0"/>
                      <w:bCs w:val="0"/>
                      <w:sz w:val="21"/>
                      <w:szCs w:val="21"/>
                      <w:vertAlign w:val="baseline"/>
                      <w:lang w:val="en-US" w:eastAsia="zh-CN"/>
                    </w:rPr>
                    <w:t>油加油作业废气</w:t>
                  </w:r>
                </w:p>
              </w:tc>
              <w:tc>
                <w:tcPr>
                  <w:tcW w:w="1917"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123" w:type="dxa"/>
                  <w:gridSpan w:val="2"/>
                  <w:vAlign w:val="center"/>
                </w:tcPr>
                <w:p>
                  <w:pPr>
                    <w:numPr>
                      <w:ilvl w:val="0"/>
                      <w:numId w:val="0"/>
                    </w:numPr>
                    <w:bidi w:val="0"/>
                    <w:spacing w:line="240" w:lineRule="auto"/>
                    <w:ind w:left="0" w:leftChars="0" w:firstLine="0" w:firstLineChars="0"/>
                    <w:jc w:val="center"/>
                    <w:rPr>
                      <w:rFonts w:hint="default" w:asciiTheme="minorAscii"/>
                      <w:b w:val="0"/>
                      <w:bCs w:val="0"/>
                      <w:sz w:val="21"/>
                      <w:szCs w:val="21"/>
                      <w:vertAlign w:val="baseline"/>
                      <w:lang w:val="en-US" w:eastAsia="zh-CN"/>
                    </w:rPr>
                  </w:pPr>
                  <w:r>
                    <w:rPr>
                      <w:rFonts w:hint="eastAsia" w:ascii="Calibri" w:hAnsi="Calibri" w:cs="Calibri"/>
                      <w:b w:val="0"/>
                      <w:bCs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发电机烟气</w:t>
                  </w:r>
                </w:p>
              </w:tc>
              <w:tc>
                <w:tcPr>
                  <w:tcW w:w="1917"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default"/>
                      <w:b w:val="0"/>
                      <w:bCs w:val="0"/>
                      <w:sz w:val="21"/>
                      <w:szCs w:val="21"/>
                      <w:vertAlign w:val="baseline"/>
                      <w:lang w:val="en-US" w:eastAsia="zh-CN"/>
                    </w:rPr>
                    <w:t>烟尘、SO</w:t>
                  </w:r>
                  <w:r>
                    <w:rPr>
                      <w:rFonts w:hint="default"/>
                      <w:b w:val="0"/>
                      <w:bCs w:val="0"/>
                      <w:sz w:val="21"/>
                      <w:szCs w:val="21"/>
                      <w:vertAlign w:val="subscript"/>
                      <w:lang w:val="en-US" w:eastAsia="zh-CN"/>
                    </w:rPr>
                    <w:t>2</w:t>
                  </w:r>
                  <w:r>
                    <w:rPr>
                      <w:rFonts w:hint="default"/>
                      <w:b w:val="0"/>
                      <w:bCs w:val="0"/>
                      <w:sz w:val="21"/>
                      <w:szCs w:val="21"/>
                      <w:vertAlign w:val="baseline"/>
                      <w:lang w:val="en-US" w:eastAsia="zh-CN"/>
                    </w:rPr>
                    <w:t>、NO</w:t>
                  </w:r>
                  <w:r>
                    <w:rPr>
                      <w:rFonts w:hint="default"/>
                      <w:b w:val="0"/>
                      <w:bCs w:val="0"/>
                      <w:sz w:val="21"/>
                      <w:szCs w:val="21"/>
                      <w:vertAlign w:val="subscript"/>
                      <w:lang w:val="en-US" w:eastAsia="zh-CN"/>
                    </w:rPr>
                    <w:t>X</w:t>
                  </w:r>
                </w:p>
              </w:tc>
              <w:tc>
                <w:tcPr>
                  <w:tcW w:w="2123" w:type="dxa"/>
                  <w:gridSpan w:val="2"/>
                  <w:vAlign w:val="center"/>
                </w:tcPr>
                <w:p>
                  <w:pPr>
                    <w:numPr>
                      <w:ilvl w:val="0"/>
                      <w:numId w:val="0"/>
                    </w:numPr>
                    <w:bidi w:val="0"/>
                    <w:spacing w:line="240" w:lineRule="auto"/>
                    <w:ind w:left="0" w:leftChars="0" w:firstLine="0" w:firstLineChars="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加强通风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废水</w:t>
                  </w: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地面冲洗</w:t>
                  </w:r>
                  <w:r>
                    <w:rPr>
                      <w:rFonts w:hint="eastAsia"/>
                      <w:b w:val="0"/>
                      <w:bCs w:val="0"/>
                      <w:color w:val="auto"/>
                      <w:sz w:val="21"/>
                      <w:szCs w:val="21"/>
                      <w:vertAlign w:val="baseline"/>
                      <w:lang w:val="en-US" w:eastAsia="zh-CN"/>
                    </w:rPr>
                    <w:t>废水</w:t>
                  </w:r>
                </w:p>
              </w:tc>
              <w:tc>
                <w:tcPr>
                  <w:tcW w:w="19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SS、石油</w:t>
                  </w:r>
                  <w:r>
                    <w:rPr>
                      <w:rFonts w:hint="eastAsia"/>
                      <w:b w:val="0"/>
                      <w:bCs w:val="0"/>
                      <w:color w:val="auto"/>
                      <w:sz w:val="21"/>
                      <w:szCs w:val="21"/>
                      <w:vertAlign w:val="baseline"/>
                      <w:lang w:val="en-US" w:eastAsia="zh-CN"/>
                    </w:rPr>
                    <w:t>类</w:t>
                  </w:r>
                </w:p>
              </w:tc>
              <w:tc>
                <w:tcPr>
                  <w:tcW w:w="2123" w:type="dxa"/>
                  <w:gridSpan w:val="2"/>
                  <w:vMerge w:val="restart"/>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经隔油池预处理后</w:t>
                  </w:r>
                  <w:r>
                    <w:rPr>
                      <w:rFonts w:hint="eastAsia"/>
                      <w:b w:val="0"/>
                      <w:bCs w:val="0"/>
                      <w:color w:val="auto"/>
                      <w:sz w:val="21"/>
                      <w:szCs w:val="21"/>
                      <w:vertAlign w:val="baseline"/>
                      <w:lang w:val="en-US" w:eastAsia="zh-CN"/>
                    </w:rPr>
                    <w:t>通过</w:t>
                  </w:r>
                  <w:r>
                    <w:rPr>
                      <w:rFonts w:hint="default"/>
                      <w:b w:val="0"/>
                      <w:bCs w:val="0"/>
                      <w:color w:val="auto"/>
                      <w:sz w:val="21"/>
                      <w:szCs w:val="21"/>
                      <w:vertAlign w:val="baseline"/>
                      <w:lang w:val="en-US" w:eastAsia="zh-CN"/>
                    </w:rPr>
                    <w:t>市政污水管网</w:t>
                  </w:r>
                  <w:r>
                    <w:rPr>
                      <w:rFonts w:hint="eastAsia"/>
                      <w:b w:val="0"/>
                      <w:bCs w:val="0"/>
                      <w:color w:val="auto"/>
                      <w:sz w:val="21"/>
                      <w:szCs w:val="21"/>
                      <w:vertAlign w:val="baseline"/>
                      <w:lang w:val="en-US" w:eastAsia="zh-CN"/>
                    </w:rPr>
                    <w:t>引</w:t>
                  </w:r>
                  <w:r>
                    <w:rPr>
                      <w:rFonts w:hint="default"/>
                      <w:b w:val="0"/>
                      <w:bCs w:val="0"/>
                      <w:color w:val="auto"/>
                      <w:sz w:val="21"/>
                      <w:szCs w:val="21"/>
                      <w:vertAlign w:val="baseline"/>
                      <w:lang w:val="en-US" w:eastAsia="zh-CN"/>
                    </w:rPr>
                    <w:t>至松木污水处理厂</w:t>
                  </w:r>
                  <w:r>
                    <w:rPr>
                      <w:rFonts w:hint="eastAsia"/>
                      <w:b w:val="0"/>
                      <w:bCs w:val="0"/>
                      <w:color w:val="auto"/>
                      <w:sz w:val="21"/>
                      <w:szCs w:val="21"/>
                      <w:vertAlign w:val="baseline"/>
                      <w:lang w:val="en-US" w:eastAsia="zh-CN"/>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洗车废水</w:t>
                  </w:r>
                </w:p>
              </w:tc>
              <w:tc>
                <w:tcPr>
                  <w:tcW w:w="19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BOD</w:t>
                  </w:r>
                  <w:r>
                    <w:rPr>
                      <w:rFonts w:hint="default"/>
                      <w:b w:val="0"/>
                      <w:bCs w:val="0"/>
                      <w:color w:val="auto"/>
                      <w:sz w:val="21"/>
                      <w:szCs w:val="21"/>
                      <w:vertAlign w:val="subscript"/>
                      <w:lang w:val="en-US" w:eastAsia="zh-CN"/>
                    </w:rPr>
                    <w:t>5</w:t>
                  </w:r>
                  <w:r>
                    <w:rPr>
                      <w:rFonts w:hint="eastAsia"/>
                      <w:b w:val="0"/>
                      <w:bCs w:val="0"/>
                      <w:color w:val="auto"/>
                      <w:sz w:val="21"/>
                      <w:szCs w:val="21"/>
                      <w:vertAlign w:val="baseline"/>
                      <w:lang w:val="en-US" w:eastAsia="zh-CN"/>
                    </w:rPr>
                    <w:t>、LAS</w:t>
                  </w:r>
                  <w:r>
                    <w:rPr>
                      <w:rFonts w:hint="default"/>
                      <w:b w:val="0"/>
                      <w:bCs w:val="0"/>
                      <w:color w:val="auto"/>
                      <w:sz w:val="21"/>
                      <w:szCs w:val="21"/>
                      <w:vertAlign w:val="baseline"/>
                      <w:lang w:val="en-US" w:eastAsia="zh-CN"/>
                    </w:rPr>
                    <w:t>等</w:t>
                  </w:r>
                </w:p>
              </w:tc>
              <w:tc>
                <w:tcPr>
                  <w:tcW w:w="2123" w:type="dxa"/>
                  <w:gridSpan w:val="2"/>
                  <w:vMerge w:val="continue"/>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生活</w:t>
                  </w:r>
                  <w:r>
                    <w:rPr>
                      <w:rFonts w:hint="eastAsia"/>
                      <w:b w:val="0"/>
                      <w:bCs w:val="0"/>
                      <w:color w:val="auto"/>
                      <w:sz w:val="21"/>
                      <w:szCs w:val="21"/>
                      <w:vertAlign w:val="baseline"/>
                      <w:lang w:val="en-US" w:eastAsia="zh-CN"/>
                    </w:rPr>
                    <w:t>和公厕</w:t>
                  </w:r>
                  <w:r>
                    <w:rPr>
                      <w:rFonts w:hint="default"/>
                      <w:b w:val="0"/>
                      <w:bCs w:val="0"/>
                      <w:color w:val="auto"/>
                      <w:sz w:val="21"/>
                      <w:szCs w:val="21"/>
                      <w:vertAlign w:val="baseline"/>
                      <w:lang w:val="en-US" w:eastAsia="zh-CN"/>
                    </w:rPr>
                    <w:t>污水</w:t>
                  </w:r>
                </w:p>
              </w:tc>
              <w:tc>
                <w:tcPr>
                  <w:tcW w:w="19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COD、BOD</w:t>
                  </w:r>
                  <w:r>
                    <w:rPr>
                      <w:rFonts w:hint="default"/>
                      <w:b w:val="0"/>
                      <w:bCs w:val="0"/>
                      <w:color w:val="auto"/>
                      <w:sz w:val="21"/>
                      <w:szCs w:val="21"/>
                      <w:vertAlign w:val="subscript"/>
                      <w:lang w:val="en-US" w:eastAsia="zh-CN"/>
                    </w:rPr>
                    <w:t>5</w:t>
                  </w:r>
                  <w:r>
                    <w:rPr>
                      <w:rFonts w:hint="default"/>
                      <w:b w:val="0"/>
                      <w:bCs w:val="0"/>
                      <w:color w:val="auto"/>
                      <w:sz w:val="21"/>
                      <w:szCs w:val="21"/>
                      <w:vertAlign w:val="baseline"/>
                      <w:lang w:val="en-US" w:eastAsia="zh-CN"/>
                    </w:rPr>
                    <w:t>、SS、氨氮等</w:t>
                  </w:r>
                </w:p>
              </w:tc>
              <w:tc>
                <w:tcPr>
                  <w:tcW w:w="2123" w:type="dxa"/>
                  <w:gridSpan w:val="2"/>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经化粪池预处理后</w:t>
                  </w:r>
                  <w:r>
                    <w:rPr>
                      <w:rFonts w:hint="eastAsia"/>
                      <w:b w:val="0"/>
                      <w:bCs w:val="0"/>
                      <w:color w:val="auto"/>
                      <w:sz w:val="21"/>
                      <w:szCs w:val="21"/>
                      <w:vertAlign w:val="baseline"/>
                      <w:lang w:val="en-US" w:eastAsia="zh-CN"/>
                    </w:rPr>
                    <w:t>通过</w:t>
                  </w:r>
                  <w:r>
                    <w:rPr>
                      <w:rFonts w:hint="default"/>
                      <w:b w:val="0"/>
                      <w:bCs w:val="0"/>
                      <w:color w:val="auto"/>
                      <w:sz w:val="21"/>
                      <w:szCs w:val="21"/>
                      <w:vertAlign w:val="baseline"/>
                      <w:lang w:val="en-US" w:eastAsia="zh-CN"/>
                    </w:rPr>
                    <w:t>市政污水管网</w:t>
                  </w:r>
                  <w:r>
                    <w:rPr>
                      <w:rFonts w:hint="eastAsia"/>
                      <w:b w:val="0"/>
                      <w:bCs w:val="0"/>
                      <w:color w:val="auto"/>
                      <w:sz w:val="21"/>
                      <w:szCs w:val="21"/>
                      <w:vertAlign w:val="baseline"/>
                      <w:lang w:val="en-US" w:eastAsia="zh-CN"/>
                    </w:rPr>
                    <w:t>引</w:t>
                  </w:r>
                  <w:r>
                    <w:rPr>
                      <w:rFonts w:hint="default"/>
                      <w:b w:val="0"/>
                      <w:bCs w:val="0"/>
                      <w:color w:val="auto"/>
                      <w:sz w:val="21"/>
                      <w:szCs w:val="21"/>
                      <w:vertAlign w:val="baseline"/>
                      <w:lang w:val="en-US" w:eastAsia="zh-CN"/>
                    </w:rPr>
                    <w:t>至松木污水处理厂</w:t>
                  </w:r>
                  <w:r>
                    <w:rPr>
                      <w:rFonts w:hint="eastAsia"/>
                      <w:b w:val="0"/>
                      <w:bCs w:val="0"/>
                      <w:color w:val="auto"/>
                      <w:sz w:val="21"/>
                      <w:szCs w:val="21"/>
                      <w:vertAlign w:val="baseline"/>
                      <w:lang w:val="en-US" w:eastAsia="zh-CN"/>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94" w:type="dxa"/>
                  <w:vMerge w:val="restart"/>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固废</w:t>
                  </w: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储油罐底泥</w:t>
                  </w:r>
                </w:p>
              </w:tc>
              <w:tc>
                <w:tcPr>
                  <w:tcW w:w="191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ascii="Calibri" w:hAnsi="Calibri" w:cs="Calibri"/>
                      <w:b w:val="0"/>
                      <w:bCs w:val="0"/>
                      <w:color w:val="auto"/>
                      <w:sz w:val="21"/>
                      <w:szCs w:val="21"/>
                      <w:vertAlign w:val="baseline"/>
                      <w:lang w:val="en-US" w:eastAsia="zh-CN"/>
                    </w:rPr>
                    <w:t>/</w:t>
                  </w:r>
                </w:p>
              </w:tc>
              <w:tc>
                <w:tcPr>
                  <w:tcW w:w="2123" w:type="dxa"/>
                  <w:gridSpan w:val="2"/>
                  <w:vMerge w:val="restart"/>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由专门人士定期清理（更换）后带走，委托有资质单位处置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094" w:type="dxa"/>
                  <w:vMerge w:val="continue"/>
                  <w:vAlign w:val="center"/>
                </w:tcPr>
                <w:p>
                  <w:pPr>
                    <w:bidi w:val="0"/>
                    <w:spacing w:line="240" w:lineRule="auto"/>
                    <w:ind w:left="0" w:leftChars="0" w:firstLine="0" w:firstLineChars="0"/>
                    <w:jc w:val="center"/>
                  </w:pP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废活性炭</w:t>
                  </w:r>
                </w:p>
              </w:tc>
              <w:tc>
                <w:tcPr>
                  <w:tcW w:w="1917" w:type="dxa"/>
                  <w:vAlign w:val="center"/>
                </w:tcPr>
                <w:p>
                  <w:p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2123" w:type="dxa"/>
                  <w:gridSpan w:val="2"/>
                  <w:vMerge w:val="continue"/>
                  <w:vAlign w:val="center"/>
                </w:tcPr>
                <w:p>
                  <w:pPr>
                    <w:bidi w:val="0"/>
                    <w:spacing w:line="240" w:lineRule="auto"/>
                    <w:ind w:left="0" w:leftChars="0" w:firstLine="0" w:firstLineChars="0"/>
                    <w:jc w:val="center"/>
                    <w:rPr>
                      <w:rFonts w:hint="default"/>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隔油池废油泥</w:t>
                  </w:r>
                </w:p>
              </w:tc>
              <w:tc>
                <w:tcPr>
                  <w:tcW w:w="191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2123" w:type="dxa"/>
                  <w:gridSpan w:val="2"/>
                  <w:vMerge w:val="restart"/>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分别暂存于危废暂存箱，定期委托有资质单位处置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含油抹布、手套</w:t>
                  </w:r>
                </w:p>
              </w:tc>
              <w:tc>
                <w:tcPr>
                  <w:tcW w:w="191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ascii="Calibri" w:hAnsi="Calibri" w:cs="Calibri"/>
                      <w:b w:val="0"/>
                      <w:bCs w:val="0"/>
                      <w:color w:val="auto"/>
                      <w:sz w:val="21"/>
                      <w:szCs w:val="21"/>
                      <w:vertAlign w:val="baseline"/>
                      <w:lang w:val="en-US" w:eastAsia="zh-CN"/>
                    </w:rPr>
                    <w:t>/</w:t>
                  </w:r>
                </w:p>
              </w:tc>
              <w:tc>
                <w:tcPr>
                  <w:tcW w:w="2123" w:type="dxa"/>
                  <w:gridSpan w:val="2"/>
                  <w:vMerge w:val="continue"/>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Merge w:val="continue"/>
                  <w:vAlign w:val="center"/>
                </w:tcPr>
                <w:p>
                  <w:pPr>
                    <w:numPr>
                      <w:ilvl w:val="0"/>
                      <w:numId w:val="0"/>
                    </w:numPr>
                    <w:bidi w:val="0"/>
                    <w:spacing w:line="240" w:lineRule="auto"/>
                    <w:jc w:val="center"/>
                    <w:rPr>
                      <w:rFonts w:hint="default"/>
                      <w:b w:val="0"/>
                      <w:bCs w:val="0"/>
                      <w:sz w:val="21"/>
                      <w:szCs w:val="21"/>
                      <w:vertAlign w:val="baseline"/>
                      <w:lang w:val="en-US" w:eastAsia="zh-CN"/>
                    </w:rPr>
                  </w:pP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生活垃圾</w:t>
                  </w:r>
                </w:p>
              </w:tc>
              <w:tc>
                <w:tcPr>
                  <w:tcW w:w="1917"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eastAsia" w:ascii="Calibri" w:hAnsi="Calibri" w:cs="Calibri"/>
                      <w:b w:val="0"/>
                      <w:bCs w:val="0"/>
                      <w:color w:val="auto"/>
                      <w:sz w:val="21"/>
                      <w:szCs w:val="21"/>
                      <w:vertAlign w:val="baseline"/>
                      <w:lang w:val="en-US" w:eastAsia="zh-CN"/>
                    </w:rPr>
                    <w:t>/</w:t>
                  </w:r>
                </w:p>
              </w:tc>
              <w:tc>
                <w:tcPr>
                  <w:tcW w:w="2123" w:type="dxa"/>
                  <w:gridSpan w:val="2"/>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环卫部门清运处理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4" w:type="dxa"/>
                  <w:vAlign w:val="center"/>
                </w:tcPr>
                <w:p>
                  <w:pPr>
                    <w:numPr>
                      <w:ilvl w:val="0"/>
                      <w:numId w:val="0"/>
                    </w:numPr>
                    <w:bidi w:val="0"/>
                    <w:spacing w:line="240" w:lineRule="auto"/>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噪声</w:t>
                  </w:r>
                </w:p>
              </w:tc>
              <w:tc>
                <w:tcPr>
                  <w:tcW w:w="2459" w:type="dxa"/>
                  <w:vAlign w:val="center"/>
                </w:tcPr>
                <w:p>
                  <w:pPr>
                    <w:numPr>
                      <w:ilvl w:val="0"/>
                      <w:numId w:val="0"/>
                    </w:numPr>
                    <w:bidi w:val="0"/>
                    <w:spacing w:line="240" w:lineRule="auto"/>
                    <w:ind w:left="0" w:leftChars="0" w:firstLine="0" w:firstLineChars="0"/>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加油机、</w:t>
                  </w:r>
                  <w:r>
                    <w:rPr>
                      <w:rFonts w:hint="eastAsia"/>
                      <w:b w:val="0"/>
                      <w:bCs w:val="0"/>
                      <w:color w:val="auto"/>
                      <w:sz w:val="21"/>
                      <w:szCs w:val="21"/>
                      <w:vertAlign w:val="baseline"/>
                      <w:lang w:val="en-US" w:eastAsia="zh-CN"/>
                    </w:rPr>
                    <w:t>来往车辆、洗车机、发电机</w:t>
                  </w:r>
                  <w:r>
                    <w:rPr>
                      <w:rFonts w:hint="default"/>
                      <w:b w:val="0"/>
                      <w:bCs w:val="0"/>
                      <w:color w:val="auto"/>
                      <w:sz w:val="21"/>
                      <w:szCs w:val="21"/>
                      <w:vertAlign w:val="baseline"/>
                      <w:lang w:val="en-US" w:eastAsia="zh-CN"/>
                    </w:rPr>
                    <w:t>等设备产生的机械噪声</w:t>
                  </w:r>
                </w:p>
              </w:tc>
              <w:tc>
                <w:tcPr>
                  <w:tcW w:w="1917" w:type="dxa"/>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Leq（A）</w:t>
                  </w:r>
                </w:p>
              </w:tc>
              <w:tc>
                <w:tcPr>
                  <w:tcW w:w="2123" w:type="dxa"/>
                  <w:gridSpan w:val="2"/>
                  <w:vAlign w:val="center"/>
                </w:tcPr>
                <w:p>
                  <w:pPr>
                    <w:numPr>
                      <w:ilvl w:val="0"/>
                      <w:numId w:val="0"/>
                    </w:numPr>
                    <w:bidi w:val="0"/>
                    <w:spacing w:line="240" w:lineRule="auto"/>
                    <w:jc w:val="center"/>
                    <w:rPr>
                      <w:rFonts w:hint="default"/>
                      <w:b w:val="0"/>
                      <w:bCs w:val="0"/>
                      <w:color w:val="auto"/>
                      <w:sz w:val="21"/>
                      <w:szCs w:val="21"/>
                      <w:vertAlign w:val="baseline"/>
                      <w:lang w:val="en-US" w:eastAsia="zh-CN"/>
                    </w:rPr>
                  </w:pPr>
                  <w:r>
                    <w:rPr>
                      <w:rFonts w:hint="default"/>
                      <w:b w:val="0"/>
                      <w:bCs w:val="0"/>
                      <w:color w:val="auto"/>
                      <w:sz w:val="21"/>
                      <w:szCs w:val="21"/>
                      <w:vertAlign w:val="baseline"/>
                      <w:lang w:val="en-US" w:eastAsia="zh-CN"/>
                    </w:rPr>
                    <w:t>减震、隔声、距离衰减等</w:t>
                  </w:r>
                </w:p>
              </w:tc>
            </w:tr>
          </w:tbl>
          <w:p>
            <w:pPr>
              <w:numPr>
                <w:ilvl w:val="0"/>
                <w:numId w:val="0"/>
              </w:numPr>
              <w:bidi w:val="0"/>
              <w:jc w:val="both"/>
              <w:rPr>
                <w:rFonts w:hint="default"/>
                <w:b/>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vAlign w:val="center"/>
          </w:tcPr>
          <w:p>
            <w:pPr>
              <w:bidi w:val="0"/>
              <w:jc w:val="center"/>
              <w:rPr>
                <w:rFonts w:hint="default"/>
                <w:lang w:val="en-US" w:eastAsia="zh-CN"/>
              </w:rPr>
            </w:pPr>
            <w:r>
              <w:rPr>
                <w:rFonts w:hint="eastAsia"/>
                <w:lang w:val="en-US" w:eastAsia="zh-CN"/>
              </w:rPr>
              <w:t>与项目有关的原有环境污染问题</w:t>
            </w:r>
          </w:p>
        </w:tc>
        <w:tc>
          <w:tcPr>
            <w:tcW w:w="7819" w:type="dxa"/>
            <w:vAlign w:val="top"/>
          </w:tcPr>
          <w:p>
            <w:pPr>
              <w:bidi w:val="0"/>
              <w:ind w:firstLine="480" w:firstLineChars="200"/>
              <w:rPr>
                <w:rFonts w:hint="eastAsia"/>
                <w:lang w:val="en-US" w:eastAsia="zh-CN"/>
              </w:rPr>
            </w:pPr>
            <w:r>
              <w:rPr>
                <w:rFonts w:hint="eastAsia"/>
                <w:lang w:val="en-US" w:eastAsia="zh-CN"/>
              </w:rPr>
              <w:t>本项目为新建项目，用地现状为待建设用地。因此，不存在与本项目有关的原有污染。</w:t>
            </w:r>
          </w:p>
        </w:tc>
      </w:tr>
    </w:tbl>
    <w:p>
      <w:pPr>
        <w:rPr>
          <w:rFonts w:hint="default" w:ascii="黑体" w:hAnsi="黑体" w:eastAsia="黑体" w:cs="黑体"/>
          <w:color w:val="auto"/>
          <w:sz w:val="30"/>
          <w:szCs w:val="30"/>
          <w:lang w:val="en-US" w:eastAsia="zh-CN"/>
        </w:rPr>
      </w:pPr>
      <w:r>
        <w:rPr>
          <w:rFonts w:hint="default" w:ascii="黑体" w:hAnsi="黑体" w:eastAsia="黑体" w:cs="黑体"/>
          <w:color w:val="auto"/>
          <w:sz w:val="30"/>
          <w:szCs w:val="30"/>
          <w:lang w:val="en-US" w:eastAsia="zh-CN"/>
        </w:rPr>
        <w:br w:type="page"/>
      </w:r>
    </w:p>
    <w:p>
      <w:pPr>
        <w:pStyle w:val="4"/>
        <w:bidi w:val="0"/>
        <w:outlineLvl w:val="0"/>
        <w:rPr>
          <w:rFonts w:hint="default"/>
          <w:lang w:val="en-US" w:eastAsia="zh-CN"/>
        </w:rPr>
      </w:pPr>
      <w:bookmarkStart w:id="13" w:name="_Toc26432"/>
      <w:r>
        <w:rPr>
          <w:rFonts w:hint="eastAsia"/>
          <w:lang w:val="en-US" w:eastAsia="zh-CN"/>
        </w:rPr>
        <w:t>三、区域环境质量现状、环境保护目标及评价标准</w:t>
      </w:r>
      <w:bookmarkEnd w:id="13"/>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7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dxa"/>
            <w:vAlign w:val="center"/>
          </w:tcPr>
          <w:p>
            <w:pPr>
              <w:jc w:val="center"/>
              <w:rPr>
                <w:rFonts w:hint="default"/>
                <w:color w:val="auto"/>
                <w:vertAlign w:val="baseline"/>
                <w:lang w:val="en-US" w:eastAsia="zh-CN"/>
              </w:rPr>
            </w:pPr>
            <w:r>
              <w:rPr>
                <w:rFonts w:hint="eastAsia"/>
                <w:color w:val="auto"/>
                <w:vertAlign w:val="baseline"/>
                <w:lang w:val="en-US" w:eastAsia="zh-CN"/>
              </w:rPr>
              <w:t>区域环境质量现状</w:t>
            </w:r>
          </w:p>
        </w:tc>
        <w:tc>
          <w:tcPr>
            <w:tcW w:w="7719" w:type="dxa"/>
            <w:vAlign w:val="top"/>
          </w:tcPr>
          <w:p>
            <w:pPr>
              <w:rPr>
                <w:rFonts w:hint="eastAsia"/>
                <w:b/>
                <w:bCs/>
                <w:color w:val="auto"/>
                <w:vertAlign w:val="baseline"/>
                <w:lang w:val="en-US" w:eastAsia="zh-CN"/>
              </w:rPr>
            </w:pPr>
            <w:r>
              <w:rPr>
                <w:rFonts w:hint="eastAsia"/>
                <w:b/>
                <w:bCs/>
                <w:color w:val="auto"/>
                <w:vertAlign w:val="baseline"/>
                <w:lang w:val="en-US" w:eastAsia="zh-CN"/>
              </w:rPr>
              <w:t>1、环境空气质量现状和评价</w:t>
            </w:r>
          </w:p>
          <w:p>
            <w:pPr>
              <w:ind w:firstLine="480" w:firstLineChars="200"/>
              <w:rPr>
                <w:rFonts w:hint="eastAsia"/>
                <w:color w:val="auto"/>
                <w:vertAlign w:val="baseline"/>
                <w:lang w:val="en-US" w:eastAsia="zh-CN"/>
              </w:rPr>
            </w:pPr>
            <w:r>
              <w:rPr>
                <w:rFonts w:hint="eastAsia"/>
                <w:color w:val="auto"/>
                <w:vertAlign w:val="baseline"/>
                <w:lang w:val="en-US" w:eastAsia="zh-CN"/>
              </w:rPr>
              <w:t>（1）区域环境空气质量达标判定</w:t>
            </w:r>
          </w:p>
          <w:p>
            <w:pPr>
              <w:ind w:firstLine="480" w:firstLineChars="200"/>
              <w:rPr>
                <w:rFonts w:hint="eastAsia"/>
                <w:color w:val="auto"/>
                <w:lang w:val="en-US" w:eastAsia="zh-CN"/>
              </w:rPr>
            </w:pPr>
            <w:r>
              <w:rPr>
                <w:rFonts w:hint="eastAsia"/>
                <w:color w:val="auto"/>
                <w:vertAlign w:val="baseline"/>
                <w:lang w:val="en-US" w:eastAsia="zh-CN"/>
              </w:rPr>
              <w:t>根据《环境影响评价技术导则-大气环境》（HJ2.2-2018）中“6.2.1.1项目所在区域达标判定，优先采用国家或生态环境主管部门发布的平均基准年环境质量公告或环境质量报告中的数据或结论”，项目位于二类环境空气功能区，执行《环境空气质量标准》（GB3095-2012及2018修改单）中的二级标准。为了解建设项目所在地的大气环境状况，本项目引用衡阳市生态环境局发布的《关于2021年12月及1~12月全市环境质量状况的通报》中附表4相关数据。具体分析情况详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1</w:t>
            </w:r>
            <w:r>
              <w:rPr>
                <w:rFonts w:hint="default"/>
                <w:color w:val="auto"/>
                <w:vertAlign w:val="baseline"/>
                <w:lang w:eastAsia="zh-CN"/>
              </w:rPr>
              <w:fldChar w:fldCharType="end"/>
            </w:r>
            <w:r>
              <w:rPr>
                <w:rFonts w:hint="eastAsia"/>
                <w:color w:val="auto"/>
                <w:vertAlign w:val="baseline"/>
                <w:lang w:val="en-US" w:eastAsia="zh-CN"/>
              </w:rPr>
              <w:t>。</w:t>
            </w:r>
          </w:p>
          <w:p>
            <w:pPr>
              <w:pStyle w:val="10"/>
              <w:bidi w:val="0"/>
              <w:rPr>
                <w:rFonts w:hint="default"/>
                <w:lang w:val="en-US" w:eastAsia="zh-CN"/>
              </w:rPr>
            </w:pPr>
            <w:r>
              <w:rPr>
                <w:rFonts w:hint="eastAsia"/>
                <w:lang w:val="en-US" w:eastAsia="zh-CN"/>
              </w:rPr>
              <w:t>表3-</w:t>
            </w:r>
            <w:r>
              <w:rPr>
                <w:rFonts w:hint="default"/>
                <w:lang w:eastAsia="zh-CN"/>
              </w:rPr>
              <w:fldChar w:fldCharType="begin"/>
            </w:r>
            <w:r>
              <w:rPr>
                <w:rFonts w:hint="default"/>
                <w:lang w:eastAsia="zh-CN"/>
              </w:rPr>
              <w:instrText xml:space="preserve"> SEQ 表3- </w:instrText>
            </w:r>
            <w:r>
              <w:rPr>
                <w:rFonts w:hint="default"/>
                <w:lang w:eastAsia="zh-CN"/>
              </w:rPr>
              <w:fldChar w:fldCharType="separate"/>
            </w:r>
            <w:r>
              <w:rPr>
                <w:rFonts w:hint="default"/>
                <w:lang w:eastAsia="zh-CN"/>
              </w:rPr>
              <w:t>1</w:t>
            </w:r>
            <w:r>
              <w:rPr>
                <w:rFonts w:hint="default"/>
                <w:lang w:eastAsia="zh-CN"/>
              </w:rPr>
              <w:fldChar w:fldCharType="end"/>
            </w:r>
            <w:r>
              <w:rPr>
                <w:rFonts w:hint="eastAsia"/>
                <w:lang w:val="en-US" w:eastAsia="zh-CN"/>
              </w:rPr>
              <w:t xml:space="preserve">  2021松木经开区环境空气污染物浓度情况一览表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2216"/>
              <w:gridCol w:w="767"/>
              <w:gridCol w:w="1083"/>
              <w:gridCol w:w="867"/>
              <w:gridCol w:w="983"/>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污染物</w:t>
                  </w:r>
                </w:p>
              </w:tc>
              <w:tc>
                <w:tcPr>
                  <w:tcW w:w="221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评价指标</w:t>
                  </w:r>
                </w:p>
              </w:tc>
              <w:tc>
                <w:tcPr>
                  <w:tcW w:w="7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单位</w:t>
                  </w:r>
                </w:p>
              </w:tc>
              <w:tc>
                <w:tcPr>
                  <w:tcW w:w="10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现状浓度</w:t>
                  </w:r>
                </w:p>
              </w:tc>
              <w:tc>
                <w:tcPr>
                  <w:tcW w:w="8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标准值</w:t>
                  </w:r>
                </w:p>
              </w:tc>
              <w:tc>
                <w:tcPr>
                  <w:tcW w:w="9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占标率（%）</w:t>
                  </w:r>
                </w:p>
              </w:tc>
              <w:tc>
                <w:tcPr>
                  <w:tcW w:w="74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SO</w:t>
                  </w:r>
                  <w:r>
                    <w:rPr>
                      <w:rFonts w:hint="eastAsia"/>
                      <w:color w:val="auto"/>
                      <w:sz w:val="21"/>
                      <w:szCs w:val="21"/>
                      <w:vertAlign w:val="subscript"/>
                      <w:lang w:val="en-US" w:eastAsia="zh-CN"/>
                    </w:rPr>
                    <w:t>2</w:t>
                  </w:r>
                </w:p>
              </w:tc>
              <w:tc>
                <w:tcPr>
                  <w:tcW w:w="221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年平均质量浓度</w:t>
                  </w:r>
                </w:p>
              </w:tc>
              <w:tc>
                <w:tcPr>
                  <w:tcW w:w="7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ug</w:t>
                  </w:r>
                  <w:r>
                    <w:rPr>
                      <w:rFonts w:hint="eastAsia" w:ascii="Calibri" w:hAnsi="Calibri" w:cs="Calibri"/>
                      <w:color w:val="auto"/>
                      <w:sz w:val="21"/>
                      <w:szCs w:val="21"/>
                      <w:vertAlign w:val="baseline"/>
                      <w:lang w:val="en-US" w:eastAsia="zh-CN"/>
                    </w:rPr>
                    <w:t>/</w:t>
                  </w:r>
                  <w:r>
                    <w:rPr>
                      <w:rFonts w:hint="eastAsia"/>
                      <w:color w:val="auto"/>
                      <w:sz w:val="21"/>
                      <w:szCs w:val="21"/>
                      <w:vertAlign w:val="baseline"/>
                      <w:lang w:val="en-US" w:eastAsia="zh-CN"/>
                    </w:rPr>
                    <w:t>m</w:t>
                  </w:r>
                  <w:r>
                    <w:rPr>
                      <w:rFonts w:hint="eastAsia"/>
                      <w:color w:val="auto"/>
                      <w:sz w:val="21"/>
                      <w:szCs w:val="21"/>
                      <w:vertAlign w:val="superscript"/>
                      <w:lang w:val="en-US" w:eastAsia="zh-CN"/>
                    </w:rPr>
                    <w:t>3</w:t>
                  </w:r>
                </w:p>
              </w:tc>
              <w:tc>
                <w:tcPr>
                  <w:tcW w:w="10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12</w:t>
                  </w:r>
                </w:p>
              </w:tc>
              <w:tc>
                <w:tcPr>
                  <w:tcW w:w="8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60</w:t>
                  </w:r>
                </w:p>
              </w:tc>
              <w:tc>
                <w:tcPr>
                  <w:tcW w:w="9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20</w:t>
                  </w:r>
                </w:p>
              </w:tc>
              <w:tc>
                <w:tcPr>
                  <w:tcW w:w="74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NO</w:t>
                  </w:r>
                  <w:r>
                    <w:rPr>
                      <w:rFonts w:hint="default"/>
                      <w:color w:val="auto"/>
                      <w:sz w:val="21"/>
                      <w:szCs w:val="21"/>
                      <w:vertAlign w:val="baseline"/>
                      <w:lang w:val="en-US" w:eastAsia="zh-CN"/>
                    </w:rPr>
                    <w:t>₂</w:t>
                  </w:r>
                </w:p>
              </w:tc>
              <w:tc>
                <w:tcPr>
                  <w:tcW w:w="221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年平均质量浓度</w:t>
                  </w:r>
                </w:p>
              </w:tc>
              <w:tc>
                <w:tcPr>
                  <w:tcW w:w="7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ug</w:t>
                  </w:r>
                  <w:r>
                    <w:rPr>
                      <w:rFonts w:hint="eastAsia" w:ascii="Calibri" w:hAnsi="Calibri" w:cs="Calibri"/>
                      <w:color w:val="auto"/>
                      <w:sz w:val="21"/>
                      <w:szCs w:val="21"/>
                      <w:vertAlign w:val="baseline"/>
                      <w:lang w:val="en-US" w:eastAsia="zh-CN"/>
                    </w:rPr>
                    <w:t>/</w:t>
                  </w:r>
                  <w:r>
                    <w:rPr>
                      <w:rFonts w:hint="eastAsia"/>
                      <w:color w:val="auto"/>
                      <w:sz w:val="21"/>
                      <w:szCs w:val="21"/>
                      <w:vertAlign w:val="baseline"/>
                      <w:lang w:val="en-US" w:eastAsia="zh-CN"/>
                    </w:rPr>
                    <w:t>m</w:t>
                  </w:r>
                  <w:r>
                    <w:rPr>
                      <w:rFonts w:hint="eastAsia"/>
                      <w:color w:val="auto"/>
                      <w:sz w:val="21"/>
                      <w:szCs w:val="21"/>
                      <w:vertAlign w:val="superscript"/>
                      <w:lang w:val="en-US" w:eastAsia="zh-CN"/>
                    </w:rPr>
                    <w:t>3</w:t>
                  </w:r>
                </w:p>
              </w:tc>
              <w:tc>
                <w:tcPr>
                  <w:tcW w:w="10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20</w:t>
                  </w:r>
                </w:p>
              </w:tc>
              <w:tc>
                <w:tcPr>
                  <w:tcW w:w="8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40</w:t>
                  </w:r>
                </w:p>
              </w:tc>
              <w:tc>
                <w:tcPr>
                  <w:tcW w:w="9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50</w:t>
                  </w:r>
                </w:p>
              </w:tc>
              <w:tc>
                <w:tcPr>
                  <w:tcW w:w="74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PM</w:t>
                  </w:r>
                  <w:r>
                    <w:rPr>
                      <w:rFonts w:hint="eastAsia"/>
                      <w:color w:val="auto"/>
                      <w:sz w:val="21"/>
                      <w:szCs w:val="21"/>
                      <w:vertAlign w:val="subscript"/>
                      <w:lang w:val="en-US" w:eastAsia="zh-CN"/>
                    </w:rPr>
                    <w:t>10</w:t>
                  </w:r>
                </w:p>
              </w:tc>
              <w:tc>
                <w:tcPr>
                  <w:tcW w:w="221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年平均质量浓度</w:t>
                  </w:r>
                </w:p>
              </w:tc>
              <w:tc>
                <w:tcPr>
                  <w:tcW w:w="7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ug</w:t>
                  </w:r>
                  <w:r>
                    <w:rPr>
                      <w:rFonts w:hint="eastAsia" w:ascii="Calibri" w:hAnsi="Calibri" w:cs="Calibri"/>
                      <w:color w:val="auto"/>
                      <w:sz w:val="21"/>
                      <w:szCs w:val="21"/>
                      <w:vertAlign w:val="baseline"/>
                      <w:lang w:val="en-US" w:eastAsia="zh-CN"/>
                    </w:rPr>
                    <w:t>/</w:t>
                  </w:r>
                  <w:r>
                    <w:rPr>
                      <w:rFonts w:hint="eastAsia"/>
                      <w:color w:val="auto"/>
                      <w:sz w:val="21"/>
                      <w:szCs w:val="21"/>
                      <w:vertAlign w:val="baseline"/>
                      <w:lang w:val="en-US" w:eastAsia="zh-CN"/>
                    </w:rPr>
                    <w:t>m</w:t>
                  </w:r>
                  <w:r>
                    <w:rPr>
                      <w:rFonts w:hint="eastAsia"/>
                      <w:color w:val="auto"/>
                      <w:sz w:val="21"/>
                      <w:szCs w:val="21"/>
                      <w:vertAlign w:val="superscript"/>
                      <w:lang w:val="en-US" w:eastAsia="zh-CN"/>
                    </w:rPr>
                    <w:t>3</w:t>
                  </w:r>
                </w:p>
              </w:tc>
              <w:tc>
                <w:tcPr>
                  <w:tcW w:w="10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58</w:t>
                  </w:r>
                </w:p>
              </w:tc>
              <w:tc>
                <w:tcPr>
                  <w:tcW w:w="8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70</w:t>
                  </w:r>
                </w:p>
              </w:tc>
              <w:tc>
                <w:tcPr>
                  <w:tcW w:w="98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82.86</w:t>
                  </w:r>
                </w:p>
              </w:tc>
              <w:tc>
                <w:tcPr>
                  <w:tcW w:w="74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PM</w:t>
                  </w:r>
                  <w:r>
                    <w:rPr>
                      <w:rFonts w:hint="eastAsia"/>
                      <w:color w:val="auto"/>
                      <w:sz w:val="21"/>
                      <w:szCs w:val="21"/>
                      <w:vertAlign w:val="subscript"/>
                      <w:lang w:val="en-US" w:eastAsia="zh-CN"/>
                    </w:rPr>
                    <w:t>2.5</w:t>
                  </w:r>
                </w:p>
              </w:tc>
              <w:tc>
                <w:tcPr>
                  <w:tcW w:w="221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年平均质量浓度</w:t>
                  </w:r>
                </w:p>
              </w:tc>
              <w:tc>
                <w:tcPr>
                  <w:tcW w:w="7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ug</w:t>
                  </w:r>
                  <w:r>
                    <w:rPr>
                      <w:rFonts w:hint="eastAsia" w:ascii="Calibri" w:hAnsi="Calibri" w:cs="Calibri"/>
                      <w:color w:val="auto"/>
                      <w:sz w:val="21"/>
                      <w:szCs w:val="21"/>
                      <w:vertAlign w:val="baseline"/>
                      <w:lang w:val="en-US" w:eastAsia="zh-CN"/>
                    </w:rPr>
                    <w:t>/</w:t>
                  </w:r>
                  <w:r>
                    <w:rPr>
                      <w:rFonts w:hint="eastAsia"/>
                      <w:color w:val="auto"/>
                      <w:sz w:val="21"/>
                      <w:szCs w:val="21"/>
                      <w:vertAlign w:val="baseline"/>
                      <w:lang w:val="en-US" w:eastAsia="zh-CN"/>
                    </w:rPr>
                    <w:t>m</w:t>
                  </w:r>
                  <w:r>
                    <w:rPr>
                      <w:rFonts w:hint="eastAsia"/>
                      <w:color w:val="auto"/>
                      <w:sz w:val="21"/>
                      <w:szCs w:val="21"/>
                      <w:vertAlign w:val="superscript"/>
                      <w:lang w:val="en-US" w:eastAsia="zh-CN"/>
                    </w:rPr>
                    <w:t>3</w:t>
                  </w:r>
                </w:p>
              </w:tc>
              <w:tc>
                <w:tcPr>
                  <w:tcW w:w="10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36</w:t>
                  </w:r>
                </w:p>
              </w:tc>
              <w:tc>
                <w:tcPr>
                  <w:tcW w:w="8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35</w:t>
                  </w:r>
                </w:p>
              </w:tc>
              <w:tc>
                <w:tcPr>
                  <w:tcW w:w="98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102.86</w:t>
                  </w:r>
                </w:p>
              </w:tc>
              <w:tc>
                <w:tcPr>
                  <w:tcW w:w="74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CO</w:t>
                  </w:r>
                </w:p>
              </w:tc>
              <w:tc>
                <w:tcPr>
                  <w:tcW w:w="221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24h平均质量浓度</w:t>
                  </w:r>
                </w:p>
              </w:tc>
              <w:tc>
                <w:tcPr>
                  <w:tcW w:w="7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ug</w:t>
                  </w:r>
                  <w:r>
                    <w:rPr>
                      <w:rFonts w:hint="eastAsia" w:ascii="Calibri" w:hAnsi="Calibri" w:cs="Calibri"/>
                      <w:color w:val="auto"/>
                      <w:sz w:val="21"/>
                      <w:szCs w:val="21"/>
                      <w:vertAlign w:val="baseline"/>
                      <w:lang w:val="en-US" w:eastAsia="zh-CN"/>
                    </w:rPr>
                    <w:t>/</w:t>
                  </w:r>
                  <w:r>
                    <w:rPr>
                      <w:rFonts w:hint="eastAsia"/>
                      <w:color w:val="auto"/>
                      <w:sz w:val="21"/>
                      <w:szCs w:val="21"/>
                      <w:vertAlign w:val="baseline"/>
                      <w:lang w:val="en-US" w:eastAsia="zh-CN"/>
                    </w:rPr>
                    <w:t>m</w:t>
                  </w:r>
                  <w:r>
                    <w:rPr>
                      <w:rFonts w:hint="eastAsia"/>
                      <w:color w:val="auto"/>
                      <w:sz w:val="21"/>
                      <w:szCs w:val="21"/>
                      <w:vertAlign w:val="superscript"/>
                      <w:lang w:val="en-US" w:eastAsia="zh-CN"/>
                    </w:rPr>
                    <w:t>3</w:t>
                  </w:r>
                </w:p>
              </w:tc>
              <w:tc>
                <w:tcPr>
                  <w:tcW w:w="10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1.1</w:t>
                  </w:r>
                </w:p>
              </w:tc>
              <w:tc>
                <w:tcPr>
                  <w:tcW w:w="8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4</w:t>
                  </w:r>
                </w:p>
              </w:tc>
              <w:tc>
                <w:tcPr>
                  <w:tcW w:w="9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27.5</w:t>
                  </w:r>
                </w:p>
              </w:tc>
              <w:tc>
                <w:tcPr>
                  <w:tcW w:w="74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O</w:t>
                  </w:r>
                  <w:r>
                    <w:rPr>
                      <w:rFonts w:hint="eastAsia"/>
                      <w:color w:val="auto"/>
                      <w:sz w:val="21"/>
                      <w:szCs w:val="21"/>
                      <w:vertAlign w:val="subscript"/>
                      <w:lang w:val="en-US" w:eastAsia="zh-CN"/>
                    </w:rPr>
                    <w:t>3</w:t>
                  </w:r>
                </w:p>
              </w:tc>
              <w:tc>
                <w:tcPr>
                  <w:tcW w:w="221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最大8h平均质量浓度</w:t>
                  </w:r>
                </w:p>
              </w:tc>
              <w:tc>
                <w:tcPr>
                  <w:tcW w:w="7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ug</w:t>
                  </w:r>
                  <w:r>
                    <w:rPr>
                      <w:rFonts w:hint="eastAsia" w:ascii="Calibri" w:hAnsi="Calibri" w:cs="Calibri"/>
                      <w:color w:val="auto"/>
                      <w:sz w:val="21"/>
                      <w:szCs w:val="21"/>
                      <w:vertAlign w:val="baseline"/>
                      <w:lang w:val="en-US" w:eastAsia="zh-CN"/>
                    </w:rPr>
                    <w:t>/</w:t>
                  </w:r>
                  <w:r>
                    <w:rPr>
                      <w:rFonts w:hint="eastAsia"/>
                      <w:color w:val="auto"/>
                      <w:sz w:val="21"/>
                      <w:szCs w:val="21"/>
                      <w:vertAlign w:val="baseline"/>
                      <w:lang w:val="en-US" w:eastAsia="zh-CN"/>
                    </w:rPr>
                    <w:t>m</w:t>
                  </w:r>
                  <w:r>
                    <w:rPr>
                      <w:rFonts w:hint="eastAsia"/>
                      <w:color w:val="auto"/>
                      <w:sz w:val="21"/>
                      <w:szCs w:val="21"/>
                      <w:vertAlign w:val="superscript"/>
                      <w:lang w:val="en-US" w:eastAsia="zh-CN"/>
                    </w:rPr>
                    <w:t>3</w:t>
                  </w:r>
                </w:p>
              </w:tc>
              <w:tc>
                <w:tcPr>
                  <w:tcW w:w="108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136</w:t>
                  </w:r>
                </w:p>
              </w:tc>
              <w:tc>
                <w:tcPr>
                  <w:tcW w:w="8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160</w:t>
                  </w:r>
                </w:p>
              </w:tc>
              <w:tc>
                <w:tcPr>
                  <w:tcW w:w="98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85</w:t>
                  </w:r>
                </w:p>
              </w:tc>
              <w:tc>
                <w:tcPr>
                  <w:tcW w:w="74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达标</w:t>
                  </w:r>
                </w:p>
              </w:tc>
            </w:tr>
          </w:tbl>
          <w:p>
            <w:pPr>
              <w:ind w:firstLine="480" w:firstLineChars="200"/>
              <w:rPr>
                <w:rFonts w:hint="eastAsia"/>
                <w:color w:val="auto"/>
                <w:vertAlign w:val="baseline"/>
                <w:lang w:val="en-US" w:eastAsia="zh-CN"/>
              </w:rPr>
            </w:pPr>
            <w:r>
              <w:rPr>
                <w:rFonts w:hint="eastAsia"/>
                <w:color w:val="auto"/>
                <w:vertAlign w:val="baseline"/>
                <w:lang w:val="en-US" w:eastAsia="zh-CN"/>
              </w:rPr>
              <w:t>由上表可知，衡阳市松木经开区PM</w:t>
            </w:r>
            <w:r>
              <w:rPr>
                <w:rFonts w:hint="eastAsia"/>
                <w:color w:val="auto"/>
                <w:vertAlign w:val="subscript"/>
                <w:lang w:val="en-US" w:eastAsia="zh-CN"/>
              </w:rPr>
              <w:t>2.5</w:t>
            </w:r>
            <w:r>
              <w:rPr>
                <w:rFonts w:hint="eastAsia"/>
                <w:color w:val="auto"/>
                <w:vertAlign w:val="baseline"/>
                <w:lang w:val="en-US" w:eastAsia="zh-CN"/>
              </w:rPr>
              <w:t>不达标，为不达标区，PM</w:t>
            </w:r>
            <w:r>
              <w:rPr>
                <w:rFonts w:hint="eastAsia"/>
                <w:color w:val="auto"/>
                <w:vertAlign w:val="subscript"/>
                <w:lang w:val="en-US" w:eastAsia="zh-CN"/>
              </w:rPr>
              <w:t>2.5</w:t>
            </w:r>
            <w:r>
              <w:rPr>
                <w:rFonts w:hint="eastAsia"/>
                <w:color w:val="auto"/>
                <w:vertAlign w:val="baseline"/>
                <w:lang w:val="en-US" w:eastAsia="zh-CN"/>
              </w:rPr>
              <w:t>的超标率为2.86</w:t>
            </w:r>
            <w:r>
              <w:rPr>
                <w:rFonts w:hint="default" w:ascii="Times New Roman" w:hAnsi="Times New Roman" w:cs="Times New Roman"/>
                <w:color w:val="auto"/>
                <w:vertAlign w:val="baseline"/>
                <w:lang w:val="en-US" w:eastAsia="zh-CN"/>
              </w:rPr>
              <w:t>%</w:t>
            </w:r>
            <w:r>
              <w:rPr>
                <w:rFonts w:hint="eastAsia" w:cs="Times New Roman"/>
                <w:color w:val="auto"/>
                <w:vertAlign w:val="baseline"/>
                <w:lang w:val="en-US" w:eastAsia="zh-CN"/>
              </w:rPr>
              <w:t>，超标倍数为0.029。</w:t>
            </w:r>
            <w:r>
              <w:rPr>
                <w:rFonts w:hint="eastAsia"/>
                <w:color w:val="auto"/>
                <w:vertAlign w:val="baseline"/>
                <w:lang w:val="en-US" w:eastAsia="zh-CN"/>
              </w:rPr>
              <w:t>本项目特征污染因子为非甲烷总烃，不会对项目所在区域超标因子造成冲击。除去PM</w:t>
            </w:r>
            <w:r>
              <w:rPr>
                <w:rFonts w:hint="eastAsia"/>
                <w:color w:val="auto"/>
                <w:vertAlign w:val="subscript"/>
                <w:lang w:val="en-US" w:eastAsia="zh-CN"/>
              </w:rPr>
              <w:t>2.5</w:t>
            </w:r>
            <w:r>
              <w:rPr>
                <w:rFonts w:hint="eastAsia"/>
                <w:color w:val="auto"/>
                <w:vertAlign w:val="baseline"/>
                <w:lang w:val="en-US" w:eastAsia="zh-CN"/>
              </w:rPr>
              <w:t>，项目所在区域其余大气污染物均满足《环境空气质量标准》（GB3095-2012及2018修改单）中的二级标准。</w:t>
            </w:r>
          </w:p>
          <w:p>
            <w:pPr>
              <w:ind w:firstLine="480" w:firstLineChars="200"/>
              <w:rPr>
                <w:rFonts w:hint="eastAsia"/>
                <w:color w:val="auto"/>
                <w:vertAlign w:val="baseline"/>
                <w:lang w:val="en-US" w:eastAsia="zh-CN"/>
              </w:rPr>
            </w:pPr>
            <w:r>
              <w:rPr>
                <w:rFonts w:hint="eastAsia"/>
                <w:color w:val="auto"/>
                <w:vertAlign w:val="baseline"/>
                <w:lang w:val="en-US" w:eastAsia="zh-CN"/>
              </w:rPr>
              <w:t>（2）其他污染物环境质量现状</w:t>
            </w:r>
          </w:p>
          <w:p>
            <w:pPr>
              <w:ind w:firstLine="480" w:firstLineChars="200"/>
              <w:rPr>
                <w:rFonts w:hint="eastAsia"/>
                <w:color w:val="auto"/>
                <w:vertAlign w:val="baseline"/>
                <w:lang w:val="en-US" w:eastAsia="zh-CN"/>
              </w:rPr>
            </w:pPr>
            <w:r>
              <w:rPr>
                <w:rFonts w:hint="eastAsia"/>
                <w:color w:val="auto"/>
                <w:vertAlign w:val="baseline"/>
                <w:lang w:val="en-US" w:eastAsia="zh-CN"/>
              </w:rPr>
              <w:t>本项目特征污染因子为非甲烷总烃，故为了解项目所在区域非甲烷总烃的质量状况，本次引用湖南品标华测检测技术有限公司于2020年1月10日-16日对项目所在地环境空气质量的监测资料。其监测点位位于本项目评价范围内，项目周边区域近几年内污染结构未发生重大改变，环境特征相似，引用数据为三年内有效数据，符合环评导则要求。</w:t>
            </w:r>
          </w:p>
          <w:p>
            <w:pPr>
              <w:ind w:firstLine="480" w:firstLineChars="200"/>
              <w:rPr>
                <w:rFonts w:hint="eastAsia"/>
                <w:color w:val="auto"/>
                <w:vertAlign w:val="baseline"/>
                <w:lang w:val="en-US" w:eastAsia="zh-CN"/>
              </w:rPr>
            </w:pPr>
            <w:r>
              <w:rPr>
                <w:rFonts w:hint="eastAsia"/>
                <w:color w:val="auto"/>
                <w:vertAlign w:val="baseline"/>
                <w:lang w:val="en-US" w:eastAsia="zh-CN"/>
              </w:rPr>
              <w:t>1）监测点位</w:t>
            </w:r>
          </w:p>
          <w:p>
            <w:pPr>
              <w:ind w:firstLine="480" w:firstLineChars="200"/>
              <w:rPr>
                <w:rFonts w:hint="eastAsia"/>
                <w:color w:val="auto"/>
                <w:vertAlign w:val="baseline"/>
                <w:lang w:val="en-US" w:eastAsia="zh-CN"/>
              </w:rPr>
            </w:pPr>
            <w:r>
              <w:rPr>
                <w:rFonts w:hint="eastAsia"/>
                <w:color w:val="auto"/>
                <w:vertAlign w:val="baseline"/>
                <w:lang w:val="en-US" w:eastAsia="zh-CN"/>
              </w:rPr>
              <w:t>监测点位见表3-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2</w:t>
            </w:r>
            <w:r>
              <w:rPr>
                <w:rFonts w:hint="default"/>
                <w:color w:val="auto"/>
                <w:vertAlign w:val="baseline"/>
                <w:lang w:eastAsia="zh-CN"/>
              </w:rPr>
              <w:fldChar w:fldCharType="end"/>
            </w:r>
            <w:r>
              <w:rPr>
                <w:rFonts w:hint="eastAsia"/>
                <w:color w:val="auto"/>
                <w:vertAlign w:val="baseline"/>
                <w:lang w:val="en-US" w:eastAsia="zh-CN"/>
              </w:rPr>
              <w:t>。</w:t>
            </w:r>
          </w:p>
          <w:p>
            <w:pPr>
              <w:spacing w:line="240" w:lineRule="auto"/>
              <w:jc w:val="center"/>
              <w:rPr>
                <w:rFonts w:hint="eastAsia"/>
                <w:b/>
                <w:bCs/>
                <w:color w:val="auto"/>
                <w:vertAlign w:val="baseline"/>
                <w:lang w:val="en-US" w:eastAsia="zh-CN"/>
              </w:rPr>
            </w:pPr>
            <w:r>
              <w:rPr>
                <w:rFonts w:hint="eastAsia"/>
                <w:b/>
                <w:bCs/>
                <w:color w:val="auto"/>
                <w:vertAlign w:val="baseline"/>
                <w:lang w:val="en-US" w:eastAsia="zh-CN"/>
              </w:rPr>
              <w:t>表3-</w:t>
            </w:r>
            <w:r>
              <w:rPr>
                <w:rFonts w:hint="default"/>
                <w:b/>
                <w:bCs/>
                <w:color w:val="auto"/>
                <w:vertAlign w:val="baseline"/>
                <w:lang w:eastAsia="zh-CN"/>
              </w:rPr>
              <w:fldChar w:fldCharType="begin"/>
            </w:r>
            <w:r>
              <w:rPr>
                <w:rFonts w:hint="default"/>
                <w:b/>
                <w:bCs/>
                <w:color w:val="auto"/>
                <w:vertAlign w:val="baseline"/>
                <w:lang w:eastAsia="zh-CN"/>
              </w:rPr>
              <w:instrText xml:space="preserve"> SEQ 表3- </w:instrText>
            </w:r>
            <w:r>
              <w:rPr>
                <w:rFonts w:hint="default"/>
                <w:b/>
                <w:bCs/>
                <w:color w:val="auto"/>
                <w:vertAlign w:val="baseline"/>
                <w:lang w:eastAsia="zh-CN"/>
              </w:rPr>
              <w:fldChar w:fldCharType="separate"/>
            </w:r>
            <w:r>
              <w:rPr>
                <w:rFonts w:hint="default"/>
                <w:b/>
                <w:bCs/>
                <w:color w:val="auto"/>
                <w:vertAlign w:val="baseline"/>
                <w:lang w:eastAsia="zh-CN"/>
              </w:rPr>
              <w:t>2</w:t>
            </w:r>
            <w:r>
              <w:rPr>
                <w:rFonts w:hint="default"/>
                <w:b/>
                <w:bCs/>
                <w:color w:val="auto"/>
                <w:vertAlign w:val="baseline"/>
                <w:lang w:eastAsia="zh-CN"/>
              </w:rPr>
              <w:fldChar w:fldCharType="end"/>
            </w:r>
            <w:r>
              <w:rPr>
                <w:rFonts w:hint="eastAsia"/>
                <w:b/>
                <w:bCs/>
                <w:color w:val="auto"/>
                <w:vertAlign w:val="baseline"/>
                <w:lang w:val="en-US" w:eastAsia="zh-CN"/>
              </w:rPr>
              <w:t xml:space="preserve">  环境空气补充监测布点表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7"/>
              <w:gridCol w:w="2498"/>
              <w:gridCol w:w="2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1"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序号</w:t>
                  </w:r>
                </w:p>
              </w:tc>
              <w:tc>
                <w:tcPr>
                  <w:tcW w:w="2501"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监测点位</w:t>
                  </w:r>
                </w:p>
              </w:tc>
              <w:tc>
                <w:tcPr>
                  <w:tcW w:w="2501"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1"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G1</w:t>
                  </w:r>
                </w:p>
              </w:tc>
              <w:tc>
                <w:tcPr>
                  <w:tcW w:w="2501"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项目东北侧3km新安村</w:t>
                  </w:r>
                </w:p>
              </w:tc>
              <w:tc>
                <w:tcPr>
                  <w:tcW w:w="2501"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非甲烷总烃</w:t>
                  </w:r>
                </w:p>
              </w:tc>
            </w:tr>
          </w:tbl>
          <w:p>
            <w:pPr>
              <w:ind w:firstLine="480" w:firstLineChars="200"/>
              <w:rPr>
                <w:rFonts w:hint="eastAsia"/>
                <w:color w:val="auto"/>
                <w:vertAlign w:val="baseline"/>
                <w:lang w:val="en-US" w:eastAsia="zh-CN"/>
              </w:rPr>
            </w:pPr>
            <w:r>
              <w:rPr>
                <w:rFonts w:hint="eastAsia"/>
                <w:color w:val="auto"/>
                <w:vertAlign w:val="baseline"/>
                <w:lang w:val="en-US" w:eastAsia="zh-CN"/>
              </w:rPr>
              <w:t>2）监测时间与频次</w:t>
            </w:r>
          </w:p>
          <w:p>
            <w:pPr>
              <w:ind w:firstLine="480" w:firstLineChars="200"/>
              <w:rPr>
                <w:rFonts w:hint="eastAsia"/>
                <w:color w:val="auto"/>
                <w:vertAlign w:val="baseline"/>
                <w:lang w:val="en-US" w:eastAsia="zh-CN"/>
              </w:rPr>
            </w:pPr>
            <w:r>
              <w:rPr>
                <w:rFonts w:hint="eastAsia"/>
                <w:color w:val="auto"/>
                <w:vertAlign w:val="baseline"/>
                <w:lang w:val="en-US" w:eastAsia="zh-CN"/>
              </w:rPr>
              <w:t>监测时间为2020年1月10日~2020年1月16日，连续监测7天，监测期间同时观测并记录气象要素。</w:t>
            </w:r>
          </w:p>
          <w:p>
            <w:pPr>
              <w:ind w:firstLine="480" w:firstLineChars="200"/>
              <w:rPr>
                <w:rFonts w:hint="eastAsia"/>
                <w:color w:val="auto"/>
                <w:vertAlign w:val="baseline"/>
                <w:lang w:val="en-US" w:eastAsia="zh-CN"/>
              </w:rPr>
            </w:pPr>
            <w:r>
              <w:rPr>
                <w:rFonts w:hint="eastAsia"/>
                <w:color w:val="auto"/>
                <w:vertAlign w:val="baseline"/>
                <w:lang w:val="en-US" w:eastAsia="zh-CN"/>
              </w:rPr>
              <w:t>3）监测结果</w:t>
            </w:r>
          </w:p>
          <w:p>
            <w:pPr>
              <w:ind w:firstLine="480" w:firstLineChars="200"/>
              <w:rPr>
                <w:rFonts w:hint="eastAsia"/>
                <w:color w:val="auto"/>
                <w:vertAlign w:val="baseline"/>
                <w:lang w:val="en-US" w:eastAsia="zh-CN"/>
              </w:rPr>
            </w:pPr>
            <w:r>
              <w:rPr>
                <w:rFonts w:hint="eastAsia"/>
                <w:color w:val="auto"/>
                <w:vertAlign w:val="baseline"/>
                <w:lang w:val="en-US" w:eastAsia="zh-CN"/>
              </w:rPr>
              <w:t>监测结果见表3-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3</w:t>
            </w:r>
            <w:r>
              <w:rPr>
                <w:rFonts w:hint="default"/>
                <w:color w:val="auto"/>
                <w:vertAlign w:val="baseline"/>
                <w:lang w:eastAsia="zh-CN"/>
              </w:rPr>
              <w:fldChar w:fldCharType="end"/>
            </w:r>
            <w:r>
              <w:rPr>
                <w:rFonts w:hint="eastAsia"/>
                <w:color w:val="auto"/>
                <w:vertAlign w:val="baseline"/>
                <w:lang w:val="en-US" w:eastAsia="zh-CN"/>
              </w:rPr>
              <w:t>。</w:t>
            </w:r>
          </w:p>
          <w:p>
            <w:pPr>
              <w:spacing w:line="240" w:lineRule="auto"/>
              <w:jc w:val="center"/>
              <w:rPr>
                <w:rFonts w:hint="eastAsia"/>
                <w:b/>
                <w:bCs/>
                <w:color w:val="auto"/>
                <w:vertAlign w:val="baseline"/>
                <w:lang w:val="en-US" w:eastAsia="zh-CN"/>
              </w:rPr>
            </w:pPr>
            <w:r>
              <w:rPr>
                <w:rFonts w:hint="eastAsia"/>
                <w:b/>
                <w:bCs/>
                <w:color w:val="auto"/>
                <w:vertAlign w:val="baseline"/>
                <w:lang w:val="en-US" w:eastAsia="zh-CN"/>
              </w:rPr>
              <w:t>表3-</w:t>
            </w:r>
            <w:r>
              <w:rPr>
                <w:rFonts w:hint="default"/>
                <w:b/>
                <w:bCs/>
                <w:color w:val="auto"/>
                <w:vertAlign w:val="baseline"/>
                <w:lang w:eastAsia="zh-CN"/>
              </w:rPr>
              <w:fldChar w:fldCharType="begin"/>
            </w:r>
            <w:r>
              <w:rPr>
                <w:rFonts w:hint="default"/>
                <w:b/>
                <w:bCs/>
                <w:color w:val="auto"/>
                <w:vertAlign w:val="baseline"/>
                <w:lang w:eastAsia="zh-CN"/>
              </w:rPr>
              <w:instrText xml:space="preserve"> SEQ 表3- </w:instrText>
            </w:r>
            <w:r>
              <w:rPr>
                <w:rFonts w:hint="default"/>
                <w:b/>
                <w:bCs/>
                <w:color w:val="auto"/>
                <w:vertAlign w:val="baseline"/>
                <w:lang w:eastAsia="zh-CN"/>
              </w:rPr>
              <w:fldChar w:fldCharType="separate"/>
            </w:r>
            <w:r>
              <w:rPr>
                <w:rFonts w:hint="default"/>
                <w:b/>
                <w:bCs/>
                <w:color w:val="auto"/>
                <w:vertAlign w:val="baseline"/>
                <w:lang w:eastAsia="zh-CN"/>
              </w:rPr>
              <w:t>3</w:t>
            </w:r>
            <w:r>
              <w:rPr>
                <w:rFonts w:hint="default"/>
                <w:b/>
                <w:bCs/>
                <w:color w:val="auto"/>
                <w:vertAlign w:val="baseline"/>
                <w:lang w:eastAsia="zh-CN"/>
              </w:rPr>
              <w:fldChar w:fldCharType="end"/>
            </w:r>
            <w:r>
              <w:rPr>
                <w:rFonts w:hint="eastAsia"/>
                <w:b/>
                <w:bCs/>
                <w:color w:val="auto"/>
                <w:vertAlign w:val="baseline"/>
                <w:lang w:val="en-US" w:eastAsia="zh-CN"/>
              </w:rPr>
              <w:t xml:space="preserve"> 监测结果一览表（单位：mg</w:t>
            </w:r>
            <w:r>
              <w:rPr>
                <w:rFonts w:hint="eastAsia" w:ascii="Calibri" w:hAnsi="Calibri" w:cs="Calibri"/>
                <w:b/>
                <w:bCs/>
                <w:color w:val="auto"/>
                <w:vertAlign w:val="baseline"/>
                <w:lang w:val="en-US" w:eastAsia="zh-CN"/>
              </w:rPr>
              <w:t>/</w:t>
            </w:r>
            <w:r>
              <w:rPr>
                <w:rFonts w:hint="eastAsia"/>
                <w:b/>
                <w:bCs/>
                <w:color w:val="auto"/>
                <w:vertAlign w:val="baseline"/>
                <w:lang w:val="en-US" w:eastAsia="zh-CN"/>
              </w:rPr>
              <w:t>m</w:t>
            </w:r>
            <w:r>
              <w:rPr>
                <w:rFonts w:hint="eastAsia"/>
                <w:b/>
                <w:bCs/>
                <w:color w:val="auto"/>
                <w:vertAlign w:val="superscript"/>
                <w:lang w:val="en-US" w:eastAsia="zh-CN"/>
              </w:rPr>
              <w:t>3</w:t>
            </w:r>
            <w:r>
              <w:rPr>
                <w:rFonts w:hint="eastAsia"/>
                <w:b/>
                <w:bCs/>
                <w:color w:val="auto"/>
                <w:vertAlign w:val="baseline"/>
                <w:lang w:val="en-US" w:eastAsia="zh-CN"/>
              </w:rPr>
              <w:t>）</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450"/>
              <w:gridCol w:w="1100"/>
              <w:gridCol w:w="717"/>
              <w:gridCol w:w="933"/>
              <w:gridCol w:w="967"/>
              <w:gridCol w:w="900"/>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监测点位</w:t>
                  </w:r>
                </w:p>
              </w:tc>
              <w:tc>
                <w:tcPr>
                  <w:tcW w:w="145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监测项目</w:t>
                  </w:r>
                </w:p>
              </w:tc>
              <w:tc>
                <w:tcPr>
                  <w:tcW w:w="110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浓度范围</w:t>
                  </w:r>
                </w:p>
              </w:tc>
              <w:tc>
                <w:tcPr>
                  <w:tcW w:w="71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平均值</w:t>
                  </w:r>
                </w:p>
              </w:tc>
              <w:tc>
                <w:tcPr>
                  <w:tcW w:w="93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占标率（</w:t>
                  </w:r>
                  <w:r>
                    <w:rPr>
                      <w:rFonts w:hint="default"/>
                      <w:color w:val="auto"/>
                      <w:sz w:val="21"/>
                      <w:szCs w:val="21"/>
                      <w:vertAlign w:val="baseline"/>
                      <w:lang w:val="en-US" w:eastAsia="zh-CN"/>
                    </w:rPr>
                    <w:t>%</w:t>
                  </w:r>
                  <w:r>
                    <w:rPr>
                      <w:rFonts w:hint="eastAsia"/>
                      <w:color w:val="auto"/>
                      <w:sz w:val="21"/>
                      <w:szCs w:val="21"/>
                      <w:vertAlign w:val="baseline"/>
                      <w:lang w:val="en-US" w:eastAsia="zh-CN"/>
                    </w:rPr>
                    <w:t>）</w:t>
                  </w:r>
                </w:p>
              </w:tc>
              <w:tc>
                <w:tcPr>
                  <w:tcW w:w="9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超标率（%）</w:t>
                  </w:r>
                </w:p>
              </w:tc>
              <w:tc>
                <w:tcPr>
                  <w:tcW w:w="90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最大超标倍数</w:t>
                  </w:r>
                </w:p>
              </w:tc>
              <w:tc>
                <w:tcPr>
                  <w:tcW w:w="65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70" w:type="dxa"/>
                  <w:vAlign w:val="center"/>
                </w:tcPr>
                <w:p>
                  <w:pPr>
                    <w:spacing w:line="240" w:lineRule="auto"/>
                    <w:jc w:val="both"/>
                    <w:rPr>
                      <w:rFonts w:hint="eastAsia"/>
                      <w:color w:val="auto"/>
                      <w:sz w:val="21"/>
                      <w:szCs w:val="21"/>
                      <w:vertAlign w:val="baseline"/>
                      <w:lang w:val="en-US" w:eastAsia="zh-CN"/>
                    </w:rPr>
                  </w:pPr>
                  <w:r>
                    <w:rPr>
                      <w:rFonts w:hint="eastAsia"/>
                      <w:color w:val="auto"/>
                      <w:sz w:val="21"/>
                      <w:szCs w:val="21"/>
                      <w:vertAlign w:val="baseline"/>
                      <w:lang w:val="en-US" w:eastAsia="zh-CN"/>
                    </w:rPr>
                    <w:t>G1新安村</w:t>
                  </w:r>
                </w:p>
              </w:tc>
              <w:tc>
                <w:tcPr>
                  <w:tcW w:w="145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非甲烷总烃（小时平均）</w:t>
                  </w:r>
                </w:p>
              </w:tc>
              <w:tc>
                <w:tcPr>
                  <w:tcW w:w="110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0.11</w:t>
                  </w:r>
                  <w:r>
                    <w:rPr>
                      <w:rFonts w:hint="default"/>
                      <w:color w:val="auto"/>
                      <w:sz w:val="21"/>
                      <w:szCs w:val="21"/>
                      <w:vertAlign w:val="baseline"/>
                      <w:lang w:val="en-US" w:eastAsia="zh-CN"/>
                    </w:rPr>
                    <w:t>~</w:t>
                  </w:r>
                  <w:r>
                    <w:rPr>
                      <w:rFonts w:hint="eastAsia"/>
                      <w:color w:val="auto"/>
                      <w:sz w:val="21"/>
                      <w:szCs w:val="21"/>
                      <w:vertAlign w:val="baseline"/>
                      <w:lang w:val="en-US" w:eastAsia="zh-CN"/>
                    </w:rPr>
                    <w:t>0.26</w:t>
                  </w:r>
                </w:p>
              </w:tc>
              <w:tc>
                <w:tcPr>
                  <w:tcW w:w="71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0.19</w:t>
                  </w:r>
                </w:p>
              </w:tc>
              <w:tc>
                <w:tcPr>
                  <w:tcW w:w="93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5.5</w:t>
                  </w:r>
                  <w:r>
                    <w:rPr>
                      <w:rFonts w:hint="default"/>
                      <w:color w:val="auto"/>
                      <w:sz w:val="21"/>
                      <w:szCs w:val="21"/>
                      <w:vertAlign w:val="baseline"/>
                      <w:lang w:val="en-US" w:eastAsia="zh-CN"/>
                    </w:rPr>
                    <w:t>~</w:t>
                  </w:r>
                  <w:r>
                    <w:rPr>
                      <w:rFonts w:hint="eastAsia"/>
                      <w:color w:val="auto"/>
                      <w:sz w:val="21"/>
                      <w:szCs w:val="21"/>
                      <w:vertAlign w:val="baseline"/>
                      <w:lang w:val="en-US" w:eastAsia="zh-CN"/>
                    </w:rPr>
                    <w:t>13</w:t>
                  </w:r>
                </w:p>
              </w:tc>
              <w:tc>
                <w:tcPr>
                  <w:tcW w:w="96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0</w:t>
                  </w:r>
                </w:p>
              </w:tc>
              <w:tc>
                <w:tcPr>
                  <w:tcW w:w="900" w:type="dxa"/>
                  <w:vAlign w:val="center"/>
                </w:tcPr>
                <w:p>
                  <w:pPr>
                    <w:spacing w:line="240" w:lineRule="auto"/>
                    <w:jc w:val="center"/>
                    <w:rPr>
                      <w:rFonts w:hint="eastAsia"/>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656"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2.0</w:t>
                  </w:r>
                </w:p>
              </w:tc>
            </w:tr>
          </w:tbl>
          <w:p>
            <w:pPr>
              <w:ind w:firstLine="480" w:firstLineChars="200"/>
              <w:rPr>
                <w:rFonts w:hint="eastAsia"/>
                <w:color w:val="auto"/>
                <w:vertAlign w:val="baseline"/>
                <w:lang w:val="en-US" w:eastAsia="zh-CN"/>
              </w:rPr>
            </w:pPr>
            <w:r>
              <w:rPr>
                <w:rFonts w:hint="eastAsia"/>
                <w:color w:val="auto"/>
                <w:vertAlign w:val="baseline"/>
                <w:lang w:val="en-US" w:eastAsia="zh-CN"/>
              </w:rPr>
              <w:t>根据监测结果分析，监测期间新安村非甲烷总烃的浓度范围为0.11-0.26mg</w:t>
            </w:r>
            <w:r>
              <w:rPr>
                <w:rFonts w:hint="eastAsia" w:ascii="Calibri" w:hAnsi="Calibri" w:cs="Calibri"/>
                <w:color w:val="auto"/>
                <w:vertAlign w:val="baseline"/>
                <w:lang w:val="en-US" w:eastAsia="zh-CN"/>
              </w:rPr>
              <w:t>/</w:t>
            </w:r>
            <w:r>
              <w:rPr>
                <w:rFonts w:hint="eastAsia"/>
                <w:color w:val="auto"/>
                <w:vertAlign w:val="baseline"/>
                <w:lang w:val="en-US" w:eastAsia="zh-CN"/>
              </w:rPr>
              <w:t>m</w:t>
            </w:r>
            <w:r>
              <w:rPr>
                <w:rFonts w:hint="eastAsia"/>
                <w:color w:val="auto"/>
                <w:vertAlign w:val="superscript"/>
                <w:lang w:val="en-US" w:eastAsia="zh-CN"/>
              </w:rPr>
              <w:t>3</w:t>
            </w:r>
            <w:r>
              <w:rPr>
                <w:rFonts w:hint="eastAsia"/>
                <w:color w:val="auto"/>
                <w:vertAlign w:val="baseline"/>
                <w:lang w:val="en-US" w:eastAsia="zh-CN"/>
              </w:rPr>
              <w:t>，符合《大气综合污染物排放标准详解》第四章标准值说明三一、非甲烷总烃2.0mg</w:t>
            </w:r>
            <w:r>
              <w:rPr>
                <w:rFonts w:hint="eastAsia" w:ascii="Calibri" w:hAnsi="Calibri" w:cs="Calibri"/>
                <w:color w:val="auto"/>
                <w:vertAlign w:val="baseline"/>
                <w:lang w:val="en-US" w:eastAsia="zh-CN"/>
              </w:rPr>
              <w:t>/</w:t>
            </w:r>
            <w:r>
              <w:rPr>
                <w:rFonts w:hint="eastAsia"/>
                <w:color w:val="auto"/>
                <w:vertAlign w:val="baseline"/>
                <w:lang w:val="en-US" w:eastAsia="zh-CN"/>
              </w:rPr>
              <w:t>m</w:t>
            </w:r>
            <w:r>
              <w:rPr>
                <w:rFonts w:hint="eastAsia"/>
                <w:color w:val="auto"/>
                <w:vertAlign w:val="superscript"/>
                <w:lang w:val="en-US" w:eastAsia="zh-CN"/>
              </w:rPr>
              <w:t>3</w:t>
            </w:r>
            <w:r>
              <w:rPr>
                <w:rFonts w:hint="eastAsia"/>
                <w:color w:val="auto"/>
                <w:vertAlign w:val="baseline"/>
                <w:lang w:val="en-US" w:eastAsia="zh-CN"/>
              </w:rPr>
              <w:t xml:space="preserve">的标准要求。 </w:t>
            </w:r>
          </w:p>
          <w:p>
            <w:pPr>
              <w:ind w:firstLine="480" w:firstLineChars="200"/>
              <w:rPr>
                <w:rFonts w:hint="eastAsia"/>
                <w:color w:val="auto"/>
                <w:vertAlign w:val="baseline"/>
                <w:lang w:val="en-US" w:eastAsia="zh-CN"/>
              </w:rPr>
            </w:pPr>
            <w:r>
              <w:rPr>
                <w:rFonts w:hint="eastAsia"/>
                <w:color w:val="auto"/>
                <w:vertAlign w:val="baseline"/>
                <w:lang w:val="en-US" w:eastAsia="zh-CN"/>
              </w:rPr>
              <w:t>综上所述，项目所在区域现在的环境空气质量一般，特征污染物非甲烷总烃未出现超标现象。</w:t>
            </w:r>
          </w:p>
          <w:p>
            <w:pPr>
              <w:rPr>
                <w:rFonts w:hint="eastAsia"/>
                <w:b/>
                <w:bCs/>
                <w:color w:val="auto"/>
                <w:vertAlign w:val="baseline"/>
                <w:lang w:val="en-US" w:eastAsia="zh-CN"/>
              </w:rPr>
            </w:pPr>
            <w:r>
              <w:rPr>
                <w:rFonts w:hint="eastAsia"/>
                <w:b/>
                <w:bCs/>
                <w:color w:val="auto"/>
                <w:vertAlign w:val="baseline"/>
                <w:lang w:val="en-US" w:eastAsia="zh-CN"/>
              </w:rPr>
              <w:t>2、地表水质量现状和评价</w:t>
            </w:r>
          </w:p>
          <w:p>
            <w:pPr>
              <w:ind w:firstLine="480" w:firstLineChars="200"/>
              <w:rPr>
                <w:rFonts w:hint="eastAsia"/>
                <w:color w:val="auto"/>
                <w:vertAlign w:val="baseline"/>
                <w:lang w:val="en-US" w:eastAsia="zh-CN"/>
              </w:rPr>
            </w:pPr>
            <w:r>
              <w:rPr>
                <w:rFonts w:hint="eastAsia"/>
                <w:color w:val="auto"/>
                <w:vertAlign w:val="baseline"/>
                <w:lang w:val="en-US" w:eastAsia="zh-CN"/>
              </w:rPr>
              <w:t>本项目周边最近的地表水体为湘江，距离本项目最近的地表水监测断面为鱼石村湘江监测断面，据衡阳市生态环境局发布的《关于2021年12月及1~12月全市环境质量状况的通报》中附表6可知其水质监测情况如表3-</w:t>
            </w:r>
            <w:r>
              <w:rPr>
                <w:rFonts w:hint="eastAsia"/>
                <w:color w:val="auto"/>
                <w:vertAlign w:val="baseline"/>
                <w:lang w:val="en-US" w:eastAsia="zh-CN"/>
              </w:rPr>
              <w:fldChar w:fldCharType="begin"/>
            </w:r>
            <w:r>
              <w:rPr>
                <w:rFonts w:hint="eastAsia"/>
                <w:color w:val="auto"/>
                <w:vertAlign w:val="baseline"/>
                <w:lang w:val="en-US" w:eastAsia="zh-CN"/>
              </w:rPr>
              <w:instrText xml:space="preserve"> SEQ 3- \* MERGEFORMAT </w:instrText>
            </w:r>
            <w:r>
              <w:rPr>
                <w:rFonts w:hint="eastAsia"/>
                <w:color w:val="auto"/>
                <w:vertAlign w:val="baseline"/>
                <w:lang w:val="en-US" w:eastAsia="zh-CN"/>
              </w:rPr>
              <w:fldChar w:fldCharType="separate"/>
            </w:r>
            <w:r>
              <w:rPr>
                <w:rFonts w:hint="eastAsia"/>
                <w:color w:val="auto"/>
                <w:vertAlign w:val="baseline"/>
                <w:lang w:val="en-US" w:eastAsia="zh-CN"/>
              </w:rPr>
              <w:t>4</w:t>
            </w:r>
            <w:r>
              <w:rPr>
                <w:rFonts w:hint="eastAsia"/>
                <w:color w:val="auto"/>
                <w:vertAlign w:val="baseline"/>
                <w:lang w:val="en-US" w:eastAsia="zh-CN"/>
              </w:rPr>
              <w:fldChar w:fldCharType="end"/>
            </w:r>
            <w:r>
              <w:rPr>
                <w:rFonts w:hint="eastAsia"/>
                <w:color w:val="auto"/>
                <w:vertAlign w:val="baseline"/>
                <w:lang w:val="en-US" w:eastAsia="zh-CN"/>
              </w:rPr>
              <w:t>所示。</w:t>
            </w: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r>
              <w:rPr>
                <w:rFonts w:hint="eastAsia"/>
                <w:b/>
                <w:bCs/>
                <w:color w:val="auto"/>
                <w:vertAlign w:val="baseline"/>
                <w:lang w:val="en-US" w:eastAsia="zh-CN"/>
              </w:rPr>
              <w:t>表3-</w:t>
            </w:r>
            <w:r>
              <w:rPr>
                <w:rFonts w:hint="default"/>
                <w:b/>
                <w:bCs/>
                <w:color w:val="auto"/>
                <w:vertAlign w:val="baseline"/>
                <w:lang w:eastAsia="zh-CN"/>
              </w:rPr>
              <w:fldChar w:fldCharType="begin"/>
            </w:r>
            <w:r>
              <w:rPr>
                <w:rFonts w:hint="default"/>
                <w:b/>
                <w:bCs/>
                <w:color w:val="auto"/>
                <w:vertAlign w:val="baseline"/>
                <w:lang w:eastAsia="zh-CN"/>
              </w:rPr>
              <w:instrText xml:space="preserve"> SEQ 表3- </w:instrText>
            </w:r>
            <w:r>
              <w:rPr>
                <w:rFonts w:hint="default"/>
                <w:b/>
                <w:bCs/>
                <w:color w:val="auto"/>
                <w:vertAlign w:val="baseline"/>
                <w:lang w:eastAsia="zh-CN"/>
              </w:rPr>
              <w:fldChar w:fldCharType="separate"/>
            </w:r>
            <w:r>
              <w:rPr>
                <w:rFonts w:hint="default"/>
                <w:b/>
                <w:bCs/>
                <w:color w:val="auto"/>
                <w:vertAlign w:val="baseline"/>
                <w:lang w:eastAsia="zh-CN"/>
              </w:rPr>
              <w:t>4</w:t>
            </w:r>
            <w:r>
              <w:rPr>
                <w:rFonts w:hint="default"/>
                <w:b/>
                <w:bCs/>
                <w:color w:val="auto"/>
                <w:vertAlign w:val="baseline"/>
                <w:lang w:eastAsia="zh-CN"/>
              </w:rPr>
              <w:fldChar w:fldCharType="end"/>
            </w:r>
            <w:r>
              <w:rPr>
                <w:rFonts w:hint="eastAsia"/>
                <w:b/>
                <w:bCs/>
                <w:color w:val="auto"/>
                <w:vertAlign w:val="baseline"/>
                <w:lang w:val="en-US" w:eastAsia="zh-CN"/>
              </w:rPr>
              <w:t xml:space="preserve"> 地表水监测断面水质情况</w:t>
            </w:r>
          </w:p>
          <w:p>
            <w:pPr>
              <w:rPr>
                <w:rFonts w:hint="eastAsia"/>
                <w:color w:val="auto"/>
                <w:vertAlign w:val="baseline"/>
                <w:lang w:val="en-US" w:eastAsia="zh-CN"/>
              </w:rPr>
            </w:pPr>
            <w:r>
              <w:rPr>
                <w:sz w:val="24"/>
              </w:rPr>
              <mc:AlternateContent>
                <mc:Choice Requires="wps">
                  <w:drawing>
                    <wp:anchor distT="0" distB="0" distL="114300" distR="114300" simplePos="0" relativeHeight="251663360" behindDoc="0" locked="0" layoutInCell="1" allowOverlap="1">
                      <wp:simplePos x="0" y="0"/>
                      <wp:positionH relativeFrom="column">
                        <wp:posOffset>95885</wp:posOffset>
                      </wp:positionH>
                      <wp:positionV relativeFrom="paragraph">
                        <wp:posOffset>2073275</wp:posOffset>
                      </wp:positionV>
                      <wp:extent cx="4913630" cy="317500"/>
                      <wp:effectExtent l="6350" t="6350" r="13970" b="19050"/>
                      <wp:wrapNone/>
                      <wp:docPr id="2" name="文本框 2"/>
                      <wp:cNvGraphicFramePr/>
                      <a:graphic xmlns:a="http://schemas.openxmlformats.org/drawingml/2006/main">
                        <a:graphicData uri="http://schemas.microsoft.com/office/word/2010/wordprocessingShape">
                          <wps:wsp>
                            <wps:cNvSpPr txBox="1"/>
                            <wps:spPr>
                              <a:xfrm>
                                <a:off x="1525905" y="7470775"/>
                                <a:ext cx="4913630" cy="317500"/>
                              </a:xfrm>
                              <a:prstGeom prst="rect">
                                <a:avLst/>
                              </a:prstGeom>
                              <a:noFill/>
                              <a:ln w="1270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55pt;margin-top:163.25pt;height:25pt;width:386.9pt;z-index:251663360;mso-width-relative:page;mso-height-relative:page;" filled="f" stroked="t" coordsize="21600,21600" o:gfxdata="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PoA57XAAAACgEAAA8AAAAAAAAAAQAgAAAAIgAAAGRycy9kb3ducmV2LnhtbFBLAQIUABQAAAAI&#10;AIdO4kDtRQwjYAIAAJwEAAAOAAAAAAAAAAEAIAAAACYBAABkcnMvZTJvRG9jLnhtbFBLBQYAAAAA&#10;BgAGAFkBAAD4BQAAAAA=&#10;">
                      <v:fill on="f" focussize="0,0"/>
                      <v:stroke weight="1pt" color="#FF0000 [3204]" joinstyle="round"/>
                      <v:imagedata o:title=""/>
                      <o:lock v:ext="edit" aspectratio="f"/>
                      <v:textbox>
                        <w:txbxContent>
                          <w:p/>
                        </w:txbxContent>
                      </v:textbox>
                    </v:shape>
                  </w:pict>
                </mc:Fallback>
              </mc:AlternateContent>
            </w:r>
            <w:r>
              <w:rPr>
                <w:rFonts w:hint="eastAsia"/>
                <w:lang w:val="en-US" w:eastAsia="zh-CN"/>
              </w:rPr>
              <w:drawing>
                <wp:inline distT="0" distB="0" distL="114300" distR="114300">
                  <wp:extent cx="5057140" cy="3014980"/>
                  <wp:effectExtent l="0" t="0" r="10160" b="13970"/>
                  <wp:docPr id="192" name="图片 2" descr="1648174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 descr="1648174707(1)"/>
                          <pic:cNvPicPr>
                            <a:picLocks noChangeAspect="1"/>
                          </pic:cNvPicPr>
                        </pic:nvPicPr>
                        <pic:blipFill>
                          <a:blip r:embed="rId24"/>
                          <a:stretch>
                            <a:fillRect/>
                          </a:stretch>
                        </pic:blipFill>
                        <pic:spPr>
                          <a:xfrm>
                            <a:off x="0" y="0"/>
                            <a:ext cx="5057140" cy="3014980"/>
                          </a:xfrm>
                          <a:prstGeom prst="rect">
                            <a:avLst/>
                          </a:prstGeom>
                          <a:noFill/>
                          <a:ln>
                            <a:noFill/>
                          </a:ln>
                        </pic:spPr>
                      </pic:pic>
                    </a:graphicData>
                  </a:graphic>
                </wp:inline>
              </w:drawing>
            </w:r>
          </w:p>
          <w:p>
            <w:pPr>
              <w:ind w:firstLine="480" w:firstLineChars="200"/>
              <w:rPr>
                <w:rFonts w:hint="eastAsia"/>
                <w:color w:val="auto"/>
                <w:vertAlign w:val="baseline"/>
                <w:lang w:val="en-US" w:eastAsia="zh-CN"/>
              </w:rPr>
            </w:pPr>
            <w:r>
              <w:rPr>
                <w:rFonts w:hint="eastAsia"/>
                <w:color w:val="auto"/>
                <w:vertAlign w:val="baseline"/>
                <w:lang w:val="en-US" w:eastAsia="zh-CN"/>
              </w:rPr>
              <w:t>由上表监测数据表明：监测断面水质满足《地表水环境质量标准》（GB3838-2002）II类标准的要求，项目所在区域地表水环境质量现状较好。</w:t>
            </w:r>
          </w:p>
          <w:p>
            <w:pPr>
              <w:rPr>
                <w:rFonts w:hint="eastAsia"/>
                <w:b/>
                <w:bCs/>
                <w:color w:val="auto"/>
                <w:vertAlign w:val="baseline"/>
                <w:lang w:val="en-US" w:eastAsia="zh-CN"/>
              </w:rPr>
            </w:pPr>
            <w:r>
              <w:rPr>
                <w:rFonts w:hint="eastAsia"/>
                <w:b/>
                <w:bCs/>
                <w:color w:val="auto"/>
                <w:vertAlign w:val="baseline"/>
                <w:lang w:val="en-US" w:eastAsia="zh-CN"/>
              </w:rPr>
              <w:t>3、声环境质量现状和评价</w:t>
            </w:r>
          </w:p>
          <w:p>
            <w:pPr>
              <w:ind w:firstLine="480" w:firstLineChars="200"/>
              <w:rPr>
                <w:rFonts w:hint="eastAsia"/>
                <w:b/>
                <w:bCs/>
                <w:color w:val="auto"/>
                <w:vertAlign w:val="baseline"/>
                <w:lang w:val="en-US" w:eastAsia="zh-CN"/>
              </w:rPr>
            </w:pPr>
            <w:r>
              <w:rPr>
                <w:rFonts w:hint="eastAsia"/>
                <w:color w:val="auto"/>
                <w:vertAlign w:val="baseline"/>
                <w:lang w:val="en-US" w:eastAsia="zh-CN"/>
              </w:rPr>
              <w:t>本项目位于湖南省衡阳市经济开发区107国道以西化工路以南，根据《声环境功能区划分技术规范》（GB</w:t>
            </w:r>
            <w:r>
              <w:rPr>
                <w:rFonts w:hint="eastAsia" w:ascii="Calibri" w:hAnsi="Calibri" w:cs="Calibri"/>
                <w:color w:val="auto"/>
                <w:vertAlign w:val="baseline"/>
                <w:lang w:val="en-US" w:eastAsia="zh-CN"/>
              </w:rPr>
              <w:t>/</w:t>
            </w:r>
            <w:r>
              <w:rPr>
                <w:rFonts w:hint="eastAsia"/>
                <w:color w:val="auto"/>
                <w:vertAlign w:val="baseline"/>
                <w:lang w:val="en-US" w:eastAsia="zh-CN"/>
              </w:rPr>
              <w:t>T15190-2014），交通干线边界线外向外35m±5m区域内执行《声环境质量标准》（GB3096-2008）中4a类标准。项目东厂界距衡岳大道约20m（&lt;35m），环境噪声执行《声环境质量标准》（GB3096-2008）中的4a类标准，其他厂界环境噪声执行《声环境质量标准》（GB3096-2008）中的2类标准。根据《建设项目环境影响报告表编制技术指南（污染影响类）（试行）》，“厂界外周边50米范围内存在声环境保护目标的建设项目，应监测保护目标声环境质量现状并评价达标情况”，经现场踏勘，本项目50m范围内有声环境保护目标，为站区南侧约20m处的松木塘安置房，距衡岳大道约36m（</w:t>
            </w:r>
            <w:r>
              <w:rPr>
                <w:rFonts w:hint="eastAsia" w:ascii="宋体" w:hAnsi="宋体" w:eastAsia="宋体" w:cs="宋体"/>
                <w:color w:val="auto"/>
                <w:vertAlign w:val="baseline"/>
                <w:lang w:val="en-US" w:eastAsia="zh-CN"/>
              </w:rPr>
              <w:t>&gt;</w:t>
            </w:r>
            <w:r>
              <w:rPr>
                <w:rFonts w:hint="eastAsia"/>
                <w:color w:val="auto"/>
                <w:vertAlign w:val="baseline"/>
                <w:lang w:val="en-US" w:eastAsia="zh-CN"/>
              </w:rPr>
              <w:t>35m），环境噪声执行《声环境质量标准》（GB3096-2008）中的2类标准。为了解本项目所在区域声环境质量现状，本项目委托衡阳职安环保科技责任有限公司于2022年07月27日对项目声环境保护目标进行噪声监测，监测点位信息与监测结果分别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5</w:t>
            </w:r>
            <w:r>
              <w:rPr>
                <w:rFonts w:hint="default"/>
                <w:color w:val="auto"/>
                <w:vertAlign w:val="baseline"/>
                <w:lang w:eastAsia="zh-CN"/>
              </w:rPr>
              <w:fldChar w:fldCharType="end"/>
            </w:r>
            <w:r>
              <w:rPr>
                <w:rFonts w:hint="eastAsia"/>
                <w:color w:val="auto"/>
                <w:vertAlign w:val="baseline"/>
                <w:lang w:val="en-US" w:eastAsia="zh-CN"/>
              </w:rPr>
              <w:t>和表3-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6</w:t>
            </w:r>
            <w:r>
              <w:rPr>
                <w:rFonts w:hint="default"/>
                <w:color w:val="auto"/>
                <w:vertAlign w:val="baseline"/>
                <w:lang w:eastAsia="zh-CN"/>
              </w:rPr>
              <w:fldChar w:fldCharType="end"/>
            </w:r>
            <w:r>
              <w:rPr>
                <w:rFonts w:hint="eastAsia"/>
                <w:color w:val="auto"/>
                <w:vertAlign w:val="baseline"/>
                <w:lang w:val="en-US" w:eastAsia="zh-CN"/>
              </w:rPr>
              <w:t>。</w:t>
            </w:r>
          </w:p>
          <w:p>
            <w:pPr>
              <w:spacing w:line="240" w:lineRule="auto"/>
              <w:jc w:val="center"/>
              <w:rPr>
                <w:rStyle w:val="11"/>
                <w:rFonts w:hint="eastAsia"/>
                <w:lang w:val="en-US" w:eastAsia="zh-CN"/>
              </w:rPr>
            </w:pPr>
            <w:r>
              <w:rPr>
                <w:rFonts w:hint="eastAsia"/>
                <w:b/>
                <w:bCs/>
                <w:color w:val="auto"/>
                <w:vertAlign w:val="baseline"/>
                <w:lang w:val="en-US" w:eastAsia="zh-CN"/>
              </w:rPr>
              <w:t>表3-</w:t>
            </w:r>
            <w:r>
              <w:rPr>
                <w:rFonts w:hint="default"/>
                <w:b/>
                <w:bCs/>
                <w:color w:val="auto"/>
                <w:vertAlign w:val="baseline"/>
                <w:lang w:eastAsia="zh-CN"/>
              </w:rPr>
              <w:fldChar w:fldCharType="begin"/>
            </w:r>
            <w:r>
              <w:rPr>
                <w:rFonts w:hint="default"/>
                <w:b/>
                <w:bCs/>
                <w:color w:val="auto"/>
                <w:vertAlign w:val="baseline"/>
                <w:lang w:eastAsia="zh-CN"/>
              </w:rPr>
              <w:instrText xml:space="preserve"> SEQ 表3- </w:instrText>
            </w:r>
            <w:r>
              <w:rPr>
                <w:rFonts w:hint="default"/>
                <w:b/>
                <w:bCs/>
                <w:color w:val="auto"/>
                <w:vertAlign w:val="baseline"/>
                <w:lang w:eastAsia="zh-CN"/>
              </w:rPr>
              <w:fldChar w:fldCharType="separate"/>
            </w:r>
            <w:r>
              <w:rPr>
                <w:rFonts w:hint="default"/>
                <w:b/>
                <w:bCs/>
                <w:color w:val="auto"/>
                <w:vertAlign w:val="baseline"/>
                <w:lang w:eastAsia="zh-CN"/>
              </w:rPr>
              <w:t>5</w:t>
            </w:r>
            <w:r>
              <w:rPr>
                <w:rFonts w:hint="default"/>
                <w:b/>
                <w:bCs/>
                <w:color w:val="auto"/>
                <w:vertAlign w:val="baseline"/>
                <w:lang w:eastAsia="zh-CN"/>
              </w:rPr>
              <w:fldChar w:fldCharType="end"/>
            </w:r>
            <w:r>
              <w:rPr>
                <w:rFonts w:hint="eastAsia"/>
                <w:b/>
                <w:bCs/>
                <w:color w:val="auto"/>
                <w:vertAlign w:val="baseline"/>
                <w:lang w:val="en-US" w:eastAsia="zh-CN"/>
              </w:rPr>
              <w:t xml:space="preserve">  </w:t>
            </w:r>
            <w:r>
              <w:rPr>
                <w:rStyle w:val="11"/>
                <w:rFonts w:hint="eastAsia"/>
                <w:lang w:val="en-US" w:eastAsia="zh-CN"/>
              </w:rPr>
              <w:t xml:space="preserve">声环境保护目标调查表 </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753"/>
              <w:gridCol w:w="1352"/>
              <w:gridCol w:w="1222"/>
              <w:gridCol w:w="1222"/>
              <w:gridCol w:w="1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Align w:val="center"/>
                </w:tcPr>
                <w:p>
                  <w:pPr>
                    <w:pStyle w:val="9"/>
                    <w:widowControl w:val="0"/>
                    <w:bidi w:val="0"/>
                    <w:jc w:val="center"/>
                    <w:rPr>
                      <w:rFonts w:hint="default"/>
                      <w:lang w:val="en-US" w:eastAsia="zh-CN"/>
                    </w:rPr>
                  </w:pPr>
                  <w:r>
                    <w:rPr>
                      <w:rFonts w:hint="eastAsia"/>
                      <w:lang w:val="en-US" w:eastAsia="zh-CN"/>
                    </w:rPr>
                    <w:t>序号</w:t>
                  </w:r>
                </w:p>
              </w:tc>
              <w:tc>
                <w:tcPr>
                  <w:tcW w:w="1169" w:type="pct"/>
                  <w:vAlign w:val="center"/>
                </w:tcPr>
                <w:p>
                  <w:pPr>
                    <w:pStyle w:val="9"/>
                    <w:widowControl w:val="0"/>
                    <w:bidi w:val="0"/>
                    <w:jc w:val="center"/>
                    <w:rPr>
                      <w:rFonts w:hint="default"/>
                      <w:lang w:val="en-US" w:eastAsia="zh-CN"/>
                    </w:rPr>
                  </w:pPr>
                  <w:r>
                    <w:rPr>
                      <w:rFonts w:hint="eastAsia"/>
                      <w:lang w:val="en-US" w:eastAsia="zh-CN"/>
                    </w:rPr>
                    <w:t>监测点位</w:t>
                  </w:r>
                </w:p>
              </w:tc>
              <w:tc>
                <w:tcPr>
                  <w:tcW w:w="902" w:type="pct"/>
                  <w:vAlign w:val="center"/>
                </w:tcPr>
                <w:p>
                  <w:pPr>
                    <w:pStyle w:val="9"/>
                    <w:widowControl w:val="0"/>
                    <w:bidi w:val="0"/>
                    <w:jc w:val="center"/>
                    <w:rPr>
                      <w:rFonts w:hint="eastAsia"/>
                      <w:lang w:val="en-US" w:eastAsia="zh-CN"/>
                    </w:rPr>
                  </w:pPr>
                  <w:r>
                    <w:rPr>
                      <w:rFonts w:hint="eastAsia"/>
                      <w:lang w:val="en-US" w:eastAsia="zh-CN"/>
                    </w:rPr>
                    <w:t>方位</w:t>
                  </w:r>
                </w:p>
              </w:tc>
              <w:tc>
                <w:tcPr>
                  <w:tcW w:w="2447" w:type="pct"/>
                  <w:gridSpan w:val="3"/>
                  <w:vAlign w:val="center"/>
                </w:tcPr>
                <w:p>
                  <w:pPr>
                    <w:pStyle w:val="9"/>
                    <w:widowControl w:val="0"/>
                    <w:bidi w:val="0"/>
                    <w:jc w:val="center"/>
                    <w:rPr>
                      <w:rFonts w:hint="default"/>
                      <w:lang w:val="en-US" w:eastAsia="zh-CN"/>
                    </w:rPr>
                  </w:pPr>
                  <w:r>
                    <w:rPr>
                      <w:rFonts w:hint="eastAsia"/>
                      <w:lang w:val="en-US" w:eastAsia="zh-CN"/>
                    </w:rPr>
                    <w:t>空间相对位置</w:t>
                  </w:r>
                  <w:r>
                    <w:rPr>
                      <w:rFonts w:hint="eastAsia" w:ascii="Calibri" w:hAnsi="Calibri" w:cs="Calibri"/>
                      <w:lang w:val="en-US" w:eastAsia="zh-CN"/>
                    </w:rPr>
                    <w:t>/</w:t>
                  </w:r>
                  <w:r>
                    <w:rPr>
                      <w:rFonts w:hint="eastAsia"/>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restart"/>
                  <w:vAlign w:val="center"/>
                </w:tcPr>
                <w:p>
                  <w:pPr>
                    <w:pStyle w:val="9"/>
                    <w:widowControl w:val="0"/>
                    <w:bidi w:val="0"/>
                    <w:jc w:val="center"/>
                    <w:rPr>
                      <w:rFonts w:hint="default"/>
                      <w:lang w:val="en-US" w:eastAsia="zh-CN"/>
                    </w:rPr>
                  </w:pPr>
                  <w:r>
                    <w:rPr>
                      <w:rFonts w:hint="eastAsia"/>
                      <w:lang w:val="en-US" w:eastAsia="zh-CN"/>
                    </w:rPr>
                    <w:t>N1</w:t>
                  </w:r>
                </w:p>
              </w:tc>
              <w:tc>
                <w:tcPr>
                  <w:tcW w:w="1169" w:type="pct"/>
                  <w:vMerge w:val="restart"/>
                  <w:vAlign w:val="center"/>
                </w:tcPr>
                <w:p>
                  <w:pPr>
                    <w:pStyle w:val="9"/>
                    <w:widowControl w:val="0"/>
                    <w:bidi w:val="0"/>
                    <w:jc w:val="center"/>
                    <w:rPr>
                      <w:rFonts w:hint="default"/>
                      <w:lang w:val="en-US" w:eastAsia="zh-CN"/>
                    </w:rPr>
                  </w:pPr>
                  <w:r>
                    <w:rPr>
                      <w:rFonts w:hint="eastAsia"/>
                      <w:lang w:val="en-US" w:eastAsia="zh-CN"/>
                    </w:rPr>
                    <w:t>松木塘安置房</w:t>
                  </w:r>
                </w:p>
              </w:tc>
              <w:tc>
                <w:tcPr>
                  <w:tcW w:w="902" w:type="pct"/>
                  <w:vMerge w:val="restart"/>
                  <w:vAlign w:val="center"/>
                </w:tcPr>
                <w:p>
                  <w:pPr>
                    <w:pStyle w:val="9"/>
                    <w:widowControl w:val="0"/>
                    <w:bidi w:val="0"/>
                    <w:jc w:val="center"/>
                    <w:rPr>
                      <w:rFonts w:hint="eastAsia"/>
                      <w:lang w:val="en-US" w:eastAsia="zh-CN"/>
                    </w:rPr>
                  </w:pPr>
                  <w:r>
                    <w:rPr>
                      <w:rFonts w:hint="eastAsia"/>
                      <w:lang w:val="en-US" w:eastAsia="zh-CN"/>
                    </w:rPr>
                    <w:t>南侧</w:t>
                  </w:r>
                </w:p>
              </w:tc>
              <w:tc>
                <w:tcPr>
                  <w:tcW w:w="815" w:type="pct"/>
                  <w:vAlign w:val="center"/>
                </w:tcPr>
                <w:p>
                  <w:pPr>
                    <w:pStyle w:val="9"/>
                    <w:widowControl w:val="0"/>
                    <w:bidi w:val="0"/>
                    <w:jc w:val="center"/>
                    <w:rPr>
                      <w:rFonts w:hint="default"/>
                      <w:lang w:val="en-US" w:eastAsia="zh-CN"/>
                    </w:rPr>
                  </w:pPr>
                  <w:r>
                    <w:rPr>
                      <w:rFonts w:hint="eastAsia"/>
                      <w:lang w:val="en-US" w:eastAsia="zh-CN"/>
                    </w:rPr>
                    <w:t>X</w:t>
                  </w:r>
                </w:p>
              </w:tc>
              <w:tc>
                <w:tcPr>
                  <w:tcW w:w="815" w:type="pct"/>
                  <w:vAlign w:val="center"/>
                </w:tcPr>
                <w:p>
                  <w:pPr>
                    <w:pStyle w:val="9"/>
                    <w:widowControl w:val="0"/>
                    <w:bidi w:val="0"/>
                    <w:jc w:val="center"/>
                    <w:rPr>
                      <w:rFonts w:hint="default"/>
                      <w:lang w:val="en-US" w:eastAsia="zh-CN"/>
                    </w:rPr>
                  </w:pPr>
                  <w:r>
                    <w:rPr>
                      <w:rFonts w:hint="eastAsia"/>
                      <w:lang w:val="en-US" w:eastAsia="zh-CN"/>
                    </w:rPr>
                    <w:t>Y</w:t>
                  </w:r>
                </w:p>
              </w:tc>
              <w:tc>
                <w:tcPr>
                  <w:tcW w:w="816" w:type="pct"/>
                  <w:vAlign w:val="center"/>
                </w:tcPr>
                <w:p>
                  <w:pPr>
                    <w:pStyle w:val="9"/>
                    <w:widowControl w:val="0"/>
                    <w:bidi w:val="0"/>
                    <w:jc w:val="center"/>
                    <w:rPr>
                      <w:rFonts w:hint="default"/>
                      <w:lang w:val="en-US" w:eastAsia="zh-CN"/>
                    </w:rPr>
                  </w:pPr>
                  <w:r>
                    <w:rPr>
                      <w:rFonts w:hint="eastAsia"/>
                      <w:lang w:val="en-US" w:eastAsia="zh-CN"/>
                    </w:rPr>
                    <w:t>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vAlign w:val="center"/>
                </w:tcPr>
                <w:p>
                  <w:pPr>
                    <w:pStyle w:val="9"/>
                    <w:widowControl w:val="0"/>
                    <w:bidi w:val="0"/>
                    <w:jc w:val="center"/>
                    <w:rPr>
                      <w:rFonts w:hint="eastAsia"/>
                      <w:lang w:val="en-US" w:eastAsia="zh-CN"/>
                    </w:rPr>
                  </w:pPr>
                </w:p>
              </w:tc>
              <w:tc>
                <w:tcPr>
                  <w:tcW w:w="1169" w:type="pct"/>
                  <w:vMerge w:val="continue"/>
                  <w:vAlign w:val="center"/>
                </w:tcPr>
                <w:p>
                  <w:pPr>
                    <w:pStyle w:val="9"/>
                    <w:widowControl w:val="0"/>
                    <w:bidi w:val="0"/>
                    <w:jc w:val="center"/>
                    <w:rPr>
                      <w:rFonts w:hint="eastAsia"/>
                      <w:lang w:val="en-US" w:eastAsia="zh-CN"/>
                    </w:rPr>
                  </w:pPr>
                </w:p>
              </w:tc>
              <w:tc>
                <w:tcPr>
                  <w:tcW w:w="902" w:type="pct"/>
                  <w:vMerge w:val="continue"/>
                  <w:vAlign w:val="center"/>
                </w:tcPr>
                <w:p>
                  <w:pPr>
                    <w:pStyle w:val="9"/>
                    <w:widowControl w:val="0"/>
                    <w:bidi w:val="0"/>
                    <w:jc w:val="center"/>
                    <w:rPr>
                      <w:rFonts w:hint="eastAsia"/>
                      <w:lang w:val="en-US" w:eastAsia="zh-CN"/>
                    </w:rPr>
                  </w:pPr>
                </w:p>
              </w:tc>
              <w:tc>
                <w:tcPr>
                  <w:tcW w:w="815" w:type="pct"/>
                  <w:vAlign w:val="center"/>
                </w:tcPr>
                <w:p>
                  <w:pPr>
                    <w:pStyle w:val="9"/>
                    <w:widowControl w:val="0"/>
                    <w:bidi w:val="0"/>
                    <w:jc w:val="center"/>
                    <w:rPr>
                      <w:rFonts w:hint="default"/>
                      <w:lang w:val="en-US" w:eastAsia="zh-CN"/>
                    </w:rPr>
                  </w:pPr>
                  <w:r>
                    <w:rPr>
                      <w:rFonts w:hint="eastAsia"/>
                      <w:lang w:val="en-US" w:eastAsia="zh-CN"/>
                    </w:rPr>
                    <w:t>0.8</w:t>
                  </w:r>
                </w:p>
              </w:tc>
              <w:tc>
                <w:tcPr>
                  <w:tcW w:w="815" w:type="pct"/>
                  <w:vAlign w:val="center"/>
                </w:tcPr>
                <w:p>
                  <w:pPr>
                    <w:pStyle w:val="9"/>
                    <w:widowControl w:val="0"/>
                    <w:bidi w:val="0"/>
                    <w:jc w:val="center"/>
                    <w:rPr>
                      <w:rFonts w:hint="default"/>
                      <w:lang w:val="en-US" w:eastAsia="zh-CN"/>
                    </w:rPr>
                  </w:pPr>
                  <w:r>
                    <w:rPr>
                      <w:rFonts w:hint="eastAsia"/>
                      <w:lang w:val="en-US" w:eastAsia="zh-CN"/>
                    </w:rPr>
                    <w:t>-50.8</w:t>
                  </w:r>
                </w:p>
              </w:tc>
              <w:tc>
                <w:tcPr>
                  <w:tcW w:w="816" w:type="pct"/>
                  <w:vAlign w:val="center"/>
                </w:tcPr>
                <w:p>
                  <w:pPr>
                    <w:pStyle w:val="9"/>
                    <w:widowControl w:val="0"/>
                    <w:bidi w:val="0"/>
                    <w:jc w:val="center"/>
                    <w:rPr>
                      <w:rFonts w:hint="default"/>
                      <w:lang w:val="en-US" w:eastAsia="zh-CN"/>
                    </w:rPr>
                  </w:pPr>
                  <w:r>
                    <w:rPr>
                      <w:rFonts w:hint="eastAsia"/>
                      <w:lang w:val="en-US" w:eastAsia="zh-CN"/>
                    </w:rPr>
                    <w:t>84.3</w:t>
                  </w:r>
                </w:p>
              </w:tc>
            </w:tr>
          </w:tbl>
          <w:p>
            <w:pPr>
              <w:jc w:val="both"/>
              <w:rPr>
                <w:rFonts w:hint="eastAsia"/>
                <w:lang w:val="en-US" w:eastAsia="zh-CN"/>
              </w:rPr>
            </w:pPr>
          </w:p>
          <w:p>
            <w:pPr>
              <w:pStyle w:val="10"/>
              <w:bidi w:val="0"/>
              <w:rPr>
                <w:rFonts w:hint="eastAsia"/>
                <w:b/>
                <w:bCs/>
                <w:color w:val="auto"/>
                <w:vertAlign w:val="baseline"/>
                <w:lang w:val="en-US" w:eastAsia="zh-CN"/>
              </w:rPr>
            </w:pPr>
            <w:r>
              <w:rPr>
                <w:rFonts w:hint="eastAsia"/>
                <w:lang w:val="en-US" w:eastAsia="zh-CN"/>
              </w:rPr>
              <w:t>表3-</w:t>
            </w:r>
            <w:r>
              <w:rPr>
                <w:rFonts w:hint="default"/>
                <w:lang w:eastAsia="zh-CN"/>
              </w:rPr>
              <w:fldChar w:fldCharType="begin"/>
            </w:r>
            <w:r>
              <w:rPr>
                <w:rFonts w:hint="default"/>
                <w:lang w:eastAsia="zh-CN"/>
              </w:rPr>
              <w:instrText xml:space="preserve"> SEQ 表3- </w:instrText>
            </w:r>
            <w:r>
              <w:rPr>
                <w:rFonts w:hint="default"/>
                <w:lang w:eastAsia="zh-CN"/>
              </w:rPr>
              <w:fldChar w:fldCharType="separate"/>
            </w:r>
            <w:r>
              <w:rPr>
                <w:rFonts w:hint="default"/>
                <w:lang w:eastAsia="zh-CN"/>
              </w:rPr>
              <w:t>6</w:t>
            </w:r>
            <w:r>
              <w:rPr>
                <w:rFonts w:hint="default"/>
                <w:lang w:eastAsia="zh-CN"/>
              </w:rPr>
              <w:fldChar w:fldCharType="end"/>
            </w:r>
            <w:r>
              <w:rPr>
                <w:rFonts w:hint="eastAsia"/>
                <w:lang w:val="en-US" w:eastAsia="zh-CN"/>
              </w:rPr>
              <w:t xml:space="preserve">  声环境质量监测结果及达标情况一览表   单位：dB（A）</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559"/>
              <w:gridCol w:w="1239"/>
              <w:gridCol w:w="789"/>
              <w:gridCol w:w="789"/>
              <w:gridCol w:w="875"/>
              <w:gridCol w:w="875"/>
              <w:gridCol w:w="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82" w:type="dxa"/>
                  <w:vMerge w:val="restart"/>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监测</w:t>
                  </w:r>
                </w:p>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点位</w:t>
                  </w:r>
                </w:p>
              </w:tc>
              <w:tc>
                <w:tcPr>
                  <w:tcW w:w="1559"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测点位置</w:t>
                  </w:r>
                </w:p>
              </w:tc>
              <w:tc>
                <w:tcPr>
                  <w:tcW w:w="1239"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监测因子</w:t>
                  </w:r>
                </w:p>
              </w:tc>
              <w:tc>
                <w:tcPr>
                  <w:tcW w:w="1578" w:type="dxa"/>
                  <w:gridSpan w:val="2"/>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监测结果</w:t>
                  </w:r>
                </w:p>
              </w:tc>
              <w:tc>
                <w:tcPr>
                  <w:tcW w:w="1750" w:type="dxa"/>
                  <w:gridSpan w:val="2"/>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执行标准限值</w:t>
                  </w:r>
                </w:p>
              </w:tc>
              <w:tc>
                <w:tcPr>
                  <w:tcW w:w="685" w:type="dxa"/>
                  <w:vMerge w:val="restart"/>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82" w:type="dxa"/>
                  <w:vMerge w:val="continue"/>
                  <w:vAlign w:val="center"/>
                </w:tcPr>
                <w:p>
                  <w:pPr>
                    <w:spacing w:line="240" w:lineRule="auto"/>
                    <w:jc w:val="center"/>
                  </w:pPr>
                </w:p>
              </w:tc>
              <w:tc>
                <w:tcPr>
                  <w:tcW w:w="1559" w:type="dxa"/>
                  <w:vMerge w:val="continue"/>
                  <w:vAlign w:val="center"/>
                </w:tcPr>
                <w:p>
                  <w:pPr>
                    <w:spacing w:line="240" w:lineRule="auto"/>
                    <w:jc w:val="center"/>
                  </w:pPr>
                </w:p>
              </w:tc>
              <w:tc>
                <w:tcPr>
                  <w:tcW w:w="1239" w:type="dxa"/>
                  <w:vMerge w:val="continue"/>
                  <w:vAlign w:val="center"/>
                </w:tcPr>
                <w:p>
                  <w:pPr>
                    <w:spacing w:line="240" w:lineRule="auto"/>
                    <w:jc w:val="center"/>
                    <w:rPr>
                      <w:rFonts w:hint="eastAsia"/>
                      <w:color w:val="auto"/>
                      <w:sz w:val="21"/>
                      <w:szCs w:val="21"/>
                      <w:vertAlign w:val="baseline"/>
                      <w:lang w:val="en-US" w:eastAsia="zh-CN"/>
                    </w:rPr>
                  </w:pPr>
                </w:p>
              </w:tc>
              <w:tc>
                <w:tcPr>
                  <w:tcW w:w="789"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昼间</w:t>
                  </w:r>
                </w:p>
              </w:tc>
              <w:tc>
                <w:tcPr>
                  <w:tcW w:w="789"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夜间</w:t>
                  </w:r>
                </w:p>
              </w:tc>
              <w:tc>
                <w:tcPr>
                  <w:tcW w:w="875"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昼间</w:t>
                  </w:r>
                </w:p>
              </w:tc>
              <w:tc>
                <w:tcPr>
                  <w:tcW w:w="875"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夜间</w:t>
                  </w:r>
                </w:p>
              </w:tc>
              <w:tc>
                <w:tcPr>
                  <w:tcW w:w="685" w:type="dxa"/>
                  <w:vMerge w:val="continue"/>
                  <w:vAlign w:val="center"/>
                </w:tcPr>
                <w:p>
                  <w:pPr>
                    <w:spacing w:line="240" w:lineRule="auto"/>
                    <w:jc w:val="center"/>
                    <w:rPr>
                      <w:rFonts w:hint="eastAsia"/>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N1</w:t>
                  </w:r>
                </w:p>
              </w:tc>
              <w:tc>
                <w:tcPr>
                  <w:tcW w:w="1559"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松木塘安置房</w:t>
                  </w:r>
                </w:p>
              </w:tc>
              <w:tc>
                <w:tcPr>
                  <w:tcW w:w="123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环境噪声</w:t>
                  </w:r>
                </w:p>
              </w:tc>
              <w:tc>
                <w:tcPr>
                  <w:tcW w:w="789"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58</w:t>
                  </w:r>
                </w:p>
              </w:tc>
              <w:tc>
                <w:tcPr>
                  <w:tcW w:w="789"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46</w:t>
                  </w:r>
                </w:p>
              </w:tc>
              <w:tc>
                <w:tcPr>
                  <w:tcW w:w="875"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60</w:t>
                  </w:r>
                </w:p>
              </w:tc>
              <w:tc>
                <w:tcPr>
                  <w:tcW w:w="875"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50</w:t>
                  </w:r>
                </w:p>
              </w:tc>
              <w:tc>
                <w:tcPr>
                  <w:tcW w:w="685"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达标</w:t>
                  </w:r>
                </w:p>
              </w:tc>
            </w:tr>
          </w:tbl>
          <w:p>
            <w:pPr>
              <w:ind w:firstLine="480" w:firstLineChars="200"/>
              <w:rPr>
                <w:rFonts w:hint="eastAsia"/>
                <w:color w:val="auto"/>
                <w:vertAlign w:val="baseline"/>
                <w:lang w:val="en-US" w:eastAsia="zh-CN"/>
              </w:rPr>
            </w:pPr>
            <w:r>
              <w:rPr>
                <w:rFonts w:hint="eastAsia"/>
                <w:color w:val="auto"/>
                <w:vertAlign w:val="baseline"/>
                <w:lang w:val="en-US" w:eastAsia="zh-CN"/>
              </w:rPr>
              <w:t>由上表可知，项目南侧松木塘安置房的声环境质量符合《声环境质量标准》（GB3096-2008）中的2类标准，声环境质量良好。</w:t>
            </w:r>
          </w:p>
          <w:p>
            <w:pPr>
              <w:rPr>
                <w:rFonts w:hint="eastAsia"/>
                <w:color w:val="auto"/>
                <w:vertAlign w:val="baseline"/>
                <w:lang w:val="en-US" w:eastAsia="zh-CN"/>
              </w:rPr>
            </w:pPr>
            <w:r>
              <w:rPr>
                <w:rFonts w:hint="eastAsia"/>
                <w:b/>
                <w:bCs/>
                <w:color w:val="auto"/>
                <w:vertAlign w:val="baseline"/>
                <w:lang w:val="en-US" w:eastAsia="zh-CN"/>
              </w:rPr>
              <w:t>4、生态环境现状</w:t>
            </w:r>
            <w:r>
              <w:rPr>
                <w:rFonts w:hint="eastAsia"/>
                <w:color w:val="auto"/>
                <w:vertAlign w:val="baseline"/>
                <w:lang w:val="en-US" w:eastAsia="zh-CN"/>
              </w:rPr>
              <w:t xml:space="preserve"> </w:t>
            </w:r>
          </w:p>
          <w:p>
            <w:pPr>
              <w:ind w:firstLine="480" w:firstLineChars="200"/>
              <w:rPr>
                <w:rFonts w:hint="eastAsia"/>
                <w:color w:val="auto"/>
                <w:vertAlign w:val="baseline"/>
                <w:lang w:val="en-US" w:eastAsia="zh-CN"/>
              </w:rPr>
            </w:pPr>
            <w:r>
              <w:rPr>
                <w:rFonts w:hint="eastAsia"/>
                <w:color w:val="auto"/>
                <w:vertAlign w:val="baseline"/>
                <w:lang w:val="en-US" w:eastAsia="zh-CN"/>
              </w:rPr>
              <w:t>根据现场踏勘结果表明：项目位于湖南省衡阳市石鼓区松木经济开发区107国道以西化工路以南，项目地周边植被以灌木、草丛为主，现主要野生动物是田鼠、青蛙、山雀等常见物种。本项目拟建地现状为空地，无珍稀动植物和文物保护区，无重大环境制约因素，本项目在该地建设对当地生态环境现状影响较小，故不开展生态现状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dxa"/>
            <w:vAlign w:val="center"/>
          </w:tcPr>
          <w:p>
            <w:pPr>
              <w:jc w:val="center"/>
              <w:rPr>
                <w:rFonts w:hint="default"/>
                <w:color w:val="auto"/>
                <w:vertAlign w:val="baseline"/>
                <w:lang w:val="en-US" w:eastAsia="zh-CN"/>
              </w:rPr>
            </w:pPr>
            <w:r>
              <w:rPr>
                <w:rFonts w:hint="eastAsia"/>
                <w:color w:val="auto"/>
                <w:vertAlign w:val="baseline"/>
                <w:lang w:val="en-US" w:eastAsia="zh-CN"/>
              </w:rPr>
              <w:t>环境保护目标</w:t>
            </w:r>
          </w:p>
        </w:tc>
        <w:tc>
          <w:tcPr>
            <w:tcW w:w="7719" w:type="dxa"/>
            <w:vAlign w:val="top"/>
          </w:tcPr>
          <w:p>
            <w:pPr>
              <w:ind w:firstLine="480" w:firstLineChars="200"/>
              <w:rPr>
                <w:rFonts w:hint="eastAsia"/>
                <w:color w:val="auto"/>
                <w:vertAlign w:val="baseline"/>
                <w:lang w:val="en-US" w:eastAsia="zh-CN"/>
              </w:rPr>
            </w:pPr>
            <w:r>
              <w:rPr>
                <w:rFonts w:hint="eastAsia"/>
                <w:color w:val="auto"/>
                <w:vertAlign w:val="baseline"/>
                <w:lang w:val="en-US" w:eastAsia="zh-CN"/>
              </w:rPr>
              <w:t>本项目位于湖南省衡阳市石鼓区松木经济开发区107国道以西化工路以南，根据现场调查，项目周围无珍稀动植物和文物保护区，项目厂界外500米范围内没有地下水集中式饮用水源和热水、矿泉水、温泉等特殊地下水资源。主要环境保护目标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7</w:t>
            </w:r>
            <w:r>
              <w:rPr>
                <w:rFonts w:hint="default"/>
                <w:color w:val="auto"/>
                <w:vertAlign w:val="baseline"/>
                <w:lang w:eastAsia="zh-CN"/>
              </w:rPr>
              <w:fldChar w:fldCharType="end"/>
            </w:r>
            <w:r>
              <w:rPr>
                <w:rFonts w:hint="eastAsia"/>
                <w:color w:val="auto"/>
                <w:vertAlign w:val="baseline"/>
                <w:lang w:val="en-US" w:eastAsia="zh-CN"/>
              </w:rPr>
              <w:t>。</w:t>
            </w:r>
          </w:p>
          <w:p>
            <w:pPr>
              <w:spacing w:line="240" w:lineRule="auto"/>
              <w:ind w:firstLine="482" w:firstLineChars="200"/>
              <w:jc w:val="center"/>
              <w:rPr>
                <w:rFonts w:hint="eastAsia"/>
                <w:b/>
                <w:bCs/>
                <w:color w:val="auto"/>
                <w:vertAlign w:val="baseline"/>
                <w:lang w:val="en-US" w:eastAsia="zh-CN"/>
              </w:rPr>
            </w:pPr>
            <w:r>
              <w:rPr>
                <w:rFonts w:hint="eastAsia"/>
                <w:b/>
                <w:bCs/>
                <w:color w:val="auto"/>
                <w:vertAlign w:val="baseline"/>
                <w:lang w:val="en-US" w:eastAsia="zh-CN"/>
              </w:rPr>
              <w:t>表3-</w:t>
            </w:r>
            <w:r>
              <w:rPr>
                <w:rFonts w:hint="eastAsia"/>
                <w:b/>
                <w:bCs/>
                <w:color w:val="auto"/>
                <w:vertAlign w:val="baseline"/>
                <w:lang w:val="en-US" w:eastAsia="zh-CN"/>
              </w:rPr>
              <w:fldChar w:fldCharType="begin"/>
            </w:r>
            <w:r>
              <w:rPr>
                <w:rFonts w:hint="eastAsia"/>
                <w:b/>
                <w:bCs/>
                <w:color w:val="auto"/>
                <w:vertAlign w:val="baseline"/>
                <w:lang w:val="en-US" w:eastAsia="zh-CN"/>
              </w:rPr>
              <w:instrText xml:space="preserve"> SEQ 表3- </w:instrText>
            </w:r>
            <w:r>
              <w:rPr>
                <w:rFonts w:hint="eastAsia"/>
                <w:b/>
                <w:bCs/>
                <w:color w:val="auto"/>
                <w:vertAlign w:val="baseline"/>
                <w:lang w:val="en-US" w:eastAsia="zh-CN"/>
              </w:rPr>
              <w:fldChar w:fldCharType="separate"/>
            </w:r>
            <w:r>
              <w:rPr>
                <w:rFonts w:hint="eastAsia"/>
                <w:b/>
                <w:bCs/>
                <w:color w:val="auto"/>
                <w:vertAlign w:val="baseline"/>
                <w:lang w:val="en-US" w:eastAsia="zh-CN"/>
              </w:rPr>
              <w:t>7</w:t>
            </w:r>
            <w:r>
              <w:rPr>
                <w:rFonts w:hint="eastAsia"/>
                <w:b/>
                <w:bCs/>
                <w:color w:val="auto"/>
                <w:vertAlign w:val="baseline"/>
                <w:lang w:val="en-US" w:eastAsia="zh-CN"/>
              </w:rPr>
              <w:fldChar w:fldCharType="end"/>
            </w:r>
            <w:r>
              <w:rPr>
                <w:rFonts w:hint="eastAsia"/>
                <w:b/>
                <w:bCs/>
                <w:color w:val="auto"/>
                <w:vertAlign w:val="baseline"/>
                <w:lang w:val="en-US" w:eastAsia="zh-CN"/>
              </w:rPr>
              <w:t xml:space="preserve">  项目主要环境保护目标列表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2343"/>
              <w:gridCol w:w="1129"/>
              <w:gridCol w:w="1551"/>
              <w:gridCol w:w="19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项目</w:t>
                  </w:r>
                </w:p>
              </w:tc>
              <w:tc>
                <w:tcPr>
                  <w:tcW w:w="2343" w:type="dxa"/>
                  <w:vAlign w:val="center"/>
                </w:tcPr>
                <w:p>
                  <w:pPr>
                    <w:spacing w:line="240" w:lineRule="auto"/>
                    <w:jc w:val="center"/>
                    <w:rPr>
                      <w:rFonts w:hint="eastAsia"/>
                      <w:b w:val="0"/>
                      <w:bCs w:val="0"/>
                      <w:color w:val="auto"/>
                      <w:sz w:val="21"/>
                      <w:szCs w:val="21"/>
                      <w:vertAlign w:val="baseline"/>
                      <w:lang w:val="en-US" w:eastAsia="zh-CN"/>
                    </w:rPr>
                  </w:pPr>
                  <w:r>
                    <w:rPr>
                      <w:rFonts w:hint="default"/>
                      <w:b w:val="0"/>
                      <w:bCs w:val="0"/>
                      <w:color w:val="auto"/>
                      <w:sz w:val="21"/>
                      <w:szCs w:val="21"/>
                      <w:vertAlign w:val="baseline"/>
                      <w:lang w:val="en-US" w:eastAsia="zh-CN"/>
                    </w:rPr>
                    <w:t>保护目标</w:t>
                  </w:r>
                </w:p>
              </w:tc>
              <w:tc>
                <w:tcPr>
                  <w:tcW w:w="1129" w:type="dxa"/>
                  <w:vAlign w:val="center"/>
                </w:tcPr>
                <w:p>
                  <w:pPr>
                    <w:spacing w:line="240" w:lineRule="auto"/>
                    <w:jc w:val="center"/>
                    <w:rPr>
                      <w:rFonts w:hint="eastAsia"/>
                      <w:b w:val="0"/>
                      <w:bCs w:val="0"/>
                      <w:color w:val="auto"/>
                      <w:sz w:val="21"/>
                      <w:szCs w:val="21"/>
                      <w:vertAlign w:val="baseline"/>
                      <w:lang w:val="en-US" w:eastAsia="zh-CN"/>
                    </w:rPr>
                  </w:pPr>
                  <w:r>
                    <w:rPr>
                      <w:rFonts w:hint="default"/>
                      <w:b w:val="0"/>
                      <w:bCs w:val="0"/>
                      <w:color w:val="auto"/>
                      <w:sz w:val="21"/>
                      <w:szCs w:val="21"/>
                      <w:vertAlign w:val="baseline"/>
                      <w:lang w:val="en-US" w:eastAsia="zh-CN"/>
                    </w:rPr>
                    <w:t>规模、功能</w:t>
                  </w:r>
                </w:p>
              </w:tc>
              <w:tc>
                <w:tcPr>
                  <w:tcW w:w="1551" w:type="dxa"/>
                  <w:vAlign w:val="center"/>
                </w:tcPr>
                <w:p>
                  <w:pPr>
                    <w:spacing w:line="240" w:lineRule="auto"/>
                    <w:jc w:val="center"/>
                    <w:rPr>
                      <w:rFonts w:hint="eastAsia"/>
                      <w:b w:val="0"/>
                      <w:bCs w:val="0"/>
                      <w:color w:val="auto"/>
                      <w:sz w:val="21"/>
                      <w:szCs w:val="21"/>
                      <w:vertAlign w:val="baseline"/>
                      <w:lang w:val="en-US" w:eastAsia="zh-CN"/>
                    </w:rPr>
                  </w:pPr>
                  <w:r>
                    <w:rPr>
                      <w:rFonts w:hint="default"/>
                      <w:b w:val="0"/>
                      <w:bCs w:val="0"/>
                      <w:color w:val="auto"/>
                      <w:sz w:val="21"/>
                      <w:szCs w:val="21"/>
                      <w:vertAlign w:val="baseline"/>
                      <w:lang w:val="en-US" w:eastAsia="zh-CN"/>
                    </w:rPr>
                    <w:t>对拟建工程厂界方位及距离</w:t>
                  </w:r>
                </w:p>
              </w:tc>
              <w:tc>
                <w:tcPr>
                  <w:tcW w:w="1999"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环境保护区域标准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restart"/>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大气环境</w:t>
                  </w: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H1</w:t>
                  </w:r>
                  <w:r>
                    <w:rPr>
                      <w:rFonts w:hint="eastAsia" w:ascii="Times New Roman" w:hAnsi="Times New Roman" w:eastAsia="宋体" w:cs="Times New Roman"/>
                      <w:b w:val="0"/>
                      <w:bCs w:val="0"/>
                      <w:color w:val="auto"/>
                      <w:kern w:val="2"/>
                      <w:sz w:val="21"/>
                      <w:szCs w:val="21"/>
                      <w:vertAlign w:val="baseline"/>
                      <w:lang w:val="en-US" w:eastAsia="zh-CN" w:bidi="ar-SA"/>
                    </w:rPr>
                    <w:t>松木塘安置房1</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约20人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S,20~50m</w:t>
                  </w:r>
                </w:p>
              </w:tc>
              <w:tc>
                <w:tcPr>
                  <w:tcW w:w="1999" w:type="dxa"/>
                  <w:vMerge w:val="restart"/>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《环境空气质量标准》（GB3095-2012及2018修改单）</w:t>
                  </w:r>
                  <w:r>
                    <w:rPr>
                      <w:rFonts w:hint="default"/>
                      <w:b w:val="0"/>
                      <w:bCs w:val="0"/>
                      <w:color w:val="auto"/>
                      <w:sz w:val="21"/>
                      <w:szCs w:val="21"/>
                      <w:vertAlign w:val="baseline"/>
                      <w:lang w:val="en-US" w:eastAsia="zh-CN"/>
                    </w:rPr>
                    <w:t>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H2</w:t>
                  </w:r>
                  <w:r>
                    <w:rPr>
                      <w:rFonts w:hint="eastAsia" w:ascii="Times New Roman" w:hAnsi="Times New Roman" w:eastAsia="宋体" w:cs="Times New Roman"/>
                      <w:b w:val="0"/>
                      <w:bCs w:val="0"/>
                      <w:color w:val="auto"/>
                      <w:kern w:val="2"/>
                      <w:sz w:val="21"/>
                      <w:szCs w:val="21"/>
                      <w:vertAlign w:val="baseline"/>
                      <w:lang w:val="en-US" w:eastAsia="zh-CN" w:bidi="ar-SA"/>
                    </w:rPr>
                    <w:t>松木塘安置房2</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约50人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S,60~200m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H3</w:t>
                  </w:r>
                  <w:r>
                    <w:rPr>
                      <w:rFonts w:hint="eastAsia" w:ascii="Times New Roman" w:hAnsi="Times New Roman" w:eastAsia="宋体" w:cs="Times New Roman"/>
                      <w:b w:val="0"/>
                      <w:bCs w:val="0"/>
                      <w:color w:val="auto"/>
                      <w:kern w:val="2"/>
                      <w:sz w:val="21"/>
                      <w:szCs w:val="21"/>
                      <w:vertAlign w:val="baseline"/>
                      <w:lang w:val="en-US" w:eastAsia="zh-CN" w:bidi="ar-SA"/>
                    </w:rPr>
                    <w:t>松木村</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约200人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W,120~400m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H4</w:t>
                  </w:r>
                  <w:r>
                    <w:rPr>
                      <w:rFonts w:hint="eastAsia" w:ascii="Times New Roman" w:hAnsi="Times New Roman" w:eastAsia="宋体" w:cs="Times New Roman"/>
                      <w:b w:val="0"/>
                      <w:bCs w:val="0"/>
                      <w:color w:val="auto"/>
                      <w:kern w:val="2"/>
                      <w:sz w:val="21"/>
                      <w:szCs w:val="21"/>
                      <w:vertAlign w:val="baseline"/>
                      <w:lang w:val="en-US" w:eastAsia="zh-CN" w:bidi="ar-SA"/>
                    </w:rPr>
                    <w:t>散居民点</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约20人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WN,210~300m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H5</w:t>
                  </w:r>
                  <w:r>
                    <w:rPr>
                      <w:rFonts w:hint="eastAsia" w:ascii="Times New Roman" w:hAnsi="Times New Roman" w:eastAsia="宋体" w:cs="Times New Roman"/>
                      <w:b w:val="0"/>
                      <w:bCs w:val="0"/>
                      <w:color w:val="auto"/>
                      <w:kern w:val="2"/>
                      <w:sz w:val="21"/>
                      <w:szCs w:val="21"/>
                      <w:vertAlign w:val="baseline"/>
                      <w:lang w:val="en-US" w:eastAsia="zh-CN" w:bidi="ar-SA"/>
                    </w:rPr>
                    <w:t>金源小学</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约200人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WN,410~500m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H6</w:t>
                  </w:r>
                  <w:r>
                    <w:rPr>
                      <w:rFonts w:hint="eastAsia" w:ascii="Times New Roman" w:hAnsi="Times New Roman" w:eastAsia="宋体" w:cs="Times New Roman"/>
                      <w:b w:val="0"/>
                      <w:bCs w:val="0"/>
                      <w:color w:val="auto"/>
                      <w:kern w:val="2"/>
                      <w:sz w:val="21"/>
                      <w:szCs w:val="21"/>
                      <w:vertAlign w:val="baseline"/>
                      <w:lang w:val="en-US" w:eastAsia="zh-CN" w:bidi="ar-SA"/>
                    </w:rPr>
                    <w:t>左家垅居民点1</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约15人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WN,360~500m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H7</w:t>
                  </w:r>
                  <w:r>
                    <w:rPr>
                      <w:rFonts w:hint="eastAsia" w:ascii="Times New Roman" w:hAnsi="Times New Roman" w:eastAsia="宋体" w:cs="Times New Roman"/>
                      <w:b w:val="0"/>
                      <w:bCs w:val="0"/>
                      <w:color w:val="auto"/>
                      <w:kern w:val="2"/>
                      <w:sz w:val="21"/>
                      <w:szCs w:val="21"/>
                      <w:vertAlign w:val="baseline"/>
                      <w:lang w:val="en-US" w:eastAsia="zh-CN" w:bidi="ar-SA"/>
                    </w:rPr>
                    <w:t>左家垅居民点2</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约60人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N,350~450m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H8</w:t>
                  </w:r>
                  <w:r>
                    <w:rPr>
                      <w:rFonts w:hint="eastAsia" w:ascii="Times New Roman" w:hAnsi="Times New Roman" w:eastAsia="宋体" w:cs="Times New Roman"/>
                      <w:b w:val="0"/>
                      <w:bCs w:val="0"/>
                      <w:color w:val="auto"/>
                      <w:kern w:val="2"/>
                      <w:sz w:val="21"/>
                      <w:szCs w:val="21"/>
                      <w:vertAlign w:val="baseline"/>
                      <w:lang w:val="en-US" w:eastAsia="zh-CN" w:bidi="ar-SA"/>
                    </w:rPr>
                    <w:t>松木派出所</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约15人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N,310~340m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H9</w:t>
                  </w:r>
                  <w:r>
                    <w:rPr>
                      <w:rFonts w:hint="eastAsia" w:ascii="Times New Roman" w:hAnsi="Times New Roman" w:eastAsia="宋体" w:cs="Times New Roman"/>
                      <w:b w:val="0"/>
                      <w:bCs w:val="0"/>
                      <w:color w:val="auto"/>
                      <w:kern w:val="2"/>
                      <w:sz w:val="21"/>
                      <w:szCs w:val="21"/>
                      <w:vertAlign w:val="baseline"/>
                      <w:lang w:val="en-US" w:eastAsia="zh-CN" w:bidi="ar-SA"/>
                    </w:rPr>
                    <w:t>花旗幼儿园</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约50人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WS,240~280m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71"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H10</w:t>
                  </w:r>
                  <w:r>
                    <w:rPr>
                      <w:rFonts w:hint="eastAsia" w:ascii="Times New Roman" w:hAnsi="Times New Roman" w:eastAsia="宋体" w:cs="Times New Roman"/>
                      <w:b w:val="0"/>
                      <w:bCs w:val="0"/>
                      <w:color w:val="auto"/>
                      <w:kern w:val="2"/>
                      <w:sz w:val="21"/>
                      <w:szCs w:val="21"/>
                      <w:vertAlign w:val="baseline"/>
                      <w:lang w:val="en-US" w:eastAsia="zh-CN" w:bidi="ar-SA"/>
                    </w:rPr>
                    <w:t>湖南工商职业学院</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约5000人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WS,250~500m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71" w:type="dxa"/>
                  <w:vMerge w:val="continue"/>
                  <w:vAlign w:val="center"/>
                </w:tcPr>
                <w:p>
                  <w:pPr>
                    <w:spacing w:line="240" w:lineRule="auto"/>
                    <w:jc w:val="center"/>
                  </w:pPr>
                </w:p>
              </w:tc>
              <w:tc>
                <w:tcPr>
                  <w:tcW w:w="2343"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cs="Times New Roman"/>
                      <w:b w:val="0"/>
                      <w:bCs w:val="0"/>
                      <w:color w:val="auto"/>
                      <w:kern w:val="2"/>
                      <w:sz w:val="21"/>
                      <w:szCs w:val="21"/>
                      <w:vertAlign w:val="baseline"/>
                      <w:lang w:val="en-US" w:eastAsia="zh-CN" w:bidi="ar-SA"/>
                    </w:rPr>
                    <w:t>H11</w:t>
                  </w:r>
                  <w:r>
                    <w:rPr>
                      <w:rFonts w:hint="eastAsia" w:ascii="Times New Roman" w:hAnsi="Times New Roman" w:eastAsia="宋体" w:cs="Times New Roman"/>
                      <w:b w:val="0"/>
                      <w:bCs w:val="0"/>
                      <w:color w:val="auto"/>
                      <w:kern w:val="2"/>
                      <w:sz w:val="21"/>
                      <w:szCs w:val="21"/>
                      <w:vertAlign w:val="baseline"/>
                      <w:lang w:val="en-US" w:eastAsia="zh-CN" w:bidi="ar-SA"/>
                    </w:rPr>
                    <w:t>松木小学</w:t>
                  </w:r>
                </w:p>
              </w:tc>
              <w:tc>
                <w:tcPr>
                  <w:tcW w:w="1129"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约200人</w:t>
                  </w:r>
                </w:p>
              </w:tc>
              <w:tc>
                <w:tcPr>
                  <w:tcW w:w="1551" w:type="dxa"/>
                  <w:vAlign w:val="center"/>
                </w:tcPr>
                <w:p>
                  <w:pPr>
                    <w:autoSpaceDE/>
                    <w:autoSpaceDN/>
                    <w:spacing w:before="0" w:after="0" w:line="240" w:lineRule="auto"/>
                    <w:ind w:left="0" w:leftChars="0" w:right="0" w:rightChars="0"/>
                    <w:jc w:val="center"/>
                    <w:rPr>
                      <w:rFonts w:hint="eastAsia"/>
                      <w:b w:val="0"/>
                      <w:bCs w:val="0"/>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vertAlign w:val="baseline"/>
                      <w:lang w:val="en-US" w:eastAsia="zh-CN" w:bidi="ar-SA"/>
                    </w:rPr>
                    <w:t>W，380~500m</w:t>
                  </w:r>
                </w:p>
              </w:tc>
              <w:tc>
                <w:tcPr>
                  <w:tcW w:w="1999" w:type="dxa"/>
                  <w:vMerge w:val="continue"/>
                  <w:vAlign w:val="center"/>
                </w:tcPr>
                <w:p>
                  <w:pPr>
                    <w:spacing w:line="240" w:lineRule="auto"/>
                    <w:jc w:val="center"/>
                    <w:rPr>
                      <w:rFonts w:hint="eastAsia"/>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声环境</w:t>
                  </w:r>
                </w:p>
              </w:tc>
              <w:tc>
                <w:tcPr>
                  <w:tcW w:w="2343"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H1</w:t>
                  </w:r>
                  <w:r>
                    <w:rPr>
                      <w:rFonts w:hint="default"/>
                      <w:b w:val="0"/>
                      <w:bCs w:val="0"/>
                      <w:color w:val="auto"/>
                      <w:sz w:val="21"/>
                      <w:szCs w:val="21"/>
                      <w:vertAlign w:val="baseline"/>
                      <w:lang w:val="en-US" w:eastAsia="zh-CN"/>
                    </w:rPr>
                    <w:t>松木塘安置房</w:t>
                  </w:r>
                  <w:r>
                    <w:rPr>
                      <w:rFonts w:hint="eastAsia"/>
                      <w:b w:val="0"/>
                      <w:bCs w:val="0"/>
                      <w:color w:val="auto"/>
                      <w:sz w:val="21"/>
                      <w:szCs w:val="21"/>
                      <w:vertAlign w:val="baseline"/>
                      <w:lang w:val="en-US" w:eastAsia="zh-CN"/>
                    </w:rPr>
                    <w:t>1</w:t>
                  </w:r>
                </w:p>
              </w:tc>
              <w:tc>
                <w:tcPr>
                  <w:tcW w:w="1129" w:type="dxa"/>
                  <w:vAlign w:val="center"/>
                </w:tcPr>
                <w:p>
                  <w:pPr>
                    <w:spacing w:line="240" w:lineRule="auto"/>
                    <w:jc w:val="center"/>
                    <w:rPr>
                      <w:rFonts w:hint="eastAsia"/>
                      <w:b w:val="0"/>
                      <w:bCs w:val="0"/>
                      <w:color w:val="auto"/>
                      <w:sz w:val="21"/>
                      <w:szCs w:val="21"/>
                      <w:vertAlign w:val="baseline"/>
                      <w:lang w:val="en-US" w:eastAsia="zh-CN"/>
                    </w:rPr>
                  </w:pPr>
                  <w:r>
                    <w:rPr>
                      <w:rFonts w:hint="default"/>
                      <w:b w:val="0"/>
                      <w:bCs w:val="0"/>
                      <w:color w:val="auto"/>
                      <w:sz w:val="21"/>
                      <w:szCs w:val="21"/>
                      <w:vertAlign w:val="baseline"/>
                      <w:lang w:val="en-US" w:eastAsia="zh-CN"/>
                    </w:rPr>
                    <w:t>约</w:t>
                  </w:r>
                  <w:r>
                    <w:rPr>
                      <w:rFonts w:hint="eastAsia"/>
                      <w:b w:val="0"/>
                      <w:bCs w:val="0"/>
                      <w:color w:val="auto"/>
                      <w:sz w:val="21"/>
                      <w:szCs w:val="21"/>
                      <w:vertAlign w:val="baseline"/>
                      <w:lang w:val="en-US" w:eastAsia="zh-CN"/>
                    </w:rPr>
                    <w:t>20</w:t>
                  </w:r>
                  <w:r>
                    <w:rPr>
                      <w:rFonts w:hint="default"/>
                      <w:b w:val="0"/>
                      <w:bCs w:val="0"/>
                      <w:color w:val="auto"/>
                      <w:sz w:val="21"/>
                      <w:szCs w:val="21"/>
                      <w:vertAlign w:val="baseline"/>
                      <w:lang w:val="en-US" w:eastAsia="zh-CN"/>
                    </w:rPr>
                    <w:t>人</w:t>
                  </w:r>
                </w:p>
              </w:tc>
              <w:tc>
                <w:tcPr>
                  <w:tcW w:w="1551"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S,20</w:t>
                  </w:r>
                  <w:r>
                    <w:rPr>
                      <w:rFonts w:hint="default"/>
                      <w:b w:val="0"/>
                      <w:bCs w:val="0"/>
                      <w:color w:val="auto"/>
                      <w:sz w:val="21"/>
                      <w:szCs w:val="21"/>
                      <w:vertAlign w:val="baseline"/>
                      <w:lang w:val="en-US" w:eastAsia="zh-CN"/>
                    </w:rPr>
                    <w:t>~</w:t>
                  </w:r>
                  <w:r>
                    <w:rPr>
                      <w:rFonts w:hint="eastAsia"/>
                      <w:b w:val="0"/>
                      <w:bCs w:val="0"/>
                      <w:color w:val="auto"/>
                      <w:sz w:val="21"/>
                      <w:szCs w:val="21"/>
                      <w:vertAlign w:val="baseline"/>
                      <w:lang w:val="en-US" w:eastAsia="zh-CN"/>
                    </w:rPr>
                    <w:t>50m</w:t>
                  </w:r>
                </w:p>
              </w:tc>
              <w:tc>
                <w:tcPr>
                  <w:tcW w:w="1999"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《声环境质量标准》（GB3096</w:t>
                  </w:r>
                  <w:r>
                    <w:rPr>
                      <w:rFonts w:hint="default"/>
                      <w:b w:val="0"/>
                      <w:bCs w:val="0"/>
                      <w:color w:val="auto"/>
                      <w:sz w:val="21"/>
                      <w:szCs w:val="21"/>
                      <w:vertAlign w:val="baseline"/>
                      <w:lang w:val="en-US" w:eastAsia="zh-CN"/>
                    </w:rPr>
                    <w:t>-</w:t>
                  </w:r>
                  <w:r>
                    <w:rPr>
                      <w:rFonts w:hint="eastAsia"/>
                      <w:b w:val="0"/>
                      <w:bCs w:val="0"/>
                      <w:color w:val="auto"/>
                      <w:sz w:val="21"/>
                      <w:szCs w:val="21"/>
                      <w:vertAlign w:val="baseline"/>
                      <w:lang w:val="en-US" w:eastAsia="zh-CN"/>
                    </w:rPr>
                    <w:t>2008）2</w:t>
                  </w:r>
                  <w:r>
                    <w:rPr>
                      <w:rFonts w:hint="default"/>
                      <w:b w:val="0"/>
                      <w:bCs w:val="0"/>
                      <w:color w:val="auto"/>
                      <w:sz w:val="21"/>
                      <w:szCs w:val="21"/>
                      <w:vertAlign w:val="baseline"/>
                      <w:lang w:val="en-US" w:eastAsia="zh-CN"/>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地下水环境</w:t>
                  </w:r>
                </w:p>
              </w:tc>
              <w:tc>
                <w:tcPr>
                  <w:tcW w:w="7022" w:type="dxa"/>
                  <w:gridSpan w:val="4"/>
                  <w:vAlign w:val="center"/>
                </w:tcPr>
                <w:p>
                  <w:pPr>
                    <w:spacing w:line="240" w:lineRule="auto"/>
                    <w:jc w:val="center"/>
                    <w:rPr>
                      <w:rFonts w:hint="eastAsia"/>
                      <w:b w:val="0"/>
                      <w:bCs w:val="0"/>
                      <w:color w:val="auto"/>
                      <w:sz w:val="21"/>
                      <w:szCs w:val="21"/>
                      <w:vertAlign w:val="baseline"/>
                      <w:lang w:val="en-US" w:eastAsia="zh-CN"/>
                    </w:rPr>
                  </w:pPr>
                  <w:r>
                    <w:rPr>
                      <w:rFonts w:hint="default"/>
                      <w:b w:val="0"/>
                      <w:bCs w:val="0"/>
                      <w:color w:val="auto"/>
                      <w:sz w:val="21"/>
                      <w:szCs w:val="21"/>
                      <w:vertAlign w:val="baseline"/>
                      <w:lang w:val="en-US" w:eastAsia="zh-CN"/>
                    </w:rPr>
                    <w:t>项目厂界外</w:t>
                  </w:r>
                  <w:r>
                    <w:rPr>
                      <w:rFonts w:hint="eastAsia"/>
                      <w:b w:val="0"/>
                      <w:bCs w:val="0"/>
                      <w:color w:val="auto"/>
                      <w:sz w:val="21"/>
                      <w:szCs w:val="21"/>
                      <w:vertAlign w:val="baseline"/>
                      <w:lang w:val="en-US" w:eastAsia="zh-CN"/>
                    </w:rPr>
                    <w:t>500</w:t>
                  </w:r>
                  <w:r>
                    <w:rPr>
                      <w:rFonts w:hint="default"/>
                      <w:b w:val="0"/>
                      <w:bCs w:val="0"/>
                      <w:color w:val="auto"/>
                      <w:sz w:val="21"/>
                      <w:szCs w:val="21"/>
                      <w:vertAlign w:val="baseline"/>
                      <w:lang w:val="en-US" w:eastAsia="zh-CN"/>
                    </w:rPr>
                    <w:t>米范围内没有地下水集中式饮用水源和热水、矿泉水、温泉等特殊地下水资源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1" w:type="dxa"/>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生态环境</w:t>
                  </w:r>
                </w:p>
              </w:tc>
              <w:tc>
                <w:tcPr>
                  <w:tcW w:w="7022" w:type="dxa"/>
                  <w:gridSpan w:val="4"/>
                  <w:vAlign w:val="center"/>
                </w:tcPr>
                <w:p>
                  <w:pPr>
                    <w:spacing w:line="240" w:lineRule="auto"/>
                    <w:jc w:val="center"/>
                    <w:rPr>
                      <w:rFonts w:hint="eastAsia"/>
                      <w:b w:val="0"/>
                      <w:bCs w:val="0"/>
                      <w:color w:val="auto"/>
                      <w:sz w:val="21"/>
                      <w:szCs w:val="21"/>
                      <w:vertAlign w:val="baseline"/>
                      <w:lang w:val="en-US" w:eastAsia="zh-CN"/>
                    </w:rPr>
                  </w:pPr>
                  <w:r>
                    <w:rPr>
                      <w:rFonts w:hint="default"/>
                      <w:b w:val="0"/>
                      <w:bCs w:val="0"/>
                      <w:color w:val="auto"/>
                      <w:sz w:val="21"/>
                      <w:szCs w:val="21"/>
                      <w:vertAlign w:val="baseline"/>
                      <w:lang w:val="en-US" w:eastAsia="zh-CN"/>
                    </w:rPr>
                    <w:t>用地范围内无生态环境保护目标</w:t>
                  </w:r>
                </w:p>
              </w:tc>
            </w:tr>
          </w:tbl>
          <w:p>
            <w:pPr>
              <w:spacing w:line="240" w:lineRule="auto"/>
              <w:ind w:firstLine="482" w:firstLineChars="200"/>
              <w:jc w:val="center"/>
              <w:rPr>
                <w:rFonts w:hint="eastAsia"/>
                <w:b/>
                <w:bCs/>
                <w:color w:va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dxa"/>
            <w:vAlign w:val="center"/>
          </w:tcPr>
          <w:p>
            <w:pPr>
              <w:jc w:val="center"/>
              <w:rPr>
                <w:rFonts w:hint="default"/>
                <w:color w:val="auto"/>
                <w:vertAlign w:val="baseline"/>
                <w:lang w:val="en-US" w:eastAsia="zh-CN"/>
              </w:rPr>
            </w:pPr>
            <w:r>
              <w:rPr>
                <w:rFonts w:hint="eastAsia"/>
                <w:color w:val="auto"/>
                <w:vertAlign w:val="baseline"/>
                <w:lang w:val="en-US" w:eastAsia="zh-CN"/>
              </w:rPr>
              <w:t>污染物排放控制标准</w:t>
            </w:r>
          </w:p>
        </w:tc>
        <w:tc>
          <w:tcPr>
            <w:tcW w:w="7719" w:type="dxa"/>
            <w:vAlign w:val="top"/>
          </w:tcPr>
          <w:p>
            <w:pPr>
              <w:rPr>
                <w:rFonts w:hint="eastAsia"/>
                <w:color w:val="auto"/>
                <w:vertAlign w:val="baseline"/>
                <w:lang w:val="en-US" w:eastAsia="zh-CN"/>
              </w:rPr>
            </w:pPr>
            <w:r>
              <w:rPr>
                <w:rFonts w:hint="eastAsia"/>
                <w:b/>
                <w:bCs/>
                <w:color w:val="auto"/>
                <w:vertAlign w:val="baseline"/>
                <w:lang w:val="en-US" w:eastAsia="zh-CN"/>
              </w:rPr>
              <w:t>1、大气污染物排放标准</w:t>
            </w:r>
          </w:p>
          <w:p>
            <w:pPr>
              <w:ind w:firstLine="480" w:firstLineChars="200"/>
              <w:rPr>
                <w:rFonts w:hint="eastAsia"/>
                <w:color w:val="auto"/>
                <w:vertAlign w:val="baseline"/>
                <w:lang w:val="en-US" w:eastAsia="zh-CN"/>
              </w:rPr>
            </w:pPr>
            <w:r>
              <w:rPr>
                <w:rFonts w:hint="eastAsia"/>
                <w:color w:val="auto"/>
                <w:vertAlign w:val="baseline"/>
                <w:lang w:val="en-US" w:eastAsia="zh-CN"/>
              </w:rPr>
              <w:t>项目运营期无组织非甲烷总烃排放执行《加油站大气污染物排放标准》(GB20952-2020)表3无组织排放监控浓度限值；加油站油气回收系统执行《加油站大气污染物排放标准》(GB20952-2020)中的相关标准，加油站油气处理装置的油气排放浓度1小时平均浓度值应小于等于25g</w:t>
            </w:r>
            <w:r>
              <w:rPr>
                <w:rFonts w:hint="eastAsia" w:ascii="Calibri" w:hAnsi="Calibri" w:cs="Calibri"/>
                <w:color w:val="auto"/>
                <w:vertAlign w:val="baseline"/>
                <w:lang w:val="en-US" w:eastAsia="zh-CN"/>
              </w:rPr>
              <w:t>/</w:t>
            </w:r>
            <w:r>
              <w:rPr>
                <w:rFonts w:hint="eastAsia"/>
                <w:color w:val="auto"/>
                <w:vertAlign w:val="baseline"/>
                <w:lang w:val="en-US" w:eastAsia="zh-CN"/>
              </w:rPr>
              <w:t>m</w:t>
            </w:r>
            <w:r>
              <w:rPr>
                <w:rFonts w:hint="eastAsia"/>
                <w:color w:val="auto"/>
                <w:vertAlign w:val="superscript"/>
                <w:lang w:val="en-US" w:eastAsia="zh-CN"/>
              </w:rPr>
              <w:t>3</w:t>
            </w:r>
            <w:r>
              <w:rPr>
                <w:rFonts w:hint="eastAsia"/>
                <w:color w:val="auto"/>
                <w:vertAlign w:val="baseline"/>
                <w:lang w:val="en-US" w:eastAsia="zh-CN"/>
              </w:rPr>
              <w:t>，排放口位置距地平面高度不低于4m。具体详见表3-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8</w:t>
            </w:r>
            <w:r>
              <w:rPr>
                <w:rFonts w:hint="default"/>
                <w:color w:val="auto"/>
                <w:vertAlign w:val="baseline"/>
                <w:lang w:eastAsia="zh-CN"/>
              </w:rPr>
              <w:fldChar w:fldCharType="end"/>
            </w:r>
            <w:r>
              <w:rPr>
                <w:rFonts w:hint="eastAsia"/>
                <w:color w:val="auto"/>
                <w:vertAlign w:val="baseline"/>
                <w:lang w:val="en-US" w:eastAsia="zh-CN"/>
              </w:rPr>
              <w:t>和表3-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9</w:t>
            </w:r>
            <w:r>
              <w:rPr>
                <w:rFonts w:hint="default"/>
                <w:color w:val="auto"/>
                <w:vertAlign w:val="baseline"/>
                <w:lang w:eastAsia="zh-CN"/>
              </w:rPr>
              <w:fldChar w:fldCharType="end"/>
            </w:r>
            <w:r>
              <w:rPr>
                <w:rFonts w:hint="eastAsia"/>
                <w:color w:val="auto"/>
                <w:vertAlign w:val="baseline"/>
                <w:lang w:val="en-US" w:eastAsia="zh-CN"/>
              </w:rPr>
              <w:t>。</w:t>
            </w:r>
          </w:p>
          <w:p>
            <w:pPr>
              <w:pStyle w:val="10"/>
              <w:bidi w:val="0"/>
              <w:rPr>
                <w:rFonts w:hint="default"/>
                <w:lang w:val="en-US" w:eastAsia="zh-CN"/>
              </w:rPr>
            </w:pPr>
            <w:r>
              <w:rPr>
                <w:rFonts w:hint="eastAsia"/>
                <w:lang w:val="en-US" w:eastAsia="zh-CN"/>
              </w:rPr>
              <w:t>表3-</w:t>
            </w:r>
            <w:r>
              <w:rPr>
                <w:rFonts w:hint="default"/>
                <w:lang w:eastAsia="zh-CN"/>
              </w:rPr>
              <w:fldChar w:fldCharType="begin"/>
            </w:r>
            <w:r>
              <w:rPr>
                <w:rFonts w:hint="default"/>
                <w:lang w:eastAsia="zh-CN"/>
              </w:rPr>
              <w:instrText xml:space="preserve"> SEQ 表3- </w:instrText>
            </w:r>
            <w:r>
              <w:rPr>
                <w:rFonts w:hint="default"/>
                <w:lang w:eastAsia="zh-CN"/>
              </w:rPr>
              <w:fldChar w:fldCharType="separate"/>
            </w:r>
            <w:r>
              <w:rPr>
                <w:rFonts w:hint="default"/>
                <w:lang w:eastAsia="zh-CN"/>
              </w:rPr>
              <w:t>8</w:t>
            </w:r>
            <w:r>
              <w:rPr>
                <w:rFonts w:hint="default"/>
                <w:lang w:eastAsia="zh-CN"/>
              </w:rPr>
              <w:fldChar w:fldCharType="end"/>
            </w:r>
            <w:r>
              <w:rPr>
                <w:rFonts w:hint="eastAsia"/>
                <w:lang w:val="en-US" w:eastAsia="zh-CN"/>
              </w:rPr>
              <w:t xml:space="preserve">  无组织非甲烷总烃排放标准</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2"/>
              <w:gridCol w:w="1873"/>
              <w:gridCol w:w="1874"/>
              <w:gridCol w:w="1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3" w:type="dxa"/>
                  <w:vAlign w:val="center"/>
                </w:tcPr>
                <w:p>
                  <w:pPr>
                    <w:spacing w:line="240" w:lineRule="auto"/>
                    <w:jc w:val="center"/>
                    <w:rPr>
                      <w:rFonts w:hint="eastAsia"/>
                      <w:b/>
                      <w:bCs/>
                      <w:color w:val="auto"/>
                      <w:sz w:val="21"/>
                      <w:szCs w:val="21"/>
                      <w:vertAlign w:val="baseline"/>
                      <w:lang w:val="en-US" w:eastAsia="zh-CN"/>
                    </w:rPr>
                  </w:pPr>
                  <w:r>
                    <w:rPr>
                      <w:rFonts w:hint="eastAsia"/>
                      <w:b w:val="0"/>
                      <w:bCs w:val="0"/>
                      <w:color w:val="auto"/>
                      <w:sz w:val="21"/>
                      <w:szCs w:val="21"/>
                      <w:vertAlign w:val="baseline"/>
                      <w:lang w:val="en-US" w:eastAsia="zh-CN"/>
                    </w:rPr>
                    <w:t>污染物名称</w:t>
                  </w:r>
                </w:p>
              </w:tc>
              <w:tc>
                <w:tcPr>
                  <w:tcW w:w="1963" w:type="dxa"/>
                  <w:vAlign w:val="center"/>
                </w:tcPr>
                <w:p>
                  <w:pPr>
                    <w:spacing w:line="240" w:lineRule="auto"/>
                    <w:jc w:val="center"/>
                    <w:rPr>
                      <w:rFonts w:hint="eastAsia"/>
                      <w:b/>
                      <w:bCs/>
                      <w:color w:val="auto"/>
                      <w:sz w:val="21"/>
                      <w:szCs w:val="21"/>
                      <w:vertAlign w:val="baseline"/>
                      <w:lang w:val="en-US" w:eastAsia="zh-CN"/>
                    </w:rPr>
                  </w:pPr>
                  <w:r>
                    <w:rPr>
                      <w:rFonts w:hint="eastAsia"/>
                      <w:b w:val="0"/>
                      <w:bCs w:val="0"/>
                      <w:color w:val="auto"/>
                      <w:sz w:val="21"/>
                      <w:szCs w:val="21"/>
                      <w:vertAlign w:val="baseline"/>
                      <w:lang w:val="en-US" w:eastAsia="zh-CN"/>
                    </w:rPr>
                    <w:t>排放限值(mg</w:t>
                  </w:r>
                  <w:r>
                    <w:rPr>
                      <w:rFonts w:hint="eastAsia" w:ascii="Calibri" w:hAnsi="Calibri" w:cs="Calibri"/>
                      <w:b w:val="0"/>
                      <w:bCs w:val="0"/>
                      <w:color w:val="auto"/>
                      <w:sz w:val="21"/>
                      <w:szCs w:val="21"/>
                      <w:vertAlign w:val="baseline"/>
                      <w:lang w:val="en-US" w:eastAsia="zh-CN"/>
                    </w:rPr>
                    <w:t>/</w:t>
                  </w:r>
                  <w:r>
                    <w:rPr>
                      <w:rFonts w:hint="eastAsia"/>
                      <w:b w:val="0"/>
                      <w:bCs w:val="0"/>
                      <w:color w:val="auto"/>
                      <w:sz w:val="21"/>
                      <w:szCs w:val="21"/>
                      <w:vertAlign w:val="baseline"/>
                      <w:lang w:val="en-US" w:eastAsia="zh-CN"/>
                    </w:rPr>
                    <w:t>m</w:t>
                  </w:r>
                  <w:r>
                    <w:rPr>
                      <w:rFonts w:hint="default"/>
                      <w:b w:val="0"/>
                      <w:bCs w:val="0"/>
                      <w:color w:val="auto"/>
                      <w:sz w:val="21"/>
                      <w:szCs w:val="21"/>
                      <w:vertAlign w:val="baseline"/>
                      <w:lang w:val="en-US" w:eastAsia="zh-CN"/>
                    </w:rPr>
                    <w:t>³</w:t>
                  </w:r>
                  <w:r>
                    <w:rPr>
                      <w:rFonts w:hint="eastAsia"/>
                      <w:b w:val="0"/>
                      <w:bCs w:val="0"/>
                      <w:color w:val="auto"/>
                      <w:sz w:val="21"/>
                      <w:szCs w:val="21"/>
                      <w:vertAlign w:val="baseline"/>
                      <w:lang w:val="en-US" w:eastAsia="zh-CN"/>
                    </w:rPr>
                    <w:t>)</w:t>
                  </w:r>
                </w:p>
              </w:tc>
              <w:tc>
                <w:tcPr>
                  <w:tcW w:w="1964" w:type="dxa"/>
                  <w:vAlign w:val="center"/>
                </w:tcPr>
                <w:p>
                  <w:pPr>
                    <w:spacing w:line="240" w:lineRule="auto"/>
                    <w:jc w:val="center"/>
                    <w:rPr>
                      <w:rFonts w:hint="eastAsia"/>
                      <w:b/>
                      <w:bCs/>
                      <w:color w:val="auto"/>
                      <w:sz w:val="21"/>
                      <w:szCs w:val="21"/>
                      <w:vertAlign w:val="baseline"/>
                      <w:lang w:val="en-US" w:eastAsia="zh-CN"/>
                    </w:rPr>
                  </w:pPr>
                  <w:r>
                    <w:rPr>
                      <w:rFonts w:hint="eastAsia"/>
                      <w:b w:val="0"/>
                      <w:bCs w:val="0"/>
                      <w:color w:val="auto"/>
                      <w:sz w:val="21"/>
                      <w:szCs w:val="21"/>
                      <w:vertAlign w:val="baseline"/>
                      <w:lang w:val="en-US" w:eastAsia="zh-CN"/>
                    </w:rPr>
                    <w:t>限值含义</w:t>
                  </w:r>
                </w:p>
              </w:tc>
              <w:tc>
                <w:tcPr>
                  <w:tcW w:w="1964" w:type="dxa"/>
                  <w:vAlign w:val="center"/>
                </w:tcPr>
                <w:p>
                  <w:pPr>
                    <w:spacing w:line="240" w:lineRule="auto"/>
                    <w:jc w:val="center"/>
                    <w:rPr>
                      <w:rFonts w:hint="eastAsia"/>
                      <w:b/>
                      <w:bCs/>
                      <w:color w:val="auto"/>
                      <w:sz w:val="21"/>
                      <w:szCs w:val="21"/>
                      <w:vertAlign w:val="baseline"/>
                      <w:lang w:val="en-US" w:eastAsia="zh-CN"/>
                    </w:rPr>
                  </w:pPr>
                  <w:r>
                    <w:rPr>
                      <w:rFonts w:hint="eastAsia"/>
                      <w:b w:val="0"/>
                      <w:bCs w:val="0"/>
                      <w:color w:val="auto"/>
                      <w:sz w:val="21"/>
                      <w:szCs w:val="21"/>
                      <w:vertAlign w:val="baseline"/>
                      <w:lang w:val="en-US" w:eastAsia="zh-CN"/>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3" w:type="dxa"/>
                  <w:vAlign w:val="center"/>
                </w:tcPr>
                <w:p>
                  <w:pPr>
                    <w:spacing w:line="240" w:lineRule="auto"/>
                    <w:jc w:val="center"/>
                    <w:rPr>
                      <w:rFonts w:hint="eastAsia"/>
                      <w:b/>
                      <w:bCs/>
                      <w:color w:val="auto"/>
                      <w:sz w:val="21"/>
                      <w:szCs w:val="21"/>
                      <w:vertAlign w:val="baseline"/>
                      <w:lang w:val="en-US" w:eastAsia="zh-CN"/>
                    </w:rPr>
                  </w:pPr>
                  <w:r>
                    <w:rPr>
                      <w:rFonts w:hint="eastAsia"/>
                      <w:b w:val="0"/>
                      <w:bCs w:val="0"/>
                      <w:color w:val="auto"/>
                      <w:sz w:val="21"/>
                      <w:szCs w:val="21"/>
                      <w:vertAlign w:val="baseline"/>
                      <w:lang w:val="en-US" w:eastAsia="zh-CN"/>
                    </w:rPr>
                    <w:t>非甲烷总烃</w:t>
                  </w:r>
                </w:p>
              </w:tc>
              <w:tc>
                <w:tcPr>
                  <w:tcW w:w="1963" w:type="dxa"/>
                  <w:vAlign w:val="center"/>
                </w:tcPr>
                <w:p>
                  <w:pPr>
                    <w:spacing w:line="240" w:lineRule="auto"/>
                    <w:jc w:val="center"/>
                    <w:rPr>
                      <w:rFonts w:hint="eastAsia"/>
                      <w:b/>
                      <w:bCs/>
                      <w:color w:val="auto"/>
                      <w:sz w:val="21"/>
                      <w:szCs w:val="21"/>
                      <w:vertAlign w:val="baseline"/>
                      <w:lang w:val="en-US" w:eastAsia="zh-CN"/>
                    </w:rPr>
                  </w:pPr>
                  <w:r>
                    <w:rPr>
                      <w:rFonts w:hint="eastAsia"/>
                      <w:b w:val="0"/>
                      <w:bCs w:val="0"/>
                      <w:color w:val="auto"/>
                      <w:sz w:val="21"/>
                      <w:szCs w:val="21"/>
                      <w:vertAlign w:val="baseline"/>
                      <w:lang w:val="en-US" w:eastAsia="zh-CN"/>
                    </w:rPr>
                    <w:t>4.0</w:t>
                  </w:r>
                </w:p>
              </w:tc>
              <w:tc>
                <w:tcPr>
                  <w:tcW w:w="1964" w:type="dxa"/>
                  <w:vAlign w:val="center"/>
                </w:tcPr>
                <w:p>
                  <w:pPr>
                    <w:spacing w:line="240" w:lineRule="auto"/>
                    <w:jc w:val="center"/>
                    <w:rPr>
                      <w:rFonts w:hint="eastAsia"/>
                      <w:b/>
                      <w:bCs/>
                      <w:color w:val="auto"/>
                      <w:sz w:val="21"/>
                      <w:szCs w:val="21"/>
                      <w:vertAlign w:val="baseline"/>
                      <w:lang w:val="en-US" w:eastAsia="zh-CN"/>
                    </w:rPr>
                  </w:pPr>
                  <w:r>
                    <w:rPr>
                      <w:rFonts w:hint="eastAsia"/>
                      <w:b w:val="0"/>
                      <w:bCs w:val="0"/>
                      <w:color w:val="auto"/>
                      <w:sz w:val="21"/>
                      <w:szCs w:val="21"/>
                      <w:vertAlign w:val="baseline"/>
                      <w:lang w:val="en-US" w:eastAsia="zh-CN"/>
                    </w:rPr>
                    <w:t>监控点处1小时平均浓度值</w:t>
                  </w:r>
                </w:p>
              </w:tc>
              <w:tc>
                <w:tcPr>
                  <w:tcW w:w="1964" w:type="dxa"/>
                  <w:vAlign w:val="center"/>
                </w:tcPr>
                <w:p>
                  <w:pPr>
                    <w:spacing w:line="240" w:lineRule="auto"/>
                    <w:jc w:val="center"/>
                    <w:rPr>
                      <w:rFonts w:hint="eastAsia"/>
                      <w:b/>
                      <w:bCs/>
                      <w:color w:val="auto"/>
                      <w:sz w:val="21"/>
                      <w:szCs w:val="21"/>
                      <w:vertAlign w:val="baseline"/>
                      <w:lang w:val="en-US" w:eastAsia="zh-CN"/>
                    </w:rPr>
                  </w:pPr>
                  <w:r>
                    <w:rPr>
                      <w:rFonts w:hint="eastAsia"/>
                      <w:b w:val="0"/>
                      <w:bCs w:val="0"/>
                      <w:color w:val="auto"/>
                      <w:sz w:val="21"/>
                      <w:szCs w:val="21"/>
                      <w:vertAlign w:val="baseline"/>
                      <w:lang w:val="en-US" w:eastAsia="zh-CN"/>
                    </w:rPr>
                    <w:t>参照HJ</w:t>
                  </w:r>
                  <w:r>
                    <w:rPr>
                      <w:rFonts w:hint="eastAsia" w:ascii="Calibri" w:hAnsi="Calibri" w:cs="Calibri"/>
                      <w:b w:val="0"/>
                      <w:bCs w:val="0"/>
                      <w:color w:val="auto"/>
                      <w:sz w:val="21"/>
                      <w:szCs w:val="21"/>
                      <w:vertAlign w:val="baseline"/>
                      <w:lang w:val="en-US" w:eastAsia="zh-CN"/>
                    </w:rPr>
                    <w:t>/</w:t>
                  </w:r>
                  <w:r>
                    <w:rPr>
                      <w:rFonts w:hint="eastAsia"/>
                      <w:b w:val="0"/>
                      <w:bCs w:val="0"/>
                      <w:color w:val="auto"/>
                      <w:sz w:val="21"/>
                      <w:szCs w:val="21"/>
                      <w:vertAlign w:val="baseline"/>
                      <w:lang w:val="en-US" w:eastAsia="zh-CN"/>
                    </w:rPr>
                    <w:t>T55规定</w:t>
                  </w:r>
                </w:p>
              </w:tc>
            </w:tr>
          </w:tbl>
          <w:p>
            <w:pPr>
              <w:spacing w:line="240" w:lineRule="auto"/>
              <w:ind w:firstLine="482" w:firstLineChars="200"/>
              <w:jc w:val="center"/>
              <w:rPr>
                <w:rFonts w:hint="eastAsia"/>
                <w:b/>
                <w:bCs/>
                <w:color w:val="auto"/>
                <w:vertAlign w:val="baseline"/>
                <w:lang w:val="en-US" w:eastAsia="zh-CN"/>
              </w:rPr>
            </w:pPr>
          </w:p>
          <w:p>
            <w:pPr>
              <w:pStyle w:val="10"/>
              <w:bidi w:val="0"/>
              <w:rPr>
                <w:rFonts w:hint="eastAsia"/>
                <w:b/>
                <w:bCs/>
                <w:color w:val="auto"/>
                <w:vertAlign w:val="baseline"/>
                <w:lang w:val="en-US" w:eastAsia="zh-CN"/>
              </w:rPr>
            </w:pPr>
            <w:r>
              <w:rPr>
                <w:rFonts w:hint="eastAsia"/>
                <w:lang w:val="en-US" w:eastAsia="zh-CN"/>
              </w:rPr>
              <w:t>表3-</w:t>
            </w:r>
            <w:r>
              <w:rPr>
                <w:rFonts w:hint="default"/>
                <w:lang w:eastAsia="zh-CN"/>
              </w:rPr>
              <w:fldChar w:fldCharType="begin"/>
            </w:r>
            <w:r>
              <w:rPr>
                <w:rFonts w:hint="default"/>
                <w:lang w:eastAsia="zh-CN"/>
              </w:rPr>
              <w:instrText xml:space="preserve"> SEQ 表3- </w:instrText>
            </w:r>
            <w:r>
              <w:rPr>
                <w:rFonts w:hint="default"/>
                <w:lang w:eastAsia="zh-CN"/>
              </w:rPr>
              <w:fldChar w:fldCharType="separate"/>
            </w:r>
            <w:r>
              <w:rPr>
                <w:rFonts w:hint="default"/>
                <w:lang w:eastAsia="zh-CN"/>
              </w:rPr>
              <w:t>9</w:t>
            </w:r>
            <w:r>
              <w:rPr>
                <w:rFonts w:hint="default"/>
                <w:lang w:eastAsia="zh-CN"/>
              </w:rPr>
              <w:fldChar w:fldCharType="end"/>
            </w:r>
            <w:r>
              <w:rPr>
                <w:rFonts w:hint="eastAsia"/>
                <w:lang w:val="en-US" w:eastAsia="zh-CN"/>
              </w:rPr>
              <w:t xml:space="preserve">  有组织非甲烷总烃排放标准 </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7"/>
              <w:gridCol w:w="2188"/>
              <w:gridCol w:w="2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7"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污染物项目</w:t>
                  </w:r>
                </w:p>
              </w:tc>
              <w:tc>
                <w:tcPr>
                  <w:tcW w:w="218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排放口高度</w:t>
                  </w:r>
                </w:p>
              </w:tc>
              <w:tc>
                <w:tcPr>
                  <w:tcW w:w="280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处理装置油气排放浓度限值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7"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油气（非甲烷总烃）</w:t>
                  </w:r>
                </w:p>
              </w:tc>
              <w:tc>
                <w:tcPr>
                  <w:tcW w:w="218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≥4m</w:t>
                  </w:r>
                </w:p>
              </w:tc>
              <w:tc>
                <w:tcPr>
                  <w:tcW w:w="280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25g</w:t>
                  </w:r>
                  <w:r>
                    <w:rPr>
                      <w:rFonts w:hint="eastAsia" w:ascii="Calibri" w:hAnsi="Calibri" w:cs="Calibri"/>
                      <w:b w:val="0"/>
                      <w:bCs w:val="0"/>
                      <w:color w:val="auto"/>
                      <w:sz w:val="21"/>
                      <w:szCs w:val="21"/>
                      <w:vertAlign w:val="baseline"/>
                      <w:lang w:val="en-US" w:eastAsia="zh-CN"/>
                    </w:rPr>
                    <w:t>/</w:t>
                  </w:r>
                  <w:r>
                    <w:rPr>
                      <w:rFonts w:hint="eastAsia"/>
                      <w:b w:val="0"/>
                      <w:bCs w:val="0"/>
                      <w:color w:val="auto"/>
                      <w:sz w:val="21"/>
                      <w:szCs w:val="21"/>
                      <w:vertAlign w:val="baseline"/>
                      <w:lang w:val="en-US" w:eastAsia="zh-CN"/>
                    </w:rPr>
                    <w:t>m</w:t>
                  </w:r>
                  <w:r>
                    <w:rPr>
                      <w:rFonts w:hint="eastAsia"/>
                      <w:b w:val="0"/>
                      <w:bCs w:val="0"/>
                      <w:color w:val="auto"/>
                      <w:sz w:val="21"/>
                      <w:szCs w:val="21"/>
                      <w:vertAlign w:val="superscript"/>
                      <w:lang w:val="en-US" w:eastAsia="zh-CN"/>
                    </w:rPr>
                    <w:t>3</w:t>
                  </w:r>
                </w:p>
              </w:tc>
            </w:tr>
          </w:tbl>
          <w:p>
            <w:pPr>
              <w:bidi w:val="0"/>
              <w:rPr>
                <w:rFonts w:hint="eastAsia"/>
                <w:b/>
                <w:bCs/>
                <w:lang w:val="en-US" w:eastAsia="zh-CN"/>
              </w:rPr>
            </w:pPr>
            <w:r>
              <w:rPr>
                <w:rFonts w:hint="eastAsia"/>
                <w:b/>
                <w:bCs/>
                <w:lang w:val="en-US" w:eastAsia="zh-CN"/>
              </w:rPr>
              <w:t>2、水污染物排放标准</w:t>
            </w:r>
          </w:p>
          <w:p>
            <w:pPr>
              <w:bidi w:val="0"/>
              <w:ind w:firstLine="480" w:firstLineChars="200"/>
              <w:rPr>
                <w:rFonts w:hint="eastAsia"/>
                <w:lang w:val="en-US" w:eastAsia="zh-CN"/>
              </w:rPr>
            </w:pPr>
            <w:r>
              <w:rPr>
                <w:rFonts w:hint="eastAsia"/>
                <w:color w:val="auto"/>
                <w:lang w:val="en-US" w:eastAsia="zh-CN"/>
              </w:rPr>
              <w:t>项目运营期地面冲洗废水和洗车废水经隔油池处理后、生活和公厕污水经化粪池处理后达到《污水综合排放标准》（GB8978-1996）表4中的三级标准，预</w:t>
            </w:r>
            <w:r>
              <w:rPr>
                <w:rFonts w:hint="eastAsia"/>
                <w:lang w:val="en-US" w:eastAsia="zh-CN"/>
              </w:rPr>
              <w:t>处理后的污水通过市政污水管网引至松木污水处理厂处理后达标排放，最终排入湘江。本项目废水排放执行标准详见表3-</w:t>
            </w:r>
            <w:r>
              <w:rPr>
                <w:rFonts w:hint="default"/>
                <w:lang w:eastAsia="zh-CN"/>
              </w:rPr>
              <w:fldChar w:fldCharType="begin"/>
            </w:r>
            <w:r>
              <w:rPr>
                <w:rFonts w:hint="default"/>
                <w:lang w:eastAsia="zh-CN"/>
              </w:rPr>
              <w:instrText xml:space="preserve"> SEQ 3- \* MERGEFORMAT </w:instrText>
            </w:r>
            <w:r>
              <w:rPr>
                <w:rFonts w:hint="default"/>
                <w:lang w:eastAsia="zh-CN"/>
              </w:rPr>
              <w:fldChar w:fldCharType="separate"/>
            </w:r>
            <w:r>
              <w:rPr>
                <w:rFonts w:hint="default"/>
                <w:lang w:eastAsia="zh-CN"/>
              </w:rPr>
              <w:t>10</w:t>
            </w:r>
            <w:r>
              <w:rPr>
                <w:rFonts w:hint="default"/>
                <w:lang w:eastAsia="zh-CN"/>
              </w:rPr>
              <w:fldChar w:fldCharType="end"/>
            </w:r>
            <w:r>
              <w:rPr>
                <w:rFonts w:hint="eastAsia"/>
                <w:lang w:val="en-US" w:eastAsia="zh-CN"/>
              </w:rPr>
              <w:t>。</w:t>
            </w:r>
          </w:p>
          <w:p>
            <w:pPr>
              <w:spacing w:line="240" w:lineRule="auto"/>
              <w:ind w:firstLine="482" w:firstLineChars="200"/>
              <w:jc w:val="center"/>
              <w:rPr>
                <w:rFonts w:hint="eastAsia"/>
                <w:b/>
                <w:bCs/>
                <w:color w:val="auto"/>
                <w:vertAlign w:val="baseline"/>
                <w:lang w:val="en-US" w:eastAsia="zh-CN"/>
              </w:rPr>
            </w:pPr>
            <w:r>
              <w:rPr>
                <w:rFonts w:hint="eastAsia"/>
                <w:b/>
                <w:bCs/>
                <w:color w:val="auto"/>
                <w:vertAlign w:val="baseline"/>
                <w:lang w:val="en-US" w:eastAsia="zh-CN"/>
              </w:rPr>
              <w:t>表3-</w:t>
            </w:r>
            <w:r>
              <w:rPr>
                <w:rFonts w:hint="default"/>
                <w:b/>
                <w:bCs/>
                <w:color w:val="auto"/>
                <w:vertAlign w:val="baseline"/>
                <w:lang w:eastAsia="zh-CN"/>
              </w:rPr>
              <w:fldChar w:fldCharType="begin"/>
            </w:r>
            <w:r>
              <w:rPr>
                <w:rFonts w:hint="default"/>
                <w:b/>
                <w:bCs/>
                <w:color w:val="auto"/>
                <w:vertAlign w:val="baseline"/>
                <w:lang w:eastAsia="zh-CN"/>
              </w:rPr>
              <w:instrText xml:space="preserve"> SEQ 表3- </w:instrText>
            </w:r>
            <w:r>
              <w:rPr>
                <w:rFonts w:hint="default"/>
                <w:b/>
                <w:bCs/>
                <w:color w:val="auto"/>
                <w:vertAlign w:val="baseline"/>
                <w:lang w:eastAsia="zh-CN"/>
              </w:rPr>
              <w:fldChar w:fldCharType="separate"/>
            </w:r>
            <w:r>
              <w:rPr>
                <w:rFonts w:hint="default"/>
                <w:b/>
                <w:bCs/>
                <w:color w:val="auto"/>
                <w:vertAlign w:val="baseline"/>
                <w:lang w:eastAsia="zh-CN"/>
              </w:rPr>
              <w:t>10</w:t>
            </w:r>
            <w:r>
              <w:rPr>
                <w:rFonts w:hint="default"/>
                <w:b/>
                <w:bCs/>
                <w:color w:val="auto"/>
                <w:vertAlign w:val="baseline"/>
                <w:lang w:eastAsia="zh-CN"/>
              </w:rPr>
              <w:fldChar w:fldCharType="end"/>
            </w:r>
            <w:r>
              <w:rPr>
                <w:rFonts w:hint="eastAsia"/>
                <w:b/>
                <w:bCs/>
                <w:color w:val="auto"/>
                <w:vertAlign w:val="baseline"/>
                <w:lang w:val="en-US" w:eastAsia="zh-CN"/>
              </w:rPr>
              <w:t xml:space="preserve"> 水污染物排放标准限值一览表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3"/>
              <w:gridCol w:w="1873"/>
              <w:gridCol w:w="1873"/>
              <w:gridCol w:w="1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3" w:type="dxa"/>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类别</w:t>
                  </w:r>
                </w:p>
              </w:tc>
              <w:tc>
                <w:tcPr>
                  <w:tcW w:w="1873" w:type="dxa"/>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标准名称</w:t>
                  </w:r>
                </w:p>
              </w:tc>
              <w:tc>
                <w:tcPr>
                  <w:tcW w:w="1873"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项目</w:t>
                  </w:r>
                </w:p>
              </w:tc>
              <w:tc>
                <w:tcPr>
                  <w:tcW w:w="1874"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标准限值（mg</w:t>
                  </w:r>
                  <w:r>
                    <w:rPr>
                      <w:rFonts w:hint="eastAsia" w:ascii="Calibri" w:hAnsi="Calibri" w:cs="Calibri"/>
                      <w:b w:val="0"/>
                      <w:bCs w:val="0"/>
                      <w:color w:val="auto"/>
                      <w:sz w:val="21"/>
                      <w:szCs w:val="21"/>
                      <w:vertAlign w:val="baseline"/>
                      <w:lang w:val="en-US" w:eastAsia="zh-CN"/>
                    </w:rPr>
                    <w:t>/</w:t>
                  </w:r>
                  <w:r>
                    <w:rPr>
                      <w:rFonts w:hint="eastAsia"/>
                      <w:b w:val="0"/>
                      <w:bCs w:val="0"/>
                      <w:color w:val="auto"/>
                      <w:sz w:val="21"/>
                      <w:szCs w:val="21"/>
                      <w:vertAlign w:val="baseline"/>
                      <w:lang w:val="en-US" w:eastAsia="zh-CN"/>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3" w:type="dxa"/>
                  <w:vMerge w:val="restart"/>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废水</w:t>
                  </w:r>
                </w:p>
              </w:tc>
              <w:tc>
                <w:tcPr>
                  <w:tcW w:w="1873" w:type="dxa"/>
                  <w:vMerge w:val="restart"/>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《污水综合排放标准》</w:t>
                  </w:r>
                </w:p>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（GB8978-1996）表4中的三级标准</w:t>
                  </w:r>
                </w:p>
              </w:tc>
              <w:tc>
                <w:tcPr>
                  <w:tcW w:w="1873"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pH（无量纲）</w:t>
                  </w:r>
                </w:p>
              </w:tc>
              <w:tc>
                <w:tcPr>
                  <w:tcW w:w="1874"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COD</w:t>
                  </w:r>
                </w:p>
              </w:tc>
              <w:tc>
                <w:tcPr>
                  <w:tcW w:w="1874"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BOD</w:t>
                  </w:r>
                  <w:r>
                    <w:rPr>
                      <w:rFonts w:hint="eastAsia"/>
                      <w:b w:val="0"/>
                      <w:bCs w:val="0"/>
                      <w:color w:val="auto"/>
                      <w:sz w:val="21"/>
                      <w:szCs w:val="21"/>
                      <w:vertAlign w:val="subscript"/>
                      <w:lang w:val="en-US" w:eastAsia="zh-CN"/>
                    </w:rPr>
                    <w:t>5</w:t>
                  </w:r>
                </w:p>
              </w:tc>
              <w:tc>
                <w:tcPr>
                  <w:tcW w:w="1874"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SS</w:t>
                  </w:r>
                </w:p>
              </w:tc>
              <w:tc>
                <w:tcPr>
                  <w:tcW w:w="1874"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石油类</w:t>
                  </w:r>
                </w:p>
              </w:tc>
              <w:tc>
                <w:tcPr>
                  <w:tcW w:w="1874"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Merge w:val="continue"/>
                  <w:vAlign w:val="center"/>
                </w:tcPr>
                <w:p>
                  <w:pPr>
                    <w:spacing w:line="240" w:lineRule="auto"/>
                    <w:jc w:val="center"/>
                    <w:rPr>
                      <w:rFonts w:hint="eastAsia"/>
                      <w:b w:val="0"/>
                      <w:bCs w:val="0"/>
                      <w:color w:val="auto"/>
                      <w:sz w:val="21"/>
                      <w:szCs w:val="21"/>
                      <w:vertAlign w:val="baseline"/>
                      <w:lang w:val="en-US" w:eastAsia="zh-CN"/>
                    </w:rPr>
                  </w:pPr>
                </w:p>
              </w:tc>
              <w:tc>
                <w:tcPr>
                  <w:tcW w:w="1873" w:type="dxa"/>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阴离子表面活性剂（LAS）</w:t>
                  </w:r>
                </w:p>
              </w:tc>
              <w:tc>
                <w:tcPr>
                  <w:tcW w:w="1874" w:type="dxa"/>
                  <w:vAlign w:val="center"/>
                </w:tcPr>
                <w:p>
                  <w:pPr>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20</w:t>
                  </w:r>
                </w:p>
              </w:tc>
            </w:tr>
          </w:tbl>
          <w:p>
            <w:pPr>
              <w:bidi w:val="0"/>
              <w:rPr>
                <w:rFonts w:hint="eastAsia"/>
                <w:b/>
                <w:bCs/>
                <w:lang w:val="en-US" w:eastAsia="zh-CN"/>
              </w:rPr>
            </w:pPr>
            <w:r>
              <w:rPr>
                <w:rFonts w:hint="eastAsia"/>
                <w:b/>
                <w:bCs/>
                <w:lang w:val="en-US" w:eastAsia="zh-CN"/>
              </w:rPr>
              <w:t>3、 噪声排放标准</w:t>
            </w:r>
          </w:p>
          <w:p>
            <w:pPr>
              <w:bidi w:val="0"/>
              <w:ind w:firstLine="480" w:firstLineChars="200"/>
              <w:rPr>
                <w:rFonts w:hint="eastAsia"/>
                <w:b/>
                <w:bCs/>
                <w:lang w:val="en-US" w:eastAsia="zh-CN"/>
              </w:rPr>
            </w:pPr>
            <w:r>
              <w:rPr>
                <w:rFonts w:hint="eastAsia"/>
                <w:lang w:val="en-US" w:eastAsia="zh-CN"/>
              </w:rPr>
              <w:t>项目运营期西、南、北侧厂界噪声执行《工业企业厂界环境噪声排放标准》（GB12348-2008）2类标准，东侧厂界噪声执行《工业企业厂界环境噪声排放标准》（GB12348-2008）4类标准，详见表3-</w:t>
            </w:r>
            <w:r>
              <w:rPr>
                <w:rFonts w:hint="default"/>
                <w:lang w:eastAsia="zh-CN"/>
              </w:rPr>
              <w:fldChar w:fldCharType="begin"/>
            </w:r>
            <w:r>
              <w:rPr>
                <w:rFonts w:hint="default"/>
                <w:lang w:eastAsia="zh-CN"/>
              </w:rPr>
              <w:instrText xml:space="preserve"> SEQ 3- \* MERGEFORMAT </w:instrText>
            </w:r>
            <w:r>
              <w:rPr>
                <w:rFonts w:hint="default"/>
                <w:lang w:eastAsia="zh-CN"/>
              </w:rPr>
              <w:fldChar w:fldCharType="separate"/>
            </w:r>
            <w:r>
              <w:rPr>
                <w:rFonts w:hint="default"/>
                <w:lang w:eastAsia="zh-CN"/>
              </w:rPr>
              <w:t>11</w:t>
            </w:r>
            <w:r>
              <w:rPr>
                <w:rFonts w:hint="default"/>
                <w:lang w:eastAsia="zh-CN"/>
              </w:rPr>
              <w:fldChar w:fldCharType="end"/>
            </w:r>
            <w:r>
              <w:rPr>
                <w:rFonts w:hint="eastAsia"/>
                <w:lang w:val="en-US" w:eastAsia="zh-CN"/>
              </w:rPr>
              <w:t>.</w:t>
            </w:r>
          </w:p>
          <w:p>
            <w:pPr>
              <w:bidi w:val="0"/>
              <w:spacing w:line="240" w:lineRule="auto"/>
              <w:jc w:val="center"/>
              <w:rPr>
                <w:rFonts w:hint="eastAsia"/>
                <w:b/>
                <w:bCs/>
                <w:lang w:val="en-US" w:eastAsia="zh-CN"/>
              </w:rPr>
            </w:pPr>
            <w:r>
              <w:rPr>
                <w:rFonts w:hint="eastAsia"/>
                <w:b/>
                <w:bCs/>
                <w:lang w:val="en-US" w:eastAsia="zh-CN"/>
              </w:rPr>
              <w:t>表3-</w:t>
            </w:r>
            <w:r>
              <w:rPr>
                <w:rFonts w:hint="default"/>
                <w:b/>
                <w:bCs/>
                <w:lang w:eastAsia="zh-CN"/>
              </w:rPr>
              <w:fldChar w:fldCharType="begin"/>
            </w:r>
            <w:r>
              <w:rPr>
                <w:rFonts w:hint="default"/>
                <w:b/>
                <w:bCs/>
                <w:lang w:eastAsia="zh-CN"/>
              </w:rPr>
              <w:instrText xml:space="preserve"> SEQ 表3- </w:instrText>
            </w:r>
            <w:r>
              <w:rPr>
                <w:rFonts w:hint="default"/>
                <w:b/>
                <w:bCs/>
                <w:lang w:eastAsia="zh-CN"/>
              </w:rPr>
              <w:fldChar w:fldCharType="separate"/>
            </w:r>
            <w:r>
              <w:rPr>
                <w:rFonts w:hint="default"/>
                <w:b/>
                <w:bCs/>
                <w:lang w:eastAsia="zh-CN"/>
              </w:rPr>
              <w:t>11</w:t>
            </w:r>
            <w:r>
              <w:rPr>
                <w:rFonts w:hint="default"/>
                <w:b/>
                <w:bCs/>
                <w:lang w:eastAsia="zh-CN"/>
              </w:rPr>
              <w:fldChar w:fldCharType="end"/>
            </w:r>
            <w:r>
              <w:rPr>
                <w:rFonts w:hint="eastAsia"/>
                <w:b/>
                <w:bCs/>
                <w:lang w:val="en-US" w:eastAsia="zh-CN"/>
              </w:rPr>
              <w:t>《工业企业厂界环境噪声排放标准》（GB12348-2008）（摘录）</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7"/>
              <w:gridCol w:w="2498"/>
              <w:gridCol w:w="2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厂界外声环境区类别</w:t>
                  </w:r>
                </w:p>
              </w:tc>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昼  间</w:t>
                  </w:r>
                </w:p>
              </w:tc>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夜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2类</w:t>
                  </w:r>
                </w:p>
              </w:tc>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60dB（A）</w:t>
                  </w:r>
                </w:p>
              </w:tc>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50dB（A）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4类</w:t>
                  </w:r>
                </w:p>
              </w:tc>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70dB（A）</w:t>
                  </w:r>
                </w:p>
              </w:tc>
              <w:tc>
                <w:tcPr>
                  <w:tcW w:w="2618" w:type="dxa"/>
                  <w:vAlign w:val="center"/>
                </w:tcPr>
                <w:p>
                  <w:pPr>
                    <w:spacing w:line="240" w:lineRule="auto"/>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55dB（A）</w:t>
                  </w:r>
                </w:p>
              </w:tc>
            </w:tr>
          </w:tbl>
          <w:p>
            <w:pPr>
              <w:bidi w:val="0"/>
              <w:rPr>
                <w:rFonts w:hint="eastAsia"/>
                <w:b/>
                <w:bCs/>
                <w:lang w:val="en-US" w:eastAsia="zh-CN"/>
              </w:rPr>
            </w:pPr>
            <w:r>
              <w:rPr>
                <w:rFonts w:hint="eastAsia"/>
                <w:b/>
                <w:bCs/>
                <w:lang w:val="en-US" w:eastAsia="zh-CN"/>
              </w:rPr>
              <w:t>4、固体废物排放标准</w:t>
            </w:r>
          </w:p>
          <w:p>
            <w:pPr>
              <w:bidi w:val="0"/>
              <w:ind w:firstLine="480" w:firstLineChars="200"/>
              <w:rPr>
                <w:rFonts w:hint="eastAsia"/>
                <w:b/>
                <w:bCs/>
                <w:color w:val="auto"/>
                <w:vertAlign w:val="baseline"/>
                <w:lang w:val="en-US" w:eastAsia="zh-CN"/>
              </w:rPr>
            </w:pPr>
            <w:r>
              <w:rPr>
                <w:rFonts w:hint="eastAsia"/>
                <w:color w:val="auto"/>
                <w:lang w:val="en-US" w:eastAsia="zh-CN"/>
              </w:rPr>
              <w:t>生活垃圾执行《生活垃圾填埋场污染控制标准》（GB16889-2008）；危险废物执行《危险废物贮存污染控制标准》（GB18597-2001）及2013修改单中相关规定。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dxa"/>
            <w:vAlign w:val="center"/>
          </w:tcPr>
          <w:p>
            <w:pPr>
              <w:jc w:val="center"/>
              <w:rPr>
                <w:rFonts w:hint="default"/>
                <w:color w:val="auto"/>
                <w:vertAlign w:val="baseline"/>
                <w:lang w:val="en-US" w:eastAsia="zh-CN"/>
              </w:rPr>
            </w:pPr>
            <w:r>
              <w:rPr>
                <w:rFonts w:hint="eastAsia"/>
                <w:color w:val="auto"/>
                <w:vertAlign w:val="baseline"/>
                <w:lang w:val="en-US" w:eastAsia="zh-CN"/>
              </w:rPr>
              <w:t>总量控制指标</w:t>
            </w:r>
          </w:p>
        </w:tc>
        <w:tc>
          <w:tcPr>
            <w:tcW w:w="7719" w:type="dxa"/>
            <w:vAlign w:val="top"/>
          </w:tcPr>
          <w:p>
            <w:pPr>
              <w:ind w:firstLine="480" w:firstLineChars="200"/>
              <w:rPr>
                <w:rFonts w:hint="eastAsia"/>
                <w:color w:val="auto"/>
                <w:vertAlign w:val="baseline"/>
                <w:lang w:val="en-US" w:eastAsia="zh-CN"/>
              </w:rPr>
            </w:pPr>
            <w:r>
              <w:rPr>
                <w:rFonts w:hint="eastAsia"/>
                <w:color w:val="auto"/>
                <w:vertAlign w:val="baseline"/>
                <w:lang w:val="en-US" w:eastAsia="zh-CN"/>
              </w:rPr>
              <w:t>根据《中华人民共和国国民经济和社会发展第十三个五年规划纲要》对“十三五”期间总量控制的要求以及《湖南省“十三五”主要污染物减排规划》，湖南省对COD、NH</w:t>
            </w:r>
            <w:r>
              <w:rPr>
                <w:rFonts w:hint="eastAsia"/>
                <w:color w:val="auto"/>
                <w:vertAlign w:val="subscript"/>
                <w:lang w:val="en-US" w:eastAsia="zh-CN"/>
              </w:rPr>
              <w:t>3</w:t>
            </w:r>
            <w:r>
              <w:rPr>
                <w:rFonts w:hint="eastAsia"/>
                <w:color w:val="auto"/>
                <w:vertAlign w:val="baseline"/>
                <w:lang w:val="en-US" w:eastAsia="zh-CN"/>
              </w:rPr>
              <w:t>-N、SO</w:t>
            </w:r>
            <w:r>
              <w:rPr>
                <w:rFonts w:hint="eastAsia"/>
                <w:color w:val="auto"/>
                <w:vertAlign w:val="subscript"/>
                <w:lang w:val="en-US" w:eastAsia="zh-CN"/>
              </w:rPr>
              <w:t>2</w:t>
            </w:r>
            <w:r>
              <w:rPr>
                <w:rFonts w:hint="eastAsia"/>
                <w:color w:val="auto"/>
                <w:vertAlign w:val="baseline"/>
                <w:lang w:val="en-US" w:eastAsia="zh-CN"/>
              </w:rPr>
              <w:t>、NO</w:t>
            </w:r>
            <w:r>
              <w:rPr>
                <w:rFonts w:hint="eastAsia"/>
                <w:color w:val="auto"/>
                <w:vertAlign w:val="subscript"/>
                <w:lang w:val="en-US" w:eastAsia="zh-CN"/>
              </w:rPr>
              <w:t>X</w:t>
            </w:r>
            <w:r>
              <w:rPr>
                <w:rFonts w:hint="eastAsia"/>
                <w:color w:val="auto"/>
                <w:vertAlign w:val="baseline"/>
                <w:lang w:val="en-US" w:eastAsia="zh-CN"/>
              </w:rPr>
              <w:t>四项污染物实施总量控制。</w:t>
            </w:r>
          </w:p>
          <w:p>
            <w:pPr>
              <w:numPr>
                <w:ilvl w:val="0"/>
                <w:numId w:val="2"/>
              </w:numPr>
              <w:ind w:firstLine="480" w:firstLineChars="200"/>
              <w:rPr>
                <w:rFonts w:hint="eastAsia"/>
                <w:color w:val="auto"/>
                <w:vertAlign w:val="baseline"/>
                <w:lang w:val="en-US" w:eastAsia="zh-CN"/>
              </w:rPr>
            </w:pPr>
            <w:r>
              <w:rPr>
                <w:rFonts w:hint="eastAsia"/>
                <w:color w:val="auto"/>
                <w:vertAlign w:val="baseline"/>
                <w:lang w:val="en-US" w:eastAsia="zh-CN"/>
              </w:rPr>
              <w:t>废水总量控制建议指标。</w:t>
            </w:r>
          </w:p>
          <w:p>
            <w:pPr>
              <w:numPr>
                <w:ilvl w:val="0"/>
                <w:numId w:val="0"/>
              </w:numPr>
              <w:ind w:firstLine="480" w:firstLineChars="200"/>
              <w:rPr>
                <w:rFonts w:hint="eastAsia"/>
                <w:color w:val="auto"/>
                <w:vertAlign w:val="baseline"/>
                <w:lang w:val="en-US" w:eastAsia="zh-CN"/>
              </w:rPr>
            </w:pPr>
            <w:r>
              <w:rPr>
                <w:rFonts w:hint="eastAsia"/>
                <w:color w:val="auto"/>
                <w:vertAlign w:val="baseline"/>
                <w:lang w:val="en-US" w:eastAsia="zh-CN"/>
              </w:rPr>
              <w:t>本项目地面冲洗废水、洗车废水和生活、公厕污水分别经过预处理后通过市政污水管网引至松木污水处理厂处理，年合计排放量约1017.71m</w:t>
            </w:r>
            <w:r>
              <w:rPr>
                <w:rFonts w:hint="eastAsia"/>
                <w:color w:val="auto"/>
                <w:vertAlign w:val="superscript"/>
                <w:lang w:val="en-US" w:eastAsia="zh-CN"/>
              </w:rPr>
              <w:t>3</w:t>
            </w:r>
            <w:r>
              <w:rPr>
                <w:rFonts w:hint="eastAsia" w:ascii="Calibri" w:hAnsi="Calibri" w:cs="Calibri"/>
                <w:color w:val="auto"/>
                <w:vertAlign w:val="baseline"/>
                <w:lang w:val="en-US" w:eastAsia="zh-CN"/>
              </w:rPr>
              <w:t>/</w:t>
            </w:r>
            <w:r>
              <w:rPr>
                <w:rFonts w:hint="eastAsia"/>
                <w:color w:val="auto"/>
                <w:vertAlign w:val="baseline"/>
                <w:lang w:val="en-US" w:eastAsia="zh-CN"/>
              </w:rPr>
              <w:t>a。松木污水处理厂处理达到《城镇污水处理厂污染物排放标准》（GB18918-2002）表1中一级B标准后排入湘江，各污染物排放浓度为COD 60mg</w:t>
            </w:r>
            <w:r>
              <w:rPr>
                <w:rFonts w:hint="eastAsia" w:ascii="Calibri" w:hAnsi="Calibri" w:cs="Calibri"/>
                <w:color w:val="auto"/>
                <w:vertAlign w:val="baseline"/>
                <w:lang w:val="en-US" w:eastAsia="zh-CN"/>
              </w:rPr>
              <w:t>/</w:t>
            </w:r>
            <w:r>
              <w:rPr>
                <w:rFonts w:hint="eastAsia"/>
                <w:color w:val="auto"/>
                <w:vertAlign w:val="baseline"/>
                <w:lang w:val="en-US" w:eastAsia="zh-CN"/>
              </w:rPr>
              <w:t>L，氨氮15mg</w:t>
            </w:r>
            <w:r>
              <w:rPr>
                <w:rFonts w:hint="eastAsia" w:ascii="Calibri" w:hAnsi="Calibri" w:cs="Calibri"/>
                <w:color w:val="auto"/>
                <w:vertAlign w:val="baseline"/>
                <w:lang w:val="en-US" w:eastAsia="zh-CN"/>
              </w:rPr>
              <w:t>/</w:t>
            </w:r>
            <w:r>
              <w:rPr>
                <w:rFonts w:hint="eastAsia"/>
                <w:color w:val="auto"/>
                <w:vertAlign w:val="baseline"/>
                <w:lang w:val="en-US" w:eastAsia="zh-CN"/>
              </w:rPr>
              <w:t>L，废水排放总量为1017.71m</w:t>
            </w:r>
            <w:r>
              <w:rPr>
                <w:rFonts w:hint="eastAsia"/>
                <w:color w:val="auto"/>
                <w:vertAlign w:val="superscript"/>
                <w:lang w:val="en-US" w:eastAsia="zh-CN"/>
              </w:rPr>
              <w:t>3</w:t>
            </w:r>
            <w:r>
              <w:rPr>
                <w:rFonts w:hint="eastAsia" w:ascii="Calibri" w:hAnsi="Calibri" w:cs="Calibri"/>
                <w:color w:val="auto"/>
                <w:vertAlign w:val="baseline"/>
                <w:lang w:val="en-US" w:eastAsia="zh-CN"/>
              </w:rPr>
              <w:t>/</w:t>
            </w:r>
            <w:r>
              <w:rPr>
                <w:rFonts w:hint="eastAsia"/>
                <w:color w:val="auto"/>
                <w:vertAlign w:val="baseline"/>
                <w:lang w:val="en-US" w:eastAsia="zh-CN"/>
              </w:rPr>
              <w:t>a。因此，经松木污水处理厂处理后，排入外环境的水污染物总量为：COD 0.0611t</w:t>
            </w:r>
            <w:r>
              <w:rPr>
                <w:rFonts w:hint="eastAsia" w:ascii="Calibri" w:hAnsi="Calibri" w:cs="Calibri"/>
                <w:color w:val="auto"/>
                <w:vertAlign w:val="baseline"/>
                <w:lang w:val="en-US" w:eastAsia="zh-CN"/>
              </w:rPr>
              <w:t>/</w:t>
            </w:r>
            <w:r>
              <w:rPr>
                <w:rFonts w:hint="eastAsia"/>
                <w:color w:val="auto"/>
                <w:vertAlign w:val="baseline"/>
                <w:lang w:val="en-US" w:eastAsia="zh-CN"/>
              </w:rPr>
              <w:t>a，氨氮0.0153t</w:t>
            </w:r>
            <w:r>
              <w:rPr>
                <w:rFonts w:hint="eastAsia" w:ascii="Calibri" w:hAnsi="Calibri" w:cs="Calibri"/>
                <w:color w:val="auto"/>
                <w:vertAlign w:val="baseline"/>
                <w:lang w:val="en-US" w:eastAsia="zh-CN"/>
              </w:rPr>
              <w:t>/</w:t>
            </w:r>
            <w:r>
              <w:rPr>
                <w:rFonts w:hint="eastAsia"/>
                <w:color w:val="auto"/>
                <w:vertAlign w:val="baseline"/>
                <w:lang w:val="en-US" w:eastAsia="zh-CN"/>
              </w:rPr>
              <w:t>a。水污染物总量纳入松木污水处理厂总量范围内，不单独申请。</w:t>
            </w:r>
          </w:p>
          <w:p>
            <w:pPr>
              <w:numPr>
                <w:ilvl w:val="0"/>
                <w:numId w:val="0"/>
              </w:numPr>
              <w:ind w:leftChars="200"/>
              <w:rPr>
                <w:rFonts w:hint="eastAsia"/>
                <w:color w:val="auto"/>
                <w:vertAlign w:val="baseline"/>
                <w:lang w:val="en-US" w:eastAsia="zh-CN"/>
              </w:rPr>
            </w:pPr>
            <w:r>
              <w:rPr>
                <w:rFonts w:hint="eastAsia"/>
                <w:color w:val="auto"/>
                <w:vertAlign w:val="baseline"/>
                <w:lang w:val="en-US" w:eastAsia="zh-CN"/>
              </w:rPr>
              <w:t>（2）废气总量控制建议指标。</w:t>
            </w:r>
          </w:p>
          <w:p>
            <w:pPr>
              <w:numPr>
                <w:ilvl w:val="0"/>
                <w:numId w:val="0"/>
              </w:numPr>
              <w:ind w:firstLine="480" w:firstLineChars="200"/>
              <w:rPr>
                <w:rFonts w:hint="default"/>
                <w:color w:val="auto"/>
                <w:vertAlign w:val="baseline"/>
                <w:lang w:val="en-US" w:eastAsia="zh-CN"/>
              </w:rPr>
            </w:pPr>
            <w:r>
              <w:rPr>
                <w:rFonts w:hint="eastAsia"/>
                <w:color w:val="auto"/>
                <w:vertAlign w:val="baseline"/>
                <w:lang w:val="en-US" w:eastAsia="zh-CN"/>
              </w:rPr>
              <w:t>本项目新增大气污染因子为非甲烷总烃，不涉及总量控制指标。</w:t>
            </w:r>
          </w:p>
        </w:tc>
      </w:tr>
    </w:tbl>
    <w:p>
      <w:pPr>
        <w:rPr>
          <w:rFonts w:hint="eastAsia"/>
          <w:color w:val="auto"/>
          <w:lang w:val="en-US" w:eastAsia="zh-CN"/>
        </w:rPr>
      </w:pPr>
      <w:r>
        <w:rPr>
          <w:rFonts w:hint="eastAsia"/>
          <w:color w:val="auto"/>
          <w:lang w:val="en-US" w:eastAsia="zh-CN"/>
        </w:rPr>
        <w:br w:type="page"/>
      </w:r>
    </w:p>
    <w:p>
      <w:pPr>
        <w:pStyle w:val="4"/>
        <w:bidi w:val="0"/>
        <w:outlineLvl w:val="0"/>
        <w:rPr>
          <w:rFonts w:hint="default"/>
          <w:lang w:val="en-US" w:eastAsia="zh-CN"/>
        </w:rPr>
      </w:pPr>
      <w:bookmarkStart w:id="14" w:name="_Toc24248"/>
      <w:r>
        <w:rPr>
          <w:rFonts w:hint="eastAsia"/>
          <w:lang w:val="en-US" w:eastAsia="zh-CN"/>
        </w:rPr>
        <w:t>四、主要环境影响和保护措施</w:t>
      </w:r>
      <w:bookmarkEnd w:id="14"/>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 w:type="dxa"/>
            <w:vAlign w:val="center"/>
          </w:tcPr>
          <w:p>
            <w:pPr>
              <w:jc w:val="center"/>
              <w:rPr>
                <w:rFonts w:hint="default"/>
                <w:color w:val="auto"/>
                <w:vertAlign w:val="baseline"/>
                <w:lang w:val="en-US" w:eastAsia="zh-CN"/>
              </w:rPr>
            </w:pPr>
            <w:r>
              <w:rPr>
                <w:rFonts w:hint="eastAsia"/>
                <w:color w:val="auto"/>
                <w:vertAlign w:val="baseline"/>
                <w:lang w:val="en-US" w:eastAsia="zh-CN"/>
              </w:rPr>
              <w:t>施工期环境保护措施</w:t>
            </w:r>
          </w:p>
        </w:tc>
        <w:tc>
          <w:tcPr>
            <w:tcW w:w="8069" w:type="dxa"/>
            <w:vAlign w:val="top"/>
          </w:tcPr>
          <w:p>
            <w:pPr>
              <w:rPr>
                <w:rFonts w:hint="default"/>
                <w:color w:val="auto"/>
                <w:vertAlign w:val="baseline"/>
                <w:lang w:val="en-US" w:eastAsia="zh-CN"/>
              </w:rPr>
            </w:pPr>
            <w:r>
              <w:rPr>
                <w:rFonts w:hint="eastAsia"/>
                <w:b/>
                <w:bCs/>
                <w:color w:val="auto"/>
                <w:vertAlign w:val="baseline"/>
                <w:lang w:val="en-US" w:eastAsia="zh-CN"/>
              </w:rPr>
              <w:t>1、</w:t>
            </w:r>
            <w:r>
              <w:rPr>
                <w:rFonts w:hint="default"/>
                <w:b/>
                <w:bCs/>
                <w:color w:val="auto"/>
                <w:vertAlign w:val="baseline"/>
                <w:lang w:val="en-US" w:eastAsia="zh-CN"/>
              </w:rPr>
              <w:t>废气污染防治措施</w:t>
            </w:r>
            <w:r>
              <w:rPr>
                <w:rFonts w:hint="default"/>
                <w:color w:val="auto"/>
                <w:vertAlign w:val="baseline"/>
                <w:lang w:val="en-US" w:eastAsia="zh-CN"/>
              </w:rPr>
              <w:t xml:space="preserve"> </w:t>
            </w:r>
          </w:p>
          <w:p>
            <w:pPr>
              <w:ind w:firstLine="480" w:firstLineChars="200"/>
              <w:rPr>
                <w:rFonts w:hint="default"/>
                <w:color w:val="auto"/>
                <w:vertAlign w:val="baseline"/>
                <w:lang w:val="en-US" w:eastAsia="zh-CN"/>
              </w:rPr>
            </w:pPr>
            <w:r>
              <w:rPr>
                <w:rFonts w:hint="default"/>
                <w:color w:val="auto"/>
                <w:vertAlign w:val="baseline"/>
                <w:lang w:val="en-US" w:eastAsia="zh-CN"/>
              </w:rPr>
              <w:t>由于施工的建筑粉尘和扬尘难于集中处理，因此，对施工期二次扬尘污染主要是以防为主，采取有效的防治措施，使施工期间的粉尘影响得到控制。施工期间应该对施工单位加强管理，按进度、有计划地进行文明施工。建设单位除了加强对施工人员的管理、教育外，还要自觉遵守《城市扬尘污染防治技术规范》（HJ</w:t>
            </w:r>
            <w:r>
              <w:rPr>
                <w:rFonts w:hint="default" w:ascii="Calibri" w:hAnsi="Calibri" w:cs="Calibri"/>
                <w:color w:val="auto"/>
                <w:vertAlign w:val="baseline"/>
                <w:lang w:val="en-US" w:eastAsia="zh-CN"/>
              </w:rPr>
              <w:t>/</w:t>
            </w:r>
            <w:r>
              <w:rPr>
                <w:rFonts w:hint="default"/>
                <w:color w:val="auto"/>
                <w:vertAlign w:val="baseline"/>
                <w:lang w:val="en-US" w:eastAsia="zh-CN"/>
              </w:rPr>
              <w:t>T 393-2007）、《建设工程施工现场环境与卫生标准》（JGJ 146-2013）相关的法律法规，采取必要的环保措施，减少对环境造成的不良影响。为做好防治工作，应采取以下措施：</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①施工期间，施工单位应根据《建设工程施工现场管理规定》规定设置施工标志牌、现场平面布置图和安全生产、消防保卫、环境保护、文明施工制度板。 </w:t>
            </w:r>
          </w:p>
          <w:p>
            <w:pPr>
              <w:ind w:firstLine="480" w:firstLineChars="200"/>
              <w:rPr>
                <w:rFonts w:hint="default"/>
                <w:color w:val="auto"/>
                <w:vertAlign w:val="baseline"/>
                <w:lang w:val="en-US" w:eastAsia="zh-CN"/>
              </w:rPr>
            </w:pPr>
            <w:r>
              <w:rPr>
                <w:rFonts w:hint="default"/>
                <w:color w:val="auto"/>
                <w:vertAlign w:val="baseline"/>
                <w:lang w:val="en-US" w:eastAsia="zh-CN"/>
              </w:rPr>
              <w:t>②工程材料、砂石、土方或废弃物等易产生扬尘物质应当密闭处理。若在工地内堆置，则应采取覆盖防尘布、覆盖防尘网、配合定期喷洒粉尘抑制剂等措施，防止风蚀起尘。</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③进出施工场地的物料、渣土、垃圾运输车辆，装载的物料、垃圾、渣土高度 不得超过车辆槽帮上沿，车斗用苫布遮盖或者采用密闭车斗。若车斗用苫布遮盖，应当严实密闭，苫布边缘至少要遮住槽帮上沿以下15cm，保证物料、渣土、垃圾等不露出。车辆应当按照批准的路线和时间进行物料、渣土、垃圾的运输。 </w:t>
            </w:r>
          </w:p>
          <w:p>
            <w:pPr>
              <w:ind w:firstLine="480" w:firstLineChars="200"/>
              <w:rPr>
                <w:rFonts w:hint="default"/>
                <w:color w:val="auto"/>
                <w:vertAlign w:val="baseline"/>
                <w:lang w:val="en-US" w:eastAsia="zh-CN"/>
              </w:rPr>
            </w:pPr>
            <w:r>
              <w:rPr>
                <w:rFonts w:hint="default"/>
                <w:color w:val="auto"/>
                <w:vertAlign w:val="baseline"/>
                <w:lang w:val="en-US" w:eastAsia="zh-CN"/>
              </w:rPr>
              <w:t>④施工、运输车辆驶出工地前应按规定冲洗车辆等设备，进行除泥除尘处理，严禁将泥沙尘土带出工地。</w:t>
            </w:r>
          </w:p>
          <w:p>
            <w:pPr>
              <w:ind w:firstLine="480" w:firstLineChars="200"/>
              <w:rPr>
                <w:rFonts w:hint="default"/>
                <w:color w:val="auto"/>
                <w:vertAlign w:val="baseline"/>
                <w:lang w:val="en-US" w:eastAsia="zh-CN"/>
              </w:rPr>
            </w:pPr>
            <w:r>
              <w:rPr>
                <w:rFonts w:hint="default"/>
                <w:color w:val="auto"/>
                <w:vertAlign w:val="baseline"/>
                <w:lang w:val="en-US" w:eastAsia="zh-CN"/>
              </w:rPr>
              <w:t>⑤天气预报4级风力以上天气应停止产生扬尘的施工作业，例如土方工程等。</w:t>
            </w:r>
          </w:p>
          <w:p>
            <w:pPr>
              <w:ind w:firstLine="480" w:firstLineChars="200"/>
              <w:rPr>
                <w:rFonts w:hint="default"/>
                <w:color w:val="auto"/>
                <w:vertAlign w:val="baseline"/>
                <w:lang w:val="en-US" w:eastAsia="zh-CN"/>
              </w:rPr>
            </w:pPr>
            <w:r>
              <w:rPr>
                <w:rFonts w:hint="default"/>
                <w:color w:val="auto"/>
                <w:vertAlign w:val="baseline"/>
                <w:lang w:val="en-US" w:eastAsia="zh-CN"/>
              </w:rPr>
              <w:t>⑥应有专人负责逸散性材料、垃圾、渣土、裸地等密闭、覆盖、洒水作业，车辆清洗作业等并记录扬尘控制措施的实施情况。</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⑦施工后应该尽快对临时占地进行植被恢复和绿化，确保绿地率不低于规划的 要求，绿化应与主体工程同步设计、建设和验收。 </w:t>
            </w:r>
          </w:p>
          <w:p>
            <w:pPr>
              <w:ind w:firstLine="480" w:firstLineChars="200"/>
              <w:rPr>
                <w:rFonts w:hint="default"/>
                <w:color w:val="auto"/>
                <w:vertAlign w:val="baseline"/>
                <w:lang w:val="en-US" w:eastAsia="zh-CN"/>
              </w:rPr>
            </w:pPr>
            <w:r>
              <w:rPr>
                <w:rFonts w:hint="default"/>
                <w:color w:val="auto"/>
                <w:vertAlign w:val="baseline"/>
                <w:lang w:val="en-US" w:eastAsia="zh-CN"/>
              </w:rPr>
              <w:t>⑧针对施工车辆尾气，建设单位应选用运行工况好的施工机械和车辆；燃油施工机械和车辆必须在正常状态下使用，保证废气达标排放；加强对施工车辆的检修和维护，严禁使用超期服役和尾气超标的车辆。尽可能使用耗油低，排气小的施工车辆，尽可能选用优质燃油，减少机械和车辆的有害废气排放。</w:t>
            </w:r>
          </w:p>
          <w:p>
            <w:pPr>
              <w:rPr>
                <w:rFonts w:hint="default"/>
                <w:b/>
                <w:bCs/>
                <w:color w:val="auto"/>
                <w:vertAlign w:val="baseline"/>
                <w:lang w:val="en-US" w:eastAsia="zh-CN"/>
              </w:rPr>
            </w:pPr>
            <w:r>
              <w:rPr>
                <w:rFonts w:hint="eastAsia"/>
                <w:b/>
                <w:bCs/>
                <w:color w:val="auto"/>
                <w:vertAlign w:val="baseline"/>
                <w:lang w:val="en-US" w:eastAsia="zh-CN"/>
              </w:rPr>
              <w:t>2、</w:t>
            </w:r>
            <w:r>
              <w:rPr>
                <w:rFonts w:hint="default"/>
                <w:b/>
                <w:bCs/>
                <w:color w:val="auto"/>
                <w:vertAlign w:val="baseline"/>
                <w:lang w:val="en-US" w:eastAsia="zh-CN"/>
              </w:rPr>
              <w:t>水污染物防治措施</w:t>
            </w:r>
          </w:p>
          <w:p>
            <w:pPr>
              <w:ind w:firstLine="480" w:firstLineChars="200"/>
              <w:rPr>
                <w:rFonts w:hint="default"/>
                <w:color w:val="auto"/>
                <w:vertAlign w:val="baseline"/>
                <w:lang w:val="en-US" w:eastAsia="zh-CN"/>
              </w:rPr>
            </w:pPr>
            <w:r>
              <w:rPr>
                <w:rFonts w:hint="default"/>
                <w:color w:val="auto"/>
                <w:vertAlign w:val="baseline"/>
                <w:lang w:val="en-US" w:eastAsia="zh-CN"/>
              </w:rPr>
              <w:t>①施工期生活污水污水排入化粪池，经处理后排至市政污水管网。施工单位应对施工生产废水采取集中收集，设置隔油池、沉淀处理后处理后排至市政污水管网。罩棚雨水通过暗管排至市政雨水管网。施工前须先核对接入点位置以及标高，确保污废水能够顺利排入市政管网。</w:t>
            </w:r>
          </w:p>
          <w:p>
            <w:pPr>
              <w:ind w:firstLine="480" w:firstLineChars="200"/>
              <w:rPr>
                <w:rFonts w:hint="default"/>
                <w:color w:val="auto"/>
                <w:vertAlign w:val="baseline"/>
                <w:lang w:val="en-US" w:eastAsia="zh-CN"/>
              </w:rPr>
            </w:pPr>
            <w:r>
              <w:rPr>
                <w:rFonts w:hint="default"/>
                <w:color w:val="auto"/>
                <w:vertAlign w:val="baseline"/>
                <w:lang w:val="en-US" w:eastAsia="zh-CN"/>
              </w:rPr>
              <w:t>②严格施工管理，文明施工，加强对机器设备的维护和保养，防止机械设备发生漏油现象。</w:t>
            </w:r>
          </w:p>
          <w:p>
            <w:pPr>
              <w:ind w:firstLine="480" w:firstLineChars="200"/>
              <w:rPr>
                <w:rFonts w:hint="default"/>
                <w:color w:val="auto"/>
                <w:vertAlign w:val="baseline"/>
                <w:lang w:val="en-US" w:eastAsia="zh-CN"/>
              </w:rPr>
            </w:pPr>
            <w:r>
              <w:rPr>
                <w:rFonts w:hint="default"/>
                <w:color w:val="auto"/>
                <w:vertAlign w:val="baseline"/>
                <w:lang w:val="en-US" w:eastAsia="zh-CN"/>
              </w:rPr>
              <w:t>③建筑材料应尽量采用仓库堆存，避免雨水冲刷废水产生。</w:t>
            </w:r>
          </w:p>
          <w:p>
            <w:pPr>
              <w:rPr>
                <w:rFonts w:hint="default"/>
                <w:b/>
                <w:bCs/>
                <w:color w:val="auto"/>
                <w:vertAlign w:val="baseline"/>
                <w:lang w:val="en-US" w:eastAsia="zh-CN"/>
              </w:rPr>
            </w:pPr>
            <w:r>
              <w:rPr>
                <w:rFonts w:hint="eastAsia"/>
                <w:b/>
                <w:bCs/>
                <w:color w:val="auto"/>
                <w:vertAlign w:val="baseline"/>
                <w:lang w:val="en-US" w:eastAsia="zh-CN"/>
              </w:rPr>
              <w:t>3、</w:t>
            </w:r>
            <w:r>
              <w:rPr>
                <w:rFonts w:hint="default"/>
                <w:b/>
                <w:bCs/>
                <w:color w:val="auto"/>
                <w:vertAlign w:val="baseline"/>
                <w:lang w:val="en-US" w:eastAsia="zh-CN"/>
              </w:rPr>
              <w:t>噪声污染防治措施</w:t>
            </w:r>
          </w:p>
          <w:p>
            <w:pPr>
              <w:ind w:firstLine="480" w:firstLineChars="200"/>
              <w:rPr>
                <w:rFonts w:hint="default"/>
                <w:color w:val="auto"/>
                <w:vertAlign w:val="baseline"/>
                <w:lang w:val="en-US" w:eastAsia="zh-CN"/>
              </w:rPr>
            </w:pPr>
            <w:r>
              <w:rPr>
                <w:rFonts w:hint="default"/>
                <w:color w:val="auto"/>
                <w:vertAlign w:val="baseline"/>
                <w:lang w:val="en-US" w:eastAsia="zh-CN"/>
              </w:rPr>
              <w:t>施工噪声尤其是夜间的施工噪声对周边环境影响较大，建议施工方采取以下措施以避免或减缓施工噪声对周围环境产生的不利影响：</w:t>
            </w:r>
          </w:p>
          <w:p>
            <w:pPr>
              <w:ind w:firstLine="480" w:firstLineChars="200"/>
              <w:rPr>
                <w:rFonts w:hint="default"/>
                <w:color w:val="auto"/>
                <w:vertAlign w:val="baseline"/>
                <w:lang w:val="en-US" w:eastAsia="zh-CN"/>
              </w:rPr>
            </w:pPr>
            <w:r>
              <w:rPr>
                <w:rFonts w:hint="default"/>
                <w:color w:val="auto"/>
                <w:vertAlign w:val="baseline"/>
                <w:lang w:val="en-US" w:eastAsia="zh-CN"/>
              </w:rPr>
              <w:t>①施工现场施工单位必须执行《建筑施工场界环境噪声排放标准》（GB12523-2011）中的各项规定，及时了解施工噪声排放强度。</w:t>
            </w:r>
          </w:p>
          <w:p>
            <w:pPr>
              <w:ind w:firstLine="480" w:firstLineChars="200"/>
              <w:rPr>
                <w:rFonts w:hint="default"/>
                <w:color w:val="auto"/>
                <w:vertAlign w:val="baseline"/>
                <w:lang w:val="en-US" w:eastAsia="zh-CN"/>
              </w:rPr>
            </w:pPr>
            <w:r>
              <w:rPr>
                <w:rFonts w:hint="default"/>
                <w:color w:val="auto"/>
                <w:vertAlign w:val="baseline"/>
                <w:lang w:val="en-US" w:eastAsia="zh-CN"/>
              </w:rPr>
              <w:t>②采用较先进、噪声较低的施工设备，限制高噪声设备的施工时段，必要时高噪声的施工机械应采取隔声、降噪措施，减轻对周围环境的影响。</w:t>
            </w:r>
          </w:p>
          <w:p>
            <w:pPr>
              <w:ind w:firstLine="480" w:firstLineChars="200"/>
              <w:rPr>
                <w:rFonts w:hint="default"/>
                <w:color w:val="auto"/>
                <w:vertAlign w:val="baseline"/>
                <w:lang w:val="en-US" w:eastAsia="zh-CN"/>
              </w:rPr>
            </w:pPr>
            <w:r>
              <w:rPr>
                <w:rFonts w:hint="default"/>
                <w:color w:val="auto"/>
                <w:vertAlign w:val="baseline"/>
                <w:lang w:val="en-US" w:eastAsia="zh-CN"/>
              </w:rPr>
              <w:t>③合理的安排施工时间，将噪声级大的工作尽量安排昼间非休息时段，高噪声源设备禁止在22：00-6：00及12：00--14：30施工；对因特殊需要在夜间进行超过噪声限值施工的，施工前建设单位应向有关部门提出申请，经批准后方可进行夜间施工。项目开工前，施工单位应向环保执法部门提出申请。</w:t>
            </w:r>
          </w:p>
          <w:p>
            <w:pPr>
              <w:ind w:firstLine="480" w:firstLineChars="200"/>
              <w:rPr>
                <w:rFonts w:hint="default"/>
                <w:color w:val="auto"/>
                <w:vertAlign w:val="baseline"/>
                <w:lang w:val="en-US" w:eastAsia="zh-CN"/>
              </w:rPr>
            </w:pPr>
            <w:r>
              <w:rPr>
                <w:rFonts w:hint="default"/>
                <w:color w:val="auto"/>
                <w:vertAlign w:val="baseline"/>
                <w:lang w:val="en-US" w:eastAsia="zh-CN"/>
              </w:rPr>
              <w:t>④运输材料的车辆进入施工现场，严禁鸣笛，装卸材料应做到轻拿轻放，并防止人为噪声影响周围安静环境。</w:t>
            </w:r>
          </w:p>
          <w:p>
            <w:pPr>
              <w:ind w:firstLine="480" w:firstLineChars="200"/>
              <w:rPr>
                <w:rFonts w:hint="default"/>
                <w:color w:val="auto"/>
                <w:vertAlign w:val="baseline"/>
                <w:lang w:val="en-US" w:eastAsia="zh-CN"/>
              </w:rPr>
            </w:pPr>
            <w:r>
              <w:rPr>
                <w:rFonts w:hint="default"/>
                <w:color w:val="auto"/>
                <w:vertAlign w:val="baseline"/>
                <w:lang w:val="en-US" w:eastAsia="zh-CN"/>
              </w:rPr>
              <w:t>⑤提高工作效率，加快施工进度，尽可能缩短施工建设对周围环境的影响。</w:t>
            </w:r>
          </w:p>
          <w:p>
            <w:pPr>
              <w:rPr>
                <w:rFonts w:hint="eastAsia"/>
                <w:b/>
                <w:bCs/>
                <w:color w:val="auto"/>
                <w:vertAlign w:val="baseline"/>
                <w:lang w:val="en-US" w:eastAsia="zh-CN"/>
              </w:rPr>
            </w:pPr>
          </w:p>
          <w:p>
            <w:pPr>
              <w:rPr>
                <w:rFonts w:hint="default"/>
                <w:b/>
                <w:bCs/>
                <w:color w:val="auto"/>
                <w:vertAlign w:val="baseline"/>
                <w:lang w:val="en-US" w:eastAsia="zh-CN"/>
              </w:rPr>
            </w:pPr>
            <w:r>
              <w:rPr>
                <w:rFonts w:hint="eastAsia"/>
                <w:b/>
                <w:bCs/>
                <w:color w:val="auto"/>
                <w:vertAlign w:val="baseline"/>
                <w:lang w:val="en-US" w:eastAsia="zh-CN"/>
              </w:rPr>
              <w:t>4、</w:t>
            </w:r>
            <w:r>
              <w:rPr>
                <w:rFonts w:hint="default"/>
                <w:b/>
                <w:bCs/>
                <w:color w:val="auto"/>
                <w:vertAlign w:val="baseline"/>
                <w:lang w:val="en-US" w:eastAsia="zh-CN"/>
              </w:rPr>
              <w:t>固体废物污染防治措施</w:t>
            </w:r>
          </w:p>
          <w:p>
            <w:pPr>
              <w:ind w:firstLine="480" w:firstLineChars="200"/>
              <w:rPr>
                <w:rFonts w:hint="default"/>
                <w:color w:val="auto"/>
                <w:vertAlign w:val="baseline"/>
                <w:lang w:val="en-US" w:eastAsia="zh-CN"/>
              </w:rPr>
            </w:pPr>
            <w:r>
              <w:rPr>
                <w:rFonts w:hint="default"/>
                <w:color w:val="auto"/>
                <w:vertAlign w:val="baseline"/>
                <w:lang w:val="en-US" w:eastAsia="zh-CN"/>
              </w:rPr>
              <w:t>项目施工过程施工人员生活垃圾应集中收集交由所在地的环卫部门清运处理。</w:t>
            </w:r>
          </w:p>
          <w:p>
            <w:pPr>
              <w:ind w:firstLine="480" w:firstLineChars="200"/>
              <w:rPr>
                <w:rFonts w:hint="default"/>
                <w:color w:val="auto"/>
                <w:vertAlign w:val="baseline"/>
                <w:lang w:val="en-US" w:eastAsia="zh-CN"/>
              </w:rPr>
            </w:pPr>
            <w:r>
              <w:rPr>
                <w:rFonts w:hint="default"/>
                <w:color w:val="auto"/>
                <w:vertAlign w:val="baseline"/>
                <w:lang w:val="en-US" w:eastAsia="zh-CN"/>
              </w:rPr>
              <w:t>施工中应严格建筑垃圾的管理，设置专人负责收集垃圾并分类处理。尽量对建筑垃圾进行综合利用：散落的砂浆、混凝土，可采用冲洗法或化学法回收；凝固的砂浆、混凝土还可以作为再生骨料回收利用；废混凝土块经破碎后也可作为碎石直接用于道路垫层。其它废弃钢筋、水泥包装纸等，可收集集中后出售给废品收购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 w:type="dxa"/>
            <w:vAlign w:val="center"/>
          </w:tcPr>
          <w:p>
            <w:pPr>
              <w:jc w:val="center"/>
              <w:rPr>
                <w:rFonts w:hint="eastAsia"/>
                <w:color w:val="auto"/>
                <w:vertAlign w:val="baseline"/>
                <w:lang w:val="en-US" w:eastAsia="zh-CN"/>
              </w:rPr>
            </w:pPr>
            <w:r>
              <w:rPr>
                <w:rFonts w:hint="eastAsia"/>
                <w:color w:val="auto"/>
                <w:vertAlign w:val="baseline"/>
                <w:lang w:val="en-US" w:eastAsia="zh-CN"/>
              </w:rPr>
              <w:t>运营期环境影响和保护措施</w:t>
            </w:r>
          </w:p>
        </w:tc>
        <w:tc>
          <w:tcPr>
            <w:tcW w:w="8069" w:type="dxa"/>
            <w:vAlign w:val="top"/>
          </w:tcPr>
          <w:p>
            <w:pPr>
              <w:rPr>
                <w:rFonts w:hint="default"/>
                <w:b/>
                <w:bCs/>
                <w:color w:val="auto"/>
                <w:vertAlign w:val="baseline"/>
                <w:lang w:val="en-US" w:eastAsia="zh-CN"/>
              </w:rPr>
            </w:pPr>
            <w:r>
              <w:rPr>
                <w:rFonts w:hint="eastAsia"/>
                <w:b/>
                <w:bCs/>
                <w:color w:val="auto"/>
                <w:vertAlign w:val="baseline"/>
                <w:lang w:val="en-US" w:eastAsia="zh-CN"/>
              </w:rPr>
              <w:t>1、</w:t>
            </w:r>
            <w:r>
              <w:rPr>
                <w:rFonts w:hint="default"/>
                <w:b/>
                <w:bCs/>
                <w:color w:val="auto"/>
                <w:vertAlign w:val="baseline"/>
                <w:lang w:val="en-US" w:eastAsia="zh-CN"/>
              </w:rPr>
              <w:t>废气环境影响分析和保护措施</w:t>
            </w:r>
          </w:p>
          <w:p>
            <w:pPr>
              <w:ind w:firstLine="480" w:firstLineChars="200"/>
              <w:rPr>
                <w:rFonts w:hint="default"/>
                <w:color w:val="auto"/>
                <w:vertAlign w:val="baseline"/>
                <w:lang w:val="en-US" w:eastAsia="zh-CN"/>
              </w:rPr>
            </w:pPr>
            <w:r>
              <w:rPr>
                <w:rFonts w:hint="default"/>
                <w:color w:val="auto"/>
                <w:vertAlign w:val="baseline"/>
                <w:lang w:val="en-US" w:eastAsia="zh-CN"/>
              </w:rPr>
              <w:t>本项目主要产生的废气是卸油、储油、加油过程挥发产生的油气（以非甲烷总烃计）</w:t>
            </w:r>
            <w:r>
              <w:rPr>
                <w:rFonts w:hint="eastAsia"/>
                <w:color w:val="auto"/>
                <w:vertAlign w:val="baseline"/>
                <w:lang w:val="en-US" w:eastAsia="zh-CN"/>
              </w:rPr>
              <w:t>及</w:t>
            </w:r>
            <w:r>
              <w:rPr>
                <w:rFonts w:hint="default"/>
                <w:color w:val="auto"/>
                <w:vertAlign w:val="baseline"/>
                <w:lang w:val="en-US" w:eastAsia="zh-CN"/>
              </w:rPr>
              <w:t>柴油发电机废气</w:t>
            </w:r>
            <w:r>
              <w:rPr>
                <w:rFonts w:hint="eastAsia"/>
                <w:color w:val="auto"/>
                <w:vertAlign w:val="baseline"/>
                <w:lang w:val="en-US" w:eastAsia="zh-CN"/>
              </w:rPr>
              <w:t>。</w:t>
            </w:r>
          </w:p>
          <w:p>
            <w:pPr>
              <w:ind w:firstLine="480" w:firstLineChars="200"/>
              <w:rPr>
                <w:rFonts w:hint="default"/>
                <w:color w:val="auto"/>
                <w:vertAlign w:val="baseline"/>
                <w:lang w:val="en-US" w:eastAsia="zh-CN"/>
              </w:rPr>
            </w:pPr>
            <w:r>
              <w:rPr>
                <w:rFonts w:hint="eastAsia"/>
                <w:color w:val="auto"/>
                <w:vertAlign w:val="baseline"/>
                <w:lang w:val="en-US" w:eastAsia="zh-CN"/>
              </w:rPr>
              <w:t>（1）</w:t>
            </w:r>
            <w:r>
              <w:rPr>
                <w:rFonts w:hint="default"/>
                <w:color w:val="auto"/>
                <w:vertAlign w:val="baseline"/>
                <w:lang w:val="en-US" w:eastAsia="zh-CN"/>
              </w:rPr>
              <w:t>大气污染物源强及污染防治措施</w:t>
            </w:r>
          </w:p>
          <w:p>
            <w:pPr>
              <w:ind w:firstLine="480" w:firstLineChars="200"/>
              <w:rPr>
                <w:rFonts w:hint="default"/>
                <w:color w:val="auto"/>
                <w:vertAlign w:val="baseline"/>
                <w:lang w:val="en-US" w:eastAsia="zh-CN"/>
              </w:rPr>
            </w:pPr>
            <w:r>
              <w:rPr>
                <w:rFonts w:hint="default"/>
                <w:color w:val="auto"/>
                <w:vertAlign w:val="baseline"/>
                <w:lang w:val="en-US" w:eastAsia="zh-CN"/>
              </w:rPr>
              <w:fldChar w:fldCharType="begin"/>
            </w:r>
            <w:r>
              <w:rPr>
                <w:rFonts w:hint="default"/>
                <w:color w:val="auto"/>
                <w:vertAlign w:val="baseline"/>
                <w:lang w:val="en-US" w:eastAsia="zh-CN"/>
              </w:rPr>
              <w:instrText xml:space="preserve"> = 1 \* GB3 \* MERGEFORMAT </w:instrText>
            </w:r>
            <w:r>
              <w:rPr>
                <w:rFonts w:hint="default"/>
                <w:color w:val="auto"/>
                <w:vertAlign w:val="baseline"/>
                <w:lang w:val="en-US" w:eastAsia="zh-CN"/>
              </w:rPr>
              <w:fldChar w:fldCharType="separate"/>
            </w:r>
            <w:r>
              <w:rPr>
                <w:color w:val="auto"/>
              </w:rPr>
              <w:t>①</w:t>
            </w:r>
            <w:r>
              <w:rPr>
                <w:rFonts w:hint="default"/>
                <w:color w:val="auto"/>
                <w:vertAlign w:val="baseline"/>
                <w:lang w:val="en-US" w:eastAsia="zh-CN"/>
              </w:rPr>
              <w:fldChar w:fldCharType="end"/>
            </w:r>
            <w:r>
              <w:rPr>
                <w:rFonts w:hint="eastAsia"/>
                <w:color w:val="auto"/>
                <w:vertAlign w:val="baseline"/>
                <w:lang w:val="en-US" w:eastAsia="zh-CN"/>
              </w:rPr>
              <w:t>油气</w:t>
            </w:r>
          </w:p>
          <w:p>
            <w:pPr>
              <w:ind w:firstLine="480" w:firstLineChars="200"/>
              <w:rPr>
                <w:rFonts w:hint="default"/>
                <w:color w:val="auto"/>
                <w:vertAlign w:val="baseline"/>
                <w:lang w:eastAsia="zh-CN"/>
              </w:rPr>
            </w:pPr>
            <w:r>
              <w:rPr>
                <w:rFonts w:hint="default"/>
                <w:color w:val="auto"/>
                <w:vertAlign w:val="baseline"/>
                <w:lang w:val="en-US" w:eastAsia="zh-CN"/>
              </w:rPr>
              <w:t>本项目主要进行成品油销售，目前加油站油气挥发量主要采用《散装液态石油产品损耗》（GB11085-89）中损耗率和2006年8月《环境科学》 中第27卷第8期中论文《中国加油站VOC 排放污染现状及控制》（沈旻嘉、郝吉明、王丽涛，清华大学环境科学与工程系）中排放因子计算，考虑《散装液态石油产品损耗》（GB11085-89）发布时间比较早，且《中国加油站 VOC 排放污染现状及控制》（沈旻嘉，2006年8月）是结合中国现有加油站实测数据给出的排放因子。因此本项目油气挥发量参照《中国加油站 VOC 排放污染现状及控制》（沈旻嘉，2006 年 8 月）中排放因子计算。</w:t>
            </w:r>
            <w:r>
              <w:rPr>
                <w:rFonts w:hint="eastAsia"/>
                <w:color w:val="auto"/>
                <w:vertAlign w:val="baseline"/>
                <w:lang w:val="en-US" w:eastAsia="zh-CN"/>
              </w:rPr>
              <w:t>具体见表4-</w:t>
            </w:r>
            <w:r>
              <w:rPr>
                <w:rFonts w:hint="eastAsia"/>
                <w:color w:val="auto"/>
                <w:vertAlign w:val="baseline"/>
                <w:lang w:val="en-US" w:eastAsia="zh-CN"/>
              </w:rPr>
              <w:fldChar w:fldCharType="begin"/>
            </w:r>
            <w:r>
              <w:rPr>
                <w:rFonts w:hint="eastAsia"/>
                <w:color w:val="auto"/>
                <w:vertAlign w:val="baseline"/>
                <w:lang w:val="en-US" w:eastAsia="zh-CN"/>
              </w:rPr>
              <w:instrText xml:space="preserve"> SEQ 4- \* MERGEFORMAT </w:instrText>
            </w:r>
            <w:r>
              <w:rPr>
                <w:rFonts w:hint="eastAsia"/>
                <w:color w:val="auto"/>
                <w:vertAlign w:val="baseline"/>
                <w:lang w:val="en-US" w:eastAsia="zh-CN"/>
              </w:rPr>
              <w:fldChar w:fldCharType="separate"/>
            </w:r>
            <w:r>
              <w:rPr>
                <w:rFonts w:hint="eastAsia"/>
                <w:color w:val="auto"/>
                <w:vertAlign w:val="baseline"/>
                <w:lang w:val="en-US" w:eastAsia="zh-CN"/>
              </w:rPr>
              <w:t>1</w:t>
            </w:r>
            <w:r>
              <w:rPr>
                <w:rFonts w:hint="eastAsia"/>
                <w:color w:val="auto"/>
                <w:vertAlign w:val="baseline"/>
                <w:lang w:val="en-US" w:eastAsia="zh-CN"/>
              </w:rPr>
              <w:fldChar w:fldCharType="end"/>
            </w:r>
            <w:r>
              <w:rPr>
                <w:rFonts w:hint="eastAsia"/>
                <w:color w:val="auto"/>
                <w:vertAlign w:val="baseline"/>
                <w:lang w:val="en-US" w:eastAsia="zh-CN"/>
              </w:rPr>
              <w:t>。</w:t>
            </w:r>
          </w:p>
          <w:p>
            <w:pPr>
              <w:pStyle w:val="10"/>
              <w:bidi w:val="0"/>
              <w:rPr>
                <w:rFonts w:hint="eastAsia"/>
                <w:color w:val="auto"/>
                <w:lang w:val="en-US" w:eastAsia="zh-CN"/>
              </w:rPr>
            </w:pPr>
            <w:r>
              <w:rPr>
                <w:rFonts w:hint="eastAsia"/>
                <w:color w:val="auto"/>
                <w:lang w:val="en-US" w:eastAsia="zh-CN"/>
              </w:rPr>
              <w:t>表4-</w:t>
            </w:r>
            <w:r>
              <w:rPr>
                <w:rFonts w:hint="default"/>
                <w:color w:val="auto"/>
                <w:lang w:eastAsia="zh-CN"/>
              </w:rPr>
              <w:fldChar w:fldCharType="begin"/>
            </w:r>
            <w:r>
              <w:rPr>
                <w:rFonts w:hint="default"/>
                <w:color w:val="auto"/>
                <w:lang w:eastAsia="zh-CN"/>
              </w:rPr>
              <w:instrText xml:space="preserve"> SEQ 表4- \* MERGEFORMAT </w:instrText>
            </w:r>
            <w:r>
              <w:rPr>
                <w:rFonts w:hint="default"/>
                <w:color w:val="auto"/>
                <w:lang w:eastAsia="zh-CN"/>
              </w:rPr>
              <w:fldChar w:fldCharType="separate"/>
            </w:r>
            <w:r>
              <w:rPr>
                <w:rFonts w:hint="default"/>
                <w:color w:val="auto"/>
                <w:lang w:eastAsia="zh-CN"/>
              </w:rPr>
              <w:t>1</w:t>
            </w:r>
            <w:r>
              <w:rPr>
                <w:rFonts w:hint="default"/>
                <w:color w:val="auto"/>
                <w:lang w:eastAsia="zh-CN"/>
              </w:rPr>
              <w:fldChar w:fldCharType="end"/>
            </w:r>
            <w:r>
              <w:rPr>
                <w:rFonts w:hint="eastAsia"/>
                <w:color w:val="auto"/>
                <w:lang w:val="en-US" w:eastAsia="zh-CN"/>
              </w:rPr>
              <w:t xml:space="preserve">  我国加油站VOC排放因子（kg</w:t>
            </w:r>
            <w:r>
              <w:rPr>
                <w:rFonts w:hint="eastAsia" w:ascii="Calibri" w:hAnsi="Calibri" w:cs="Calibri"/>
                <w:color w:val="auto"/>
                <w:lang w:val="en-US" w:eastAsia="zh-CN"/>
              </w:rPr>
              <w:t>/</w:t>
            </w:r>
            <w:r>
              <w:rPr>
                <w:rFonts w:hint="eastAsia"/>
                <w:color w:val="auto"/>
                <w:lang w:val="en-US" w:eastAsia="zh-CN"/>
              </w:rPr>
              <w:t>t）</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3"/>
              <w:gridCol w:w="2615"/>
              <w:gridCol w:w="2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Align w:val="top"/>
                </w:tcPr>
                <w:p>
                  <w:pPr>
                    <w:pStyle w:val="9"/>
                    <w:widowControl w:val="0"/>
                    <w:bidi w:val="0"/>
                    <w:jc w:val="center"/>
                    <w:rPr>
                      <w:rFonts w:hint="default"/>
                      <w:lang w:val="en-US" w:eastAsia="zh-CN"/>
                    </w:rPr>
                  </w:pPr>
                  <w:r>
                    <w:rPr>
                      <w:rFonts w:hint="default"/>
                      <w:lang w:val="en-US" w:eastAsia="zh-CN"/>
                    </w:rPr>
                    <w:t>油品种类</w:t>
                  </w:r>
                </w:p>
              </w:tc>
              <w:tc>
                <w:tcPr>
                  <w:tcW w:w="2615" w:type="dxa"/>
                  <w:vAlign w:val="top"/>
                </w:tcPr>
                <w:p>
                  <w:pPr>
                    <w:pStyle w:val="9"/>
                    <w:widowControl w:val="0"/>
                    <w:bidi w:val="0"/>
                    <w:jc w:val="center"/>
                    <w:rPr>
                      <w:rFonts w:hint="default"/>
                      <w:lang w:val="en-US" w:eastAsia="zh-CN"/>
                    </w:rPr>
                  </w:pPr>
                  <w:r>
                    <w:rPr>
                      <w:rFonts w:hint="default"/>
                      <w:lang w:val="en-US" w:eastAsia="zh-CN"/>
                    </w:rPr>
                    <w:t>活动过程</w:t>
                  </w:r>
                </w:p>
              </w:tc>
              <w:tc>
                <w:tcPr>
                  <w:tcW w:w="2615" w:type="dxa"/>
                  <w:vAlign w:val="top"/>
                </w:tcPr>
                <w:p>
                  <w:pPr>
                    <w:pStyle w:val="9"/>
                    <w:widowControl w:val="0"/>
                    <w:bidi w:val="0"/>
                    <w:jc w:val="center"/>
                    <w:rPr>
                      <w:rFonts w:hint="default"/>
                      <w:lang w:val="en-US" w:eastAsia="zh-CN"/>
                    </w:rPr>
                  </w:pPr>
                  <w:r>
                    <w:rPr>
                      <w:rFonts w:hint="default"/>
                      <w:lang w:val="en-US" w:eastAsia="zh-CN"/>
                    </w:rPr>
                    <w:t>排放因子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Merge w:val="restart"/>
                  <w:vAlign w:val="top"/>
                </w:tcPr>
                <w:p>
                  <w:pPr>
                    <w:pStyle w:val="9"/>
                    <w:widowControl w:val="0"/>
                    <w:bidi w:val="0"/>
                    <w:jc w:val="center"/>
                    <w:rPr>
                      <w:rFonts w:hint="default"/>
                      <w:lang w:val="en-US" w:eastAsia="zh-CN"/>
                    </w:rPr>
                  </w:pPr>
                </w:p>
                <w:p>
                  <w:pPr>
                    <w:pStyle w:val="9"/>
                    <w:widowControl w:val="0"/>
                    <w:bidi w:val="0"/>
                    <w:jc w:val="center"/>
                    <w:rPr>
                      <w:rFonts w:hint="default"/>
                      <w:lang w:val="en-US" w:eastAsia="zh-CN"/>
                    </w:rPr>
                  </w:pPr>
                </w:p>
                <w:p>
                  <w:pPr>
                    <w:pStyle w:val="9"/>
                    <w:widowControl w:val="0"/>
                    <w:bidi w:val="0"/>
                    <w:jc w:val="center"/>
                    <w:rPr>
                      <w:rFonts w:hint="default"/>
                      <w:lang w:val="en-US" w:eastAsia="zh-CN"/>
                    </w:rPr>
                  </w:pPr>
                  <w:r>
                    <w:rPr>
                      <w:rFonts w:hint="default"/>
                      <w:lang w:val="en-US" w:eastAsia="zh-CN"/>
                    </w:rPr>
                    <w:t>汽油</w:t>
                  </w:r>
                </w:p>
              </w:tc>
              <w:tc>
                <w:tcPr>
                  <w:tcW w:w="2615" w:type="dxa"/>
                  <w:vAlign w:val="top"/>
                </w:tcPr>
                <w:p>
                  <w:pPr>
                    <w:pStyle w:val="9"/>
                    <w:widowControl w:val="0"/>
                    <w:bidi w:val="0"/>
                    <w:jc w:val="center"/>
                    <w:rPr>
                      <w:rFonts w:hint="default"/>
                      <w:lang w:val="en-US" w:eastAsia="zh-CN"/>
                    </w:rPr>
                  </w:pPr>
                  <w:r>
                    <w:rPr>
                      <w:rFonts w:hint="default"/>
                      <w:lang w:val="en-US" w:eastAsia="zh-CN"/>
                    </w:rPr>
                    <w:t>储油罐呼吸损失</w:t>
                  </w:r>
                </w:p>
              </w:tc>
              <w:tc>
                <w:tcPr>
                  <w:tcW w:w="2615" w:type="dxa"/>
                  <w:vAlign w:val="top"/>
                </w:tcPr>
                <w:p>
                  <w:pPr>
                    <w:pStyle w:val="9"/>
                    <w:widowControl w:val="0"/>
                    <w:bidi w:val="0"/>
                    <w:jc w:val="center"/>
                    <w:rPr>
                      <w:rFonts w:hint="default"/>
                      <w:lang w:val="en-US" w:eastAsia="zh-CN"/>
                    </w:rPr>
                  </w:pPr>
                  <w:r>
                    <w:rPr>
                      <w:rFonts w:hint="default"/>
                      <w:lang w:val="en-US" w:eastAsia="zh-CN"/>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Merge w:val="continue"/>
                  <w:vAlign w:val="top"/>
                </w:tcPr>
                <w:p>
                  <w:pPr>
                    <w:pStyle w:val="9"/>
                    <w:widowControl w:val="0"/>
                    <w:bidi w:val="0"/>
                    <w:jc w:val="center"/>
                    <w:rPr>
                      <w:rFonts w:hint="default"/>
                      <w:lang w:val="en-US" w:eastAsia="zh-CN"/>
                    </w:rPr>
                  </w:pPr>
                </w:p>
              </w:tc>
              <w:tc>
                <w:tcPr>
                  <w:tcW w:w="2615" w:type="dxa"/>
                  <w:vAlign w:val="top"/>
                </w:tcPr>
                <w:p>
                  <w:pPr>
                    <w:pStyle w:val="9"/>
                    <w:widowControl w:val="0"/>
                    <w:bidi w:val="0"/>
                    <w:jc w:val="center"/>
                    <w:rPr>
                      <w:rFonts w:hint="default"/>
                      <w:lang w:val="en-US" w:eastAsia="zh-CN"/>
                    </w:rPr>
                  </w:pPr>
                  <w:r>
                    <w:rPr>
                      <w:rFonts w:hint="default"/>
                      <w:lang w:val="en-US" w:eastAsia="zh-CN"/>
                    </w:rPr>
                    <w:t>加油过程挥发排放</w:t>
                  </w:r>
                </w:p>
              </w:tc>
              <w:tc>
                <w:tcPr>
                  <w:tcW w:w="2615" w:type="dxa"/>
                  <w:vAlign w:val="top"/>
                </w:tcPr>
                <w:p>
                  <w:pPr>
                    <w:pStyle w:val="9"/>
                    <w:widowControl w:val="0"/>
                    <w:bidi w:val="0"/>
                    <w:jc w:val="center"/>
                    <w:rPr>
                      <w:rFonts w:hint="default"/>
                      <w:lang w:val="en-US" w:eastAsia="zh-CN"/>
                    </w:rPr>
                  </w:pPr>
                  <w:r>
                    <w:rPr>
                      <w:rFonts w:hint="default"/>
                      <w:lang w:val="en-US" w:eastAsia="zh-CN"/>
                    </w:rPr>
                    <w:t>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Merge w:val="continue"/>
                  <w:vAlign w:val="top"/>
                </w:tcPr>
                <w:p>
                  <w:pPr>
                    <w:pStyle w:val="9"/>
                    <w:widowControl w:val="0"/>
                    <w:bidi w:val="0"/>
                    <w:jc w:val="center"/>
                    <w:rPr>
                      <w:rFonts w:hint="default"/>
                      <w:lang w:val="en-US" w:eastAsia="zh-CN"/>
                    </w:rPr>
                  </w:pPr>
                </w:p>
              </w:tc>
              <w:tc>
                <w:tcPr>
                  <w:tcW w:w="2615" w:type="dxa"/>
                  <w:vAlign w:val="top"/>
                </w:tcPr>
                <w:p>
                  <w:pPr>
                    <w:pStyle w:val="9"/>
                    <w:widowControl w:val="0"/>
                    <w:bidi w:val="0"/>
                    <w:jc w:val="center"/>
                    <w:rPr>
                      <w:rFonts w:hint="default"/>
                      <w:lang w:val="en-US" w:eastAsia="zh-CN"/>
                    </w:rPr>
                  </w:pPr>
                  <w:r>
                    <w:rPr>
                      <w:rFonts w:hint="default"/>
                      <w:lang w:val="en-US" w:eastAsia="zh-CN"/>
                    </w:rPr>
                    <w:t>卸油过程缺失</w:t>
                  </w:r>
                </w:p>
              </w:tc>
              <w:tc>
                <w:tcPr>
                  <w:tcW w:w="2615" w:type="dxa"/>
                  <w:vAlign w:val="top"/>
                </w:tcPr>
                <w:p>
                  <w:pPr>
                    <w:pStyle w:val="9"/>
                    <w:widowControl w:val="0"/>
                    <w:bidi w:val="0"/>
                    <w:jc w:val="center"/>
                    <w:rPr>
                      <w:rFonts w:hint="default"/>
                      <w:lang w:val="en-US" w:eastAsia="zh-CN"/>
                    </w:rPr>
                  </w:pPr>
                  <w:r>
                    <w:rPr>
                      <w:rFonts w:hint="default"/>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Merge w:val="continue"/>
                  <w:vAlign w:val="top"/>
                </w:tcPr>
                <w:p>
                  <w:pPr>
                    <w:pStyle w:val="9"/>
                    <w:widowControl w:val="0"/>
                    <w:bidi w:val="0"/>
                    <w:jc w:val="center"/>
                    <w:rPr>
                      <w:rFonts w:hint="default"/>
                      <w:lang w:val="en-US" w:eastAsia="zh-CN"/>
                    </w:rPr>
                  </w:pPr>
                </w:p>
              </w:tc>
              <w:tc>
                <w:tcPr>
                  <w:tcW w:w="2615" w:type="dxa"/>
                  <w:vAlign w:val="top"/>
                </w:tcPr>
                <w:p>
                  <w:pPr>
                    <w:pStyle w:val="9"/>
                    <w:widowControl w:val="0"/>
                    <w:bidi w:val="0"/>
                    <w:jc w:val="center"/>
                    <w:rPr>
                      <w:rFonts w:hint="default"/>
                      <w:lang w:val="en-US" w:eastAsia="zh-CN"/>
                    </w:rPr>
                  </w:pPr>
                  <w:r>
                    <w:rPr>
                      <w:rFonts w:hint="default"/>
                      <w:lang w:val="en-US" w:eastAsia="zh-CN"/>
                    </w:rPr>
                    <w:t>总计</w:t>
                  </w:r>
                </w:p>
              </w:tc>
              <w:tc>
                <w:tcPr>
                  <w:tcW w:w="2615" w:type="dxa"/>
                  <w:vAlign w:val="top"/>
                </w:tcPr>
                <w:p>
                  <w:pPr>
                    <w:pStyle w:val="9"/>
                    <w:widowControl w:val="0"/>
                    <w:bidi w:val="0"/>
                    <w:jc w:val="center"/>
                    <w:rPr>
                      <w:rFonts w:hint="default"/>
                      <w:lang w:val="en-US" w:eastAsia="zh-CN"/>
                    </w:rPr>
                  </w:pPr>
                  <w:r>
                    <w:rPr>
                      <w:rFonts w:hint="default"/>
                      <w:lang w:val="en-US" w:eastAsia="zh-CN"/>
                    </w:rPr>
                    <w:t>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Merge w:val="restart"/>
                  <w:vAlign w:val="top"/>
                </w:tcPr>
                <w:p>
                  <w:pPr>
                    <w:pStyle w:val="9"/>
                    <w:widowControl w:val="0"/>
                    <w:bidi w:val="0"/>
                    <w:jc w:val="center"/>
                    <w:rPr>
                      <w:rFonts w:hint="default"/>
                      <w:lang w:val="en-US" w:eastAsia="zh-CN"/>
                    </w:rPr>
                  </w:pPr>
                </w:p>
                <w:p>
                  <w:pPr>
                    <w:pStyle w:val="9"/>
                    <w:widowControl w:val="0"/>
                    <w:bidi w:val="0"/>
                    <w:jc w:val="center"/>
                    <w:rPr>
                      <w:rFonts w:hint="default"/>
                      <w:lang w:val="en-US" w:eastAsia="zh-CN"/>
                    </w:rPr>
                  </w:pPr>
                </w:p>
                <w:p>
                  <w:pPr>
                    <w:pStyle w:val="9"/>
                    <w:widowControl w:val="0"/>
                    <w:bidi w:val="0"/>
                    <w:jc w:val="center"/>
                    <w:rPr>
                      <w:rFonts w:hint="default"/>
                      <w:lang w:val="en-US" w:eastAsia="zh-CN"/>
                    </w:rPr>
                  </w:pPr>
                  <w:r>
                    <w:rPr>
                      <w:rFonts w:hint="default"/>
                      <w:lang w:val="en-US" w:eastAsia="zh-CN"/>
                    </w:rPr>
                    <w:t>柴油</w:t>
                  </w:r>
                </w:p>
              </w:tc>
              <w:tc>
                <w:tcPr>
                  <w:tcW w:w="2615" w:type="dxa"/>
                  <w:vAlign w:val="top"/>
                </w:tcPr>
                <w:p>
                  <w:pPr>
                    <w:pStyle w:val="9"/>
                    <w:widowControl w:val="0"/>
                    <w:bidi w:val="0"/>
                    <w:jc w:val="center"/>
                    <w:rPr>
                      <w:rFonts w:hint="default"/>
                      <w:lang w:val="en-US" w:eastAsia="zh-CN"/>
                    </w:rPr>
                  </w:pPr>
                  <w:r>
                    <w:rPr>
                      <w:rFonts w:hint="default"/>
                      <w:lang w:val="en-US" w:eastAsia="zh-CN"/>
                    </w:rPr>
                    <w:t>储油罐呼吸损失</w:t>
                  </w:r>
                </w:p>
              </w:tc>
              <w:tc>
                <w:tcPr>
                  <w:tcW w:w="2615" w:type="dxa"/>
                  <w:vAlign w:val="top"/>
                </w:tcPr>
                <w:p>
                  <w:pPr>
                    <w:pStyle w:val="9"/>
                    <w:widowControl w:val="0"/>
                    <w:bidi w:val="0"/>
                    <w:jc w:val="center"/>
                    <w:rPr>
                      <w:rFonts w:hint="default"/>
                      <w:lang w:val="en-US" w:eastAsia="zh-CN"/>
                    </w:rPr>
                  </w:pPr>
                  <w:r>
                    <w:rPr>
                      <w:rFonts w:hint="default"/>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Merge w:val="continue"/>
                  <w:vAlign w:val="top"/>
                </w:tcPr>
                <w:p>
                  <w:pPr>
                    <w:pStyle w:val="9"/>
                    <w:widowControl w:val="0"/>
                    <w:bidi w:val="0"/>
                    <w:jc w:val="center"/>
                    <w:rPr>
                      <w:rFonts w:hint="default"/>
                      <w:lang w:val="en-US" w:eastAsia="zh-CN"/>
                    </w:rPr>
                  </w:pPr>
                </w:p>
              </w:tc>
              <w:tc>
                <w:tcPr>
                  <w:tcW w:w="2615" w:type="dxa"/>
                  <w:vAlign w:val="top"/>
                </w:tcPr>
                <w:p>
                  <w:pPr>
                    <w:pStyle w:val="9"/>
                    <w:widowControl w:val="0"/>
                    <w:bidi w:val="0"/>
                    <w:jc w:val="center"/>
                    <w:rPr>
                      <w:rFonts w:hint="default"/>
                      <w:lang w:val="en-US" w:eastAsia="zh-CN"/>
                    </w:rPr>
                  </w:pPr>
                  <w:r>
                    <w:rPr>
                      <w:rFonts w:hint="default"/>
                      <w:lang w:val="en-US" w:eastAsia="zh-CN"/>
                    </w:rPr>
                    <w:t>加油过程挥发排放</w:t>
                  </w:r>
                </w:p>
              </w:tc>
              <w:tc>
                <w:tcPr>
                  <w:tcW w:w="2615" w:type="dxa"/>
                  <w:vAlign w:val="top"/>
                </w:tcPr>
                <w:p>
                  <w:pPr>
                    <w:pStyle w:val="9"/>
                    <w:widowControl w:val="0"/>
                    <w:bidi w:val="0"/>
                    <w:jc w:val="center"/>
                    <w:rPr>
                      <w:rFonts w:hint="default"/>
                      <w:lang w:val="en-US" w:eastAsia="zh-CN"/>
                    </w:rPr>
                  </w:pPr>
                  <w:r>
                    <w:rPr>
                      <w:rFonts w:hint="default"/>
                      <w:lang w:val="en-US" w:eastAsia="zh-CN"/>
                    </w:rPr>
                    <w:t>0.048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Merge w:val="continue"/>
                  <w:vAlign w:val="top"/>
                </w:tcPr>
                <w:p>
                  <w:pPr>
                    <w:pStyle w:val="9"/>
                    <w:widowControl w:val="0"/>
                    <w:bidi w:val="0"/>
                    <w:jc w:val="center"/>
                    <w:rPr>
                      <w:rFonts w:hint="default"/>
                      <w:lang w:val="en-US" w:eastAsia="zh-CN"/>
                    </w:rPr>
                  </w:pPr>
                </w:p>
              </w:tc>
              <w:tc>
                <w:tcPr>
                  <w:tcW w:w="2615" w:type="dxa"/>
                  <w:vAlign w:val="top"/>
                </w:tcPr>
                <w:p>
                  <w:pPr>
                    <w:pStyle w:val="9"/>
                    <w:widowControl w:val="0"/>
                    <w:bidi w:val="0"/>
                    <w:jc w:val="center"/>
                    <w:rPr>
                      <w:rFonts w:hint="default"/>
                      <w:lang w:val="en-US" w:eastAsia="zh-CN"/>
                    </w:rPr>
                  </w:pPr>
                  <w:r>
                    <w:rPr>
                      <w:rFonts w:hint="default"/>
                      <w:lang w:val="en-US" w:eastAsia="zh-CN"/>
                    </w:rPr>
                    <w:t>卸油过程缺失</w:t>
                  </w:r>
                </w:p>
              </w:tc>
              <w:tc>
                <w:tcPr>
                  <w:tcW w:w="2615" w:type="dxa"/>
                  <w:vAlign w:val="top"/>
                </w:tcPr>
                <w:p>
                  <w:pPr>
                    <w:pStyle w:val="9"/>
                    <w:widowControl w:val="0"/>
                    <w:bidi w:val="0"/>
                    <w:jc w:val="center"/>
                    <w:rPr>
                      <w:rFonts w:hint="default"/>
                      <w:lang w:val="en-US" w:eastAsia="zh-CN"/>
                    </w:rPr>
                  </w:pPr>
                  <w:r>
                    <w:rPr>
                      <w:rFonts w:hint="default"/>
                      <w:lang w:val="en-US" w:eastAsia="zh-CN"/>
                    </w:rPr>
                    <w:t>0.027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3" w:type="dxa"/>
                  <w:vMerge w:val="continue"/>
                  <w:vAlign w:val="top"/>
                </w:tcPr>
                <w:p>
                  <w:pPr>
                    <w:pStyle w:val="9"/>
                    <w:widowControl w:val="0"/>
                    <w:bidi w:val="0"/>
                    <w:jc w:val="center"/>
                    <w:rPr>
                      <w:rFonts w:hint="default"/>
                      <w:lang w:val="en-US" w:eastAsia="zh-CN"/>
                    </w:rPr>
                  </w:pPr>
                </w:p>
              </w:tc>
              <w:tc>
                <w:tcPr>
                  <w:tcW w:w="2615" w:type="dxa"/>
                  <w:vAlign w:val="top"/>
                </w:tcPr>
                <w:p>
                  <w:pPr>
                    <w:pStyle w:val="9"/>
                    <w:widowControl w:val="0"/>
                    <w:bidi w:val="0"/>
                    <w:jc w:val="center"/>
                    <w:rPr>
                      <w:rFonts w:hint="default"/>
                      <w:lang w:val="en-US" w:eastAsia="zh-CN"/>
                    </w:rPr>
                  </w:pPr>
                  <w:r>
                    <w:rPr>
                      <w:rFonts w:hint="default"/>
                      <w:lang w:val="en-US" w:eastAsia="zh-CN"/>
                    </w:rPr>
                    <w:t>总计</w:t>
                  </w:r>
                </w:p>
              </w:tc>
              <w:tc>
                <w:tcPr>
                  <w:tcW w:w="2615" w:type="dxa"/>
                  <w:vAlign w:val="top"/>
                </w:tcPr>
                <w:p>
                  <w:pPr>
                    <w:pStyle w:val="9"/>
                    <w:widowControl w:val="0"/>
                    <w:bidi w:val="0"/>
                    <w:jc w:val="center"/>
                    <w:rPr>
                      <w:rFonts w:hint="default"/>
                      <w:lang w:val="en-US" w:eastAsia="zh-CN"/>
                    </w:rPr>
                  </w:pPr>
                  <w:r>
                    <w:rPr>
                      <w:rFonts w:hint="default"/>
                      <w:lang w:val="en-US" w:eastAsia="zh-CN"/>
                    </w:rPr>
                    <w:t>0.075</w:t>
                  </w:r>
                </w:p>
              </w:tc>
            </w:tr>
          </w:tbl>
          <w:p>
            <w:pPr>
              <w:ind w:firstLine="480" w:firstLineChars="200"/>
              <w:rPr>
                <w:rFonts w:hint="eastAsia"/>
                <w:color w:val="auto"/>
                <w:vertAlign w:val="baseline"/>
                <w:lang w:val="en-US" w:eastAsia="zh-CN"/>
              </w:rPr>
            </w:pPr>
            <w:r>
              <w:rPr>
                <w:rFonts w:hint="eastAsia"/>
                <w:color w:val="auto"/>
                <w:vertAlign w:val="baseline"/>
                <w:lang w:val="en-US" w:eastAsia="zh-CN"/>
              </w:rPr>
              <w:t>本项目预计年销售汽油1500t、柴油500t，则由上表可知，本项目汽油卸油、储油和加油过程中的油气产生量分别为：3.45t</w:t>
            </w:r>
            <w:r>
              <w:rPr>
                <w:rFonts w:hint="eastAsia" w:ascii="Calibri" w:hAnsi="Calibri" w:cs="Calibri"/>
                <w:color w:val="auto"/>
                <w:vertAlign w:val="baseline"/>
                <w:lang w:val="en-US" w:eastAsia="zh-CN"/>
              </w:rPr>
              <w:t>/</w:t>
            </w:r>
            <w:r>
              <w:rPr>
                <w:rFonts w:hint="eastAsia"/>
                <w:color w:val="auto"/>
                <w:vertAlign w:val="baseline"/>
                <w:lang w:val="en-US" w:eastAsia="zh-CN"/>
              </w:rPr>
              <w:t>a、0.24t</w:t>
            </w:r>
            <w:r>
              <w:rPr>
                <w:rFonts w:hint="eastAsia" w:ascii="Calibri" w:hAnsi="Calibri" w:cs="Calibri"/>
                <w:color w:val="auto"/>
                <w:vertAlign w:val="baseline"/>
                <w:lang w:val="en-US" w:eastAsia="zh-CN"/>
              </w:rPr>
              <w:t>/</w:t>
            </w:r>
            <w:r>
              <w:rPr>
                <w:rFonts w:hint="eastAsia"/>
                <w:color w:val="auto"/>
                <w:vertAlign w:val="baseline"/>
                <w:lang w:val="en-US" w:eastAsia="zh-CN"/>
              </w:rPr>
              <w:t>a和3.735t</w:t>
            </w:r>
            <w:r>
              <w:rPr>
                <w:rFonts w:hint="eastAsia" w:ascii="Calibri" w:hAnsi="Calibri" w:cs="Calibri"/>
                <w:color w:val="auto"/>
                <w:vertAlign w:val="baseline"/>
                <w:lang w:val="en-US" w:eastAsia="zh-CN"/>
              </w:rPr>
              <w:t>/</w:t>
            </w:r>
            <w:r>
              <w:rPr>
                <w:rFonts w:hint="eastAsia"/>
                <w:color w:val="auto"/>
                <w:vertAlign w:val="baseline"/>
                <w:lang w:val="en-US" w:eastAsia="zh-CN"/>
              </w:rPr>
              <w:t>a，柴油卸油和加油过程中的油气产生量分别为：0.0135t</w:t>
            </w:r>
            <w:r>
              <w:rPr>
                <w:rFonts w:hint="eastAsia" w:ascii="Calibri" w:hAnsi="Calibri" w:cs="Calibri"/>
                <w:color w:val="auto"/>
                <w:vertAlign w:val="baseline"/>
                <w:lang w:val="en-US" w:eastAsia="zh-CN"/>
              </w:rPr>
              <w:t>/</w:t>
            </w:r>
            <w:r>
              <w:rPr>
                <w:rFonts w:hint="eastAsia"/>
                <w:color w:val="auto"/>
                <w:vertAlign w:val="baseline"/>
                <w:lang w:val="en-US" w:eastAsia="zh-CN"/>
              </w:rPr>
              <w:t>a和0.024t</w:t>
            </w:r>
            <w:r>
              <w:rPr>
                <w:rFonts w:hint="eastAsia" w:ascii="Calibri" w:hAnsi="Calibri" w:cs="Calibri"/>
                <w:color w:val="auto"/>
                <w:vertAlign w:val="baseline"/>
                <w:lang w:val="en-US" w:eastAsia="zh-CN"/>
              </w:rPr>
              <w:t>/</w:t>
            </w:r>
            <w:r>
              <w:rPr>
                <w:rFonts w:hint="eastAsia"/>
                <w:color w:val="auto"/>
                <w:vertAlign w:val="baseline"/>
                <w:lang w:val="en-US" w:eastAsia="zh-CN"/>
              </w:rPr>
              <w:t>a。由于柴油的蒸汽压太低，约为汽油蒸汽压的0.0075倍，因此其储油过程中的蒸发量不予考虑。</w:t>
            </w:r>
          </w:p>
          <w:p>
            <w:pPr>
              <w:bidi w:val="0"/>
              <w:ind w:firstLine="480" w:firstLineChars="200"/>
              <w:rPr>
                <w:rFonts w:hint="eastAsia"/>
                <w:color w:val="auto"/>
                <w:lang w:val="en-US" w:eastAsia="zh-CN"/>
              </w:rPr>
            </w:pPr>
            <w:r>
              <w:rPr>
                <w:rFonts w:hint="eastAsia"/>
                <w:color w:val="auto"/>
                <w:lang w:val="en-US" w:eastAsia="zh-CN"/>
              </w:rPr>
              <w:t>汽油具有很强的挥发性，柴油难挥发，因此本项目油气回收系统主要是针对汽油。本项目采用三次油气回收系统：卸油油气回收系统（即一次油气回收）</w:t>
            </w:r>
            <w:r>
              <w:rPr>
                <w:rFonts w:hint="default"/>
                <w:color w:val="auto"/>
                <w:lang w:val="en-US" w:eastAsia="zh-CN"/>
              </w:rPr>
              <w:t>根据《中国加油站挥发性有机物排放研究》(赵毅，薛方明，陈莹 华北电力大学环境科学与工程学院)，</w:t>
            </w:r>
            <w:r>
              <w:rPr>
                <w:rFonts w:hint="eastAsia"/>
                <w:color w:val="auto"/>
                <w:lang w:val="en-US" w:eastAsia="zh-CN"/>
              </w:rPr>
              <w:t>油气</w:t>
            </w:r>
            <w:r>
              <w:rPr>
                <w:rFonts w:hint="default"/>
                <w:color w:val="auto"/>
                <w:lang w:val="en-US" w:eastAsia="zh-CN"/>
              </w:rPr>
              <w:t>回收效率可达95%以上，本次评价保守考虑，按95%计</w:t>
            </w:r>
            <w:r>
              <w:rPr>
                <w:rFonts w:hint="eastAsia"/>
                <w:color w:val="auto"/>
                <w:lang w:val="en-US" w:eastAsia="zh-CN"/>
              </w:rPr>
              <w:t>；加油油气回收系统（即二次油气回收）</w:t>
            </w:r>
            <w:r>
              <w:rPr>
                <w:rFonts w:hint="default"/>
                <w:color w:val="auto"/>
                <w:lang w:val="en-US" w:eastAsia="zh-CN"/>
              </w:rPr>
              <w:t>根据《中国加油站挥发性有机物排放研究》(赵毅，薛方明，陈莹华北电力大学环境科学与工程学院)，油气回收效率可达90%以上，本次评价保守考虑，按9</w:t>
            </w:r>
            <w:r>
              <w:rPr>
                <w:rFonts w:hint="eastAsia"/>
                <w:color w:val="auto"/>
                <w:lang w:val="en-US" w:eastAsia="zh-CN"/>
              </w:rPr>
              <w:t>0</w:t>
            </w:r>
            <w:r>
              <w:rPr>
                <w:rFonts w:hint="default"/>
                <w:color w:val="auto"/>
                <w:lang w:val="en-US" w:eastAsia="zh-CN"/>
              </w:rPr>
              <w:t>%计</w:t>
            </w:r>
            <w:r>
              <w:rPr>
                <w:rFonts w:hint="eastAsia"/>
                <w:color w:val="auto"/>
                <w:lang w:val="en-US" w:eastAsia="zh-CN"/>
              </w:rPr>
              <w:t>；油罐呼吸口油气回收系统（即三次油气回收），</w:t>
            </w:r>
            <w:r>
              <w:rPr>
                <w:rFonts w:hint="default"/>
                <w:color w:val="auto"/>
                <w:lang w:val="en-US" w:eastAsia="zh-CN"/>
              </w:rPr>
              <w:t>参考《石油炼制工业废气治理工程技术规范》（HJ1094-2020）6.3.12“挥发性有机液体装载作业排气”中冷凝及其组合工艺处理效率不小于97%，结合实际情况，本项目“冷凝+吸附” 处理效率取值</w:t>
            </w:r>
            <w:r>
              <w:rPr>
                <w:rFonts w:hint="eastAsia"/>
                <w:color w:val="auto"/>
                <w:lang w:val="en-US" w:eastAsia="zh-CN"/>
              </w:rPr>
              <w:t>按</w:t>
            </w:r>
            <w:r>
              <w:rPr>
                <w:rFonts w:hint="default"/>
                <w:color w:val="auto"/>
                <w:lang w:val="en-US" w:eastAsia="zh-CN"/>
              </w:rPr>
              <w:t>9</w:t>
            </w:r>
            <w:r>
              <w:rPr>
                <w:rFonts w:hint="eastAsia"/>
                <w:color w:val="auto"/>
                <w:lang w:val="en-US" w:eastAsia="zh-CN"/>
              </w:rPr>
              <w:t>5</w:t>
            </w:r>
            <w:r>
              <w:rPr>
                <w:rFonts w:hint="default"/>
                <w:color w:val="auto"/>
                <w:lang w:val="en-US" w:eastAsia="zh-CN"/>
              </w:rPr>
              <w:t>%</w:t>
            </w:r>
            <w:r>
              <w:rPr>
                <w:rFonts w:hint="eastAsia"/>
                <w:color w:val="auto"/>
                <w:lang w:val="en-US" w:eastAsia="zh-CN"/>
              </w:rPr>
              <w:t>计。</w:t>
            </w:r>
          </w:p>
          <w:p>
            <w:pPr>
              <w:shd w:val="clear"/>
              <w:bidi w:val="0"/>
              <w:ind w:firstLine="480" w:firstLineChars="200"/>
              <w:rPr>
                <w:rFonts w:hint="default"/>
                <w:color w:val="auto"/>
                <w:lang w:val="en-US" w:eastAsia="zh-CN"/>
              </w:rPr>
            </w:pPr>
            <w:r>
              <w:rPr>
                <w:rFonts w:hint="eastAsia"/>
                <w:color w:val="auto"/>
                <w:lang w:val="en-US" w:eastAsia="zh-CN"/>
              </w:rPr>
              <w:t>油罐呼吸口油气回收系统（即三次油气回收）</w:t>
            </w:r>
            <w:r>
              <w:rPr>
                <w:rFonts w:hint="default"/>
                <w:color w:val="auto"/>
                <w:lang w:val="en-US" w:eastAsia="zh-CN"/>
              </w:rPr>
              <w:t>基本工作原理为：储油罐内油气压力达到三次油气回收装置启动条件，三次油气回收设备启动，将油罐内的油气转化为液态回到储油罐中。</w:t>
            </w:r>
            <w:r>
              <w:rPr>
                <w:rFonts w:hint="eastAsia"/>
                <w:color w:val="auto"/>
                <w:lang w:val="en-US" w:eastAsia="zh-CN"/>
              </w:rPr>
              <w:t>因此三次油气回收主要是针对汽油卸油时未回收到油罐车内的油气、储油小呼吸产生的油气及加油时回收到储油罐内的油气。</w:t>
            </w:r>
          </w:p>
          <w:p>
            <w:pPr>
              <w:bidi w:val="0"/>
              <w:ind w:firstLine="480" w:firstLineChars="200"/>
              <w:rPr>
                <w:rFonts w:hint="default"/>
                <w:color w:val="auto"/>
                <w:lang w:val="en-US" w:eastAsia="zh-CN"/>
              </w:rPr>
            </w:pPr>
            <w:r>
              <w:rPr>
                <w:rFonts w:hint="default"/>
                <w:color w:val="auto"/>
                <w:lang w:val="en-US" w:eastAsia="zh-CN"/>
              </w:rPr>
              <w:t>本项目非甲烷总烃产生、排放量</w:t>
            </w:r>
            <w:r>
              <w:rPr>
                <w:rFonts w:hint="eastAsia"/>
                <w:color w:val="auto"/>
                <w:lang w:val="en-US" w:eastAsia="zh-CN"/>
              </w:rPr>
              <w:t>具体情况</w:t>
            </w:r>
            <w:r>
              <w:rPr>
                <w:rFonts w:hint="default"/>
                <w:color w:val="auto"/>
                <w:lang w:val="en-US" w:eastAsia="zh-CN"/>
              </w:rPr>
              <w:t>见</w:t>
            </w:r>
            <w:r>
              <w:rPr>
                <w:rFonts w:hint="eastAsia"/>
                <w:color w:val="auto"/>
                <w:lang w:val="en-US" w:eastAsia="zh-CN"/>
              </w:rPr>
              <w:t>表4-</w:t>
            </w:r>
            <w:r>
              <w:rPr>
                <w:rFonts w:hint="default"/>
                <w:color w:val="auto"/>
                <w:lang w:eastAsia="zh-CN"/>
              </w:rPr>
              <w:fldChar w:fldCharType="begin"/>
            </w:r>
            <w:r>
              <w:rPr>
                <w:rFonts w:hint="default"/>
                <w:color w:val="auto"/>
                <w:lang w:eastAsia="zh-CN"/>
              </w:rPr>
              <w:instrText xml:space="preserve"> SEQ 4-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default"/>
                <w:color w:val="auto"/>
                <w:lang w:val="en-US" w:eastAsia="zh-CN"/>
              </w:rPr>
              <w:t>。</w:t>
            </w:r>
          </w:p>
          <w:p>
            <w:pPr>
              <w:spacing w:line="240" w:lineRule="auto"/>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2</w:t>
            </w:r>
            <w:r>
              <w:rPr>
                <w:rFonts w:hint="default"/>
                <w:b/>
                <w:bCs/>
                <w:color w:val="auto"/>
                <w:vertAlign w:val="baseline"/>
                <w:lang w:eastAsia="zh-CN"/>
              </w:rPr>
              <w:fldChar w:fldCharType="end"/>
            </w:r>
            <w:r>
              <w:rPr>
                <w:rFonts w:hint="default"/>
                <w:b/>
                <w:bCs/>
                <w:color w:val="auto"/>
                <w:vertAlign w:val="baseline"/>
                <w:lang w:val="en-US" w:eastAsia="zh-CN"/>
              </w:rPr>
              <w:t xml:space="preserve">  非甲烷总烃产生、排放量一览表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415"/>
              <w:gridCol w:w="1062"/>
              <w:gridCol w:w="877"/>
              <w:gridCol w:w="927"/>
              <w:gridCol w:w="640"/>
              <w:gridCol w:w="1180"/>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年销售量（t</w:t>
                  </w:r>
                  <w:r>
                    <w:rPr>
                      <w:rFonts w:hint="eastAsia" w:ascii="Calibri" w:hAnsi="Calibri" w:cs="Calibri"/>
                      <w:color w:val="auto"/>
                      <w:sz w:val="21"/>
                      <w:szCs w:val="21"/>
                      <w:vertAlign w:val="baseline"/>
                      <w:lang w:val="en-US" w:eastAsia="zh-CN"/>
                    </w:rPr>
                    <w:t>/</w:t>
                  </w:r>
                  <w:r>
                    <w:rPr>
                      <w:rFonts w:hint="eastAsia" w:asciiTheme="minorAscii"/>
                      <w:color w:val="auto"/>
                      <w:sz w:val="21"/>
                      <w:szCs w:val="21"/>
                      <w:vertAlign w:val="baseline"/>
                      <w:lang w:val="en-US" w:eastAsia="zh-CN"/>
                    </w:rPr>
                    <w:t>a</w:t>
                  </w:r>
                  <w:r>
                    <w:rPr>
                      <w:rFonts w:hint="eastAsia"/>
                      <w:color w:val="auto"/>
                      <w:sz w:val="21"/>
                      <w:szCs w:val="21"/>
                      <w:vertAlign w:val="baseline"/>
                      <w:lang w:val="en-US" w:eastAsia="zh-CN"/>
                    </w:rPr>
                    <w:t>）</w:t>
                  </w:r>
                </w:p>
              </w:tc>
              <w:tc>
                <w:tcPr>
                  <w:tcW w:w="141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活动过程</w:t>
                  </w:r>
                </w:p>
              </w:tc>
              <w:tc>
                <w:tcPr>
                  <w:tcW w:w="106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产生</w:t>
                  </w:r>
                  <w:r>
                    <w:rPr>
                      <w:rFonts w:hint="default"/>
                      <w:color w:val="auto"/>
                      <w:sz w:val="21"/>
                      <w:szCs w:val="21"/>
                      <w:vertAlign w:val="baseline"/>
                      <w:lang w:val="en-US" w:eastAsia="zh-CN"/>
                    </w:rPr>
                    <w:t>系数（</w:t>
                  </w:r>
                  <w:r>
                    <w:rPr>
                      <w:rFonts w:hint="eastAsia"/>
                      <w:color w:val="auto"/>
                      <w:sz w:val="21"/>
                      <w:szCs w:val="21"/>
                      <w:vertAlign w:val="baseline"/>
                      <w:lang w:val="en-US" w:eastAsia="zh-CN"/>
                    </w:rPr>
                    <w:t>kg</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t</w:t>
                  </w:r>
                  <w:r>
                    <w:rPr>
                      <w:rFonts w:hint="default"/>
                      <w:color w:val="auto"/>
                      <w:sz w:val="21"/>
                      <w:szCs w:val="21"/>
                      <w:vertAlign w:val="baseline"/>
                      <w:lang w:val="en-US" w:eastAsia="zh-CN"/>
                    </w:rPr>
                    <w:t>）</w:t>
                  </w:r>
                </w:p>
              </w:tc>
              <w:tc>
                <w:tcPr>
                  <w:tcW w:w="87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产生</w:t>
                  </w:r>
                  <w:r>
                    <w:rPr>
                      <w:rFonts w:hint="default"/>
                      <w:color w:val="auto"/>
                      <w:sz w:val="21"/>
                      <w:szCs w:val="21"/>
                      <w:vertAlign w:val="baseline"/>
                      <w:lang w:val="en-US" w:eastAsia="zh-CN"/>
                    </w:rPr>
                    <w:t>量（</w:t>
                  </w:r>
                  <w:r>
                    <w:rPr>
                      <w:rFonts w:hint="eastAsia"/>
                      <w:color w:val="auto"/>
                      <w:sz w:val="21"/>
                      <w:szCs w:val="21"/>
                      <w:vertAlign w:val="baseline"/>
                      <w:lang w:val="en-US" w:eastAsia="zh-CN"/>
                    </w:rPr>
                    <w:t>t</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a</w:t>
                  </w:r>
                  <w:r>
                    <w:rPr>
                      <w:rFonts w:hint="default"/>
                      <w:color w:val="auto"/>
                      <w:sz w:val="21"/>
                      <w:szCs w:val="21"/>
                      <w:vertAlign w:val="baseline"/>
                      <w:lang w:val="en-US" w:eastAsia="zh-CN"/>
                    </w:rPr>
                    <w:t>）</w:t>
                  </w:r>
                </w:p>
              </w:tc>
              <w:tc>
                <w:tcPr>
                  <w:tcW w:w="92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排放形式</w:t>
                  </w:r>
                </w:p>
              </w:tc>
              <w:tc>
                <w:tcPr>
                  <w:tcW w:w="64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回收率%</w:t>
                  </w:r>
                </w:p>
              </w:tc>
              <w:tc>
                <w:tcPr>
                  <w:tcW w:w="118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冷凝+吸附去除率%</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排放</w:t>
                  </w:r>
                  <w:r>
                    <w:rPr>
                      <w:rFonts w:hint="default"/>
                      <w:color w:val="auto"/>
                      <w:sz w:val="21"/>
                      <w:szCs w:val="21"/>
                      <w:vertAlign w:val="baseline"/>
                      <w:lang w:val="en-US" w:eastAsia="zh-CN"/>
                    </w:rPr>
                    <w:t>量（</w:t>
                  </w:r>
                  <w:r>
                    <w:rPr>
                      <w:rFonts w:hint="eastAsia"/>
                      <w:color w:val="auto"/>
                      <w:sz w:val="21"/>
                      <w:szCs w:val="21"/>
                      <w:vertAlign w:val="baseline"/>
                      <w:lang w:val="en-US" w:eastAsia="zh-CN"/>
                    </w:rPr>
                    <w:t>t</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a</w:t>
                  </w:r>
                  <w:r>
                    <w:rPr>
                      <w:rFonts w:hint="default"/>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9" w:type="dxa"/>
                  <w:vMerge w:val="restart"/>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汽油</w:t>
                  </w:r>
                </w:p>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（1500）</w:t>
                  </w:r>
                </w:p>
              </w:tc>
              <w:tc>
                <w:tcPr>
                  <w:tcW w:w="1415" w:type="dxa"/>
                  <w:vAlign w:val="center"/>
                </w:tcPr>
                <w:p>
                  <w:pPr>
                    <w:spacing w:line="240" w:lineRule="auto"/>
                    <w:jc w:val="left"/>
                    <w:rPr>
                      <w:rFonts w:hint="default"/>
                      <w:color w:val="auto"/>
                      <w:sz w:val="21"/>
                      <w:szCs w:val="21"/>
                      <w:vertAlign w:val="baseline"/>
                      <w:lang w:val="en-US" w:eastAsia="zh-CN"/>
                    </w:rPr>
                  </w:pPr>
                  <w:r>
                    <w:rPr>
                      <w:rFonts w:hint="eastAsia"/>
                      <w:color w:val="auto"/>
                      <w:sz w:val="21"/>
                      <w:szCs w:val="21"/>
                      <w:vertAlign w:val="baseline"/>
                      <w:lang w:val="en-US" w:eastAsia="zh-CN"/>
                    </w:rPr>
                    <w:t>卸油过程（</w:t>
                  </w:r>
                  <w:r>
                    <w:rPr>
                      <w:rFonts w:hint="default"/>
                      <w:color w:val="auto"/>
                      <w:sz w:val="21"/>
                      <w:szCs w:val="21"/>
                      <w:vertAlign w:val="baseline"/>
                      <w:lang w:val="en-US" w:eastAsia="zh-CN"/>
                    </w:rPr>
                    <w:t>大呼吸</w:t>
                  </w:r>
                  <w:r>
                    <w:rPr>
                      <w:rFonts w:hint="eastAsia"/>
                      <w:color w:val="auto"/>
                      <w:sz w:val="21"/>
                      <w:szCs w:val="21"/>
                      <w:vertAlign w:val="baseline"/>
                      <w:lang w:val="en-US" w:eastAsia="zh-CN"/>
                    </w:rPr>
                    <w:t>）损失</w:t>
                  </w:r>
                </w:p>
              </w:tc>
              <w:tc>
                <w:tcPr>
                  <w:tcW w:w="106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2.3</w:t>
                  </w:r>
                </w:p>
              </w:tc>
              <w:tc>
                <w:tcPr>
                  <w:tcW w:w="87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3.45</w:t>
                  </w:r>
                </w:p>
              </w:tc>
              <w:tc>
                <w:tcPr>
                  <w:tcW w:w="92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有组织</w:t>
                  </w:r>
                </w:p>
              </w:tc>
              <w:tc>
                <w:tcPr>
                  <w:tcW w:w="64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95</w:t>
                  </w:r>
                </w:p>
              </w:tc>
              <w:tc>
                <w:tcPr>
                  <w:tcW w:w="118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95</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9" w:type="dxa"/>
                  <w:vMerge w:val="continue"/>
                  <w:vAlign w:val="center"/>
                </w:tcPr>
                <w:p>
                  <w:pPr>
                    <w:spacing w:line="240" w:lineRule="auto"/>
                    <w:jc w:val="center"/>
                    <w:rPr>
                      <w:rFonts w:hint="default"/>
                      <w:color w:val="auto"/>
                      <w:sz w:val="21"/>
                      <w:szCs w:val="21"/>
                      <w:vertAlign w:val="baseline"/>
                      <w:lang w:val="en-US" w:eastAsia="zh-CN"/>
                    </w:rPr>
                  </w:pPr>
                </w:p>
              </w:tc>
              <w:tc>
                <w:tcPr>
                  <w:tcW w:w="1415"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储油罐（</w:t>
                  </w:r>
                  <w:r>
                    <w:rPr>
                      <w:rFonts w:hint="default"/>
                      <w:color w:val="auto"/>
                      <w:sz w:val="21"/>
                      <w:szCs w:val="21"/>
                      <w:vertAlign w:val="baseline"/>
                      <w:lang w:val="en-US" w:eastAsia="zh-CN"/>
                    </w:rPr>
                    <w:t>小</w:t>
                  </w:r>
                  <w:r>
                    <w:rPr>
                      <w:rFonts w:hint="eastAsia"/>
                      <w:color w:val="auto"/>
                      <w:sz w:val="21"/>
                      <w:szCs w:val="21"/>
                      <w:vertAlign w:val="baseline"/>
                      <w:lang w:val="en-US" w:eastAsia="zh-CN"/>
                    </w:rPr>
                    <w:t>）</w:t>
                  </w:r>
                  <w:r>
                    <w:rPr>
                      <w:rFonts w:hint="default"/>
                      <w:color w:val="auto"/>
                      <w:sz w:val="21"/>
                      <w:szCs w:val="21"/>
                      <w:vertAlign w:val="baseline"/>
                      <w:lang w:val="en-US" w:eastAsia="zh-CN"/>
                    </w:rPr>
                    <w:t>呼吸</w:t>
                  </w:r>
                  <w:r>
                    <w:rPr>
                      <w:rFonts w:hint="eastAsia"/>
                      <w:color w:val="auto"/>
                      <w:sz w:val="21"/>
                      <w:szCs w:val="21"/>
                      <w:vertAlign w:val="baseline"/>
                      <w:lang w:val="en-US" w:eastAsia="zh-CN"/>
                    </w:rPr>
                    <w:t>损失</w:t>
                  </w:r>
                </w:p>
              </w:tc>
              <w:tc>
                <w:tcPr>
                  <w:tcW w:w="106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0.16</w:t>
                  </w:r>
                </w:p>
              </w:tc>
              <w:tc>
                <w:tcPr>
                  <w:tcW w:w="87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0.24</w:t>
                  </w:r>
                </w:p>
              </w:tc>
              <w:tc>
                <w:tcPr>
                  <w:tcW w:w="92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有组织</w:t>
                  </w:r>
                </w:p>
              </w:tc>
              <w:tc>
                <w:tcPr>
                  <w:tcW w:w="64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w:t>
                  </w:r>
                </w:p>
              </w:tc>
              <w:tc>
                <w:tcPr>
                  <w:tcW w:w="118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95</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889" w:type="dxa"/>
                  <w:vMerge w:val="continue"/>
                  <w:vAlign w:val="center"/>
                </w:tcPr>
                <w:p>
                  <w:pPr>
                    <w:spacing w:line="240" w:lineRule="auto"/>
                    <w:jc w:val="center"/>
                    <w:rPr>
                      <w:rFonts w:hint="default"/>
                      <w:color w:val="auto"/>
                      <w:sz w:val="21"/>
                      <w:szCs w:val="21"/>
                      <w:vertAlign w:val="baseline"/>
                      <w:lang w:val="en-US" w:eastAsia="zh-CN"/>
                    </w:rPr>
                  </w:pPr>
                </w:p>
              </w:tc>
              <w:tc>
                <w:tcPr>
                  <w:tcW w:w="1415" w:type="dxa"/>
                  <w:vMerge w:val="restart"/>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加油机作业损失</w:t>
                  </w:r>
                </w:p>
              </w:tc>
              <w:tc>
                <w:tcPr>
                  <w:tcW w:w="1062"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w:t>
                  </w:r>
                  <w:r>
                    <w:rPr>
                      <w:rFonts w:hint="default"/>
                      <w:color w:val="auto"/>
                      <w:sz w:val="21"/>
                      <w:szCs w:val="21"/>
                      <w:vertAlign w:val="baseline"/>
                      <w:lang w:val="en-US" w:eastAsia="zh-CN"/>
                    </w:rPr>
                    <w:t>.</w:t>
                  </w:r>
                  <w:r>
                    <w:rPr>
                      <w:rFonts w:hint="eastAsia"/>
                      <w:color w:val="auto"/>
                      <w:sz w:val="21"/>
                      <w:szCs w:val="21"/>
                      <w:vertAlign w:val="baseline"/>
                      <w:lang w:val="en-US" w:eastAsia="zh-CN"/>
                    </w:rPr>
                    <w:t>49</w:t>
                  </w:r>
                </w:p>
              </w:tc>
              <w:tc>
                <w:tcPr>
                  <w:tcW w:w="877"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3.735</w:t>
                  </w:r>
                </w:p>
              </w:tc>
              <w:tc>
                <w:tcPr>
                  <w:tcW w:w="92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有组织</w:t>
                  </w:r>
                </w:p>
              </w:tc>
              <w:tc>
                <w:tcPr>
                  <w:tcW w:w="640"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90</w:t>
                  </w:r>
                </w:p>
              </w:tc>
              <w:tc>
                <w:tcPr>
                  <w:tcW w:w="118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95</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0.1681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1" w:hRule="atLeast"/>
                <w:jc w:val="center"/>
              </w:trPr>
              <w:tc>
                <w:tcPr>
                  <w:tcW w:w="889" w:type="dxa"/>
                  <w:vMerge w:val="continue"/>
                  <w:vAlign w:val="center"/>
                </w:tcPr>
                <w:p>
                  <w:pPr>
                    <w:spacing w:line="240" w:lineRule="auto"/>
                    <w:jc w:val="center"/>
                  </w:pPr>
                </w:p>
              </w:tc>
              <w:tc>
                <w:tcPr>
                  <w:tcW w:w="1415" w:type="dxa"/>
                  <w:vMerge w:val="continue"/>
                  <w:vAlign w:val="center"/>
                </w:tcPr>
                <w:p>
                  <w:pPr>
                    <w:spacing w:line="240" w:lineRule="auto"/>
                    <w:jc w:val="center"/>
                  </w:pPr>
                </w:p>
              </w:tc>
              <w:tc>
                <w:tcPr>
                  <w:tcW w:w="1062" w:type="dxa"/>
                  <w:vMerge w:val="continue"/>
                  <w:vAlign w:val="center"/>
                </w:tcPr>
                <w:p>
                  <w:pPr>
                    <w:spacing w:line="240" w:lineRule="auto"/>
                    <w:jc w:val="center"/>
                  </w:pPr>
                </w:p>
              </w:tc>
              <w:tc>
                <w:tcPr>
                  <w:tcW w:w="877" w:type="dxa"/>
                  <w:vMerge w:val="continue"/>
                  <w:vAlign w:val="center"/>
                </w:tcPr>
                <w:p>
                  <w:pPr>
                    <w:spacing w:line="240" w:lineRule="auto"/>
                    <w:jc w:val="center"/>
                  </w:pPr>
                </w:p>
              </w:tc>
              <w:tc>
                <w:tcPr>
                  <w:tcW w:w="92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无组织</w:t>
                  </w:r>
                </w:p>
              </w:tc>
              <w:tc>
                <w:tcPr>
                  <w:tcW w:w="640" w:type="dxa"/>
                  <w:vMerge w:val="continue"/>
                  <w:vAlign w:val="center"/>
                </w:tcPr>
                <w:p>
                  <w:pPr>
                    <w:spacing w:line="240" w:lineRule="auto"/>
                    <w:jc w:val="center"/>
                    <w:rPr>
                      <w:rFonts w:hint="default"/>
                      <w:color w:val="auto"/>
                      <w:sz w:val="21"/>
                      <w:szCs w:val="21"/>
                      <w:vertAlign w:val="baseline"/>
                      <w:lang w:val="en-US" w:eastAsia="zh-CN"/>
                    </w:rPr>
                  </w:pPr>
                </w:p>
              </w:tc>
              <w:tc>
                <w:tcPr>
                  <w:tcW w:w="118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0.3735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9" w:type="dxa"/>
                  <w:vMerge w:val="restart"/>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柴油</w:t>
                  </w:r>
                </w:p>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（500）</w:t>
                  </w:r>
                </w:p>
              </w:tc>
              <w:tc>
                <w:tcPr>
                  <w:tcW w:w="141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卸油过程（</w:t>
                  </w:r>
                  <w:r>
                    <w:rPr>
                      <w:rFonts w:hint="default"/>
                      <w:color w:val="auto"/>
                      <w:sz w:val="21"/>
                      <w:szCs w:val="21"/>
                      <w:vertAlign w:val="baseline"/>
                      <w:lang w:val="en-US" w:eastAsia="zh-CN"/>
                    </w:rPr>
                    <w:t>大呼吸</w:t>
                  </w:r>
                  <w:r>
                    <w:rPr>
                      <w:rFonts w:hint="eastAsia"/>
                      <w:color w:val="auto"/>
                      <w:sz w:val="21"/>
                      <w:szCs w:val="21"/>
                      <w:vertAlign w:val="baseline"/>
                      <w:lang w:val="en-US" w:eastAsia="zh-CN"/>
                    </w:rPr>
                    <w:t>）损失</w:t>
                  </w:r>
                </w:p>
              </w:tc>
              <w:tc>
                <w:tcPr>
                  <w:tcW w:w="106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w:t>
                  </w:r>
                  <w:r>
                    <w:rPr>
                      <w:rFonts w:hint="default"/>
                      <w:color w:val="auto"/>
                      <w:sz w:val="21"/>
                      <w:szCs w:val="21"/>
                      <w:vertAlign w:val="baseline"/>
                      <w:lang w:val="en-US" w:eastAsia="zh-CN"/>
                    </w:rPr>
                    <w:t>.</w:t>
                  </w:r>
                  <w:r>
                    <w:rPr>
                      <w:rFonts w:hint="eastAsia"/>
                      <w:color w:val="auto"/>
                      <w:sz w:val="21"/>
                      <w:szCs w:val="21"/>
                      <w:vertAlign w:val="baseline"/>
                      <w:lang w:val="en-US" w:eastAsia="zh-CN"/>
                    </w:rPr>
                    <w:t>027</w:t>
                  </w:r>
                </w:p>
              </w:tc>
              <w:tc>
                <w:tcPr>
                  <w:tcW w:w="87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0.0135</w:t>
                  </w:r>
                </w:p>
              </w:tc>
              <w:tc>
                <w:tcPr>
                  <w:tcW w:w="92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无组织</w:t>
                  </w:r>
                </w:p>
              </w:tc>
              <w:tc>
                <w:tcPr>
                  <w:tcW w:w="64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w:t>
                  </w:r>
                </w:p>
              </w:tc>
              <w:tc>
                <w:tcPr>
                  <w:tcW w:w="118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9" w:type="dxa"/>
                  <w:vMerge w:val="continue"/>
                  <w:vAlign w:val="center"/>
                </w:tcPr>
                <w:p>
                  <w:pPr>
                    <w:spacing w:line="240" w:lineRule="auto"/>
                    <w:jc w:val="center"/>
                    <w:rPr>
                      <w:rFonts w:hint="default"/>
                      <w:color w:val="auto"/>
                      <w:sz w:val="21"/>
                      <w:szCs w:val="21"/>
                      <w:vertAlign w:val="baseline"/>
                      <w:lang w:val="en-US" w:eastAsia="zh-CN"/>
                    </w:rPr>
                  </w:pPr>
                </w:p>
              </w:tc>
              <w:tc>
                <w:tcPr>
                  <w:tcW w:w="1415" w:type="dxa"/>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加油机作业损失</w:t>
                  </w:r>
                </w:p>
              </w:tc>
              <w:tc>
                <w:tcPr>
                  <w:tcW w:w="106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w:t>
                  </w:r>
                  <w:r>
                    <w:rPr>
                      <w:rFonts w:hint="default"/>
                      <w:color w:val="auto"/>
                      <w:sz w:val="21"/>
                      <w:szCs w:val="21"/>
                      <w:vertAlign w:val="baseline"/>
                      <w:lang w:val="en-US" w:eastAsia="zh-CN"/>
                    </w:rPr>
                    <w:t>.</w:t>
                  </w:r>
                  <w:r>
                    <w:rPr>
                      <w:rFonts w:hint="eastAsia"/>
                      <w:color w:val="auto"/>
                      <w:sz w:val="21"/>
                      <w:szCs w:val="21"/>
                      <w:vertAlign w:val="baseline"/>
                      <w:lang w:val="en-US" w:eastAsia="zh-CN"/>
                    </w:rPr>
                    <w:t>048</w:t>
                  </w:r>
                </w:p>
              </w:tc>
              <w:tc>
                <w:tcPr>
                  <w:tcW w:w="87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0.024</w:t>
                  </w:r>
                </w:p>
              </w:tc>
              <w:tc>
                <w:tcPr>
                  <w:tcW w:w="927"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无组织</w:t>
                  </w:r>
                </w:p>
              </w:tc>
              <w:tc>
                <w:tcPr>
                  <w:tcW w:w="64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w:t>
                  </w:r>
                </w:p>
              </w:tc>
              <w:tc>
                <w:tcPr>
                  <w:tcW w:w="118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合计</w:t>
                  </w:r>
                </w:p>
              </w:tc>
              <w:tc>
                <w:tcPr>
                  <w:tcW w:w="141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非甲烷总烃</w:t>
                  </w:r>
                </w:p>
              </w:tc>
              <w:tc>
                <w:tcPr>
                  <w:tcW w:w="1062" w:type="dxa"/>
                  <w:vAlign w:val="center"/>
                </w:tcPr>
                <w:p>
                  <w:pPr>
                    <w:spacing w:line="240" w:lineRule="auto"/>
                    <w:jc w:val="center"/>
                    <w:rPr>
                      <w:rFonts w:hint="default"/>
                      <w:color w:val="auto"/>
                      <w:sz w:val="21"/>
                      <w:szCs w:val="21"/>
                      <w:vertAlign w:val="baseline"/>
                      <w:lang w:val="en-US" w:eastAsia="zh-CN"/>
                    </w:rPr>
                  </w:pPr>
                  <w:r>
                    <w:rPr>
                      <w:rFonts w:hint="default" w:ascii="Calibri" w:hAnsi="Calibri" w:cs="Calibri"/>
                      <w:color w:val="auto"/>
                      <w:sz w:val="21"/>
                      <w:szCs w:val="21"/>
                      <w:vertAlign w:val="baseline"/>
                      <w:lang w:val="en-US" w:eastAsia="zh-CN"/>
                    </w:rPr>
                    <w:t>/</w:t>
                  </w:r>
                </w:p>
              </w:tc>
              <w:tc>
                <w:tcPr>
                  <w:tcW w:w="87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7.4625</w:t>
                  </w:r>
                </w:p>
              </w:tc>
              <w:tc>
                <w:tcPr>
                  <w:tcW w:w="927" w:type="dxa"/>
                  <w:vAlign w:val="center"/>
                </w:tcPr>
                <w:p>
                  <w:pPr>
                    <w:spacing w:line="240" w:lineRule="auto"/>
                    <w:jc w:val="center"/>
                    <w:rPr>
                      <w:rFonts w:hint="eastAsia" w:ascii="Calibri" w:hAnsi="Calibri" w:cs="Calibri"/>
                      <w:color w:val="auto"/>
                      <w:sz w:val="21"/>
                      <w:szCs w:val="21"/>
                      <w:vertAlign w:val="baseline"/>
                      <w:lang w:val="en-US" w:eastAsia="zh-CN"/>
                    </w:rPr>
                  </w:pPr>
                  <w:r>
                    <w:rPr>
                      <w:rFonts w:hint="eastAsia"/>
                      <w:color w:val="auto"/>
                      <w:sz w:val="21"/>
                      <w:szCs w:val="21"/>
                      <w:vertAlign w:val="baseline"/>
                      <w:lang w:val="en-US" w:eastAsia="zh-CN"/>
                    </w:rPr>
                    <w:t>无组织</w:t>
                  </w:r>
                </w:p>
              </w:tc>
              <w:tc>
                <w:tcPr>
                  <w:tcW w:w="640"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1180"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0.5997</w:t>
                  </w:r>
                </w:p>
              </w:tc>
            </w:tr>
          </w:tbl>
          <w:p>
            <w:pPr>
              <w:ind w:firstLine="480" w:firstLineChars="200"/>
              <w:rPr>
                <w:rFonts w:hint="default"/>
                <w:color w:val="auto"/>
                <w:vertAlign w:val="baseline"/>
                <w:lang w:val="en-US" w:eastAsia="zh-CN"/>
              </w:rPr>
            </w:pPr>
            <w:r>
              <w:rPr>
                <w:rFonts w:hint="default"/>
                <w:color w:val="auto"/>
                <w:vertAlign w:val="baseline"/>
                <w:lang w:val="en-US" w:eastAsia="zh-CN"/>
              </w:rPr>
              <w:t>根据《加油站大气污染物排放标准》中相关技术措施要求，</w:t>
            </w:r>
            <w:r>
              <w:rPr>
                <w:rFonts w:hint="eastAsia"/>
                <w:color w:val="auto"/>
                <w:vertAlign w:val="baseline"/>
                <w:lang w:val="en-US" w:eastAsia="zh-CN"/>
              </w:rPr>
              <w:t>本项目</w:t>
            </w:r>
            <w:r>
              <w:rPr>
                <w:rFonts w:hint="default"/>
                <w:color w:val="auto"/>
                <w:vertAlign w:val="baseline"/>
                <w:lang w:val="en-US" w:eastAsia="zh-CN"/>
              </w:rPr>
              <w:t>拟设置三次油气回收系统。油气回收系统主要由卸油油气回收系统、加油油气回收系统</w:t>
            </w:r>
            <w:r>
              <w:rPr>
                <w:rFonts w:hint="eastAsia"/>
                <w:color w:val="auto"/>
                <w:vertAlign w:val="baseline"/>
                <w:lang w:val="en-US" w:eastAsia="zh-CN"/>
              </w:rPr>
              <w:t>和</w:t>
            </w:r>
            <w:r>
              <w:rPr>
                <w:rFonts w:hint="default"/>
                <w:color w:val="auto"/>
                <w:vertAlign w:val="baseline"/>
                <w:lang w:val="en-US" w:eastAsia="zh-CN"/>
              </w:rPr>
              <w:t>油罐呼吸口油气回收系统组成。</w:t>
            </w:r>
            <w:r>
              <w:rPr>
                <w:rFonts w:hint="eastAsia"/>
                <w:color w:val="auto"/>
                <w:vertAlign w:val="baseline"/>
                <w:lang w:val="en-US" w:eastAsia="zh-CN"/>
              </w:rPr>
              <w:t>本项目</w:t>
            </w:r>
            <w:r>
              <w:rPr>
                <w:rFonts w:hint="default"/>
                <w:color w:val="auto"/>
                <w:vertAlign w:val="baseline"/>
                <w:lang w:val="en-US" w:eastAsia="zh-CN"/>
              </w:rPr>
              <w:t>采取汽油油气回收措施后</w:t>
            </w:r>
            <w:r>
              <w:rPr>
                <w:rFonts w:hint="eastAsia"/>
                <w:color w:val="auto"/>
                <w:vertAlign w:val="baseline"/>
                <w:lang w:val="en-US" w:eastAsia="zh-CN"/>
              </w:rPr>
              <w:t>的尾气</w:t>
            </w:r>
            <w:r>
              <w:rPr>
                <w:rFonts w:hint="default"/>
                <w:color w:val="auto"/>
                <w:vertAlign w:val="baseline"/>
                <w:lang w:val="en-US" w:eastAsia="zh-CN"/>
              </w:rPr>
              <w:t>通过4m</w:t>
            </w:r>
            <w:r>
              <w:rPr>
                <w:rFonts w:hint="eastAsia"/>
                <w:color w:val="auto"/>
                <w:vertAlign w:val="baseline"/>
                <w:lang w:val="en-US" w:eastAsia="zh-CN"/>
              </w:rPr>
              <w:t>高</w:t>
            </w:r>
            <w:r>
              <w:rPr>
                <w:rFonts w:hint="default"/>
                <w:color w:val="auto"/>
                <w:vertAlign w:val="baseline"/>
                <w:lang w:val="en-US" w:eastAsia="zh-CN"/>
              </w:rPr>
              <w:t>排气筒排放，</w:t>
            </w:r>
            <w:r>
              <w:rPr>
                <w:rFonts w:hint="eastAsia"/>
                <w:color w:val="auto"/>
                <w:vertAlign w:val="baseline"/>
                <w:lang w:val="en-US" w:eastAsia="zh-CN"/>
              </w:rPr>
              <w:t>柴油和汽油加油未回收的产生的油气无组织排放。则由上表可知，</w:t>
            </w:r>
            <w:r>
              <w:rPr>
                <w:rFonts w:hint="default"/>
                <w:color w:val="auto"/>
                <w:vertAlign w:val="baseline"/>
                <w:lang w:val="en-US" w:eastAsia="zh-CN"/>
              </w:rPr>
              <w:t>排入大气的非甲烷总烃量为0.</w:t>
            </w:r>
            <w:r>
              <w:rPr>
                <w:rFonts w:hint="eastAsia"/>
                <w:color w:val="auto"/>
                <w:vertAlign w:val="baseline"/>
                <w:lang w:val="en-US" w:eastAsia="zh-CN"/>
              </w:rPr>
              <w:t>5997</w:t>
            </w:r>
            <w:r>
              <w:rPr>
                <w:rFonts w:hint="default"/>
                <w:color w:val="auto"/>
                <w:vertAlign w:val="baseline"/>
                <w:lang w:val="en-US" w:eastAsia="zh-CN"/>
              </w:rPr>
              <w:t>t</w:t>
            </w:r>
            <w:r>
              <w:rPr>
                <w:rFonts w:hint="default" w:ascii="Calibri" w:hAnsi="Calibri" w:cs="Calibri"/>
                <w:color w:val="auto"/>
                <w:vertAlign w:val="baseline"/>
                <w:lang w:val="en-US" w:eastAsia="zh-CN"/>
              </w:rPr>
              <w:t>/</w:t>
            </w:r>
            <w:r>
              <w:rPr>
                <w:rFonts w:hint="default"/>
                <w:color w:val="auto"/>
                <w:vertAlign w:val="baseline"/>
                <w:lang w:val="en-US" w:eastAsia="zh-CN"/>
              </w:rPr>
              <w:t>a</w:t>
            </w:r>
            <w:r>
              <w:rPr>
                <w:rFonts w:hint="eastAsia"/>
                <w:color w:val="auto"/>
                <w:vertAlign w:val="baseline"/>
                <w:lang w:val="en-US" w:eastAsia="zh-CN"/>
              </w:rPr>
              <w:t>，其中有组织排放的</w:t>
            </w:r>
            <w:r>
              <w:rPr>
                <w:rFonts w:hint="default"/>
                <w:color w:val="auto"/>
                <w:vertAlign w:val="baseline"/>
                <w:lang w:val="en-US" w:eastAsia="zh-CN"/>
              </w:rPr>
              <w:t>非甲烷总烃量为0.</w:t>
            </w:r>
            <w:r>
              <w:rPr>
                <w:rFonts w:hint="eastAsia"/>
                <w:color w:val="auto"/>
                <w:vertAlign w:val="baseline"/>
                <w:lang w:val="en-US" w:eastAsia="zh-CN"/>
              </w:rPr>
              <w:t>1887</w:t>
            </w:r>
            <w:r>
              <w:rPr>
                <w:rFonts w:hint="default"/>
                <w:color w:val="auto"/>
                <w:vertAlign w:val="baseline"/>
                <w:lang w:val="en-US" w:eastAsia="zh-CN"/>
              </w:rPr>
              <w:t>t</w:t>
            </w:r>
            <w:r>
              <w:rPr>
                <w:rFonts w:hint="default" w:ascii="Calibri" w:hAnsi="Calibri" w:cs="Calibri"/>
                <w:color w:val="auto"/>
                <w:vertAlign w:val="baseline"/>
                <w:lang w:val="en-US" w:eastAsia="zh-CN"/>
              </w:rPr>
              <w:t>/</w:t>
            </w:r>
            <w:r>
              <w:rPr>
                <w:rFonts w:hint="default"/>
                <w:color w:val="auto"/>
                <w:vertAlign w:val="baseline"/>
                <w:lang w:val="en-US" w:eastAsia="zh-CN"/>
              </w:rPr>
              <w:t>a</w:t>
            </w:r>
            <w:r>
              <w:rPr>
                <w:rFonts w:hint="eastAsia"/>
                <w:color w:val="auto"/>
                <w:vertAlign w:val="baseline"/>
                <w:lang w:val="en-US" w:eastAsia="zh-CN"/>
              </w:rPr>
              <w:t>，无组织排放的</w:t>
            </w:r>
            <w:r>
              <w:rPr>
                <w:rFonts w:hint="default"/>
                <w:color w:val="auto"/>
                <w:vertAlign w:val="baseline"/>
                <w:lang w:val="en-US" w:eastAsia="zh-CN"/>
              </w:rPr>
              <w:t>非甲烷总烃量为0.</w:t>
            </w:r>
            <w:r>
              <w:rPr>
                <w:rFonts w:hint="eastAsia"/>
                <w:color w:val="auto"/>
                <w:vertAlign w:val="baseline"/>
                <w:lang w:val="en-US" w:eastAsia="zh-CN"/>
              </w:rPr>
              <w:t>411</w:t>
            </w:r>
            <w:r>
              <w:rPr>
                <w:rFonts w:hint="default"/>
                <w:color w:val="auto"/>
                <w:vertAlign w:val="baseline"/>
                <w:lang w:val="en-US" w:eastAsia="zh-CN"/>
              </w:rPr>
              <w:t>t</w:t>
            </w:r>
            <w:r>
              <w:rPr>
                <w:rFonts w:hint="default" w:ascii="Calibri" w:hAnsi="Calibri" w:cs="Calibri"/>
                <w:color w:val="auto"/>
                <w:vertAlign w:val="baseline"/>
                <w:lang w:val="en-US" w:eastAsia="zh-CN"/>
              </w:rPr>
              <w:t>/</w:t>
            </w:r>
            <w:r>
              <w:rPr>
                <w:rFonts w:hint="default"/>
                <w:color w:val="auto"/>
                <w:vertAlign w:val="baseline"/>
                <w:lang w:val="en-US" w:eastAsia="zh-CN"/>
              </w:rPr>
              <w:t>a。</w:t>
            </w:r>
          </w:p>
          <w:p>
            <w:pPr>
              <w:ind w:firstLine="480" w:firstLineChars="200"/>
              <w:rPr>
                <w:rFonts w:hint="default"/>
                <w:color w:val="auto"/>
                <w:vertAlign w:val="baseline"/>
                <w:lang w:val="en-US" w:eastAsia="zh-CN"/>
              </w:rPr>
            </w:pPr>
            <w:r>
              <w:rPr>
                <w:rFonts w:hint="default"/>
                <w:color w:val="auto"/>
                <w:vertAlign w:val="baseline"/>
                <w:lang w:val="en-US" w:eastAsia="zh-CN"/>
              </w:rPr>
              <w:t>②柴油发电机燃烧废气</w:t>
            </w:r>
          </w:p>
          <w:p>
            <w:pPr>
              <w:ind w:firstLine="480" w:firstLineChars="200"/>
              <w:rPr>
                <w:rFonts w:hint="default"/>
                <w:color w:val="auto"/>
                <w:vertAlign w:val="baseline"/>
                <w:lang w:val="en-US" w:eastAsia="zh-CN"/>
              </w:rPr>
            </w:pPr>
            <w:r>
              <w:rPr>
                <w:rFonts w:hint="eastAsia"/>
                <w:color w:val="auto"/>
                <w:vertAlign w:val="baseline"/>
                <w:lang w:val="en-US" w:eastAsia="zh-CN"/>
              </w:rPr>
              <w:t>本</w:t>
            </w:r>
            <w:r>
              <w:rPr>
                <w:rFonts w:hint="default"/>
                <w:color w:val="auto"/>
                <w:vertAlign w:val="baseline"/>
                <w:lang w:val="en-US" w:eastAsia="zh-CN"/>
              </w:rPr>
              <w:t>项目设置1台备用发电机，功率为30kW，仅供停电时使用，以0#轻柴油（密度850kg</w:t>
            </w:r>
            <w:r>
              <w:rPr>
                <w:rFonts w:hint="default" w:ascii="Calibri" w:hAnsi="Calibri" w:cs="Calibri"/>
                <w:color w:val="auto"/>
                <w:vertAlign w:val="baseline"/>
                <w:lang w:val="en-US" w:eastAsia="zh-CN"/>
              </w:rPr>
              <w:t>/</w:t>
            </w:r>
            <w:r>
              <w:rPr>
                <w:rFonts w:hint="default"/>
                <w:color w:val="auto"/>
                <w:vertAlign w:val="baseline"/>
                <w:lang w:val="en-US" w:eastAsia="zh-CN"/>
              </w:rPr>
              <w:t>m</w:t>
            </w:r>
            <w:r>
              <w:rPr>
                <w:rFonts w:hint="default"/>
                <w:color w:val="auto"/>
                <w:vertAlign w:val="superscript"/>
                <w:lang w:val="en-US" w:eastAsia="zh-CN"/>
              </w:rPr>
              <w:t>3</w:t>
            </w:r>
            <w:r>
              <w:rPr>
                <w:rFonts w:hint="default"/>
                <w:color w:val="auto"/>
                <w:vertAlign w:val="baseline"/>
                <w:lang w:val="en-US" w:eastAsia="zh-CN"/>
              </w:rPr>
              <w:t>，含硫率不大于0.035%）为燃料。使用时间按每月运行2h计，根据统计资料，发电机耗油量约为206g</w:t>
            </w:r>
            <w:r>
              <w:rPr>
                <w:rFonts w:hint="default" w:ascii="Calibri" w:hAnsi="Calibri" w:cs="Calibri"/>
                <w:color w:val="auto"/>
                <w:vertAlign w:val="baseline"/>
                <w:lang w:val="en-US" w:eastAsia="zh-CN"/>
              </w:rPr>
              <w:t>/</w:t>
            </w:r>
            <w:r>
              <w:rPr>
                <w:rFonts w:hint="default"/>
                <w:color w:val="auto"/>
                <w:vertAlign w:val="baseline"/>
                <w:lang w:val="en-US" w:eastAsia="zh-CN"/>
              </w:rPr>
              <w:t>kW·h，则发电机年耗油量为0.1483t。项目备用柴油发电机运行时会产生烟气，无组织排放，根据参考《大气污染工程师手册》统计数据，烟气中污染物排放参数及产排量见表4-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3</w:t>
            </w:r>
            <w:r>
              <w:rPr>
                <w:rFonts w:hint="default"/>
                <w:color w:val="auto"/>
                <w:vertAlign w:val="baseline"/>
                <w:lang w:eastAsia="zh-CN"/>
              </w:rPr>
              <w:fldChar w:fldCharType="end"/>
            </w:r>
            <w:r>
              <w:rPr>
                <w:rFonts w:hint="default"/>
                <w:color w:val="auto"/>
                <w:vertAlign w:val="baseline"/>
                <w:lang w:val="en-US" w:eastAsia="zh-CN"/>
              </w:rPr>
              <w:t>。</w:t>
            </w:r>
          </w:p>
          <w:p>
            <w:pPr>
              <w:spacing w:line="240" w:lineRule="auto"/>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3</w:t>
            </w:r>
            <w:r>
              <w:rPr>
                <w:rFonts w:hint="default"/>
                <w:b/>
                <w:bCs/>
                <w:color w:val="auto"/>
                <w:vertAlign w:val="baseline"/>
                <w:lang w:eastAsia="zh-CN"/>
              </w:rPr>
              <w:fldChar w:fldCharType="end"/>
            </w:r>
            <w:r>
              <w:rPr>
                <w:rFonts w:hint="eastAsia"/>
                <w:b/>
                <w:bCs/>
                <w:color w:val="auto"/>
                <w:vertAlign w:val="baseline"/>
                <w:lang w:val="en-US" w:eastAsia="zh-CN"/>
              </w:rPr>
              <w:t xml:space="preserve">  </w:t>
            </w:r>
            <w:r>
              <w:rPr>
                <w:rFonts w:hint="default"/>
                <w:b/>
                <w:bCs/>
                <w:color w:val="auto"/>
                <w:vertAlign w:val="baseline"/>
                <w:lang w:val="en-US" w:eastAsia="zh-CN"/>
              </w:rPr>
              <w:t>燃油燃烧时污染物排放参数及产排量</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0"/>
              <w:gridCol w:w="1961"/>
              <w:gridCol w:w="1961"/>
              <w:gridCol w:w="19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污染物名称</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SO</w:t>
                  </w:r>
                  <w:r>
                    <w:rPr>
                      <w:rFonts w:hint="eastAsia" w:eastAsia="宋体"/>
                      <w:color w:val="auto"/>
                      <w:sz w:val="21"/>
                      <w:szCs w:val="21"/>
                      <w:vertAlign w:val="subscript"/>
                      <w:lang w:val="en-US" w:eastAsia="zh-CN"/>
                    </w:rPr>
                    <w:t>2</w:t>
                  </w:r>
                  <w:r>
                    <w:rPr>
                      <w:rFonts w:hint="eastAsia" w:eastAsia="宋体"/>
                      <w:color w:val="auto"/>
                      <w:sz w:val="21"/>
                      <w:szCs w:val="21"/>
                      <w:vertAlign w:val="baseline"/>
                      <w:lang w:val="en-US" w:eastAsia="zh-CN"/>
                    </w:rPr>
                    <w:t>（kg</w:t>
                  </w:r>
                  <w:r>
                    <w:rPr>
                      <w:rFonts w:hint="eastAsia"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t-油）</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NOx（kg</w:t>
                  </w:r>
                  <w:r>
                    <w:rPr>
                      <w:rFonts w:hint="eastAsia"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t-油）</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烟尘（kg</w:t>
                  </w:r>
                  <w:r>
                    <w:rPr>
                      <w:rFonts w:hint="eastAsia"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t-油）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产污系数</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20S</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3.36</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6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污染物产量</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0.1038kg</w:t>
                  </w:r>
                  <w:r>
                    <w:rPr>
                      <w:rFonts w:hint="eastAsia"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a</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0.4983kg</w:t>
                  </w:r>
                  <w:r>
                    <w:rPr>
                      <w:rFonts w:hint="eastAsia"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a</w:t>
                  </w:r>
                </w:p>
              </w:tc>
              <w:tc>
                <w:tcPr>
                  <w:tcW w:w="196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0.3263kg</w:t>
                  </w:r>
                  <w:r>
                    <w:rPr>
                      <w:rFonts w:hint="eastAsia"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43" w:type="dxa"/>
                  <w:gridSpan w:val="4"/>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备注：（S：为硫的百分含量）</w:t>
                  </w:r>
                </w:p>
              </w:tc>
            </w:tr>
          </w:tbl>
          <w:p>
            <w:pPr>
              <w:bidi w:val="0"/>
              <w:ind w:firstLine="480" w:firstLineChars="200"/>
              <w:rPr>
                <w:rFonts w:hint="default"/>
                <w:lang w:val="en-US" w:eastAsia="zh-CN"/>
              </w:rPr>
            </w:pPr>
            <w:r>
              <w:rPr>
                <w:rFonts w:hint="default"/>
                <w:lang w:val="en-US" w:eastAsia="zh-CN"/>
              </w:rPr>
              <w:t>衡阳市供电比较正常，因此备用发电机的启用次数不多，仅作备用。发电机仅在停电或者出现紧急事故时运行发电，使用次数少，发电机排放的废气呈无组织排放，加油站站址开阔，空气流动性良好，备用发电机废气经空气稀释后对周围环境影响较小。</w:t>
            </w:r>
          </w:p>
          <w:p>
            <w:pPr>
              <w:bidi w:val="0"/>
              <w:ind w:firstLine="480" w:firstLineChars="200"/>
              <w:rPr>
                <w:rFonts w:hint="default"/>
                <w:lang w:val="en-US" w:eastAsia="zh-CN"/>
              </w:rPr>
            </w:pPr>
            <w:r>
              <w:rPr>
                <w:rFonts w:hint="eastAsia"/>
                <w:lang w:val="en-US" w:eastAsia="zh-CN"/>
              </w:rPr>
              <w:t>（2）</w:t>
            </w:r>
            <w:r>
              <w:rPr>
                <w:rFonts w:hint="default"/>
                <w:lang w:val="en-US" w:eastAsia="zh-CN"/>
              </w:rPr>
              <w:t>措施可行性分析</w:t>
            </w:r>
          </w:p>
          <w:p>
            <w:pPr>
              <w:bidi w:val="0"/>
              <w:ind w:firstLine="480" w:firstLineChars="200"/>
              <w:rPr>
                <w:rFonts w:hint="default"/>
                <w:lang w:val="en-US" w:eastAsia="zh-CN"/>
              </w:rPr>
            </w:pPr>
            <w:r>
              <w:rPr>
                <w:rFonts w:hint="default"/>
                <w:lang w:val="en-US" w:eastAsia="zh-CN"/>
              </w:rPr>
              <w:t>本项目产生的废气主要是卸油、储油、加油过程中产生的油气，因此主要分析汽油油气回收装置的可行性。</w:t>
            </w:r>
          </w:p>
          <w:p>
            <w:pPr>
              <w:bidi w:val="0"/>
              <w:ind w:firstLine="480" w:firstLineChars="200"/>
              <w:rPr>
                <w:rFonts w:hint="default"/>
                <w:lang w:val="en-US" w:eastAsia="zh-CN"/>
              </w:rPr>
            </w:pPr>
            <w:r>
              <w:rPr>
                <w:rFonts w:hint="default"/>
                <w:lang w:val="en-US" w:eastAsia="zh-CN"/>
              </w:rPr>
              <w:t>本项目采用地埋卧式油罐，整个储油及加油系统均为密闭系统，油罐密闭性好，顶部有不小于0.5m的覆土，周围回填的沙子和细土厚度也不小于0.3m，因此储油罐罐室内气温比较稳定，受大气环境稳定影响较小，可减少油罐小呼吸蒸发损耗。</w:t>
            </w:r>
          </w:p>
          <w:p>
            <w:pPr>
              <w:bidi w:val="0"/>
              <w:ind w:firstLine="480" w:firstLineChars="200"/>
              <w:rPr>
                <w:rFonts w:hint="default"/>
                <w:color w:val="FF0000"/>
                <w:lang w:val="en-US" w:eastAsia="zh-CN"/>
              </w:rPr>
            </w:pPr>
            <w:r>
              <w:rPr>
                <w:rFonts w:hint="default"/>
                <w:color w:val="auto"/>
                <w:lang w:val="en-US" w:eastAsia="zh-CN"/>
              </w:rPr>
              <w:t>本项目设置</w:t>
            </w:r>
            <w:r>
              <w:rPr>
                <w:rFonts w:hint="eastAsia"/>
                <w:color w:val="auto"/>
                <w:lang w:val="en-US" w:eastAsia="zh-CN"/>
              </w:rPr>
              <w:t>三次</w:t>
            </w:r>
            <w:r>
              <w:rPr>
                <w:rFonts w:hint="default"/>
                <w:color w:val="auto"/>
                <w:lang w:val="en-US" w:eastAsia="zh-CN"/>
              </w:rPr>
              <w:t>油气回收</w:t>
            </w:r>
            <w:r>
              <w:rPr>
                <w:rFonts w:hint="eastAsia"/>
                <w:color w:val="auto"/>
                <w:lang w:val="en-US" w:eastAsia="zh-CN"/>
              </w:rPr>
              <w:t>系统，即卸油油气回收系统(一次油气回收)、加油油气回收系统二次油气回收)和油罐呼吸口油气回收系统（三次油气回收）。</w:t>
            </w:r>
            <w:r>
              <w:rPr>
                <w:rFonts w:hint="default"/>
                <w:color w:val="auto"/>
                <w:lang w:val="en-US" w:eastAsia="zh-CN"/>
              </w:rPr>
              <w:t>卸油油气回收系统将卸油产生的油气密闭回收至油罐车内，运往油库处理；加油零售损耗的油气通过加油油气回收系统回收至埋地油罐内。</w:t>
            </w:r>
            <w:r>
              <w:rPr>
                <w:rFonts w:hint="eastAsia"/>
                <w:color w:val="auto"/>
                <w:lang w:val="en-US" w:eastAsia="zh-CN"/>
              </w:rPr>
              <w:t>汽油卸油时未回收的油气、</w:t>
            </w:r>
            <w:r>
              <w:rPr>
                <w:rFonts w:hint="default"/>
                <w:color w:val="auto"/>
                <w:lang w:val="en-US" w:eastAsia="zh-CN"/>
              </w:rPr>
              <w:t>储油罐小呼吸废气</w:t>
            </w:r>
            <w:r>
              <w:rPr>
                <w:rFonts w:hint="eastAsia"/>
                <w:color w:val="auto"/>
                <w:vertAlign w:val="baseline"/>
                <w:lang w:val="en-US" w:eastAsia="zh-CN"/>
              </w:rPr>
              <w:t>及加油油气</w:t>
            </w:r>
            <w:r>
              <w:rPr>
                <w:rFonts w:hint="default"/>
                <w:color w:val="auto"/>
                <w:vertAlign w:val="baseline"/>
                <w:lang w:val="en-US" w:eastAsia="zh-CN"/>
              </w:rPr>
              <w:t>回收后使油罐内平衡后多余油气</w:t>
            </w:r>
            <w:r>
              <w:rPr>
                <w:rFonts w:hint="eastAsia"/>
                <w:color w:val="auto"/>
                <w:vertAlign w:val="baseline"/>
                <w:lang w:val="en-US" w:eastAsia="zh-CN"/>
              </w:rPr>
              <w:t>经</w:t>
            </w:r>
            <w:r>
              <w:rPr>
                <w:rFonts w:hint="eastAsia"/>
                <w:color w:val="auto"/>
                <w:lang w:val="en-US" w:eastAsia="zh-CN"/>
              </w:rPr>
              <w:t>三次油气回收后尾气</w:t>
            </w:r>
            <w:r>
              <w:rPr>
                <w:rFonts w:hint="default"/>
                <w:color w:val="auto"/>
                <w:lang w:val="en-US" w:eastAsia="zh-CN"/>
              </w:rPr>
              <w:t>通过4m高</w:t>
            </w:r>
            <w:r>
              <w:rPr>
                <w:rFonts w:hint="eastAsia"/>
                <w:color w:val="auto"/>
                <w:lang w:val="en-US" w:eastAsia="zh-CN"/>
              </w:rPr>
              <w:t>排气筒</w:t>
            </w:r>
            <w:r>
              <w:rPr>
                <w:rFonts w:hint="default"/>
                <w:color w:val="auto"/>
                <w:lang w:val="en-US" w:eastAsia="zh-CN"/>
              </w:rPr>
              <w:t>排放。</w:t>
            </w:r>
            <w:r>
              <w:rPr>
                <w:rFonts w:hint="eastAsia"/>
                <w:color w:val="auto"/>
                <w:lang w:val="en-US" w:eastAsia="zh-CN"/>
              </w:rPr>
              <w:t>由源强核算情况可知，一次油气</w:t>
            </w:r>
            <w:r>
              <w:rPr>
                <w:rFonts w:hint="default"/>
                <w:color w:val="auto"/>
                <w:lang w:val="en-US" w:eastAsia="zh-CN"/>
              </w:rPr>
              <w:t>回收率95%</w:t>
            </w:r>
            <w:r>
              <w:rPr>
                <w:rFonts w:hint="eastAsia"/>
                <w:color w:val="auto"/>
                <w:lang w:val="en-US" w:eastAsia="zh-CN"/>
              </w:rPr>
              <w:t>，二次</w:t>
            </w:r>
            <w:r>
              <w:rPr>
                <w:rFonts w:hint="default"/>
                <w:color w:val="auto"/>
                <w:lang w:val="en-US" w:eastAsia="zh-CN"/>
              </w:rPr>
              <w:t>油气回收效率9</w:t>
            </w:r>
            <w:r>
              <w:rPr>
                <w:rFonts w:hint="eastAsia"/>
                <w:color w:val="auto"/>
                <w:lang w:val="en-US" w:eastAsia="zh-CN"/>
              </w:rPr>
              <w:t>0</w:t>
            </w:r>
            <w:r>
              <w:rPr>
                <w:rFonts w:hint="default"/>
                <w:color w:val="auto"/>
                <w:lang w:val="en-US" w:eastAsia="zh-CN"/>
              </w:rPr>
              <w:t>%</w:t>
            </w:r>
            <w:r>
              <w:rPr>
                <w:rFonts w:hint="eastAsia"/>
                <w:color w:val="auto"/>
                <w:lang w:val="en-US" w:eastAsia="zh-CN"/>
              </w:rPr>
              <w:t>，三次油气</w:t>
            </w:r>
            <w:r>
              <w:rPr>
                <w:rFonts w:hint="default"/>
                <w:color w:val="auto"/>
                <w:lang w:val="en-US" w:eastAsia="zh-CN"/>
              </w:rPr>
              <w:t>回收率95%。</w:t>
            </w:r>
          </w:p>
          <w:p>
            <w:pPr>
              <w:bidi w:val="0"/>
              <w:ind w:firstLine="480" w:firstLineChars="200"/>
              <w:rPr>
                <w:rFonts w:hint="default"/>
                <w:color w:val="auto"/>
                <w:lang w:val="en-US" w:eastAsia="zh-CN"/>
              </w:rPr>
            </w:pPr>
            <w:r>
              <w:rPr>
                <w:rFonts w:hint="default"/>
                <w:color w:val="auto"/>
                <w:lang w:val="en-US" w:eastAsia="zh-CN"/>
              </w:rPr>
              <w:t>根据《排污许可证申请与核发技术规范 储油库、加油站》（HJ 351118-2020）</w:t>
            </w:r>
            <w:r>
              <w:rPr>
                <w:rFonts w:hint="eastAsia"/>
                <w:color w:val="auto"/>
                <w:lang w:val="en-US" w:eastAsia="zh-CN"/>
              </w:rPr>
              <w:t>附录F中表F.1加油站排污单位废气治理可行技术参照表</w:t>
            </w:r>
            <w:r>
              <w:rPr>
                <w:rFonts w:hint="default"/>
                <w:color w:val="auto"/>
                <w:lang w:val="en-US" w:eastAsia="zh-CN"/>
              </w:rPr>
              <w:t>，本项目采取的</w:t>
            </w:r>
            <w:r>
              <w:rPr>
                <w:rFonts w:hint="eastAsia"/>
                <w:color w:val="auto"/>
                <w:lang w:val="en-US" w:eastAsia="zh-CN"/>
              </w:rPr>
              <w:t>一、二、三次油气回收</w:t>
            </w:r>
            <w:r>
              <w:rPr>
                <w:rFonts w:hint="default"/>
                <w:color w:val="auto"/>
                <w:lang w:val="en-US" w:eastAsia="zh-CN"/>
              </w:rPr>
              <w:t>均为规范中污染防治可行技术，污染防治措施可行。</w:t>
            </w:r>
          </w:p>
          <w:p>
            <w:pPr>
              <w:bidi w:val="0"/>
              <w:ind w:firstLine="480" w:firstLineChars="200"/>
              <w:rPr>
                <w:rFonts w:hint="default"/>
                <w:color w:val="auto"/>
                <w:lang w:val="en-US" w:eastAsia="zh-CN"/>
              </w:rPr>
            </w:pPr>
            <w:r>
              <w:rPr>
                <w:rFonts w:hint="default"/>
                <w:color w:val="auto"/>
                <w:lang w:val="en-US" w:eastAsia="zh-CN"/>
              </w:rPr>
              <w:t>类比同类加油站，安装</w:t>
            </w:r>
            <w:r>
              <w:rPr>
                <w:rFonts w:hint="eastAsia"/>
                <w:color w:val="auto"/>
                <w:lang w:val="en-US" w:eastAsia="zh-CN"/>
              </w:rPr>
              <w:t>三次</w:t>
            </w:r>
            <w:r>
              <w:rPr>
                <w:rFonts w:hint="default"/>
                <w:color w:val="auto"/>
                <w:lang w:val="en-US" w:eastAsia="zh-CN"/>
              </w:rPr>
              <w:t>油气回收装置后经检测，加油站周围无组织排放的非甲烷总烃浓度满足《加油站大气污染物排放标准》（GB20952-2020）表3无组织排放监控浓度限值要求；油气回收装置排放口的油气排放浓度满足《加油站大气污染物排放标准》（GB20952-2020）中有组织排放要求（25g</w:t>
            </w:r>
            <w:r>
              <w:rPr>
                <w:rFonts w:hint="default" w:ascii="Calibri" w:hAnsi="Calibri" w:cs="Calibri"/>
                <w:color w:val="auto"/>
                <w:lang w:val="en-US" w:eastAsia="zh-CN"/>
              </w:rPr>
              <w:t>/</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w:t>
            </w:r>
          </w:p>
          <w:p>
            <w:pPr>
              <w:bidi w:val="0"/>
              <w:ind w:firstLine="480" w:firstLineChars="200"/>
              <w:rPr>
                <w:rFonts w:hint="default"/>
                <w:color w:val="auto"/>
                <w:lang w:val="en-US" w:eastAsia="zh-CN"/>
              </w:rPr>
            </w:pPr>
            <w:r>
              <w:rPr>
                <w:rFonts w:hint="eastAsia"/>
                <w:color w:val="auto"/>
                <w:lang w:val="en-US" w:eastAsia="zh-CN"/>
              </w:rPr>
              <w:t>（3）</w:t>
            </w:r>
            <w:r>
              <w:rPr>
                <w:rFonts w:hint="default"/>
                <w:color w:val="auto"/>
                <w:lang w:val="en-US" w:eastAsia="zh-CN"/>
              </w:rPr>
              <w:t xml:space="preserve">达标可行性 </w:t>
            </w:r>
          </w:p>
          <w:p>
            <w:pPr>
              <w:bidi w:val="0"/>
              <w:ind w:firstLine="480" w:firstLineChars="200"/>
              <w:rPr>
                <w:rFonts w:hint="default"/>
                <w:color w:val="auto"/>
                <w:lang w:val="en-US" w:eastAsia="zh-CN"/>
              </w:rPr>
            </w:pPr>
            <w:r>
              <w:rPr>
                <w:rFonts w:hint="default"/>
                <w:color w:val="auto"/>
                <w:lang w:val="en-US" w:eastAsia="zh-CN"/>
              </w:rPr>
              <w:t>本项目采取的</w:t>
            </w:r>
            <w:r>
              <w:rPr>
                <w:rFonts w:hint="eastAsia"/>
                <w:color w:val="auto"/>
                <w:lang w:val="en-US" w:eastAsia="zh-CN"/>
              </w:rPr>
              <w:t>一、二、三次油气</w:t>
            </w:r>
            <w:r>
              <w:rPr>
                <w:rFonts w:hint="default"/>
                <w:color w:val="auto"/>
                <w:lang w:val="en-US" w:eastAsia="zh-CN"/>
              </w:rPr>
              <w:t>均为规范中污染防治可行技术，污染防治措施可行，在采取相应的防治措施后，项目污染物均能实现稳定达标排放。根据环境质量现状评价，项目所在区域环境空气质量现状较好。因此本项目建成投产后，对于周边环境空气和周边环境保护目标的影响不大，本项目大气污染物评价结果可接受。</w:t>
            </w:r>
          </w:p>
          <w:p>
            <w:pPr>
              <w:bidi w:val="0"/>
              <w:ind w:firstLine="480" w:firstLineChars="200"/>
              <w:rPr>
                <w:rFonts w:hint="default"/>
                <w:lang w:val="en-US" w:eastAsia="zh-CN"/>
              </w:rPr>
            </w:pPr>
            <w:r>
              <w:rPr>
                <w:rFonts w:hint="eastAsia"/>
                <w:lang w:val="en-US" w:eastAsia="zh-CN"/>
              </w:rPr>
              <w:t>（4）</w:t>
            </w:r>
            <w:r>
              <w:rPr>
                <w:rFonts w:hint="default"/>
                <w:lang w:val="en-US" w:eastAsia="zh-CN"/>
              </w:rPr>
              <w:t>废气自行监测要求</w:t>
            </w:r>
          </w:p>
          <w:p>
            <w:pPr>
              <w:bidi w:val="0"/>
              <w:ind w:firstLine="480" w:firstLineChars="200"/>
              <w:rPr>
                <w:rFonts w:hint="default"/>
                <w:lang w:val="en-US" w:eastAsia="zh-CN"/>
              </w:rPr>
            </w:pPr>
            <w:r>
              <w:rPr>
                <w:rFonts w:hint="default"/>
                <w:lang w:val="en-US" w:eastAsia="zh-CN"/>
              </w:rPr>
              <w:t>建设单位应定期或不定期委托有检测资质单位对废气污染源进行监测。根据《排污单位自行监测技术指南 储油库、加油站》（HJ 1249-2022），</w:t>
            </w:r>
            <w:r>
              <w:rPr>
                <w:rFonts w:hint="eastAsia"/>
                <w:lang w:val="en-US" w:eastAsia="zh-CN"/>
              </w:rPr>
              <w:t>本项目</w:t>
            </w:r>
            <w:r>
              <w:rPr>
                <w:rFonts w:hint="default"/>
                <w:lang w:val="en-US" w:eastAsia="zh-CN"/>
              </w:rPr>
              <w:t>运营期</w:t>
            </w:r>
            <w:r>
              <w:rPr>
                <w:rFonts w:hint="eastAsia"/>
                <w:lang w:val="en-US" w:eastAsia="zh-CN"/>
              </w:rPr>
              <w:t>废气</w:t>
            </w:r>
            <w:r>
              <w:rPr>
                <w:rFonts w:hint="default"/>
                <w:lang w:val="en-US" w:eastAsia="zh-CN"/>
              </w:rPr>
              <w:t>污染源监测计划见表4-</w:t>
            </w:r>
            <w:r>
              <w:rPr>
                <w:rFonts w:hint="default"/>
                <w:lang w:eastAsia="zh-CN"/>
              </w:rPr>
              <w:fldChar w:fldCharType="begin"/>
            </w:r>
            <w:r>
              <w:rPr>
                <w:rFonts w:hint="default"/>
                <w:lang w:eastAsia="zh-CN"/>
              </w:rPr>
              <w:instrText xml:space="preserve"> SEQ 4- </w:instrText>
            </w:r>
            <w:r>
              <w:rPr>
                <w:rFonts w:hint="default"/>
                <w:lang w:eastAsia="zh-CN"/>
              </w:rPr>
              <w:fldChar w:fldCharType="separate"/>
            </w:r>
            <w:r>
              <w:rPr>
                <w:rFonts w:hint="default"/>
                <w:lang w:eastAsia="zh-CN"/>
              </w:rPr>
              <w:t>4</w:t>
            </w:r>
            <w:r>
              <w:rPr>
                <w:rFonts w:hint="default"/>
                <w:lang w:eastAsia="zh-CN"/>
              </w:rPr>
              <w:fldChar w:fldCharType="end"/>
            </w:r>
            <w:r>
              <w:rPr>
                <w:rFonts w:hint="default"/>
                <w:lang w:val="en-US" w:eastAsia="zh-CN"/>
              </w:rPr>
              <w:t>。</w:t>
            </w:r>
          </w:p>
          <w:p>
            <w:pPr>
              <w:bidi w:val="0"/>
              <w:spacing w:line="240" w:lineRule="auto"/>
              <w:jc w:val="center"/>
              <w:rPr>
                <w:rFonts w:hint="default"/>
                <w:lang w:val="en-US" w:eastAsia="zh-CN"/>
              </w:rPr>
            </w:pPr>
            <w:r>
              <w:rPr>
                <w:rFonts w:hint="default"/>
                <w:b/>
                <w:bCs/>
                <w:lang w:val="en-US" w:eastAsia="zh-CN"/>
              </w:rPr>
              <w:t>表4-</w:t>
            </w:r>
            <w:r>
              <w:rPr>
                <w:rFonts w:hint="default"/>
                <w:b/>
                <w:bCs/>
                <w:lang w:eastAsia="zh-CN"/>
              </w:rPr>
              <w:fldChar w:fldCharType="begin"/>
            </w:r>
            <w:r>
              <w:rPr>
                <w:rFonts w:hint="default"/>
                <w:b/>
                <w:bCs/>
                <w:lang w:eastAsia="zh-CN"/>
              </w:rPr>
              <w:instrText xml:space="preserve"> SEQ 表4- </w:instrText>
            </w:r>
            <w:r>
              <w:rPr>
                <w:rFonts w:hint="default"/>
                <w:b/>
                <w:bCs/>
                <w:lang w:eastAsia="zh-CN"/>
              </w:rPr>
              <w:fldChar w:fldCharType="separate"/>
            </w:r>
            <w:r>
              <w:rPr>
                <w:rFonts w:hint="default"/>
                <w:b/>
                <w:bCs/>
                <w:lang w:eastAsia="zh-CN"/>
              </w:rPr>
              <w:t>4</w:t>
            </w:r>
            <w:r>
              <w:rPr>
                <w:rFonts w:hint="default"/>
                <w:b/>
                <w:bCs/>
                <w:lang w:eastAsia="zh-CN"/>
              </w:rPr>
              <w:fldChar w:fldCharType="end"/>
            </w:r>
            <w:r>
              <w:rPr>
                <w:rFonts w:hint="default"/>
                <w:b/>
                <w:bCs/>
                <w:lang w:val="en-US" w:eastAsia="zh-CN"/>
              </w:rPr>
              <w:t xml:space="preserve"> 项目运营期废气自行监测要求一览表</w:t>
            </w:r>
          </w:p>
          <w:tbl>
            <w:tblPr>
              <w:tblStyle w:val="7"/>
              <w:tblW w:w="78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2"/>
              <w:gridCol w:w="2899"/>
              <w:gridCol w:w="1719"/>
              <w:gridCol w:w="1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21" w:type="dxa"/>
                  <w:gridSpan w:val="2"/>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监测点位</w:t>
                  </w:r>
                </w:p>
              </w:tc>
              <w:tc>
                <w:tcPr>
                  <w:tcW w:w="171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监测指标</w:t>
                  </w:r>
                </w:p>
              </w:tc>
              <w:tc>
                <w:tcPr>
                  <w:tcW w:w="160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2"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无组织废气</w:t>
                  </w:r>
                </w:p>
              </w:tc>
              <w:tc>
                <w:tcPr>
                  <w:tcW w:w="2899"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企业边界</w:t>
                  </w:r>
                </w:p>
              </w:tc>
              <w:tc>
                <w:tcPr>
                  <w:tcW w:w="171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非甲烷总烃</w:t>
                  </w:r>
                </w:p>
              </w:tc>
              <w:tc>
                <w:tcPr>
                  <w:tcW w:w="160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1次</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2" w:type="dxa"/>
                  <w:vMerge w:val="continue"/>
                  <w:vAlign w:val="center"/>
                </w:tcPr>
                <w:p>
                  <w:pPr>
                    <w:spacing w:line="240" w:lineRule="auto"/>
                    <w:jc w:val="center"/>
                    <w:rPr>
                      <w:rFonts w:hint="default"/>
                      <w:color w:val="auto"/>
                      <w:sz w:val="21"/>
                      <w:szCs w:val="21"/>
                      <w:vertAlign w:val="baseline"/>
                      <w:lang w:val="en-US" w:eastAsia="zh-CN"/>
                    </w:rPr>
                  </w:pPr>
                </w:p>
              </w:tc>
              <w:tc>
                <w:tcPr>
                  <w:tcW w:w="2899" w:type="dxa"/>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加油站油气回收系统密闭点</w:t>
                  </w:r>
                </w:p>
              </w:tc>
              <w:tc>
                <w:tcPr>
                  <w:tcW w:w="1719" w:type="dxa"/>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泄漏检测值</w:t>
                  </w:r>
                </w:p>
              </w:tc>
              <w:tc>
                <w:tcPr>
                  <w:tcW w:w="160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1次</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有组织废气</w:t>
                  </w:r>
                </w:p>
              </w:tc>
              <w:tc>
                <w:tcPr>
                  <w:tcW w:w="2899"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油气处理装置排气筒</w:t>
                  </w:r>
                </w:p>
              </w:tc>
              <w:tc>
                <w:tcPr>
                  <w:tcW w:w="171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非甲烷总烃</w:t>
                  </w:r>
                </w:p>
              </w:tc>
              <w:tc>
                <w:tcPr>
                  <w:tcW w:w="1603"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1次</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年</w:t>
                  </w:r>
                </w:p>
              </w:tc>
            </w:tr>
          </w:tbl>
          <w:p>
            <w:pPr>
              <w:rPr>
                <w:rFonts w:hint="eastAsia"/>
                <w:b/>
                <w:bCs/>
                <w:color w:val="auto"/>
                <w:vertAlign w:val="baseline"/>
                <w:lang w:val="en-US" w:eastAsia="zh-CN"/>
              </w:rPr>
            </w:pPr>
          </w:p>
          <w:p>
            <w:pPr>
              <w:rPr>
                <w:rFonts w:hint="eastAsia"/>
                <w:b/>
                <w:bCs/>
                <w:color w:val="auto"/>
                <w:vertAlign w:val="baseline"/>
                <w:lang w:val="en-US" w:eastAsia="zh-CN"/>
              </w:rPr>
            </w:pPr>
          </w:p>
          <w:p>
            <w:pPr>
              <w:rPr>
                <w:rFonts w:hint="default"/>
                <w:color w:val="auto"/>
                <w:vertAlign w:val="baseline"/>
                <w:lang w:val="en-US" w:eastAsia="zh-CN"/>
              </w:rPr>
            </w:pPr>
            <w:r>
              <w:rPr>
                <w:rFonts w:hint="eastAsia"/>
                <w:b/>
                <w:bCs/>
                <w:color w:val="auto"/>
                <w:vertAlign w:val="baseline"/>
                <w:lang w:val="en-US" w:eastAsia="zh-CN"/>
              </w:rPr>
              <w:t>2、</w:t>
            </w:r>
            <w:r>
              <w:rPr>
                <w:rFonts w:hint="default"/>
                <w:b/>
                <w:bCs/>
                <w:color w:val="auto"/>
                <w:vertAlign w:val="baseline"/>
                <w:lang w:val="en-US" w:eastAsia="zh-CN"/>
              </w:rPr>
              <w:t>地表水环境影响分析和保护措施</w:t>
            </w:r>
          </w:p>
          <w:p>
            <w:pPr>
              <w:ind w:firstLine="480" w:firstLineChars="200"/>
              <w:rPr>
                <w:rFonts w:hint="default"/>
                <w:color w:val="auto"/>
                <w:vertAlign w:val="baseline"/>
                <w:lang w:val="en-US" w:eastAsia="zh-CN"/>
              </w:rPr>
            </w:pPr>
            <w:r>
              <w:rPr>
                <w:rFonts w:hint="eastAsia"/>
                <w:color w:val="auto"/>
                <w:vertAlign w:val="baseline"/>
                <w:lang w:val="en-US" w:eastAsia="zh-CN"/>
              </w:rPr>
              <w:t>（1）</w:t>
            </w:r>
            <w:r>
              <w:rPr>
                <w:rFonts w:hint="default"/>
                <w:color w:val="auto"/>
                <w:vertAlign w:val="baseline"/>
                <w:lang w:val="en-US" w:eastAsia="zh-CN"/>
              </w:rPr>
              <w:t>运营期废水源强核算</w:t>
            </w:r>
          </w:p>
          <w:p>
            <w:pPr>
              <w:ind w:firstLine="480" w:firstLineChars="200"/>
              <w:rPr>
                <w:rFonts w:hint="default"/>
                <w:color w:val="auto"/>
                <w:vertAlign w:val="baseline"/>
                <w:lang w:val="en-US" w:eastAsia="zh-CN"/>
              </w:rPr>
            </w:pPr>
            <w:r>
              <w:rPr>
                <w:rFonts w:hint="default"/>
                <w:color w:val="auto"/>
                <w:vertAlign w:val="baseline"/>
                <w:lang w:val="en-US" w:eastAsia="zh-CN"/>
              </w:rPr>
              <w:t>①给</w:t>
            </w:r>
            <w:r>
              <w:rPr>
                <w:rFonts w:hint="eastAsia"/>
                <w:color w:val="auto"/>
                <w:vertAlign w:val="baseline"/>
                <w:lang w:val="en-US" w:eastAsia="zh-CN"/>
              </w:rPr>
              <w:t>排</w:t>
            </w:r>
            <w:r>
              <w:rPr>
                <w:rFonts w:hint="default"/>
                <w:color w:val="auto"/>
                <w:vertAlign w:val="baseline"/>
                <w:lang w:val="en-US" w:eastAsia="zh-CN"/>
              </w:rPr>
              <w:t>水量分析</w:t>
            </w:r>
          </w:p>
          <w:p>
            <w:pPr>
              <w:ind w:firstLine="480" w:firstLineChars="200"/>
              <w:rPr>
                <w:rFonts w:hint="default"/>
                <w:color w:val="auto"/>
                <w:vertAlign w:val="baseline"/>
                <w:lang w:val="en-US" w:eastAsia="zh-CN"/>
              </w:rPr>
            </w:pPr>
            <w:r>
              <w:rPr>
                <w:rFonts w:hint="default"/>
                <w:color w:val="auto"/>
                <w:vertAlign w:val="baseline"/>
                <w:lang w:val="en-US" w:eastAsia="zh-CN"/>
              </w:rPr>
              <w:t>根据前文水平衡可知，项目运营期用水量为</w:t>
            </w:r>
            <w:r>
              <w:rPr>
                <w:rFonts w:hint="eastAsia"/>
                <w:color w:val="auto"/>
                <w:vertAlign w:val="baseline"/>
                <w:lang w:val="en-US" w:eastAsia="zh-CN"/>
              </w:rPr>
              <w:t>1220.01m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a，其中外排的废水主要为地面冲洗废水(</w:t>
            </w:r>
            <w:r>
              <w:rPr>
                <w:rFonts w:hint="eastAsia"/>
                <w:color w:val="auto"/>
                <w:vertAlign w:val="baseline"/>
                <w:lang w:val="en-US" w:eastAsia="zh-CN"/>
              </w:rPr>
              <w:t>15.31m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a)、洗车废水(</w:t>
            </w:r>
            <w:r>
              <w:rPr>
                <w:rFonts w:hint="eastAsia"/>
                <w:color w:val="auto"/>
                <w:vertAlign w:val="baseline"/>
                <w:lang w:val="en-US" w:eastAsia="zh-CN"/>
              </w:rPr>
              <w:t>360m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a)、职工生活废水(58.4</w:t>
            </w:r>
            <w:r>
              <w:rPr>
                <w:rFonts w:hint="eastAsia"/>
                <w:color w:val="auto"/>
                <w:vertAlign w:val="baseline"/>
                <w:lang w:val="en-US" w:eastAsia="zh-CN"/>
              </w:rPr>
              <w:t>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w:t>
            </w:r>
            <w:r>
              <w:rPr>
                <w:rFonts w:hint="eastAsia"/>
                <w:color w:val="auto"/>
                <w:vertAlign w:val="baseline"/>
                <w:lang w:val="en-US" w:eastAsia="zh-CN"/>
              </w:rPr>
              <w:t>和</w:t>
            </w:r>
            <w:r>
              <w:rPr>
                <w:rFonts w:hint="default"/>
                <w:color w:val="auto"/>
                <w:vertAlign w:val="baseline"/>
                <w:lang w:val="en-US" w:eastAsia="zh-CN"/>
              </w:rPr>
              <w:t>公厕废水(584</w:t>
            </w:r>
            <w:r>
              <w:rPr>
                <w:rFonts w:hint="eastAsia"/>
                <w:color w:val="auto"/>
                <w:vertAlign w:val="baseline"/>
                <w:lang w:val="en-US" w:eastAsia="zh-CN"/>
              </w:rPr>
              <w:t>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w:t>
            </w:r>
          </w:p>
          <w:p>
            <w:pPr>
              <w:ind w:firstLine="480" w:firstLineChars="200"/>
              <w:rPr>
                <w:rFonts w:hint="default"/>
                <w:color w:val="auto"/>
                <w:vertAlign w:val="baseline"/>
                <w:lang w:val="en-US" w:eastAsia="zh-CN"/>
              </w:rPr>
            </w:pPr>
            <w:r>
              <w:rPr>
                <w:rFonts w:hint="default"/>
                <w:color w:val="auto"/>
                <w:vertAlign w:val="baseline"/>
                <w:lang w:val="en-US" w:eastAsia="zh-CN"/>
              </w:rPr>
              <w:t>②水污染物分析</w:t>
            </w:r>
          </w:p>
          <w:p>
            <w:pPr>
              <w:ind w:firstLine="480" w:firstLineChars="200"/>
              <w:rPr>
                <w:rFonts w:hint="default"/>
                <w:color w:val="auto"/>
                <w:vertAlign w:val="baseline"/>
                <w:lang w:val="en-US" w:eastAsia="zh-CN"/>
              </w:rPr>
            </w:pPr>
            <w:r>
              <w:rPr>
                <w:rFonts w:hint="default"/>
                <w:color w:val="auto"/>
                <w:vertAlign w:val="baseline"/>
                <w:lang w:val="en-US" w:eastAsia="zh-CN"/>
              </w:rPr>
              <w:t>A.地面冲洗废水</w:t>
            </w:r>
          </w:p>
          <w:p>
            <w:pPr>
              <w:ind w:firstLine="480" w:firstLineChars="200"/>
              <w:rPr>
                <w:rFonts w:hint="default"/>
                <w:color w:val="auto"/>
                <w:vertAlign w:val="baseline"/>
                <w:lang w:val="en-US" w:eastAsia="zh-CN"/>
              </w:rPr>
            </w:pPr>
            <w:r>
              <w:rPr>
                <w:rFonts w:hint="default"/>
                <w:color w:val="auto"/>
                <w:vertAlign w:val="baseline"/>
                <w:lang w:val="en-US" w:eastAsia="zh-CN"/>
              </w:rPr>
              <w:t>地面冲洗废水的排放量为</w:t>
            </w:r>
            <w:r>
              <w:rPr>
                <w:rFonts w:hint="eastAsia"/>
                <w:color w:val="auto"/>
                <w:vertAlign w:val="baseline"/>
                <w:lang w:val="en-US" w:eastAsia="zh-CN"/>
              </w:rPr>
              <w:t>15.31m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a，根据同类加油站项目类比调查，主要污染因子为SS：300mg</w:t>
            </w:r>
            <w:r>
              <w:rPr>
                <w:rFonts w:hint="default" w:ascii="Calibri" w:hAnsi="Calibri" w:cs="Calibri"/>
                <w:color w:val="auto"/>
                <w:vertAlign w:val="baseline"/>
                <w:lang w:val="en-US" w:eastAsia="zh-CN"/>
              </w:rPr>
              <w:t>/</w:t>
            </w:r>
            <w:r>
              <w:rPr>
                <w:rFonts w:hint="default"/>
                <w:color w:val="auto"/>
                <w:vertAlign w:val="baseline"/>
                <w:lang w:val="en-US" w:eastAsia="zh-CN"/>
              </w:rPr>
              <w:t>L、石油类：50mg</w:t>
            </w:r>
            <w:r>
              <w:rPr>
                <w:rFonts w:hint="default" w:ascii="Calibri" w:hAnsi="Calibri" w:cs="Calibri"/>
                <w:color w:val="auto"/>
                <w:vertAlign w:val="baseline"/>
                <w:lang w:val="en-US" w:eastAsia="zh-CN"/>
              </w:rPr>
              <w:t>/</w:t>
            </w:r>
            <w:r>
              <w:rPr>
                <w:rFonts w:hint="default"/>
                <w:color w:val="auto"/>
                <w:vertAlign w:val="baseline"/>
                <w:lang w:val="en-US" w:eastAsia="zh-CN"/>
              </w:rPr>
              <w:t>L等。地面冲洗废水经隔油池</w:t>
            </w:r>
            <w:r>
              <w:rPr>
                <w:rFonts w:hint="eastAsia"/>
                <w:color w:val="auto"/>
                <w:vertAlign w:val="baseline"/>
                <w:lang w:val="en-US" w:eastAsia="zh-CN"/>
              </w:rPr>
              <w:t>预</w:t>
            </w:r>
            <w:r>
              <w:rPr>
                <w:rFonts w:hint="default"/>
                <w:color w:val="auto"/>
                <w:vertAlign w:val="baseline"/>
                <w:lang w:val="en-US" w:eastAsia="zh-CN"/>
              </w:rPr>
              <w:t>处理后</w:t>
            </w:r>
            <w:r>
              <w:rPr>
                <w:rFonts w:hint="eastAsia"/>
                <w:color w:val="auto"/>
                <w:vertAlign w:val="baseline"/>
                <w:lang w:val="en-US" w:eastAsia="zh-CN"/>
              </w:rPr>
              <w:t>通过</w:t>
            </w:r>
            <w:r>
              <w:rPr>
                <w:rFonts w:hint="default"/>
                <w:color w:val="auto"/>
                <w:vertAlign w:val="baseline"/>
                <w:lang w:val="en-US" w:eastAsia="zh-CN"/>
              </w:rPr>
              <w:t>市政污水管网</w:t>
            </w:r>
            <w:r>
              <w:rPr>
                <w:rFonts w:hint="eastAsia"/>
                <w:color w:val="auto"/>
                <w:vertAlign w:val="baseline"/>
                <w:lang w:val="en-US" w:eastAsia="zh-CN"/>
              </w:rPr>
              <w:t>引</w:t>
            </w:r>
            <w:r>
              <w:rPr>
                <w:rFonts w:hint="default"/>
                <w:color w:val="auto"/>
                <w:vertAlign w:val="baseline"/>
                <w:lang w:val="en-US" w:eastAsia="zh-CN"/>
              </w:rPr>
              <w:t>至衡阳市松木污水处理厂处理。</w:t>
            </w:r>
          </w:p>
          <w:p>
            <w:pPr>
              <w:ind w:firstLine="480" w:firstLineChars="200"/>
              <w:rPr>
                <w:rFonts w:hint="default"/>
                <w:color w:val="auto"/>
                <w:vertAlign w:val="baseline"/>
                <w:lang w:val="en-US" w:eastAsia="zh-CN"/>
              </w:rPr>
            </w:pPr>
            <w:r>
              <w:rPr>
                <w:rFonts w:hint="default"/>
                <w:color w:val="auto"/>
                <w:vertAlign w:val="baseline"/>
                <w:lang w:val="en-US" w:eastAsia="zh-CN"/>
              </w:rPr>
              <w:t>B.洗车废水</w:t>
            </w:r>
          </w:p>
          <w:p>
            <w:pPr>
              <w:ind w:firstLine="480" w:firstLineChars="200"/>
              <w:rPr>
                <w:rFonts w:hint="default"/>
                <w:color w:val="auto"/>
                <w:vertAlign w:val="baseline"/>
                <w:lang w:val="en-US" w:eastAsia="zh-CN"/>
              </w:rPr>
            </w:pPr>
            <w:r>
              <w:rPr>
                <w:rFonts w:hint="default"/>
                <w:color w:val="auto"/>
                <w:vertAlign w:val="baseline"/>
                <w:lang w:val="en-US" w:eastAsia="zh-CN"/>
              </w:rPr>
              <w:t>洗车废水的排放量为</w:t>
            </w:r>
            <w:r>
              <w:rPr>
                <w:rFonts w:hint="eastAsia"/>
                <w:color w:val="auto"/>
                <w:vertAlign w:val="baseline"/>
                <w:lang w:val="en-US" w:eastAsia="zh-CN"/>
              </w:rPr>
              <w:t>36</w:t>
            </w:r>
            <w:r>
              <w:rPr>
                <w:rFonts w:hint="default"/>
                <w:color w:val="auto"/>
                <w:vertAlign w:val="baseline"/>
                <w:lang w:val="en-US" w:eastAsia="zh-CN"/>
              </w:rPr>
              <w:t>0</w:t>
            </w:r>
            <w:r>
              <w:rPr>
                <w:rFonts w:hint="eastAsia"/>
                <w:color w:val="auto"/>
                <w:vertAlign w:val="baseline"/>
                <w:lang w:val="en-US" w:eastAsia="zh-CN"/>
              </w:rPr>
              <w:t>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a，根据</w:t>
            </w:r>
            <w:r>
              <w:rPr>
                <w:rFonts w:hint="eastAsia"/>
                <w:color w:val="auto"/>
                <w:vertAlign w:val="baseline"/>
                <w:lang w:val="en-US" w:eastAsia="zh-CN"/>
              </w:rPr>
              <w:t>业主提供的洗车设备出水口的检测报告及洗车工艺情况</w:t>
            </w:r>
            <w:r>
              <w:rPr>
                <w:rFonts w:hint="default"/>
                <w:color w:val="auto"/>
                <w:vertAlign w:val="baseline"/>
                <w:lang w:val="en-US" w:eastAsia="zh-CN"/>
              </w:rPr>
              <w:t>，</w:t>
            </w:r>
            <w:r>
              <w:rPr>
                <w:rFonts w:hint="eastAsia"/>
                <w:color w:val="auto"/>
                <w:vertAlign w:val="baseline"/>
                <w:lang w:val="en-US" w:eastAsia="zh-CN"/>
              </w:rPr>
              <w:t>本项目洗车废水的</w:t>
            </w:r>
            <w:r>
              <w:rPr>
                <w:rFonts w:hint="default"/>
                <w:color w:val="auto"/>
                <w:vertAlign w:val="baseline"/>
                <w:lang w:val="en-US" w:eastAsia="zh-CN"/>
              </w:rPr>
              <w:t>主要污染因子为BOD</w:t>
            </w:r>
            <w:r>
              <w:rPr>
                <w:rFonts w:hint="default"/>
                <w:color w:val="auto"/>
                <w:vertAlign w:val="subscript"/>
                <w:lang w:val="en-US" w:eastAsia="zh-CN"/>
              </w:rPr>
              <w:t>5</w:t>
            </w:r>
            <w:r>
              <w:rPr>
                <w:rFonts w:hint="eastAsia"/>
                <w:color w:val="auto"/>
                <w:vertAlign w:val="baseline"/>
                <w:lang w:val="en-US" w:eastAsia="zh-CN"/>
              </w:rPr>
              <w:t>：7.9</w:t>
            </w:r>
            <w:r>
              <w:rPr>
                <w:rFonts w:hint="default"/>
                <w:color w:val="auto"/>
                <w:vertAlign w:val="baseline"/>
                <w:lang w:val="en-US" w:eastAsia="zh-CN"/>
              </w:rPr>
              <w:t>mg</w:t>
            </w:r>
            <w:r>
              <w:rPr>
                <w:rFonts w:hint="default" w:ascii="Calibri" w:hAnsi="Calibri" w:cs="Calibri"/>
                <w:color w:val="auto"/>
                <w:vertAlign w:val="baseline"/>
                <w:lang w:val="en-US" w:eastAsia="zh-CN"/>
              </w:rPr>
              <w:t>/</w:t>
            </w:r>
            <w:r>
              <w:rPr>
                <w:rFonts w:hint="default"/>
                <w:color w:val="auto"/>
                <w:vertAlign w:val="baseline"/>
                <w:lang w:val="en-US" w:eastAsia="zh-CN"/>
              </w:rPr>
              <w:t>L</w:t>
            </w:r>
            <w:r>
              <w:rPr>
                <w:rFonts w:hint="eastAsia"/>
                <w:color w:val="auto"/>
                <w:vertAlign w:val="baseline"/>
                <w:lang w:val="en-US" w:eastAsia="zh-CN"/>
              </w:rPr>
              <w:t>和</w:t>
            </w:r>
            <w:r>
              <w:rPr>
                <w:rFonts w:hint="default"/>
                <w:color w:val="auto"/>
                <w:vertAlign w:val="baseline"/>
                <w:lang w:val="en-US" w:eastAsia="zh-CN"/>
              </w:rPr>
              <w:t>LAS</w:t>
            </w:r>
            <w:r>
              <w:rPr>
                <w:rFonts w:hint="eastAsia"/>
                <w:color w:val="auto"/>
                <w:vertAlign w:val="baseline"/>
                <w:lang w:val="en-US" w:eastAsia="zh-CN"/>
              </w:rPr>
              <w:t>：0.39</w:t>
            </w:r>
            <w:r>
              <w:rPr>
                <w:rFonts w:hint="default"/>
                <w:color w:val="auto"/>
                <w:vertAlign w:val="baseline"/>
                <w:lang w:val="en-US" w:eastAsia="zh-CN"/>
              </w:rPr>
              <w:t>mg</w:t>
            </w:r>
            <w:r>
              <w:rPr>
                <w:rFonts w:hint="default" w:ascii="Calibri" w:hAnsi="Calibri" w:cs="Calibri"/>
                <w:color w:val="auto"/>
                <w:vertAlign w:val="baseline"/>
                <w:lang w:val="en-US" w:eastAsia="zh-CN"/>
              </w:rPr>
              <w:t>/</w:t>
            </w:r>
            <w:r>
              <w:rPr>
                <w:rFonts w:hint="default"/>
                <w:color w:val="auto"/>
                <w:vertAlign w:val="baseline"/>
                <w:lang w:val="en-US" w:eastAsia="zh-CN"/>
              </w:rPr>
              <w:t>L等，洗车废水经隔油池</w:t>
            </w:r>
            <w:r>
              <w:rPr>
                <w:rFonts w:hint="eastAsia"/>
                <w:color w:val="auto"/>
                <w:vertAlign w:val="baseline"/>
                <w:lang w:val="en-US" w:eastAsia="zh-CN"/>
              </w:rPr>
              <w:t>预</w:t>
            </w:r>
            <w:r>
              <w:rPr>
                <w:rFonts w:hint="default"/>
                <w:color w:val="auto"/>
                <w:vertAlign w:val="baseline"/>
                <w:lang w:val="en-US" w:eastAsia="zh-CN"/>
              </w:rPr>
              <w:t>处理后</w:t>
            </w:r>
            <w:r>
              <w:rPr>
                <w:rFonts w:hint="eastAsia"/>
                <w:color w:val="auto"/>
                <w:vertAlign w:val="baseline"/>
                <w:lang w:val="en-US" w:eastAsia="zh-CN"/>
              </w:rPr>
              <w:t>通过</w:t>
            </w:r>
            <w:r>
              <w:rPr>
                <w:rFonts w:hint="default"/>
                <w:color w:val="auto"/>
                <w:vertAlign w:val="baseline"/>
                <w:lang w:val="en-US" w:eastAsia="zh-CN"/>
              </w:rPr>
              <w:t>市政污水管网</w:t>
            </w:r>
            <w:r>
              <w:rPr>
                <w:rFonts w:hint="eastAsia"/>
                <w:color w:val="auto"/>
                <w:vertAlign w:val="baseline"/>
                <w:lang w:val="en-US" w:eastAsia="zh-CN"/>
              </w:rPr>
              <w:t>引</w:t>
            </w:r>
            <w:r>
              <w:rPr>
                <w:rFonts w:hint="default"/>
                <w:color w:val="auto"/>
                <w:vertAlign w:val="baseline"/>
                <w:lang w:val="en-US" w:eastAsia="zh-CN"/>
              </w:rPr>
              <w:t>至衡阳市松木污水处理厂处理。</w:t>
            </w:r>
          </w:p>
          <w:p>
            <w:pPr>
              <w:ind w:firstLine="480" w:firstLineChars="200"/>
              <w:rPr>
                <w:rFonts w:hint="default"/>
                <w:color w:val="auto"/>
                <w:vertAlign w:val="baseline"/>
                <w:lang w:val="en-US" w:eastAsia="zh-CN"/>
              </w:rPr>
            </w:pPr>
            <w:r>
              <w:rPr>
                <w:rFonts w:hint="default"/>
                <w:color w:val="auto"/>
                <w:vertAlign w:val="baseline"/>
                <w:lang w:val="en-US" w:eastAsia="zh-CN"/>
              </w:rPr>
              <w:t>C.职工生活污水和公厕污水</w:t>
            </w:r>
          </w:p>
          <w:p>
            <w:pPr>
              <w:ind w:firstLine="480" w:firstLineChars="200"/>
              <w:rPr>
                <w:rFonts w:hint="default"/>
                <w:color w:val="auto"/>
                <w:vertAlign w:val="baseline"/>
                <w:lang w:val="en-US" w:eastAsia="zh-CN"/>
              </w:rPr>
            </w:pPr>
            <w:r>
              <w:rPr>
                <w:rFonts w:hint="default"/>
                <w:color w:val="auto"/>
                <w:vertAlign w:val="baseline"/>
                <w:lang w:val="en-US" w:eastAsia="zh-CN"/>
              </w:rPr>
              <w:t>项目生活污水和公厕污水的总排放量为642.4</w:t>
            </w:r>
            <w:r>
              <w:rPr>
                <w:rFonts w:hint="eastAsia"/>
                <w:color w:val="auto"/>
                <w:vertAlign w:val="baseline"/>
                <w:lang w:val="en-US" w:eastAsia="zh-CN"/>
              </w:rPr>
              <w:t>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a，根据给水排水设计手册(第5册)中4.2城镇污水水质，生活污水中各主要污染物浓度COD：400mg</w:t>
            </w:r>
            <w:r>
              <w:rPr>
                <w:rFonts w:hint="default" w:ascii="Calibri" w:hAnsi="Calibri" w:cs="Calibri"/>
                <w:color w:val="auto"/>
                <w:vertAlign w:val="baseline"/>
                <w:lang w:val="en-US" w:eastAsia="zh-CN"/>
              </w:rPr>
              <w:t>/</w:t>
            </w:r>
            <w:r>
              <w:rPr>
                <w:rFonts w:hint="default"/>
                <w:color w:val="auto"/>
                <w:vertAlign w:val="baseline"/>
                <w:lang w:val="en-US" w:eastAsia="zh-CN"/>
              </w:rPr>
              <w:t>L，BOD5：250mg</w:t>
            </w:r>
            <w:r>
              <w:rPr>
                <w:rFonts w:hint="default" w:ascii="Calibri" w:hAnsi="Calibri" w:cs="Calibri"/>
                <w:color w:val="auto"/>
                <w:vertAlign w:val="baseline"/>
                <w:lang w:val="en-US" w:eastAsia="zh-CN"/>
              </w:rPr>
              <w:t>/</w:t>
            </w:r>
            <w:r>
              <w:rPr>
                <w:rFonts w:hint="default"/>
                <w:color w:val="auto"/>
                <w:vertAlign w:val="baseline"/>
                <w:lang w:val="en-US" w:eastAsia="zh-CN"/>
              </w:rPr>
              <w:t>L，SS：220mg</w:t>
            </w:r>
            <w:r>
              <w:rPr>
                <w:rFonts w:hint="default" w:ascii="Calibri" w:hAnsi="Calibri" w:cs="Calibri"/>
                <w:color w:val="auto"/>
                <w:vertAlign w:val="baseline"/>
                <w:lang w:val="en-US" w:eastAsia="zh-CN"/>
              </w:rPr>
              <w:t>/</w:t>
            </w:r>
            <w:r>
              <w:rPr>
                <w:rFonts w:hint="default"/>
                <w:color w:val="auto"/>
                <w:vertAlign w:val="baseline"/>
                <w:lang w:val="en-US" w:eastAsia="zh-CN"/>
              </w:rPr>
              <w:t>L，NH</w:t>
            </w:r>
            <w:r>
              <w:rPr>
                <w:rFonts w:hint="default"/>
                <w:color w:val="auto"/>
                <w:vertAlign w:val="subscript"/>
                <w:lang w:val="en-US" w:eastAsia="zh-CN"/>
              </w:rPr>
              <w:t>3</w:t>
            </w:r>
            <w:r>
              <w:rPr>
                <w:rFonts w:hint="default"/>
                <w:color w:val="auto"/>
                <w:vertAlign w:val="baseline"/>
                <w:lang w:val="en-US" w:eastAsia="zh-CN"/>
              </w:rPr>
              <w:t>-N：35mg</w:t>
            </w:r>
            <w:r>
              <w:rPr>
                <w:rFonts w:hint="default" w:ascii="Calibri" w:hAnsi="Calibri" w:cs="Calibri"/>
                <w:color w:val="auto"/>
                <w:vertAlign w:val="baseline"/>
                <w:lang w:val="en-US" w:eastAsia="zh-CN"/>
              </w:rPr>
              <w:t>/</w:t>
            </w:r>
            <w:r>
              <w:rPr>
                <w:rFonts w:hint="default"/>
                <w:color w:val="auto"/>
                <w:vertAlign w:val="baseline"/>
                <w:lang w:val="en-US" w:eastAsia="zh-CN"/>
              </w:rPr>
              <w:t>L。生活污水和公厕污水经化粪池</w:t>
            </w:r>
            <w:r>
              <w:rPr>
                <w:rFonts w:hint="eastAsia"/>
                <w:color w:val="auto"/>
                <w:vertAlign w:val="baseline"/>
                <w:lang w:val="en-US" w:eastAsia="zh-CN"/>
              </w:rPr>
              <w:t>预</w:t>
            </w:r>
            <w:r>
              <w:rPr>
                <w:rFonts w:hint="default"/>
                <w:color w:val="auto"/>
                <w:vertAlign w:val="baseline"/>
                <w:lang w:val="en-US" w:eastAsia="zh-CN"/>
              </w:rPr>
              <w:t>处理后</w:t>
            </w:r>
            <w:r>
              <w:rPr>
                <w:rFonts w:hint="eastAsia"/>
                <w:color w:val="auto"/>
                <w:vertAlign w:val="baseline"/>
                <w:lang w:val="en-US" w:eastAsia="zh-CN"/>
              </w:rPr>
              <w:t>通过</w:t>
            </w:r>
            <w:r>
              <w:rPr>
                <w:rFonts w:hint="default"/>
                <w:color w:val="auto"/>
                <w:vertAlign w:val="baseline"/>
                <w:lang w:val="en-US" w:eastAsia="zh-CN"/>
              </w:rPr>
              <w:t>市政污水管网</w:t>
            </w:r>
            <w:r>
              <w:rPr>
                <w:rFonts w:hint="eastAsia"/>
                <w:color w:val="auto"/>
                <w:vertAlign w:val="baseline"/>
                <w:lang w:val="en-US" w:eastAsia="zh-CN"/>
              </w:rPr>
              <w:t>引</w:t>
            </w:r>
            <w:r>
              <w:rPr>
                <w:rFonts w:hint="default"/>
                <w:color w:val="auto"/>
                <w:vertAlign w:val="baseline"/>
                <w:lang w:val="en-US" w:eastAsia="zh-CN"/>
              </w:rPr>
              <w:t>至衡阳市松木污水处理厂处理。</w:t>
            </w:r>
          </w:p>
          <w:p>
            <w:pPr>
              <w:ind w:firstLine="480" w:firstLineChars="200"/>
              <w:rPr>
                <w:rFonts w:hint="default"/>
                <w:color w:val="auto"/>
                <w:vertAlign w:val="baseline"/>
                <w:lang w:val="en-US" w:eastAsia="zh-CN"/>
              </w:rPr>
            </w:pPr>
            <w:r>
              <w:rPr>
                <w:rFonts w:hint="default"/>
                <w:color w:val="auto"/>
                <w:vertAlign w:val="baseline"/>
                <w:lang w:val="en-US" w:eastAsia="zh-CN"/>
              </w:rPr>
              <w:t>项目运营期地面冲洗废水</w:t>
            </w:r>
            <w:r>
              <w:rPr>
                <w:rFonts w:hint="eastAsia"/>
                <w:color w:val="auto"/>
                <w:vertAlign w:val="baseline"/>
                <w:lang w:val="en-US" w:eastAsia="zh-CN"/>
              </w:rPr>
              <w:t>和</w:t>
            </w:r>
            <w:r>
              <w:rPr>
                <w:rFonts w:hint="default"/>
                <w:color w:val="auto"/>
                <w:vertAlign w:val="baseline"/>
                <w:lang w:val="en-US" w:eastAsia="zh-CN"/>
              </w:rPr>
              <w:t>洗车废水经隔油沉淀池处理后、生活污水和公厕污水经化粪池处理后达到《污水综合排放标准》（GB8978-1996）表4中的三级标准，预处理后的污水通过市政污水管网</w:t>
            </w:r>
            <w:r>
              <w:rPr>
                <w:rFonts w:hint="eastAsia"/>
                <w:color w:val="auto"/>
                <w:u w:val="dotted"/>
                <w:vertAlign w:val="baseline"/>
                <w:lang w:val="en-US" w:eastAsia="zh-CN"/>
              </w:rPr>
              <w:t>引</w:t>
            </w:r>
            <w:r>
              <w:rPr>
                <w:rFonts w:hint="default"/>
                <w:color w:val="auto"/>
                <w:vertAlign w:val="baseline"/>
                <w:lang w:val="en-US" w:eastAsia="zh-CN"/>
              </w:rPr>
              <w:t>至松木污水处理厂处理后达标排放，最终排入湘江。结合项目实际情况及类比同类型项目，本项目污废水经预处理后浓度有所减少，排放水污染物浓度远低于限值要求。项目综合废水总量为</w:t>
            </w:r>
            <w:r>
              <w:rPr>
                <w:rFonts w:hint="eastAsia"/>
                <w:color w:val="auto"/>
                <w:vertAlign w:val="baseline"/>
                <w:lang w:val="en-US" w:eastAsia="zh-CN"/>
              </w:rPr>
              <w:t>1017.71m</w:t>
            </w:r>
            <w:r>
              <w:rPr>
                <w:rFonts w:hint="eastAsia"/>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w:t>
            </w:r>
          </w:p>
          <w:p>
            <w:pPr>
              <w:ind w:firstLine="480" w:firstLineChars="200"/>
              <w:rPr>
                <w:rFonts w:hint="default"/>
                <w:color w:val="auto"/>
                <w:vertAlign w:val="baseline"/>
                <w:lang w:val="en-US" w:eastAsia="zh-CN"/>
              </w:rPr>
            </w:pPr>
            <w:r>
              <w:rPr>
                <w:rFonts w:hint="eastAsia"/>
                <w:color w:val="auto"/>
                <w:vertAlign w:val="baseline"/>
                <w:lang w:val="en-US" w:eastAsia="zh-CN"/>
              </w:rPr>
              <w:t>本</w:t>
            </w:r>
            <w:r>
              <w:rPr>
                <w:rFonts w:hint="default"/>
                <w:color w:val="auto"/>
                <w:vertAlign w:val="baseline"/>
                <w:lang w:val="en-US" w:eastAsia="zh-CN"/>
              </w:rPr>
              <w:t>项目</w:t>
            </w:r>
            <w:r>
              <w:rPr>
                <w:rFonts w:hint="eastAsia"/>
                <w:color w:val="auto"/>
                <w:vertAlign w:val="baseline"/>
                <w:lang w:val="en-US" w:eastAsia="zh-CN"/>
              </w:rPr>
              <w:t>废水</w:t>
            </w:r>
            <w:r>
              <w:rPr>
                <w:rFonts w:hint="default"/>
                <w:color w:val="auto"/>
                <w:vertAlign w:val="baseline"/>
                <w:lang w:val="en-US" w:eastAsia="zh-CN"/>
              </w:rPr>
              <w:t>产生、排放信息见表4-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5</w:t>
            </w:r>
            <w:r>
              <w:rPr>
                <w:rFonts w:hint="default"/>
                <w:color w:val="auto"/>
                <w:vertAlign w:val="baseline"/>
                <w:lang w:eastAsia="zh-CN"/>
              </w:rPr>
              <w:fldChar w:fldCharType="end"/>
            </w:r>
            <w:r>
              <w:rPr>
                <w:rFonts w:hint="default"/>
                <w:color w:val="auto"/>
                <w:vertAlign w:val="baseline"/>
                <w:lang w:val="en-US" w:eastAsia="zh-CN"/>
              </w:rPr>
              <w:t>。</w:t>
            </w:r>
          </w:p>
          <w:p>
            <w:pPr>
              <w:spacing w:line="240" w:lineRule="auto"/>
              <w:jc w:val="both"/>
              <w:rPr>
                <w:rFonts w:hint="default"/>
                <w:b/>
                <w:bCs/>
                <w:color w:val="auto"/>
                <w:vertAlign w:val="baseline"/>
                <w:lang w:val="en-US" w:eastAsia="zh-CN"/>
              </w:rPr>
            </w:pPr>
          </w:p>
          <w:p>
            <w:pPr>
              <w:spacing w:line="240" w:lineRule="auto"/>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5</w:t>
            </w:r>
            <w:r>
              <w:rPr>
                <w:rFonts w:hint="default"/>
                <w:b/>
                <w:bCs/>
                <w:color w:val="auto"/>
                <w:vertAlign w:val="baseline"/>
                <w:lang w:eastAsia="zh-CN"/>
              </w:rPr>
              <w:fldChar w:fldCharType="end"/>
            </w:r>
            <w:r>
              <w:rPr>
                <w:rFonts w:hint="default"/>
                <w:b/>
                <w:bCs/>
                <w:color w:val="auto"/>
                <w:vertAlign w:val="baseline"/>
                <w:lang w:val="en-US" w:eastAsia="zh-CN"/>
              </w:rPr>
              <w:t xml:space="preserve"> 项目废水产生、排放一览表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842"/>
              <w:gridCol w:w="1045"/>
              <w:gridCol w:w="853"/>
              <w:gridCol w:w="475"/>
              <w:gridCol w:w="1088"/>
              <w:gridCol w:w="878"/>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1"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废水种类</w:t>
                  </w: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主要污染物</w:t>
                  </w:r>
                </w:p>
              </w:tc>
              <w:tc>
                <w:tcPr>
                  <w:tcW w:w="1045"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产生</w:t>
                  </w:r>
                </w:p>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浓度（mg</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L）</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产生量（t</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a）</w:t>
                  </w:r>
                </w:p>
              </w:tc>
              <w:tc>
                <w:tcPr>
                  <w:tcW w:w="47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处理措施</w:t>
                  </w: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排放浓度（mg</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L）</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排放量（t</w:t>
                  </w:r>
                  <w:r>
                    <w:rPr>
                      <w:rFonts w:hint="default" w:ascii="Calibri" w:hAnsi="Calibri" w:cs="Calibri"/>
                      <w:color w:val="auto"/>
                      <w:sz w:val="21"/>
                      <w:szCs w:val="21"/>
                      <w:vertAlign w:val="baseline"/>
                      <w:lang w:val="en-US" w:eastAsia="zh-CN"/>
                    </w:rPr>
                    <w:t>/</w:t>
                  </w:r>
                  <w:r>
                    <w:rPr>
                      <w:rFonts w:hint="eastAsia"/>
                      <w:color w:val="auto"/>
                      <w:sz w:val="21"/>
                      <w:szCs w:val="21"/>
                      <w:vertAlign w:val="baseline"/>
                      <w:lang w:val="en-US" w:eastAsia="zh-CN"/>
                    </w:rPr>
                    <w:t>a）</w:t>
                  </w:r>
                </w:p>
              </w:tc>
              <w:tc>
                <w:tcPr>
                  <w:tcW w:w="981"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1"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lang w:val="en-US" w:eastAsia="zh-CN"/>
                    </w:rPr>
                    <w:t>地面冲洗废水（15.31m</w:t>
                  </w:r>
                  <w:r>
                    <w:rPr>
                      <w:rFonts w:hint="eastAsia"/>
                      <w:color w:val="auto"/>
                      <w:sz w:val="21"/>
                      <w:szCs w:val="21"/>
                      <w:vertAlign w:val="superscript"/>
                      <w:lang w:val="en-US" w:eastAsia="zh-CN"/>
                    </w:rPr>
                    <w:t>3</w:t>
                  </w:r>
                  <w:r>
                    <w:rPr>
                      <w:rFonts w:hint="eastAsia" w:ascii="Calibri" w:hAnsi="Calibri" w:cs="Calibri"/>
                      <w:color w:val="auto"/>
                      <w:sz w:val="21"/>
                      <w:szCs w:val="21"/>
                      <w:lang w:val="en-US" w:eastAsia="zh-CN"/>
                    </w:rPr>
                    <w:t>/</w:t>
                  </w:r>
                  <w:r>
                    <w:rPr>
                      <w:rFonts w:hint="eastAsia"/>
                      <w:color w:val="auto"/>
                      <w:sz w:val="21"/>
                      <w:szCs w:val="21"/>
                      <w:lang w:val="en-US" w:eastAsia="zh-CN"/>
                    </w:rPr>
                    <w:t>a）</w:t>
                  </w: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SS</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300</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0.0046</w:t>
                  </w:r>
                </w:p>
              </w:tc>
              <w:tc>
                <w:tcPr>
                  <w:tcW w:w="475" w:type="dxa"/>
                  <w:vMerge w:val="restart"/>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隔油池预处理</w:t>
                  </w: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0.0019</w:t>
                  </w:r>
                </w:p>
              </w:tc>
              <w:tc>
                <w:tcPr>
                  <w:tcW w:w="981" w:type="dxa"/>
                  <w:vMerge w:val="restart"/>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预处理后的污水通过市政污水管网排</w:t>
                  </w:r>
                  <w:r>
                    <w:rPr>
                      <w:rFonts w:hint="eastAsia"/>
                      <w:color w:val="auto"/>
                      <w:sz w:val="21"/>
                      <w:szCs w:val="21"/>
                      <w:vertAlign w:val="baseline"/>
                      <w:lang w:val="en-US" w:eastAsia="zh-CN"/>
                    </w:rPr>
                    <w:t>引</w:t>
                  </w:r>
                  <w:r>
                    <w:rPr>
                      <w:rFonts w:hint="default"/>
                      <w:color w:val="auto"/>
                      <w:sz w:val="21"/>
                      <w:szCs w:val="21"/>
                      <w:vertAlign w:val="baseline"/>
                      <w:lang w:val="en-US" w:eastAsia="zh-CN"/>
                    </w:rPr>
                    <w:t>至松木污水处理厂处理后达标排放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石油类</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50</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0.0008</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0.0003</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681"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lang w:val="en-US" w:eastAsia="zh-CN"/>
                    </w:rPr>
                    <w:t>洗车废水（360m</w:t>
                  </w:r>
                  <w:r>
                    <w:rPr>
                      <w:rFonts w:hint="eastAsia"/>
                      <w:color w:val="auto"/>
                      <w:sz w:val="21"/>
                      <w:szCs w:val="21"/>
                      <w:vertAlign w:val="superscript"/>
                      <w:lang w:val="en-US" w:eastAsia="zh-CN"/>
                    </w:rPr>
                    <w:t>3</w:t>
                  </w:r>
                  <w:r>
                    <w:rPr>
                      <w:rFonts w:hint="eastAsia" w:ascii="Calibri" w:hAnsi="Calibri" w:cs="Calibri"/>
                      <w:color w:val="auto"/>
                      <w:sz w:val="21"/>
                      <w:szCs w:val="21"/>
                      <w:lang w:val="en-US" w:eastAsia="zh-CN"/>
                    </w:rPr>
                    <w:t>/</w:t>
                  </w:r>
                  <w:r>
                    <w:rPr>
                      <w:rFonts w:hint="eastAsia"/>
                      <w:color w:val="auto"/>
                      <w:sz w:val="21"/>
                      <w:szCs w:val="21"/>
                      <w:lang w:val="en-US" w:eastAsia="zh-CN"/>
                    </w:rPr>
                    <w:t>a）</w:t>
                  </w: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BOD</w:t>
                  </w:r>
                  <w:r>
                    <w:rPr>
                      <w:rFonts w:hint="eastAsia"/>
                      <w:color w:val="auto"/>
                      <w:sz w:val="21"/>
                      <w:szCs w:val="21"/>
                      <w:vertAlign w:val="subscript"/>
                      <w:lang w:val="en-US" w:eastAsia="zh-CN"/>
                    </w:rPr>
                    <w:t>5</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7.9</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0.0028</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0.0028</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LAS</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0.39</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0.0001</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0.0001</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1"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lang w:val="en-US" w:eastAsia="zh-CN"/>
                    </w:rPr>
                    <w:t>生活和公厕污水（642.4m</w:t>
                  </w:r>
                  <w:r>
                    <w:rPr>
                      <w:rFonts w:hint="eastAsia"/>
                      <w:color w:val="auto"/>
                      <w:sz w:val="21"/>
                      <w:szCs w:val="21"/>
                      <w:vertAlign w:val="superscript"/>
                      <w:lang w:val="en-US" w:eastAsia="zh-CN"/>
                    </w:rPr>
                    <w:t>3</w:t>
                  </w:r>
                  <w:r>
                    <w:rPr>
                      <w:rFonts w:hint="eastAsia" w:ascii="Calibri" w:hAnsi="Calibri" w:cs="Calibri"/>
                      <w:color w:val="auto"/>
                      <w:sz w:val="21"/>
                      <w:szCs w:val="21"/>
                      <w:lang w:val="en-US" w:eastAsia="zh-CN"/>
                    </w:rPr>
                    <w:t>/</w:t>
                  </w:r>
                  <w:r>
                    <w:rPr>
                      <w:rFonts w:hint="eastAsia"/>
                      <w:color w:val="auto"/>
                      <w:sz w:val="21"/>
                      <w:szCs w:val="21"/>
                      <w:lang w:val="en-US" w:eastAsia="zh-CN"/>
                    </w:rPr>
                    <w:t>a）</w:t>
                  </w: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COD</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400</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0.2570</w:t>
                  </w:r>
                </w:p>
              </w:tc>
              <w:tc>
                <w:tcPr>
                  <w:tcW w:w="475" w:type="dxa"/>
                  <w:vMerge w:val="restart"/>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化粪池预处理</w:t>
                  </w: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0.2185</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BOD</w:t>
                  </w:r>
                  <w:r>
                    <w:rPr>
                      <w:rFonts w:hint="eastAsia"/>
                      <w:color w:val="auto"/>
                      <w:sz w:val="21"/>
                      <w:szCs w:val="21"/>
                      <w:vertAlign w:val="subscript"/>
                      <w:lang w:val="en-US" w:eastAsia="zh-CN"/>
                    </w:rPr>
                    <w:t>5</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250</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0.1606</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0.1461</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SS</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220</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0.1413</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0.0989</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r>
                    <w:rPr>
                      <w:rFonts w:hint="eastAsia"/>
                      <w:color w:val="auto"/>
                      <w:sz w:val="21"/>
                      <w:szCs w:val="21"/>
                      <w:vertAlign w:val="baseline"/>
                      <w:lang w:val="en-US" w:eastAsia="zh-CN"/>
                    </w:rPr>
                    <w:t>-N</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35</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0.0225</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0.0218</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681"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综合废水</w:t>
                  </w:r>
                  <w:r>
                    <w:rPr>
                      <w:rFonts w:hint="eastAsia"/>
                      <w:color w:val="auto"/>
                      <w:sz w:val="21"/>
                      <w:szCs w:val="21"/>
                      <w:lang w:val="en-US" w:eastAsia="zh-CN"/>
                    </w:rPr>
                    <w:t>（1017.71m</w:t>
                  </w:r>
                  <w:r>
                    <w:rPr>
                      <w:rFonts w:hint="eastAsia"/>
                      <w:color w:val="auto"/>
                      <w:sz w:val="21"/>
                      <w:szCs w:val="21"/>
                      <w:vertAlign w:val="superscript"/>
                      <w:lang w:val="en-US" w:eastAsia="zh-CN"/>
                    </w:rPr>
                    <w:t>3</w:t>
                  </w:r>
                  <w:r>
                    <w:rPr>
                      <w:rFonts w:hint="eastAsia" w:ascii="Calibri" w:hAnsi="Calibri" w:cs="Calibri"/>
                      <w:color w:val="auto"/>
                      <w:sz w:val="21"/>
                      <w:szCs w:val="21"/>
                      <w:lang w:val="en-US" w:eastAsia="zh-CN"/>
                    </w:rPr>
                    <w:t>/</w:t>
                  </w:r>
                  <w:r>
                    <w:rPr>
                      <w:rFonts w:hint="eastAsia"/>
                      <w:color w:val="auto"/>
                      <w:sz w:val="21"/>
                      <w:szCs w:val="21"/>
                      <w:lang w:val="en-US" w:eastAsia="zh-CN"/>
                    </w:rPr>
                    <w:t>a）</w:t>
                  </w: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COD</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252.5</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0.2570</w:t>
                  </w:r>
                </w:p>
              </w:tc>
              <w:tc>
                <w:tcPr>
                  <w:tcW w:w="475" w:type="dxa"/>
                  <w:vMerge w:val="restart"/>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隔油池</w:t>
                  </w:r>
                  <w:r>
                    <w:rPr>
                      <w:rFonts w:hint="eastAsia"/>
                      <w:color w:val="auto"/>
                      <w:sz w:val="21"/>
                      <w:szCs w:val="21"/>
                      <w:vertAlign w:val="baseline"/>
                      <w:lang w:val="en-US" w:eastAsia="zh-CN"/>
                    </w:rPr>
                    <w:t>+</w:t>
                  </w:r>
                  <w:r>
                    <w:rPr>
                      <w:rFonts w:hint="default"/>
                      <w:color w:val="auto"/>
                      <w:sz w:val="21"/>
                      <w:szCs w:val="21"/>
                      <w:vertAlign w:val="baseline"/>
                      <w:lang w:val="en-US" w:eastAsia="zh-CN"/>
                    </w:rPr>
                    <w:t>化粪池预处理</w:t>
                  </w: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214.7</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0.2185</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BOD</w:t>
                  </w:r>
                  <w:r>
                    <w:rPr>
                      <w:rFonts w:hint="eastAsia"/>
                      <w:color w:val="auto"/>
                      <w:sz w:val="21"/>
                      <w:szCs w:val="21"/>
                      <w:vertAlign w:val="subscript"/>
                      <w:lang w:val="en-US" w:eastAsia="zh-CN"/>
                    </w:rPr>
                    <w:t>5</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160.6</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0.1634</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146.3</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0.1489</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SS</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143.4</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0.1459</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99.0</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0.1008</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r>
                    <w:rPr>
                      <w:rFonts w:hint="eastAsia"/>
                      <w:color w:val="auto"/>
                      <w:sz w:val="21"/>
                      <w:szCs w:val="21"/>
                      <w:vertAlign w:val="baseline"/>
                      <w:lang w:val="en-US" w:eastAsia="zh-CN"/>
                    </w:rPr>
                    <w:t>-N</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22.1</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0.0225</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21.4</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0.0218</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681" w:type="dxa"/>
                  <w:vMerge w:val="continue"/>
                  <w:vAlign w:val="center"/>
                </w:tcPr>
                <w:p>
                  <w:pPr>
                    <w:spacing w:line="240" w:lineRule="auto"/>
                    <w:jc w:val="center"/>
                    <w:rPr>
                      <w:color w:val="auto"/>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LAS</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0.0001</w:t>
                  </w:r>
                </w:p>
              </w:tc>
              <w:tc>
                <w:tcPr>
                  <w:tcW w:w="475" w:type="dxa"/>
                  <w:vMerge w:val="continue"/>
                  <w:vAlign w:val="center"/>
                </w:tcPr>
                <w:p>
                  <w:pPr>
                    <w:spacing w:line="240" w:lineRule="auto"/>
                    <w:jc w:val="center"/>
                    <w:rPr>
                      <w:rFonts w:hint="eastAsia"/>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0.1</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0.0001</w:t>
                  </w:r>
                </w:p>
              </w:tc>
              <w:tc>
                <w:tcPr>
                  <w:tcW w:w="981" w:type="dxa"/>
                  <w:vMerge w:val="continue"/>
                  <w:vAlign w:val="center"/>
                </w:tcPr>
                <w:p>
                  <w:pPr>
                    <w:spacing w:line="240" w:lineRule="auto"/>
                    <w:jc w:val="center"/>
                    <w:rPr>
                      <w:rFonts w:hint="eastAsia"/>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681" w:type="dxa"/>
                  <w:vMerge w:val="continue"/>
                  <w:vAlign w:val="center"/>
                </w:tcPr>
                <w:p>
                  <w:pPr>
                    <w:spacing w:line="240" w:lineRule="auto"/>
                    <w:jc w:val="center"/>
                    <w:rPr>
                      <w:rFonts w:hint="default"/>
                      <w:color w:val="auto"/>
                      <w:sz w:val="21"/>
                      <w:szCs w:val="21"/>
                      <w:vertAlign w:val="baseline"/>
                      <w:lang w:val="en-US" w:eastAsia="zh-CN"/>
                    </w:rPr>
                  </w:pPr>
                </w:p>
              </w:tc>
              <w:tc>
                <w:tcPr>
                  <w:tcW w:w="84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石油类</w:t>
                  </w:r>
                </w:p>
              </w:tc>
              <w:tc>
                <w:tcPr>
                  <w:tcW w:w="104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0.8</w:t>
                  </w:r>
                </w:p>
              </w:tc>
              <w:tc>
                <w:tcPr>
                  <w:tcW w:w="85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0.0008</w:t>
                  </w:r>
                </w:p>
              </w:tc>
              <w:tc>
                <w:tcPr>
                  <w:tcW w:w="475" w:type="dxa"/>
                  <w:vMerge w:val="continue"/>
                  <w:vAlign w:val="center"/>
                </w:tcPr>
                <w:p>
                  <w:pPr>
                    <w:spacing w:line="240" w:lineRule="auto"/>
                    <w:jc w:val="center"/>
                    <w:rPr>
                      <w:rFonts w:hint="default"/>
                      <w:color w:val="auto"/>
                      <w:sz w:val="21"/>
                      <w:szCs w:val="21"/>
                      <w:vertAlign w:val="baseline"/>
                      <w:lang w:val="en-US" w:eastAsia="zh-CN"/>
                    </w:rPr>
                  </w:pPr>
                </w:p>
              </w:tc>
              <w:tc>
                <w:tcPr>
                  <w:tcW w:w="108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0.3</w:t>
                  </w:r>
                </w:p>
              </w:tc>
              <w:tc>
                <w:tcPr>
                  <w:tcW w:w="87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0.0003</w:t>
                  </w:r>
                </w:p>
              </w:tc>
              <w:tc>
                <w:tcPr>
                  <w:tcW w:w="981"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43" w:type="dxa"/>
                  <w:gridSpan w:val="8"/>
                  <w:vAlign w:val="center"/>
                </w:tcPr>
                <w:p>
                  <w:pPr>
                    <w:spacing w:line="240" w:lineRule="auto"/>
                    <w:jc w:val="left"/>
                    <w:rPr>
                      <w:rFonts w:hint="default"/>
                      <w:color w:val="auto"/>
                      <w:sz w:val="21"/>
                      <w:szCs w:val="21"/>
                      <w:vertAlign w:val="baseline"/>
                      <w:lang w:val="en-US" w:eastAsia="zh-CN"/>
                    </w:rPr>
                  </w:pPr>
                  <w:r>
                    <w:rPr>
                      <w:rFonts w:hint="default"/>
                      <w:color w:val="auto"/>
                      <w:sz w:val="21"/>
                      <w:szCs w:val="21"/>
                      <w:vertAlign w:val="baseline"/>
                      <w:lang w:val="en-US" w:eastAsia="zh-CN"/>
                    </w:rPr>
                    <w:t>备注：根据隔油池和化粪池污水预处理治理效率经验，本次环评隔油池治理效率石油类</w:t>
                  </w:r>
                  <w:r>
                    <w:rPr>
                      <w:rFonts w:hint="eastAsia"/>
                      <w:color w:val="auto"/>
                      <w:sz w:val="21"/>
                      <w:szCs w:val="21"/>
                      <w:vertAlign w:val="baseline"/>
                      <w:lang w:val="en-US" w:eastAsia="zh-CN"/>
                    </w:rPr>
                    <w:t>、</w:t>
                  </w:r>
                  <w:r>
                    <w:rPr>
                      <w:rFonts w:hint="default"/>
                      <w:color w:val="auto"/>
                      <w:sz w:val="21"/>
                      <w:szCs w:val="21"/>
                      <w:vertAlign w:val="baseline"/>
                      <w:lang w:val="en-US" w:eastAsia="zh-CN"/>
                    </w:rPr>
                    <w:t>SS</w:t>
                  </w:r>
                  <w:r>
                    <w:rPr>
                      <w:rFonts w:hint="eastAsia"/>
                      <w:color w:val="auto"/>
                      <w:sz w:val="21"/>
                      <w:szCs w:val="21"/>
                      <w:vertAlign w:val="baseline"/>
                      <w:lang w:val="en-US" w:eastAsia="zh-CN"/>
                    </w:rPr>
                    <w:t>均</w:t>
                  </w:r>
                  <w:r>
                    <w:rPr>
                      <w:rFonts w:hint="default"/>
                      <w:color w:val="auto"/>
                      <w:sz w:val="21"/>
                      <w:szCs w:val="21"/>
                      <w:vertAlign w:val="baseline"/>
                      <w:lang w:val="en-US" w:eastAsia="zh-CN"/>
                    </w:rPr>
                    <w:t>按</w:t>
                  </w:r>
                  <w:r>
                    <w:rPr>
                      <w:rFonts w:hint="default" w:ascii="Times New Roman" w:hAnsi="Times New Roman" w:cs="Times New Roman"/>
                      <w:color w:val="auto"/>
                      <w:sz w:val="21"/>
                      <w:szCs w:val="21"/>
                      <w:vertAlign w:val="baseline"/>
                      <w:lang w:val="en-US" w:eastAsia="zh-CN"/>
                    </w:rPr>
                    <w:t>60％</w:t>
                  </w:r>
                  <w:r>
                    <w:rPr>
                      <w:rFonts w:hint="default"/>
                      <w:color w:val="auto"/>
                      <w:sz w:val="21"/>
                      <w:szCs w:val="21"/>
                      <w:vertAlign w:val="baseline"/>
                      <w:lang w:val="en-US" w:eastAsia="zh-CN"/>
                    </w:rPr>
                    <w:t>；化粪池治理效率COD、BOD</w:t>
                  </w:r>
                  <w:r>
                    <w:rPr>
                      <w:rFonts w:hint="default"/>
                      <w:color w:val="auto"/>
                      <w:sz w:val="21"/>
                      <w:szCs w:val="21"/>
                      <w:vertAlign w:val="subscript"/>
                      <w:lang w:val="en-US" w:eastAsia="zh-CN"/>
                    </w:rPr>
                    <w:t>5</w:t>
                  </w:r>
                  <w:r>
                    <w:rPr>
                      <w:rFonts w:hint="default"/>
                      <w:color w:val="auto"/>
                      <w:sz w:val="21"/>
                      <w:szCs w:val="21"/>
                      <w:vertAlign w:val="baseline"/>
                      <w:lang w:val="en-US" w:eastAsia="zh-CN"/>
                    </w:rPr>
                    <w:t>、NH3-N和SS分别按</w:t>
                  </w:r>
                  <w:r>
                    <w:rPr>
                      <w:rFonts w:hint="eastAsia" w:ascii="Times New Roman" w:hAnsi="Times New Roman" w:cs="Times New Roman"/>
                      <w:color w:val="auto"/>
                      <w:sz w:val="21"/>
                      <w:szCs w:val="21"/>
                      <w:vertAlign w:val="baseline"/>
                      <w:lang w:val="en-US" w:eastAsia="zh-CN"/>
                    </w:rPr>
                    <w:t>15</w:t>
                  </w:r>
                  <w:r>
                    <w:rPr>
                      <w:rFonts w:hint="default" w:ascii="Times New Roman" w:hAnsi="Times New Roman" w:cs="Times New Roman"/>
                      <w:color w:val="auto"/>
                      <w:sz w:val="21"/>
                      <w:szCs w:val="21"/>
                      <w:vertAlign w:val="baseline"/>
                      <w:lang w:val="en-US" w:eastAsia="zh-CN"/>
                    </w:rPr>
                    <w:t>％、</w:t>
                  </w:r>
                  <w:r>
                    <w:rPr>
                      <w:rFonts w:hint="eastAsia" w:ascii="Times New Roman" w:hAnsi="Times New Roman" w:cs="Times New Roman"/>
                      <w:color w:val="auto"/>
                      <w:sz w:val="21"/>
                      <w:szCs w:val="21"/>
                      <w:vertAlign w:val="baseline"/>
                      <w:lang w:val="en-US" w:eastAsia="zh-CN"/>
                    </w:rPr>
                    <w:t>9</w:t>
                  </w:r>
                  <w:r>
                    <w:rPr>
                      <w:rFonts w:hint="default" w:ascii="Times New Roman" w:hAnsi="Times New Roman" w:cs="Times New Roman"/>
                      <w:color w:val="auto"/>
                      <w:sz w:val="21"/>
                      <w:szCs w:val="21"/>
                      <w:vertAlign w:val="baseline"/>
                      <w:lang w:val="en-US" w:eastAsia="zh-CN"/>
                    </w:rPr>
                    <w:t>％、</w:t>
                  </w: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w:t>
                  </w:r>
                  <w:r>
                    <w:rPr>
                      <w:rFonts w:hint="default"/>
                      <w:color w:val="auto"/>
                      <w:sz w:val="21"/>
                      <w:szCs w:val="21"/>
                      <w:vertAlign w:val="baseline"/>
                      <w:lang w:val="en-US" w:eastAsia="zh-CN"/>
                    </w:rPr>
                    <w:t>和</w:t>
                  </w:r>
                  <w:r>
                    <w:rPr>
                      <w:rFonts w:hint="eastAsia" w:ascii="Times New Roman" w:hAnsi="Times New Roman" w:cs="Times New Roman"/>
                      <w:color w:val="auto"/>
                      <w:sz w:val="21"/>
                      <w:szCs w:val="21"/>
                      <w:vertAlign w:val="baseline"/>
                      <w:lang w:val="en-US" w:eastAsia="zh-CN"/>
                    </w:rPr>
                    <w:t>3</w:t>
                  </w:r>
                  <w:r>
                    <w:rPr>
                      <w:rFonts w:hint="default" w:ascii="Times New Roman" w:hAnsi="Times New Roman" w:cs="Times New Roman"/>
                      <w:color w:val="auto"/>
                      <w:sz w:val="21"/>
                      <w:szCs w:val="21"/>
                      <w:vertAlign w:val="baseline"/>
                      <w:lang w:val="en-US" w:eastAsia="zh-CN"/>
                    </w:rPr>
                    <w:t>0％</w:t>
                  </w:r>
                  <w:r>
                    <w:rPr>
                      <w:rFonts w:hint="default"/>
                      <w:color w:val="auto"/>
                      <w:sz w:val="21"/>
                      <w:szCs w:val="21"/>
                      <w:vertAlign w:val="baseline"/>
                      <w:lang w:val="en-US" w:eastAsia="zh-CN"/>
                    </w:rPr>
                    <w:t>计。</w:t>
                  </w:r>
                </w:p>
              </w:tc>
            </w:tr>
          </w:tbl>
          <w:p>
            <w:pPr>
              <w:ind w:firstLine="480" w:firstLineChars="200"/>
              <w:rPr>
                <w:rFonts w:hint="default"/>
                <w:color w:val="auto"/>
                <w:vertAlign w:val="baseline"/>
                <w:lang w:val="en-US" w:eastAsia="zh-CN"/>
              </w:rPr>
            </w:pPr>
            <w:r>
              <w:rPr>
                <w:rFonts w:hint="eastAsia"/>
                <w:color w:val="auto"/>
                <w:vertAlign w:val="baseline"/>
                <w:lang w:val="en-US" w:eastAsia="zh-CN"/>
              </w:rPr>
              <w:t>（2）</w:t>
            </w:r>
            <w:r>
              <w:rPr>
                <w:rFonts w:hint="default"/>
                <w:color w:val="auto"/>
                <w:vertAlign w:val="baseline"/>
                <w:lang w:val="en-US" w:eastAsia="zh-CN"/>
              </w:rPr>
              <w:t>措施可行性分析</w:t>
            </w:r>
          </w:p>
          <w:p>
            <w:pPr>
              <w:ind w:firstLine="480" w:firstLineChars="200"/>
              <w:rPr>
                <w:rFonts w:hint="default"/>
                <w:color w:val="auto"/>
                <w:vertAlign w:val="baseline"/>
                <w:lang w:val="en-US" w:eastAsia="zh-CN"/>
              </w:rPr>
            </w:pPr>
            <w:r>
              <w:rPr>
                <w:rFonts w:hint="default"/>
                <w:color w:val="auto"/>
                <w:vertAlign w:val="baseline"/>
                <w:lang w:val="en-US" w:eastAsia="zh-CN"/>
              </w:rPr>
              <w:t>①废水预处理措施可行性分析</w:t>
            </w:r>
          </w:p>
          <w:p>
            <w:pPr>
              <w:ind w:firstLine="480" w:firstLineChars="200"/>
              <w:rPr>
                <w:rFonts w:hint="default"/>
                <w:color w:val="auto"/>
                <w:vertAlign w:val="baseline"/>
                <w:lang w:val="en-US" w:eastAsia="zh-CN"/>
              </w:rPr>
            </w:pPr>
            <w:r>
              <w:rPr>
                <w:rFonts w:hint="default"/>
                <w:color w:val="auto"/>
                <w:vertAlign w:val="baseline"/>
                <w:lang w:val="en-US" w:eastAsia="zh-CN"/>
              </w:rPr>
              <w:t>隔油池是按油类物质的密度一般都比水小，可以依靠油水比重差从水中分离。废水从池的一端流入，以较小的流速流经池体，在流动过程中，密度小于水的油粒上升至水面，水从池的另一端流出。在池体上部设置集油管，收集浮油并将其导出池外。</w:t>
            </w:r>
          </w:p>
          <w:p>
            <w:pPr>
              <w:ind w:firstLine="480" w:firstLineChars="200"/>
              <w:rPr>
                <w:rFonts w:hint="default"/>
                <w:color w:val="auto"/>
                <w:vertAlign w:val="baseline"/>
                <w:lang w:val="en-US" w:eastAsia="zh-CN"/>
              </w:rPr>
            </w:pPr>
            <w:r>
              <w:rPr>
                <w:rFonts w:hint="default"/>
                <w:color w:val="auto"/>
                <w:vertAlign w:val="baseline"/>
                <w:lang w:val="en-US" w:eastAsia="zh-CN"/>
              </w:rPr>
              <w:t>化粪池作为生活污水预处理工艺已经成熟运用多年，生活污水主要含有可生化的有机污染物，该方法是在厌氧的条件下，利用厌氧菌将生活污水中的部分有机污染物分解，从而起到降低污染物浓度的目的。</w:t>
            </w:r>
          </w:p>
          <w:p>
            <w:pPr>
              <w:ind w:firstLine="480" w:firstLineChars="200"/>
              <w:rPr>
                <w:rFonts w:hint="default"/>
                <w:color w:val="auto"/>
                <w:vertAlign w:val="baseline"/>
                <w:lang w:val="en-US" w:eastAsia="zh-CN"/>
              </w:rPr>
            </w:pPr>
            <w:r>
              <w:rPr>
                <w:rFonts w:hint="default"/>
                <w:color w:val="auto"/>
                <w:vertAlign w:val="baseline"/>
                <w:lang w:val="en-US" w:eastAsia="zh-CN"/>
              </w:rPr>
              <w:t>项目污水水质较为简单，污水分别经隔油池、化粪池预处理，水质可以达到《污水综合排放标准》（GB8978-1996）表4中的三级标准，项目地属于</w:t>
            </w:r>
            <w:r>
              <w:rPr>
                <w:rFonts w:hint="eastAsia"/>
                <w:color w:val="auto"/>
                <w:vertAlign w:val="baseline"/>
                <w:lang w:val="en-US" w:eastAsia="zh-CN"/>
              </w:rPr>
              <w:t xml:space="preserve"> </w:t>
            </w:r>
            <w:r>
              <w:rPr>
                <w:rFonts w:hint="default"/>
                <w:color w:val="auto"/>
                <w:vertAlign w:val="baseline"/>
                <w:lang w:val="en-US" w:eastAsia="zh-CN"/>
              </w:rPr>
              <w:t>松木污水处理厂的服务范围。</w:t>
            </w:r>
          </w:p>
          <w:p>
            <w:pPr>
              <w:ind w:firstLine="480" w:firstLineChars="200"/>
              <w:rPr>
                <w:rFonts w:hint="default"/>
                <w:color w:val="auto"/>
                <w:vertAlign w:val="baseline"/>
                <w:lang w:val="en-US" w:eastAsia="zh-CN"/>
              </w:rPr>
            </w:pPr>
            <w:r>
              <w:rPr>
                <w:rFonts w:hint="default"/>
                <w:color w:val="auto"/>
                <w:vertAlign w:val="baseline"/>
                <w:lang w:val="en-US" w:eastAsia="zh-CN"/>
              </w:rPr>
              <w:t>因此，项目采取的废水预处理措施可行。</w:t>
            </w:r>
          </w:p>
          <w:p>
            <w:pPr>
              <w:ind w:firstLine="480" w:firstLineChars="200"/>
              <w:rPr>
                <w:rFonts w:hint="default"/>
                <w:color w:val="auto"/>
                <w:vertAlign w:val="baseline"/>
                <w:lang w:val="en-US" w:eastAsia="zh-CN"/>
              </w:rPr>
            </w:pPr>
            <w:r>
              <w:rPr>
                <w:rFonts w:hint="default"/>
                <w:color w:val="auto"/>
                <w:vertAlign w:val="baseline"/>
                <w:lang w:val="en-US" w:eastAsia="zh-CN"/>
              </w:rPr>
              <w:t>②综合废水进入松木污水处理厂深度处理的可行性分析</w:t>
            </w:r>
          </w:p>
          <w:p>
            <w:pPr>
              <w:ind w:firstLine="480" w:firstLineChars="200"/>
              <w:rPr>
                <w:rFonts w:hint="default"/>
                <w:color w:val="auto"/>
                <w:vertAlign w:val="baseline"/>
                <w:lang w:val="en-US" w:eastAsia="zh-CN"/>
              </w:rPr>
            </w:pPr>
            <w:r>
              <w:rPr>
                <w:rFonts w:hint="default"/>
                <w:color w:val="auto"/>
                <w:vertAlign w:val="baseline"/>
                <w:lang w:val="en-US" w:eastAsia="zh-CN"/>
              </w:rPr>
              <w:t>松木污水处理厂位于松木经济开发区内环路以北，湘江以西，107国道以东，南岳专用线以南区域，现状污水处理能力为10000m</w:t>
            </w:r>
            <w:r>
              <w:rPr>
                <w:rFonts w:hint="default"/>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d（目前实际处理量约6500m</w:t>
            </w:r>
            <w:r>
              <w:rPr>
                <w:rFonts w:hint="default"/>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d），污水处理厂占地10公顷。主要服务区域为松木片区外环北路以内的全部区域，主要处理松木片区外环北路以北区域内的工业废水及生活污水。松木污水处理厂常规处理采用具有脱氮除磷功能的水解酸化+AAO工艺，再采用“絮凝沉淀+气浮”深度处理工艺，进一步去除出水中的悬浮物和总磷，保证最终出水水质满足《城镇污水处理厂污染物排放标准》（GBl8918-2002）的一级B标准要求且能稳定达标。</w:t>
            </w:r>
          </w:p>
          <w:p>
            <w:pPr>
              <w:ind w:firstLine="480" w:firstLineChars="200"/>
              <w:rPr>
                <w:rFonts w:hint="default"/>
                <w:color w:val="auto"/>
                <w:vertAlign w:val="baseline"/>
                <w:lang w:val="en-US" w:eastAsia="zh-CN"/>
              </w:rPr>
            </w:pPr>
            <w:r>
              <w:rPr>
                <w:rFonts w:hint="default"/>
                <w:color w:val="auto"/>
                <w:vertAlign w:val="baseline"/>
                <w:lang w:val="en-US" w:eastAsia="zh-CN"/>
              </w:rPr>
              <w:t>本项目新增废水量1</w:t>
            </w:r>
            <w:r>
              <w:rPr>
                <w:rFonts w:hint="eastAsia"/>
                <w:color w:val="auto"/>
                <w:vertAlign w:val="baseline"/>
                <w:lang w:val="en-US" w:eastAsia="zh-CN"/>
              </w:rPr>
              <w:t>017.71</w:t>
            </w:r>
            <w:r>
              <w:rPr>
                <w:rFonts w:hint="default"/>
                <w:color w:val="auto"/>
                <w:vertAlign w:val="baseline"/>
                <w:lang w:val="en-US" w:eastAsia="zh-CN"/>
              </w:rPr>
              <w:t>m</w:t>
            </w:r>
            <w:r>
              <w:rPr>
                <w:rFonts w:hint="default"/>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a（</w:t>
            </w:r>
            <w:r>
              <w:rPr>
                <w:rFonts w:hint="eastAsia"/>
                <w:color w:val="auto"/>
                <w:vertAlign w:val="baseline"/>
                <w:lang w:val="en-US" w:eastAsia="zh-CN"/>
              </w:rPr>
              <w:t>2.79</w:t>
            </w:r>
            <w:r>
              <w:rPr>
                <w:rFonts w:hint="default"/>
                <w:color w:val="auto"/>
                <w:vertAlign w:val="baseline"/>
                <w:lang w:val="en-US" w:eastAsia="zh-CN"/>
              </w:rPr>
              <w:t>m</w:t>
            </w:r>
            <w:r>
              <w:rPr>
                <w:rFonts w:hint="default"/>
                <w:color w:val="auto"/>
                <w:vertAlign w:val="superscript"/>
                <w:lang w:val="en-US" w:eastAsia="zh-CN"/>
              </w:rPr>
              <w:t>3</w:t>
            </w:r>
            <w:r>
              <w:rPr>
                <w:rFonts w:hint="default" w:ascii="Calibri" w:hAnsi="Calibri" w:cs="Calibri"/>
                <w:color w:val="auto"/>
                <w:vertAlign w:val="baseline"/>
                <w:lang w:val="en-US" w:eastAsia="zh-CN"/>
              </w:rPr>
              <w:t>/</w:t>
            </w:r>
            <w:r>
              <w:rPr>
                <w:rFonts w:hint="default"/>
                <w:color w:val="auto"/>
                <w:vertAlign w:val="baseline"/>
                <w:lang w:val="en-US" w:eastAsia="zh-CN"/>
              </w:rPr>
              <w:t>d），占污水处理厂处理规模极小，项目废水接入污水处理厂后不会对其造成负荷冲击，投产运营后外排废水经预处理后可以满足松木污水处理厂的进水水质要求和纳污能力，本项目位于松木经济开发区，项目建成后由站区北面化工路污水管可接入松木污水处理厂处理，所以项目运营时废水可顺利接入送往松木污水处理厂处理，措施可行。</w:t>
            </w:r>
          </w:p>
          <w:p>
            <w:pPr>
              <w:ind w:firstLine="480" w:firstLineChars="200"/>
              <w:rPr>
                <w:rFonts w:hint="default"/>
                <w:color w:val="auto"/>
                <w:vertAlign w:val="baseline"/>
                <w:lang w:val="en-US" w:eastAsia="zh-CN"/>
              </w:rPr>
            </w:pPr>
            <w:r>
              <w:rPr>
                <w:rFonts w:hint="eastAsia"/>
                <w:color w:val="auto"/>
                <w:vertAlign w:val="baseline"/>
                <w:lang w:val="en-US" w:eastAsia="zh-CN"/>
              </w:rPr>
              <w:t>（</w:t>
            </w:r>
            <w:r>
              <w:rPr>
                <w:rFonts w:hint="default"/>
                <w:color w:val="auto"/>
                <w:vertAlign w:val="baseline"/>
                <w:lang w:val="en-US" w:eastAsia="zh-CN"/>
              </w:rPr>
              <w:t>3）自行监测要求</w:t>
            </w:r>
          </w:p>
          <w:p>
            <w:pPr>
              <w:ind w:firstLine="480" w:firstLineChars="200"/>
              <w:rPr>
                <w:rFonts w:hint="eastAsia"/>
                <w:color w:val="auto"/>
                <w:lang w:val="en-US" w:eastAsia="zh-CN"/>
              </w:rPr>
            </w:pPr>
            <w:r>
              <w:rPr>
                <w:rFonts w:hint="default"/>
                <w:color w:val="auto"/>
                <w:lang w:val="en-US" w:eastAsia="zh-CN"/>
              </w:rPr>
              <w:t>对照《固定污染源排污许可分类管理名录(2019 年版)》(生态环境部第11号)可知，本项目实行排污许可简化管理，本评价参照《排污单位自行监测技术指南 总则》(HJ 819-2017)等要求，提出项目运营期</w:t>
            </w:r>
            <w:r>
              <w:rPr>
                <w:rFonts w:hint="eastAsia"/>
                <w:color w:val="auto"/>
                <w:lang w:val="en-US" w:eastAsia="zh-CN"/>
              </w:rPr>
              <w:t>废水</w:t>
            </w:r>
            <w:r>
              <w:rPr>
                <w:rFonts w:hint="default"/>
                <w:color w:val="auto"/>
                <w:lang w:val="en-US" w:eastAsia="zh-CN"/>
              </w:rPr>
              <w:t>自行监测计划见</w:t>
            </w:r>
            <w:r>
              <w:rPr>
                <w:rFonts w:hint="eastAsia"/>
                <w:color w:val="auto"/>
                <w:lang w:val="en-US" w:eastAsia="zh-CN"/>
              </w:rPr>
              <w:t>表4-</w:t>
            </w:r>
            <w:r>
              <w:rPr>
                <w:rFonts w:hint="default"/>
                <w:color w:val="auto"/>
                <w:lang w:eastAsia="zh-CN"/>
              </w:rPr>
              <w:fldChar w:fldCharType="begin"/>
            </w:r>
            <w:r>
              <w:rPr>
                <w:rFonts w:hint="default"/>
                <w:color w:val="auto"/>
                <w:lang w:eastAsia="zh-CN"/>
              </w:rPr>
              <w:instrText xml:space="preserve"> SEQ 4- \* MERGEFORMAT </w:instrText>
            </w:r>
            <w:r>
              <w:rPr>
                <w:rFonts w:hint="default"/>
                <w:color w:val="auto"/>
                <w:lang w:eastAsia="zh-CN"/>
              </w:rPr>
              <w:fldChar w:fldCharType="separate"/>
            </w:r>
            <w:r>
              <w:rPr>
                <w:rFonts w:hint="default"/>
                <w:color w:val="auto"/>
                <w:lang w:eastAsia="zh-CN"/>
              </w:rPr>
              <w:t>6</w:t>
            </w:r>
            <w:r>
              <w:rPr>
                <w:rFonts w:hint="default"/>
                <w:color w:val="auto"/>
                <w:lang w:eastAsia="zh-CN"/>
              </w:rPr>
              <w:fldChar w:fldCharType="end"/>
            </w:r>
            <w:r>
              <w:rPr>
                <w:rFonts w:hint="eastAsia"/>
                <w:color w:val="auto"/>
                <w:lang w:val="en-US" w:eastAsia="zh-CN"/>
              </w:rPr>
              <w:t>。</w:t>
            </w:r>
          </w:p>
          <w:p>
            <w:pPr>
              <w:pStyle w:val="10"/>
              <w:bidi w:val="0"/>
              <w:rPr>
                <w:rFonts w:hint="eastAsia"/>
                <w:color w:val="auto"/>
                <w:lang w:val="en-US" w:eastAsia="zh-CN"/>
              </w:rPr>
            </w:pPr>
            <w:r>
              <w:rPr>
                <w:rFonts w:hint="eastAsia"/>
                <w:color w:val="auto"/>
                <w:lang w:val="en-US" w:eastAsia="zh-CN"/>
              </w:rPr>
              <w:t>表4-</w:t>
            </w:r>
            <w:r>
              <w:rPr>
                <w:rFonts w:hint="default"/>
                <w:color w:val="auto"/>
                <w:lang w:eastAsia="zh-CN"/>
              </w:rPr>
              <w:fldChar w:fldCharType="begin"/>
            </w:r>
            <w:r>
              <w:rPr>
                <w:rFonts w:hint="default"/>
                <w:color w:val="auto"/>
                <w:lang w:eastAsia="zh-CN"/>
              </w:rPr>
              <w:instrText xml:space="preserve"> SEQ 表4- \* MERGEFORMAT </w:instrText>
            </w:r>
            <w:r>
              <w:rPr>
                <w:rFonts w:hint="default"/>
                <w:color w:val="auto"/>
                <w:lang w:eastAsia="zh-CN"/>
              </w:rPr>
              <w:fldChar w:fldCharType="separate"/>
            </w:r>
            <w:r>
              <w:rPr>
                <w:rFonts w:hint="default"/>
                <w:color w:val="auto"/>
                <w:lang w:eastAsia="zh-CN"/>
              </w:rPr>
              <w:t>6</w:t>
            </w:r>
            <w:r>
              <w:rPr>
                <w:rFonts w:hint="default"/>
                <w:color w:val="auto"/>
                <w:lang w:eastAsia="zh-CN"/>
              </w:rPr>
              <w:fldChar w:fldCharType="end"/>
            </w:r>
            <w:r>
              <w:rPr>
                <w:rFonts w:hint="eastAsia"/>
                <w:color w:val="auto"/>
                <w:lang w:val="en-US" w:eastAsia="zh-CN"/>
              </w:rPr>
              <w:t xml:space="preserve">  项目运营期废水自行监测要求一览表</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7"/>
              <w:gridCol w:w="2618"/>
              <w:gridCol w:w="26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17" w:type="dxa"/>
                </w:tcPr>
                <w:p>
                  <w:pPr>
                    <w:pStyle w:val="9"/>
                    <w:widowControl w:val="0"/>
                    <w:rPr>
                      <w:rFonts w:hint="default"/>
                      <w:color w:val="auto"/>
                      <w:vertAlign w:val="baseline"/>
                      <w:lang w:val="en-US" w:eastAsia="zh-CN"/>
                    </w:rPr>
                  </w:pPr>
                  <w:r>
                    <w:rPr>
                      <w:rFonts w:hint="eastAsia"/>
                      <w:color w:val="auto"/>
                      <w:vertAlign w:val="baseline"/>
                      <w:lang w:val="en-US" w:eastAsia="zh-CN"/>
                    </w:rPr>
                    <w:t>监测点位</w:t>
                  </w:r>
                </w:p>
              </w:tc>
              <w:tc>
                <w:tcPr>
                  <w:tcW w:w="2618" w:type="dxa"/>
                </w:tcPr>
                <w:p>
                  <w:pPr>
                    <w:pStyle w:val="9"/>
                    <w:widowControl w:val="0"/>
                    <w:rPr>
                      <w:rFonts w:hint="default"/>
                      <w:color w:val="auto"/>
                      <w:vertAlign w:val="baseline"/>
                      <w:lang w:val="en-US" w:eastAsia="zh-CN"/>
                    </w:rPr>
                  </w:pPr>
                  <w:r>
                    <w:rPr>
                      <w:rFonts w:hint="eastAsia"/>
                      <w:color w:val="auto"/>
                      <w:vertAlign w:val="baseline"/>
                      <w:lang w:val="en-US" w:eastAsia="zh-CN"/>
                    </w:rPr>
                    <w:t>监测指标</w:t>
                  </w:r>
                </w:p>
              </w:tc>
              <w:tc>
                <w:tcPr>
                  <w:tcW w:w="2618" w:type="dxa"/>
                </w:tcPr>
                <w:p>
                  <w:pPr>
                    <w:pStyle w:val="9"/>
                    <w:widowControl w:val="0"/>
                    <w:rPr>
                      <w:rFonts w:hint="default"/>
                      <w:color w:val="auto"/>
                      <w:vertAlign w:val="baseline"/>
                      <w:lang w:val="en-US" w:eastAsia="zh-CN"/>
                    </w:rPr>
                  </w:pPr>
                  <w:r>
                    <w:rPr>
                      <w:rFonts w:hint="eastAsia"/>
                      <w:color w:val="auto"/>
                      <w:vertAlign w:val="baseline"/>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17"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废水总排放口</w:t>
                  </w:r>
                </w:p>
              </w:tc>
              <w:tc>
                <w:tcPr>
                  <w:tcW w:w="2618"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P</w:t>
                  </w:r>
                  <w:r>
                    <w:rPr>
                      <w:rFonts w:hint="default"/>
                      <w:color w:val="auto"/>
                      <w:vertAlign w:val="baseline"/>
                      <w:lang w:val="en-US" w:eastAsia="zh-CN"/>
                    </w:rPr>
                    <w:t>H 值、化学需氧量、生化需氧量、氨氮、悬浮物、石油类、LAS</w:t>
                  </w:r>
                </w:p>
              </w:tc>
              <w:tc>
                <w:tcPr>
                  <w:tcW w:w="2618" w:type="dxa"/>
                  <w:vAlign w:val="center"/>
                </w:tcPr>
                <w:p>
                  <w:pPr>
                    <w:pStyle w:val="9"/>
                    <w:widowControl w:val="0"/>
                    <w:jc w:val="center"/>
                    <w:rPr>
                      <w:rFonts w:hint="default"/>
                      <w:color w:val="auto"/>
                      <w:vertAlign w:val="baseline"/>
                      <w:lang w:val="en-US" w:eastAsia="zh-CN"/>
                    </w:rPr>
                  </w:pPr>
                  <w:r>
                    <w:rPr>
                      <w:rFonts w:hint="eastAsia"/>
                      <w:color w:val="auto"/>
                      <w:vertAlign w:val="baseline"/>
                      <w:lang w:val="en-US" w:eastAsia="zh-CN"/>
                    </w:rPr>
                    <w:t>1次</w:t>
                  </w:r>
                  <w:r>
                    <w:rPr>
                      <w:rFonts w:hint="eastAsia" w:ascii="Calibri" w:hAnsi="Calibri" w:cs="Calibri"/>
                      <w:color w:val="auto"/>
                      <w:vertAlign w:val="baseline"/>
                      <w:lang w:val="en-US" w:eastAsia="zh-CN"/>
                    </w:rPr>
                    <w:t>/</w:t>
                  </w:r>
                  <w:r>
                    <w:rPr>
                      <w:rFonts w:hint="eastAsia"/>
                      <w:color w:val="auto"/>
                      <w:vertAlign w:val="baseline"/>
                      <w:lang w:val="en-US" w:eastAsia="zh-CN"/>
                    </w:rPr>
                    <w:t>年</w:t>
                  </w:r>
                </w:p>
              </w:tc>
            </w:tr>
          </w:tbl>
          <w:p>
            <w:pPr>
              <w:pStyle w:val="9"/>
              <w:widowControl w:val="0"/>
              <w:rPr>
                <w:rFonts w:hint="default"/>
                <w:lang w:val="en-US" w:eastAsia="zh-CN"/>
              </w:rPr>
            </w:pPr>
          </w:p>
          <w:p>
            <w:pPr>
              <w:rPr>
                <w:rFonts w:hint="default"/>
                <w:b/>
                <w:bCs/>
                <w:color w:val="auto"/>
                <w:vertAlign w:val="baseline"/>
                <w:lang w:val="en-US" w:eastAsia="zh-CN"/>
              </w:rPr>
            </w:pPr>
            <w:r>
              <w:rPr>
                <w:rFonts w:hint="eastAsia"/>
                <w:b/>
                <w:bCs/>
                <w:color w:val="auto"/>
                <w:vertAlign w:val="baseline"/>
                <w:lang w:val="en-US" w:eastAsia="zh-CN"/>
              </w:rPr>
              <w:t>3、</w:t>
            </w:r>
            <w:r>
              <w:rPr>
                <w:rFonts w:hint="default"/>
                <w:b/>
                <w:bCs/>
                <w:color w:val="auto"/>
                <w:vertAlign w:val="baseline"/>
                <w:lang w:val="en-US" w:eastAsia="zh-CN"/>
              </w:rPr>
              <w:t>声环境影响分析和保护措施</w:t>
            </w:r>
          </w:p>
          <w:p>
            <w:pPr>
              <w:ind w:firstLine="480" w:firstLineChars="200"/>
              <w:rPr>
                <w:rFonts w:hint="default"/>
                <w:color w:val="auto"/>
                <w:vertAlign w:val="baseline"/>
                <w:lang w:val="en-US" w:eastAsia="zh-CN"/>
              </w:rPr>
            </w:pPr>
            <w:r>
              <w:rPr>
                <w:rFonts w:hint="eastAsia"/>
                <w:color w:val="auto"/>
                <w:vertAlign w:val="baseline"/>
                <w:lang w:val="en-US" w:eastAsia="zh-CN"/>
              </w:rPr>
              <w:t>（1）</w:t>
            </w:r>
            <w:r>
              <w:rPr>
                <w:rFonts w:hint="default"/>
                <w:color w:val="auto"/>
                <w:vertAlign w:val="baseline"/>
                <w:lang w:val="en-US" w:eastAsia="zh-CN"/>
              </w:rPr>
              <w:t>主要噪声源强</w:t>
            </w:r>
          </w:p>
          <w:p>
            <w:pPr>
              <w:ind w:firstLine="480" w:firstLineChars="200"/>
              <w:rPr>
                <w:rFonts w:hint="default"/>
                <w:color w:val="auto"/>
                <w:vertAlign w:val="baseline"/>
                <w:lang w:val="en-US" w:eastAsia="zh-CN"/>
              </w:rPr>
            </w:pPr>
            <w:r>
              <w:rPr>
                <w:rFonts w:hint="default"/>
                <w:color w:val="auto"/>
                <w:vertAlign w:val="baseline"/>
                <w:lang w:val="en-US" w:eastAsia="zh-CN"/>
              </w:rPr>
              <w:t>本项目噪声主要项目生产过程产生的噪声主要来源于车辆进出加油站时产生的交通噪声和加油机、洗车机等噪声，类比同类项目，各噪声源的源强</w:t>
            </w:r>
            <w:r>
              <w:rPr>
                <w:rFonts w:hint="eastAsia"/>
                <w:color w:val="auto"/>
                <w:vertAlign w:val="baseline"/>
                <w:lang w:val="en-US" w:eastAsia="zh-CN"/>
              </w:rPr>
              <w:t>、</w:t>
            </w:r>
            <w:r>
              <w:rPr>
                <w:rFonts w:hint="default"/>
                <w:color w:val="auto"/>
                <w:vertAlign w:val="baseline"/>
                <w:lang w:val="en-US" w:eastAsia="zh-CN"/>
              </w:rPr>
              <w:t>排放特征及拟采取的降噪措施见表4-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7</w:t>
            </w:r>
            <w:r>
              <w:rPr>
                <w:rFonts w:hint="default"/>
                <w:color w:val="auto"/>
                <w:vertAlign w:val="baseline"/>
                <w:lang w:eastAsia="zh-CN"/>
              </w:rPr>
              <w:fldChar w:fldCharType="end"/>
            </w:r>
            <w:r>
              <w:rPr>
                <w:rFonts w:hint="eastAsia"/>
                <w:color w:val="auto"/>
                <w:vertAlign w:val="baseline"/>
                <w:lang w:val="en-US" w:eastAsia="zh-CN"/>
              </w:rPr>
              <w:t>和表4-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8</w:t>
            </w:r>
            <w:r>
              <w:rPr>
                <w:rFonts w:hint="default"/>
                <w:color w:val="auto"/>
                <w:vertAlign w:val="baseline"/>
                <w:lang w:eastAsia="zh-CN"/>
              </w:rPr>
              <w:fldChar w:fldCharType="end"/>
            </w:r>
            <w:r>
              <w:rPr>
                <w:rFonts w:hint="default"/>
                <w:color w:val="auto"/>
                <w:vertAlign w:val="baseline"/>
                <w:lang w:val="en-US" w:eastAsia="zh-CN"/>
              </w:rPr>
              <w:t>。</w:t>
            </w:r>
          </w:p>
          <w:p>
            <w:pPr>
              <w:pStyle w:val="10"/>
              <w:bidi w:val="0"/>
              <w:rPr>
                <w:rFonts w:hint="eastAsia"/>
                <w:lang w:val="en-US" w:eastAsia="zh-CN"/>
              </w:rPr>
            </w:pPr>
            <w:r>
              <w:rPr>
                <w:rFonts w:hint="eastAsia"/>
                <w:lang w:val="en-US" w:eastAsia="zh-CN"/>
              </w:rPr>
              <w:t>表4-</w:t>
            </w:r>
            <w:r>
              <w:rPr>
                <w:rFonts w:hint="default"/>
                <w:lang w:eastAsia="zh-CN"/>
              </w:rPr>
              <w:fldChar w:fldCharType="begin"/>
            </w:r>
            <w:r>
              <w:rPr>
                <w:rFonts w:hint="default"/>
                <w:lang w:eastAsia="zh-CN"/>
              </w:rPr>
              <w:instrText xml:space="preserve"> SEQ 表4- </w:instrText>
            </w:r>
            <w:r>
              <w:rPr>
                <w:rFonts w:hint="default"/>
                <w:lang w:eastAsia="zh-CN"/>
              </w:rPr>
              <w:fldChar w:fldCharType="separate"/>
            </w:r>
            <w:r>
              <w:rPr>
                <w:rFonts w:hint="default"/>
                <w:lang w:eastAsia="zh-CN"/>
              </w:rPr>
              <w:t>7</w:t>
            </w:r>
            <w:r>
              <w:rPr>
                <w:rFonts w:hint="default"/>
                <w:lang w:eastAsia="zh-CN"/>
              </w:rPr>
              <w:fldChar w:fldCharType="end"/>
            </w:r>
            <w:r>
              <w:rPr>
                <w:rFonts w:hint="eastAsia"/>
                <w:lang w:val="en-US" w:eastAsia="zh-CN"/>
              </w:rPr>
              <w:t xml:space="preserve">  项目噪声源强调查清单（室外声源）</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855"/>
              <w:gridCol w:w="392"/>
              <w:gridCol w:w="747"/>
              <w:gridCol w:w="747"/>
              <w:gridCol w:w="748"/>
              <w:gridCol w:w="2367"/>
              <w:gridCol w:w="868"/>
              <w:gridCol w:w="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Merge w:val="restart"/>
                  <w:vAlign w:val="center"/>
                </w:tcPr>
                <w:p>
                  <w:pPr>
                    <w:pStyle w:val="9"/>
                    <w:widowControl w:val="0"/>
                    <w:bidi w:val="0"/>
                    <w:jc w:val="center"/>
                    <w:rPr>
                      <w:rFonts w:hint="eastAsia"/>
                      <w:lang w:val="en-US" w:eastAsia="zh-CN"/>
                    </w:rPr>
                  </w:pPr>
                  <w:r>
                    <w:rPr>
                      <w:rFonts w:hint="eastAsia"/>
                      <w:lang w:val="en-US" w:eastAsia="zh-CN"/>
                    </w:rPr>
                    <w:t>序号</w:t>
                  </w:r>
                </w:p>
              </w:tc>
              <w:tc>
                <w:tcPr>
                  <w:tcW w:w="855" w:type="dxa"/>
                  <w:vMerge w:val="restart"/>
                  <w:vAlign w:val="center"/>
                </w:tcPr>
                <w:p>
                  <w:pPr>
                    <w:pStyle w:val="9"/>
                    <w:widowControl w:val="0"/>
                    <w:bidi w:val="0"/>
                    <w:jc w:val="center"/>
                    <w:rPr>
                      <w:rFonts w:hint="eastAsia"/>
                      <w:lang w:val="en-US" w:eastAsia="zh-CN"/>
                    </w:rPr>
                  </w:pPr>
                  <w:r>
                    <w:rPr>
                      <w:rFonts w:hint="eastAsia"/>
                      <w:lang w:val="en-US" w:eastAsia="zh-CN"/>
                    </w:rPr>
                    <w:t>声源名称</w:t>
                  </w:r>
                </w:p>
              </w:tc>
              <w:tc>
                <w:tcPr>
                  <w:tcW w:w="392" w:type="dxa"/>
                  <w:vMerge w:val="restart"/>
                  <w:vAlign w:val="center"/>
                </w:tcPr>
                <w:p>
                  <w:pPr>
                    <w:pStyle w:val="9"/>
                    <w:widowControl w:val="0"/>
                    <w:bidi w:val="0"/>
                    <w:jc w:val="center"/>
                    <w:rPr>
                      <w:rFonts w:hint="eastAsia"/>
                      <w:lang w:val="en-US" w:eastAsia="zh-CN"/>
                    </w:rPr>
                  </w:pPr>
                  <w:r>
                    <w:rPr>
                      <w:rFonts w:hint="eastAsia"/>
                      <w:lang w:val="en-US" w:eastAsia="zh-CN"/>
                    </w:rPr>
                    <w:t>型号</w:t>
                  </w:r>
                </w:p>
              </w:tc>
              <w:tc>
                <w:tcPr>
                  <w:tcW w:w="2242" w:type="dxa"/>
                  <w:gridSpan w:val="3"/>
                  <w:vAlign w:val="center"/>
                </w:tcPr>
                <w:p>
                  <w:pPr>
                    <w:pStyle w:val="9"/>
                    <w:widowControl w:val="0"/>
                    <w:bidi w:val="0"/>
                    <w:jc w:val="center"/>
                    <w:rPr>
                      <w:rFonts w:hint="eastAsia"/>
                      <w:lang w:val="en-US" w:eastAsia="zh-CN"/>
                    </w:rPr>
                  </w:pPr>
                  <w:r>
                    <w:rPr>
                      <w:rFonts w:hint="eastAsia"/>
                      <w:lang w:val="en-US" w:eastAsia="zh-CN"/>
                    </w:rPr>
                    <w:t>空间相对位置</w:t>
                  </w:r>
                  <w:r>
                    <w:rPr>
                      <w:rFonts w:hint="eastAsia" w:ascii="Calibri" w:hAnsi="Calibri" w:cs="Calibri"/>
                      <w:lang w:val="en-US" w:eastAsia="zh-CN"/>
                    </w:rPr>
                    <w:t>/</w:t>
                  </w:r>
                  <w:r>
                    <w:rPr>
                      <w:rFonts w:hint="eastAsia"/>
                      <w:lang w:val="en-US" w:eastAsia="zh-CN"/>
                    </w:rPr>
                    <w:t>m</w:t>
                  </w:r>
                </w:p>
              </w:tc>
              <w:tc>
                <w:tcPr>
                  <w:tcW w:w="2367" w:type="dxa"/>
                  <w:vAlign w:val="center"/>
                </w:tcPr>
                <w:p>
                  <w:pPr>
                    <w:pStyle w:val="9"/>
                    <w:widowControl w:val="0"/>
                    <w:bidi w:val="0"/>
                    <w:jc w:val="center"/>
                    <w:rPr>
                      <w:rFonts w:hint="eastAsia"/>
                      <w:lang w:val="en-US" w:eastAsia="zh-CN"/>
                    </w:rPr>
                  </w:pPr>
                  <w:r>
                    <w:rPr>
                      <w:rFonts w:hint="eastAsia"/>
                      <w:lang w:val="en-US" w:eastAsia="zh-CN"/>
                    </w:rPr>
                    <w:t>声源源强</w:t>
                  </w:r>
                </w:p>
              </w:tc>
              <w:tc>
                <w:tcPr>
                  <w:tcW w:w="868" w:type="dxa"/>
                  <w:vMerge w:val="restart"/>
                  <w:vAlign w:val="center"/>
                </w:tcPr>
                <w:p>
                  <w:pPr>
                    <w:pStyle w:val="9"/>
                    <w:widowControl w:val="0"/>
                    <w:bidi w:val="0"/>
                    <w:jc w:val="center"/>
                    <w:rPr>
                      <w:rFonts w:hint="eastAsia"/>
                      <w:lang w:val="en-US" w:eastAsia="zh-CN"/>
                    </w:rPr>
                  </w:pPr>
                  <w:r>
                    <w:rPr>
                      <w:rFonts w:hint="eastAsia"/>
                      <w:lang w:val="en-US" w:eastAsia="zh-CN"/>
                    </w:rPr>
                    <w:t>声源控制措施</w:t>
                  </w:r>
                </w:p>
              </w:tc>
              <w:tc>
                <w:tcPr>
                  <w:tcW w:w="702" w:type="dxa"/>
                  <w:vMerge w:val="restart"/>
                  <w:vAlign w:val="center"/>
                </w:tcPr>
                <w:p>
                  <w:pPr>
                    <w:pStyle w:val="9"/>
                    <w:widowControl w:val="0"/>
                    <w:bidi w:val="0"/>
                    <w:jc w:val="center"/>
                    <w:rPr>
                      <w:rFonts w:hint="eastAsia"/>
                      <w:lang w:val="en-US" w:eastAsia="zh-CN"/>
                    </w:rPr>
                  </w:pPr>
                  <w:r>
                    <w:rPr>
                      <w:rFonts w:hint="eastAsia"/>
                      <w:lang w:val="en-US" w:eastAsia="zh-CN"/>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Merge w:val="continue"/>
                  <w:vAlign w:val="center"/>
                </w:tcPr>
                <w:p>
                  <w:pPr>
                    <w:pStyle w:val="9"/>
                    <w:widowControl w:val="0"/>
                    <w:bidi w:val="0"/>
                    <w:jc w:val="center"/>
                    <w:rPr>
                      <w:rFonts w:hint="eastAsia"/>
                      <w:lang w:val="en-US" w:eastAsia="zh-CN"/>
                    </w:rPr>
                  </w:pPr>
                </w:p>
              </w:tc>
              <w:tc>
                <w:tcPr>
                  <w:tcW w:w="855" w:type="dxa"/>
                  <w:vMerge w:val="continue"/>
                  <w:vAlign w:val="center"/>
                </w:tcPr>
                <w:p>
                  <w:pPr>
                    <w:pStyle w:val="9"/>
                    <w:widowControl w:val="0"/>
                    <w:bidi w:val="0"/>
                    <w:jc w:val="center"/>
                    <w:rPr>
                      <w:rFonts w:hint="eastAsia"/>
                      <w:lang w:val="en-US" w:eastAsia="zh-CN"/>
                    </w:rPr>
                  </w:pPr>
                </w:p>
              </w:tc>
              <w:tc>
                <w:tcPr>
                  <w:tcW w:w="392" w:type="dxa"/>
                  <w:vMerge w:val="continue"/>
                  <w:vAlign w:val="center"/>
                </w:tcPr>
                <w:p>
                  <w:pPr>
                    <w:pStyle w:val="9"/>
                    <w:widowControl w:val="0"/>
                    <w:bidi w:val="0"/>
                    <w:jc w:val="center"/>
                    <w:rPr>
                      <w:rFonts w:hint="eastAsia"/>
                      <w:lang w:val="en-US" w:eastAsia="zh-CN"/>
                    </w:rPr>
                  </w:pPr>
                </w:p>
              </w:tc>
              <w:tc>
                <w:tcPr>
                  <w:tcW w:w="747" w:type="dxa"/>
                  <w:vAlign w:val="center"/>
                </w:tcPr>
                <w:p>
                  <w:pPr>
                    <w:pStyle w:val="9"/>
                    <w:widowControl w:val="0"/>
                    <w:bidi w:val="0"/>
                    <w:jc w:val="center"/>
                    <w:rPr>
                      <w:rFonts w:hint="eastAsia"/>
                      <w:lang w:val="en-US" w:eastAsia="zh-CN"/>
                    </w:rPr>
                  </w:pPr>
                  <w:r>
                    <w:rPr>
                      <w:rFonts w:hint="eastAsia"/>
                      <w:lang w:val="en-US" w:eastAsia="zh-CN"/>
                    </w:rPr>
                    <w:t>X</w:t>
                  </w:r>
                </w:p>
              </w:tc>
              <w:tc>
                <w:tcPr>
                  <w:tcW w:w="747" w:type="dxa"/>
                  <w:vAlign w:val="center"/>
                </w:tcPr>
                <w:p>
                  <w:pPr>
                    <w:pStyle w:val="9"/>
                    <w:widowControl w:val="0"/>
                    <w:bidi w:val="0"/>
                    <w:jc w:val="center"/>
                    <w:rPr>
                      <w:rFonts w:hint="eastAsia"/>
                      <w:lang w:val="en-US" w:eastAsia="zh-CN"/>
                    </w:rPr>
                  </w:pPr>
                  <w:r>
                    <w:rPr>
                      <w:rFonts w:hint="eastAsia"/>
                      <w:lang w:val="en-US" w:eastAsia="zh-CN"/>
                    </w:rPr>
                    <w:t>Y</w:t>
                  </w:r>
                </w:p>
              </w:tc>
              <w:tc>
                <w:tcPr>
                  <w:tcW w:w="748" w:type="dxa"/>
                  <w:vAlign w:val="center"/>
                </w:tcPr>
                <w:p>
                  <w:pPr>
                    <w:pStyle w:val="9"/>
                    <w:widowControl w:val="0"/>
                    <w:bidi w:val="0"/>
                    <w:jc w:val="center"/>
                    <w:rPr>
                      <w:rFonts w:hint="eastAsia"/>
                      <w:lang w:val="en-US" w:eastAsia="zh-CN"/>
                    </w:rPr>
                  </w:pPr>
                  <w:r>
                    <w:rPr>
                      <w:rFonts w:hint="eastAsia"/>
                      <w:lang w:val="en-US" w:eastAsia="zh-CN"/>
                    </w:rPr>
                    <w:t>Z</w:t>
                  </w:r>
                </w:p>
              </w:tc>
              <w:tc>
                <w:tcPr>
                  <w:tcW w:w="2367" w:type="dxa"/>
                  <w:vAlign w:val="center"/>
                </w:tcPr>
                <w:p>
                  <w:pPr>
                    <w:pStyle w:val="9"/>
                    <w:widowControl w:val="0"/>
                    <w:bidi w:val="0"/>
                    <w:jc w:val="center"/>
                    <w:rPr>
                      <w:rFonts w:hint="eastAsia"/>
                      <w:lang w:val="en-US" w:eastAsia="zh-CN"/>
                    </w:rPr>
                  </w:pPr>
                  <w:r>
                    <w:rPr>
                      <w:rFonts w:hint="eastAsia"/>
                      <w:lang w:val="en-US" w:eastAsia="zh-CN"/>
                    </w:rPr>
                    <w:t>（声压级</w:t>
                  </w:r>
                  <w:r>
                    <w:rPr>
                      <w:rFonts w:hint="eastAsia" w:ascii="Calibri" w:hAnsi="Calibri" w:cs="Calibri"/>
                      <w:lang w:val="en-US" w:eastAsia="zh-CN"/>
                    </w:rPr>
                    <w:t>/</w:t>
                  </w:r>
                  <w:r>
                    <w:rPr>
                      <w:rFonts w:hint="eastAsia"/>
                      <w:lang w:val="en-US" w:eastAsia="zh-CN"/>
                    </w:rPr>
                    <w:t>距声源距离）</w:t>
                  </w:r>
                  <w:r>
                    <w:rPr>
                      <w:rFonts w:hint="eastAsia" w:ascii="Calibri" w:hAnsi="Calibri" w:cs="Calibri"/>
                      <w:lang w:val="en-US" w:eastAsia="zh-CN"/>
                    </w:rPr>
                    <w:t>/</w:t>
                  </w:r>
                  <w:r>
                    <w:rPr>
                      <w:rFonts w:hint="eastAsia"/>
                      <w:lang w:val="en-US" w:eastAsia="zh-CN"/>
                    </w:rPr>
                    <w:t>（dB(A)</w:t>
                  </w:r>
                  <w:r>
                    <w:rPr>
                      <w:rFonts w:hint="eastAsia" w:ascii="Calibri" w:hAnsi="Calibri" w:cs="Calibri"/>
                      <w:lang w:val="en-US" w:eastAsia="zh-CN"/>
                    </w:rPr>
                    <w:t>/</w:t>
                  </w:r>
                  <w:r>
                    <w:rPr>
                      <w:rFonts w:hint="eastAsia"/>
                      <w:lang w:val="en-US" w:eastAsia="zh-CN"/>
                    </w:rPr>
                    <w:t>m）</w:t>
                  </w:r>
                </w:p>
              </w:tc>
              <w:tc>
                <w:tcPr>
                  <w:tcW w:w="868" w:type="dxa"/>
                  <w:vMerge w:val="continue"/>
                  <w:vAlign w:val="center"/>
                </w:tcPr>
                <w:p>
                  <w:pPr>
                    <w:pStyle w:val="9"/>
                    <w:widowControl w:val="0"/>
                    <w:bidi w:val="0"/>
                    <w:jc w:val="center"/>
                    <w:rPr>
                      <w:rFonts w:hint="eastAsia"/>
                      <w:lang w:val="en-US" w:eastAsia="zh-CN"/>
                    </w:rPr>
                  </w:pPr>
                </w:p>
              </w:tc>
              <w:tc>
                <w:tcPr>
                  <w:tcW w:w="702" w:type="dxa"/>
                  <w:vMerge w:val="continue"/>
                  <w:vAlign w:val="center"/>
                </w:tcPr>
                <w:p>
                  <w:pPr>
                    <w:pStyle w:val="9"/>
                    <w:widowControl w:val="0"/>
                    <w:bidi w:val="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pStyle w:val="9"/>
                    <w:widowControl w:val="0"/>
                    <w:bidi w:val="0"/>
                    <w:jc w:val="center"/>
                    <w:rPr>
                      <w:rFonts w:hint="default"/>
                      <w:lang w:val="en-US" w:eastAsia="zh-CN"/>
                    </w:rPr>
                  </w:pPr>
                  <w:r>
                    <w:rPr>
                      <w:rFonts w:hint="eastAsia"/>
                      <w:lang w:val="en-US" w:eastAsia="zh-CN"/>
                    </w:rPr>
                    <w:t>1</w:t>
                  </w:r>
                </w:p>
              </w:tc>
              <w:tc>
                <w:tcPr>
                  <w:tcW w:w="855" w:type="dxa"/>
                  <w:vAlign w:val="center"/>
                </w:tcPr>
                <w:p>
                  <w:pPr>
                    <w:pStyle w:val="9"/>
                    <w:widowControl w:val="0"/>
                    <w:bidi w:val="0"/>
                    <w:jc w:val="center"/>
                    <w:rPr>
                      <w:rFonts w:hint="default"/>
                      <w:lang w:val="en-US" w:eastAsia="zh-CN"/>
                    </w:rPr>
                  </w:pPr>
                  <w:r>
                    <w:rPr>
                      <w:rFonts w:hint="eastAsia"/>
                      <w:lang w:val="en-US" w:eastAsia="zh-CN"/>
                    </w:rPr>
                    <w:t>加油机</w:t>
                  </w:r>
                </w:p>
              </w:tc>
              <w:tc>
                <w:tcPr>
                  <w:tcW w:w="392" w:type="dxa"/>
                  <w:vAlign w:val="center"/>
                </w:tcPr>
                <w:p>
                  <w:pPr>
                    <w:pStyle w:val="9"/>
                    <w:widowControl w:val="0"/>
                    <w:bidi w:val="0"/>
                    <w:jc w:val="center"/>
                    <w:rPr>
                      <w:rFonts w:hint="default"/>
                      <w:lang w:val="en-US" w:eastAsia="zh-CN"/>
                    </w:rPr>
                  </w:pPr>
                  <w:r>
                    <w:rPr>
                      <w:rFonts w:hint="eastAsia" w:ascii="Calibri" w:hAnsi="Calibri" w:cs="Calibri"/>
                      <w:lang w:val="en-US" w:eastAsia="zh-CN"/>
                    </w:rPr>
                    <w:t>/</w:t>
                  </w:r>
                </w:p>
              </w:tc>
              <w:tc>
                <w:tcPr>
                  <w:tcW w:w="747" w:type="dxa"/>
                  <w:vAlign w:val="center"/>
                </w:tcPr>
                <w:p>
                  <w:pPr>
                    <w:pStyle w:val="9"/>
                    <w:widowControl w:val="0"/>
                    <w:bidi w:val="0"/>
                    <w:jc w:val="center"/>
                    <w:rPr>
                      <w:rFonts w:hint="eastAsia"/>
                      <w:lang w:val="en-US" w:eastAsia="zh-CN"/>
                    </w:rPr>
                  </w:pPr>
                  <w:r>
                    <w:rPr>
                      <w:rFonts w:hint="eastAsia"/>
                      <w:lang w:val="en-US" w:eastAsia="zh-CN"/>
                    </w:rPr>
                    <w:t>16</w:t>
                  </w:r>
                </w:p>
              </w:tc>
              <w:tc>
                <w:tcPr>
                  <w:tcW w:w="747" w:type="dxa"/>
                  <w:vAlign w:val="center"/>
                </w:tcPr>
                <w:p>
                  <w:pPr>
                    <w:pStyle w:val="9"/>
                    <w:widowControl w:val="0"/>
                    <w:bidi w:val="0"/>
                    <w:jc w:val="center"/>
                    <w:rPr>
                      <w:rFonts w:hint="eastAsia"/>
                      <w:lang w:val="en-US" w:eastAsia="zh-CN"/>
                    </w:rPr>
                  </w:pPr>
                  <w:r>
                    <w:rPr>
                      <w:rFonts w:hint="eastAsia"/>
                      <w:lang w:val="en-US" w:eastAsia="zh-CN"/>
                    </w:rPr>
                    <w:t>-1.3</w:t>
                  </w:r>
                </w:p>
              </w:tc>
              <w:tc>
                <w:tcPr>
                  <w:tcW w:w="748" w:type="dxa"/>
                  <w:vAlign w:val="center"/>
                </w:tcPr>
                <w:p>
                  <w:pPr>
                    <w:pStyle w:val="9"/>
                    <w:widowControl w:val="0"/>
                    <w:bidi w:val="0"/>
                    <w:jc w:val="center"/>
                    <w:rPr>
                      <w:rFonts w:hint="eastAsia"/>
                      <w:lang w:val="en-US" w:eastAsia="zh-CN"/>
                    </w:rPr>
                  </w:pPr>
                  <w:r>
                    <w:rPr>
                      <w:rFonts w:hint="eastAsia"/>
                      <w:lang w:val="en-US" w:eastAsia="zh-CN"/>
                    </w:rPr>
                    <w:t>81.7</w:t>
                  </w:r>
                </w:p>
              </w:tc>
              <w:tc>
                <w:tcPr>
                  <w:tcW w:w="2367" w:type="dxa"/>
                  <w:vAlign w:val="center"/>
                </w:tcPr>
                <w:p>
                  <w:pPr>
                    <w:pStyle w:val="9"/>
                    <w:widowControl w:val="0"/>
                    <w:bidi w:val="0"/>
                    <w:jc w:val="center"/>
                    <w:rPr>
                      <w:rFonts w:hint="eastAsia"/>
                      <w:lang w:val="en-US" w:eastAsia="zh-CN"/>
                    </w:rPr>
                  </w:pPr>
                  <w:r>
                    <w:rPr>
                      <w:rFonts w:hint="eastAsia"/>
                      <w:lang w:val="en-US" w:eastAsia="zh-CN"/>
                    </w:rPr>
                    <w:t>55</w:t>
                  </w:r>
                  <w:r>
                    <w:rPr>
                      <w:rFonts w:hint="eastAsia" w:ascii="Calibri" w:hAnsi="Calibri" w:cs="Calibri"/>
                      <w:lang w:val="en-US" w:eastAsia="zh-CN"/>
                    </w:rPr>
                    <w:t>/</w:t>
                  </w:r>
                  <w:r>
                    <w:rPr>
                      <w:rFonts w:hint="eastAsia"/>
                      <w:lang w:val="en-US" w:eastAsia="zh-CN"/>
                    </w:rPr>
                    <w:t>1</w:t>
                  </w:r>
                </w:p>
              </w:tc>
              <w:tc>
                <w:tcPr>
                  <w:tcW w:w="868" w:type="dxa"/>
                  <w:vMerge w:val="restart"/>
                  <w:vAlign w:val="center"/>
                </w:tcPr>
                <w:p>
                  <w:pPr>
                    <w:pStyle w:val="9"/>
                    <w:widowControl w:val="0"/>
                    <w:bidi w:val="0"/>
                    <w:jc w:val="center"/>
                    <w:rPr>
                      <w:rFonts w:hint="eastAsia"/>
                      <w:lang w:val="en-US" w:eastAsia="zh-CN"/>
                    </w:rPr>
                  </w:pPr>
                  <w:r>
                    <w:rPr>
                      <w:rFonts w:hint="eastAsia" w:eastAsia="宋体"/>
                      <w:color w:val="auto"/>
                      <w:sz w:val="21"/>
                      <w:szCs w:val="21"/>
                      <w:vertAlign w:val="baseline"/>
                      <w:lang w:val="en-US" w:eastAsia="zh-CN"/>
                    </w:rPr>
                    <w:t>选用低噪声设备</w:t>
                  </w:r>
                </w:p>
              </w:tc>
              <w:tc>
                <w:tcPr>
                  <w:tcW w:w="702" w:type="dxa"/>
                  <w:vAlign w:val="center"/>
                </w:tcPr>
                <w:p>
                  <w:pPr>
                    <w:pStyle w:val="9"/>
                    <w:widowControl w:val="0"/>
                    <w:bidi w:val="0"/>
                    <w:jc w:val="center"/>
                    <w:rPr>
                      <w:rFonts w:hint="default"/>
                      <w:lang w:val="en-US" w:eastAsia="zh-CN"/>
                    </w:rPr>
                  </w:pPr>
                  <w:r>
                    <w:rPr>
                      <w:rFonts w:hint="eastAsia"/>
                      <w:lang w:val="en-US" w:eastAsia="zh-CN"/>
                    </w:rPr>
                    <w:t>24h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pStyle w:val="9"/>
                    <w:widowControl w:val="0"/>
                    <w:bidi w:val="0"/>
                    <w:jc w:val="center"/>
                    <w:rPr>
                      <w:rFonts w:hint="default"/>
                      <w:lang w:val="en-US" w:eastAsia="zh-CN"/>
                    </w:rPr>
                  </w:pPr>
                  <w:r>
                    <w:rPr>
                      <w:rFonts w:hint="eastAsia"/>
                      <w:lang w:val="en-US" w:eastAsia="zh-CN"/>
                    </w:rPr>
                    <w:t>2</w:t>
                  </w:r>
                </w:p>
              </w:tc>
              <w:tc>
                <w:tcPr>
                  <w:tcW w:w="855" w:type="dxa"/>
                  <w:vAlign w:val="center"/>
                </w:tcPr>
                <w:p>
                  <w:pPr>
                    <w:pStyle w:val="9"/>
                    <w:widowControl w:val="0"/>
                    <w:bidi w:val="0"/>
                    <w:jc w:val="center"/>
                    <w:rPr>
                      <w:rFonts w:hint="default"/>
                      <w:lang w:val="en-US" w:eastAsia="zh-CN"/>
                    </w:rPr>
                  </w:pPr>
                  <w:r>
                    <w:rPr>
                      <w:rFonts w:hint="eastAsia"/>
                      <w:lang w:val="en-US" w:eastAsia="zh-CN"/>
                    </w:rPr>
                    <w:t>自动洗车机</w:t>
                  </w:r>
                </w:p>
              </w:tc>
              <w:tc>
                <w:tcPr>
                  <w:tcW w:w="392" w:type="dxa"/>
                  <w:vAlign w:val="center"/>
                </w:tcPr>
                <w:p>
                  <w:pPr>
                    <w:pStyle w:val="9"/>
                    <w:widowControl w:val="0"/>
                    <w:bidi w:val="0"/>
                    <w:jc w:val="center"/>
                    <w:rPr>
                      <w:rFonts w:hint="default"/>
                      <w:lang w:val="en-US" w:eastAsia="zh-CN"/>
                    </w:rPr>
                  </w:pPr>
                  <w:r>
                    <w:rPr>
                      <w:rFonts w:hint="eastAsia" w:ascii="Calibri" w:hAnsi="Calibri" w:cs="Calibri"/>
                      <w:lang w:val="en-US" w:eastAsia="zh-CN"/>
                    </w:rPr>
                    <w:t>/</w:t>
                  </w:r>
                </w:p>
              </w:tc>
              <w:tc>
                <w:tcPr>
                  <w:tcW w:w="747" w:type="dxa"/>
                  <w:vAlign w:val="center"/>
                </w:tcPr>
                <w:p>
                  <w:pPr>
                    <w:pStyle w:val="9"/>
                    <w:widowControl w:val="0"/>
                    <w:bidi w:val="0"/>
                    <w:jc w:val="center"/>
                    <w:rPr>
                      <w:rFonts w:hint="eastAsia"/>
                      <w:lang w:val="en-US" w:eastAsia="zh-CN"/>
                    </w:rPr>
                  </w:pPr>
                  <w:r>
                    <w:rPr>
                      <w:rFonts w:hint="eastAsia"/>
                      <w:lang w:val="en-US" w:eastAsia="zh-CN"/>
                    </w:rPr>
                    <w:t>-21.3</w:t>
                  </w:r>
                </w:p>
              </w:tc>
              <w:tc>
                <w:tcPr>
                  <w:tcW w:w="747" w:type="dxa"/>
                  <w:vAlign w:val="center"/>
                </w:tcPr>
                <w:p>
                  <w:pPr>
                    <w:pStyle w:val="9"/>
                    <w:widowControl w:val="0"/>
                    <w:bidi w:val="0"/>
                    <w:jc w:val="center"/>
                    <w:rPr>
                      <w:rFonts w:hint="eastAsia"/>
                      <w:lang w:val="en-US" w:eastAsia="zh-CN"/>
                    </w:rPr>
                  </w:pPr>
                  <w:r>
                    <w:rPr>
                      <w:rFonts w:hint="eastAsia"/>
                      <w:lang w:val="en-US" w:eastAsia="zh-CN"/>
                    </w:rPr>
                    <w:t>5.6</w:t>
                  </w:r>
                </w:p>
              </w:tc>
              <w:tc>
                <w:tcPr>
                  <w:tcW w:w="748" w:type="dxa"/>
                  <w:vAlign w:val="center"/>
                </w:tcPr>
                <w:p>
                  <w:pPr>
                    <w:pStyle w:val="9"/>
                    <w:widowControl w:val="0"/>
                    <w:bidi w:val="0"/>
                    <w:jc w:val="center"/>
                    <w:rPr>
                      <w:rFonts w:hint="eastAsia"/>
                      <w:lang w:val="en-US" w:eastAsia="zh-CN"/>
                    </w:rPr>
                  </w:pPr>
                  <w:r>
                    <w:rPr>
                      <w:rFonts w:hint="eastAsia"/>
                      <w:lang w:val="en-US" w:eastAsia="zh-CN"/>
                    </w:rPr>
                    <w:t>83.5</w:t>
                  </w:r>
                </w:p>
              </w:tc>
              <w:tc>
                <w:tcPr>
                  <w:tcW w:w="2367" w:type="dxa"/>
                  <w:vAlign w:val="center"/>
                </w:tcPr>
                <w:p>
                  <w:pPr>
                    <w:pStyle w:val="9"/>
                    <w:widowControl w:val="0"/>
                    <w:bidi w:val="0"/>
                    <w:jc w:val="center"/>
                    <w:rPr>
                      <w:rFonts w:hint="eastAsia"/>
                      <w:lang w:val="en-US" w:eastAsia="zh-CN"/>
                    </w:rPr>
                  </w:pPr>
                  <w:r>
                    <w:rPr>
                      <w:rFonts w:hint="eastAsia"/>
                      <w:lang w:val="en-US" w:eastAsia="zh-CN"/>
                    </w:rPr>
                    <w:t>70</w:t>
                  </w:r>
                  <w:r>
                    <w:rPr>
                      <w:rFonts w:hint="eastAsia" w:ascii="Calibri" w:hAnsi="Calibri" w:cs="Calibri"/>
                      <w:lang w:val="en-US" w:eastAsia="zh-CN"/>
                    </w:rPr>
                    <w:t>/</w:t>
                  </w:r>
                  <w:r>
                    <w:rPr>
                      <w:rFonts w:hint="eastAsia"/>
                      <w:lang w:val="en-US" w:eastAsia="zh-CN"/>
                    </w:rPr>
                    <w:t>1</w:t>
                  </w:r>
                </w:p>
              </w:tc>
              <w:tc>
                <w:tcPr>
                  <w:tcW w:w="868" w:type="dxa"/>
                  <w:vMerge w:val="continue"/>
                  <w:vAlign w:val="center"/>
                </w:tcPr>
                <w:p>
                  <w:pPr>
                    <w:pStyle w:val="9"/>
                    <w:widowControl w:val="0"/>
                    <w:bidi w:val="0"/>
                    <w:jc w:val="center"/>
                    <w:rPr>
                      <w:rFonts w:hint="eastAsia"/>
                      <w:lang w:val="en-US" w:eastAsia="zh-CN"/>
                    </w:rPr>
                  </w:pPr>
                </w:p>
              </w:tc>
              <w:tc>
                <w:tcPr>
                  <w:tcW w:w="702" w:type="dxa"/>
                  <w:vAlign w:val="center"/>
                </w:tcPr>
                <w:p>
                  <w:pPr>
                    <w:bidi w:val="0"/>
                    <w:jc w:val="center"/>
                    <w:rPr>
                      <w:rFonts w:hint="eastAsia"/>
                      <w:lang w:val="en-US" w:eastAsia="zh-CN"/>
                    </w:rPr>
                  </w:pPr>
                  <w:r>
                    <w:rPr>
                      <w:rFonts w:hint="eastAsia" w:eastAsia="宋体"/>
                      <w:color w:val="auto"/>
                      <w:sz w:val="21"/>
                      <w:szCs w:val="21"/>
                      <w:vertAlign w:val="baseline"/>
                      <w:lang w:val="en-US" w:eastAsia="zh-CN"/>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pStyle w:val="9"/>
                    <w:widowControl w:val="0"/>
                    <w:bidi w:val="0"/>
                    <w:jc w:val="center"/>
                    <w:rPr>
                      <w:rFonts w:hint="default"/>
                      <w:lang w:val="en-US" w:eastAsia="zh-CN"/>
                    </w:rPr>
                  </w:pPr>
                  <w:r>
                    <w:rPr>
                      <w:rFonts w:hint="eastAsia"/>
                      <w:lang w:val="en-US" w:eastAsia="zh-CN"/>
                    </w:rPr>
                    <w:t>3</w:t>
                  </w:r>
                </w:p>
              </w:tc>
              <w:tc>
                <w:tcPr>
                  <w:tcW w:w="855" w:type="dxa"/>
                  <w:vAlign w:val="center"/>
                </w:tcPr>
                <w:p>
                  <w:pPr>
                    <w:pStyle w:val="9"/>
                    <w:widowControl w:val="0"/>
                    <w:bidi w:val="0"/>
                    <w:jc w:val="center"/>
                    <w:rPr>
                      <w:rFonts w:hint="default"/>
                      <w:lang w:val="en-US" w:eastAsia="zh-CN"/>
                    </w:rPr>
                  </w:pPr>
                  <w:r>
                    <w:rPr>
                      <w:rFonts w:hint="eastAsia"/>
                      <w:lang w:val="en-US" w:eastAsia="zh-CN"/>
                    </w:rPr>
                    <w:t>精洗冲洗设备</w:t>
                  </w:r>
                </w:p>
              </w:tc>
              <w:tc>
                <w:tcPr>
                  <w:tcW w:w="392" w:type="dxa"/>
                  <w:vAlign w:val="center"/>
                </w:tcPr>
                <w:p>
                  <w:pPr>
                    <w:pStyle w:val="9"/>
                    <w:widowControl w:val="0"/>
                    <w:bidi w:val="0"/>
                    <w:jc w:val="center"/>
                    <w:rPr>
                      <w:rFonts w:hint="default"/>
                      <w:lang w:val="en-US" w:eastAsia="zh-CN"/>
                    </w:rPr>
                  </w:pPr>
                  <w:r>
                    <w:rPr>
                      <w:rFonts w:hint="eastAsia" w:ascii="Calibri" w:hAnsi="Calibri" w:cs="Calibri"/>
                      <w:lang w:val="en-US" w:eastAsia="zh-CN"/>
                    </w:rPr>
                    <w:t>/</w:t>
                  </w:r>
                </w:p>
              </w:tc>
              <w:tc>
                <w:tcPr>
                  <w:tcW w:w="747" w:type="dxa"/>
                  <w:vAlign w:val="center"/>
                </w:tcPr>
                <w:p>
                  <w:pPr>
                    <w:pStyle w:val="9"/>
                    <w:widowControl w:val="0"/>
                    <w:bidi w:val="0"/>
                    <w:jc w:val="center"/>
                    <w:rPr>
                      <w:rFonts w:hint="eastAsia"/>
                      <w:lang w:val="en-US" w:eastAsia="zh-CN"/>
                    </w:rPr>
                  </w:pPr>
                  <w:r>
                    <w:rPr>
                      <w:rFonts w:hint="eastAsia"/>
                      <w:lang w:val="en-US" w:eastAsia="zh-CN"/>
                    </w:rPr>
                    <w:t>8.2</w:t>
                  </w:r>
                </w:p>
              </w:tc>
              <w:tc>
                <w:tcPr>
                  <w:tcW w:w="747" w:type="dxa"/>
                  <w:vAlign w:val="center"/>
                </w:tcPr>
                <w:p>
                  <w:pPr>
                    <w:pStyle w:val="9"/>
                    <w:widowControl w:val="0"/>
                    <w:bidi w:val="0"/>
                    <w:jc w:val="center"/>
                    <w:rPr>
                      <w:rFonts w:hint="eastAsia"/>
                      <w:lang w:val="en-US" w:eastAsia="zh-CN"/>
                    </w:rPr>
                  </w:pPr>
                  <w:r>
                    <w:rPr>
                      <w:rFonts w:hint="eastAsia"/>
                      <w:lang w:val="en-US" w:eastAsia="zh-CN"/>
                    </w:rPr>
                    <w:t>-28.7</w:t>
                  </w:r>
                </w:p>
              </w:tc>
              <w:tc>
                <w:tcPr>
                  <w:tcW w:w="748" w:type="dxa"/>
                  <w:vAlign w:val="center"/>
                </w:tcPr>
                <w:p>
                  <w:pPr>
                    <w:pStyle w:val="9"/>
                    <w:widowControl w:val="0"/>
                    <w:bidi w:val="0"/>
                    <w:jc w:val="center"/>
                    <w:rPr>
                      <w:rFonts w:hint="eastAsia"/>
                      <w:lang w:val="en-US" w:eastAsia="zh-CN"/>
                    </w:rPr>
                  </w:pPr>
                  <w:r>
                    <w:rPr>
                      <w:rFonts w:hint="eastAsia"/>
                      <w:lang w:val="en-US" w:eastAsia="zh-CN"/>
                    </w:rPr>
                    <w:t>82.8</w:t>
                  </w:r>
                </w:p>
              </w:tc>
              <w:tc>
                <w:tcPr>
                  <w:tcW w:w="2367" w:type="dxa"/>
                  <w:vAlign w:val="center"/>
                </w:tcPr>
                <w:p>
                  <w:pPr>
                    <w:pStyle w:val="9"/>
                    <w:widowControl w:val="0"/>
                    <w:bidi w:val="0"/>
                    <w:jc w:val="center"/>
                    <w:rPr>
                      <w:rFonts w:hint="eastAsia"/>
                      <w:lang w:val="en-US" w:eastAsia="zh-CN"/>
                    </w:rPr>
                  </w:pPr>
                  <w:r>
                    <w:rPr>
                      <w:rFonts w:hint="eastAsia"/>
                      <w:lang w:val="en-US" w:eastAsia="zh-CN"/>
                    </w:rPr>
                    <w:t>70</w:t>
                  </w:r>
                  <w:r>
                    <w:rPr>
                      <w:rFonts w:hint="eastAsia" w:ascii="Calibri" w:hAnsi="Calibri" w:cs="Calibri"/>
                      <w:lang w:val="en-US" w:eastAsia="zh-CN"/>
                    </w:rPr>
                    <w:t>/</w:t>
                  </w:r>
                  <w:r>
                    <w:rPr>
                      <w:rFonts w:hint="eastAsia"/>
                      <w:lang w:val="en-US" w:eastAsia="zh-CN"/>
                    </w:rPr>
                    <w:t>1</w:t>
                  </w:r>
                </w:p>
              </w:tc>
              <w:tc>
                <w:tcPr>
                  <w:tcW w:w="868" w:type="dxa"/>
                  <w:vMerge w:val="continue"/>
                  <w:vAlign w:val="center"/>
                </w:tcPr>
                <w:p>
                  <w:pPr>
                    <w:pStyle w:val="9"/>
                    <w:widowControl w:val="0"/>
                    <w:bidi w:val="0"/>
                    <w:jc w:val="center"/>
                    <w:rPr>
                      <w:rFonts w:hint="eastAsia"/>
                      <w:lang w:val="en-US" w:eastAsia="zh-CN"/>
                    </w:rPr>
                  </w:pPr>
                </w:p>
              </w:tc>
              <w:tc>
                <w:tcPr>
                  <w:tcW w:w="702" w:type="dxa"/>
                  <w:vAlign w:val="center"/>
                </w:tcPr>
                <w:p>
                  <w:pPr>
                    <w:bidi w:val="0"/>
                    <w:jc w:val="center"/>
                    <w:rPr>
                      <w:rFonts w:hint="eastAsia"/>
                      <w:lang w:val="en-US" w:eastAsia="zh-CN"/>
                    </w:rPr>
                  </w:pPr>
                  <w:r>
                    <w:rPr>
                      <w:rFonts w:hint="eastAsia" w:eastAsia="宋体"/>
                      <w:color w:val="auto"/>
                      <w:sz w:val="21"/>
                      <w:szCs w:val="21"/>
                      <w:vertAlign w:val="baseline"/>
                      <w:lang w:val="en-US" w:eastAsia="zh-CN"/>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dxa"/>
                  <w:vAlign w:val="center"/>
                </w:tcPr>
                <w:p>
                  <w:pPr>
                    <w:pStyle w:val="9"/>
                    <w:widowControl w:val="0"/>
                    <w:bidi w:val="0"/>
                    <w:jc w:val="center"/>
                    <w:rPr>
                      <w:rFonts w:hint="default"/>
                      <w:lang w:val="en-US" w:eastAsia="zh-CN"/>
                    </w:rPr>
                  </w:pPr>
                  <w:r>
                    <w:rPr>
                      <w:rFonts w:hint="eastAsia"/>
                      <w:lang w:val="en-US" w:eastAsia="zh-CN"/>
                    </w:rPr>
                    <w:t>4</w:t>
                  </w:r>
                </w:p>
              </w:tc>
              <w:tc>
                <w:tcPr>
                  <w:tcW w:w="855" w:type="dxa"/>
                  <w:vAlign w:val="center"/>
                </w:tcPr>
                <w:p>
                  <w:pPr>
                    <w:pStyle w:val="9"/>
                    <w:widowControl w:val="0"/>
                    <w:bidi w:val="0"/>
                    <w:jc w:val="center"/>
                    <w:rPr>
                      <w:rFonts w:hint="default"/>
                      <w:lang w:val="en-US" w:eastAsia="zh-CN"/>
                    </w:rPr>
                  </w:pPr>
                  <w:r>
                    <w:rPr>
                      <w:rFonts w:hint="eastAsia"/>
                      <w:lang w:val="en-US" w:eastAsia="zh-CN"/>
                    </w:rPr>
                    <w:t>进出车辆</w:t>
                  </w:r>
                </w:p>
              </w:tc>
              <w:tc>
                <w:tcPr>
                  <w:tcW w:w="392" w:type="dxa"/>
                  <w:vAlign w:val="center"/>
                </w:tcPr>
                <w:p>
                  <w:pPr>
                    <w:pStyle w:val="9"/>
                    <w:widowControl w:val="0"/>
                    <w:bidi w:val="0"/>
                    <w:jc w:val="center"/>
                    <w:rPr>
                      <w:rFonts w:hint="default"/>
                      <w:lang w:val="en-US" w:eastAsia="zh-CN"/>
                    </w:rPr>
                  </w:pPr>
                  <w:r>
                    <w:rPr>
                      <w:rFonts w:hint="eastAsia" w:ascii="Calibri" w:hAnsi="Calibri" w:cs="Calibri"/>
                      <w:lang w:val="en-US" w:eastAsia="zh-CN"/>
                    </w:rPr>
                    <w:t>/</w:t>
                  </w:r>
                </w:p>
              </w:tc>
              <w:tc>
                <w:tcPr>
                  <w:tcW w:w="747" w:type="dxa"/>
                  <w:vAlign w:val="center"/>
                </w:tcPr>
                <w:p>
                  <w:pPr>
                    <w:pStyle w:val="9"/>
                    <w:widowControl w:val="0"/>
                    <w:bidi w:val="0"/>
                    <w:jc w:val="center"/>
                    <w:rPr>
                      <w:rFonts w:hint="eastAsia"/>
                      <w:lang w:val="en-US" w:eastAsia="zh-CN"/>
                    </w:rPr>
                  </w:pPr>
                  <w:r>
                    <w:rPr>
                      <w:rFonts w:hint="eastAsia"/>
                      <w:lang w:val="en-US" w:eastAsia="zh-CN"/>
                    </w:rPr>
                    <w:t>23.9</w:t>
                  </w:r>
                </w:p>
              </w:tc>
              <w:tc>
                <w:tcPr>
                  <w:tcW w:w="747" w:type="dxa"/>
                  <w:vAlign w:val="center"/>
                </w:tcPr>
                <w:p>
                  <w:pPr>
                    <w:pStyle w:val="9"/>
                    <w:widowControl w:val="0"/>
                    <w:bidi w:val="0"/>
                    <w:jc w:val="center"/>
                    <w:rPr>
                      <w:rFonts w:hint="eastAsia"/>
                      <w:lang w:val="en-US" w:eastAsia="zh-CN"/>
                    </w:rPr>
                  </w:pPr>
                  <w:r>
                    <w:rPr>
                      <w:rFonts w:hint="eastAsia"/>
                      <w:lang w:val="en-US" w:eastAsia="zh-CN"/>
                    </w:rPr>
                    <w:t>27.1</w:t>
                  </w:r>
                </w:p>
              </w:tc>
              <w:tc>
                <w:tcPr>
                  <w:tcW w:w="748" w:type="dxa"/>
                  <w:vAlign w:val="center"/>
                </w:tcPr>
                <w:p>
                  <w:pPr>
                    <w:pStyle w:val="9"/>
                    <w:widowControl w:val="0"/>
                    <w:bidi w:val="0"/>
                    <w:jc w:val="center"/>
                    <w:rPr>
                      <w:rFonts w:hint="eastAsia"/>
                      <w:lang w:val="en-US" w:eastAsia="zh-CN"/>
                    </w:rPr>
                  </w:pPr>
                  <w:r>
                    <w:rPr>
                      <w:rFonts w:hint="eastAsia"/>
                      <w:lang w:val="en-US" w:eastAsia="zh-CN"/>
                    </w:rPr>
                    <w:t>81.2</w:t>
                  </w:r>
                </w:p>
              </w:tc>
              <w:tc>
                <w:tcPr>
                  <w:tcW w:w="2367" w:type="dxa"/>
                  <w:vAlign w:val="center"/>
                </w:tcPr>
                <w:p>
                  <w:pPr>
                    <w:pStyle w:val="9"/>
                    <w:widowControl w:val="0"/>
                    <w:bidi w:val="0"/>
                    <w:jc w:val="center"/>
                    <w:rPr>
                      <w:rFonts w:hint="eastAsia"/>
                      <w:lang w:val="en-US" w:eastAsia="zh-CN"/>
                    </w:rPr>
                  </w:pPr>
                  <w:r>
                    <w:rPr>
                      <w:rFonts w:hint="eastAsia"/>
                      <w:lang w:val="en-US" w:eastAsia="zh-CN"/>
                    </w:rPr>
                    <w:t>65</w:t>
                  </w:r>
                  <w:r>
                    <w:rPr>
                      <w:rFonts w:hint="eastAsia" w:ascii="Calibri" w:hAnsi="Calibri" w:cs="Calibri"/>
                      <w:lang w:val="en-US" w:eastAsia="zh-CN"/>
                    </w:rPr>
                    <w:t>/</w:t>
                  </w:r>
                  <w:r>
                    <w:rPr>
                      <w:rFonts w:hint="eastAsia"/>
                      <w:lang w:val="en-US" w:eastAsia="zh-CN"/>
                    </w:rPr>
                    <w:t>1</w:t>
                  </w:r>
                </w:p>
              </w:tc>
              <w:tc>
                <w:tcPr>
                  <w:tcW w:w="868" w:type="dxa"/>
                  <w:vAlign w:val="center"/>
                </w:tcPr>
                <w:p>
                  <w:pPr>
                    <w:pStyle w:val="9"/>
                    <w:widowControl w:val="0"/>
                    <w:bidi w:val="0"/>
                    <w:jc w:val="center"/>
                    <w:rPr>
                      <w:rFonts w:hint="default"/>
                      <w:lang w:val="en-US" w:eastAsia="zh-CN"/>
                    </w:rPr>
                  </w:pPr>
                  <w:r>
                    <w:rPr>
                      <w:rFonts w:hint="eastAsia"/>
                      <w:lang w:val="en-US" w:eastAsia="zh-CN"/>
                    </w:rPr>
                    <w:t>减速禁鸣</w:t>
                  </w:r>
                </w:p>
              </w:tc>
              <w:tc>
                <w:tcPr>
                  <w:tcW w:w="702" w:type="dxa"/>
                  <w:vAlign w:val="center"/>
                </w:tcPr>
                <w:p>
                  <w:pPr>
                    <w:bidi w:val="0"/>
                    <w:jc w:val="center"/>
                    <w:rPr>
                      <w:rFonts w:hint="eastAsia"/>
                      <w:lang w:val="en-US" w:eastAsia="zh-CN"/>
                    </w:rPr>
                  </w:pPr>
                  <w:r>
                    <w:rPr>
                      <w:rFonts w:hint="eastAsia" w:eastAsia="宋体"/>
                      <w:color w:val="auto"/>
                      <w:sz w:val="21"/>
                      <w:szCs w:val="21"/>
                      <w:vertAlign w:val="baseline"/>
                      <w:lang w:val="en-US" w:eastAsia="zh-CN"/>
                    </w:rPr>
                    <w:t>间歇</w:t>
                  </w:r>
                </w:p>
              </w:tc>
            </w:tr>
          </w:tbl>
          <w:p>
            <w:pPr>
              <w:pStyle w:val="10"/>
              <w:bidi w:val="0"/>
              <w:rPr>
                <w:rFonts w:hint="default"/>
                <w:lang w:val="en-US" w:eastAsia="zh-CN"/>
              </w:rPr>
            </w:pPr>
            <w:r>
              <w:rPr>
                <w:rFonts w:hint="default"/>
                <w:lang w:val="en-US" w:eastAsia="zh-CN"/>
              </w:rPr>
              <w:t>表4-</w:t>
            </w:r>
            <w:r>
              <w:rPr>
                <w:rFonts w:hint="default"/>
                <w:lang w:eastAsia="zh-CN"/>
              </w:rPr>
              <w:fldChar w:fldCharType="begin"/>
            </w:r>
            <w:r>
              <w:rPr>
                <w:rFonts w:hint="default"/>
                <w:lang w:eastAsia="zh-CN"/>
              </w:rPr>
              <w:instrText xml:space="preserve"> SEQ 表4- </w:instrText>
            </w:r>
            <w:r>
              <w:rPr>
                <w:rFonts w:hint="default"/>
                <w:lang w:eastAsia="zh-CN"/>
              </w:rPr>
              <w:fldChar w:fldCharType="separate"/>
            </w:r>
            <w:r>
              <w:rPr>
                <w:rFonts w:hint="default"/>
                <w:lang w:eastAsia="zh-CN"/>
              </w:rPr>
              <w:t>8</w:t>
            </w:r>
            <w:r>
              <w:rPr>
                <w:rFonts w:hint="default"/>
                <w:lang w:eastAsia="zh-CN"/>
              </w:rPr>
              <w:fldChar w:fldCharType="end"/>
            </w:r>
            <w:r>
              <w:rPr>
                <w:rFonts w:hint="default"/>
                <w:lang w:val="en-US" w:eastAsia="zh-CN"/>
              </w:rPr>
              <w:t xml:space="preserve"> </w:t>
            </w:r>
            <w:r>
              <w:rPr>
                <w:rFonts w:hint="eastAsia"/>
                <w:lang w:val="en-US" w:eastAsia="zh-CN"/>
              </w:rPr>
              <w:t xml:space="preserve"> 项目噪声源强调查清单（室内声源）</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
              <w:gridCol w:w="438"/>
              <w:gridCol w:w="371"/>
              <w:gridCol w:w="741"/>
              <w:gridCol w:w="776"/>
              <w:gridCol w:w="539"/>
              <w:gridCol w:w="489"/>
              <w:gridCol w:w="522"/>
              <w:gridCol w:w="506"/>
              <w:gridCol w:w="573"/>
              <w:gridCol w:w="674"/>
              <w:gridCol w:w="354"/>
              <w:gridCol w:w="657"/>
              <w:gridCol w:w="590"/>
              <w:gridCol w:w="3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299" w:type="dxa"/>
                  <w:vMerge w:val="restart"/>
                  <w:vAlign w:val="center"/>
                </w:tcPr>
                <w:p>
                  <w:pPr>
                    <w:pStyle w:val="9"/>
                    <w:widowControl w:val="0"/>
                    <w:bidi w:val="0"/>
                    <w:jc w:val="center"/>
                    <w:rPr>
                      <w:rFonts w:hint="eastAsia"/>
                      <w:lang w:val="en-US" w:eastAsia="zh-CN"/>
                    </w:rPr>
                  </w:pPr>
                  <w:r>
                    <w:rPr>
                      <w:rFonts w:hint="eastAsia"/>
                      <w:lang w:val="en-US" w:eastAsia="zh-CN"/>
                    </w:rPr>
                    <w:t>序号</w:t>
                  </w:r>
                </w:p>
              </w:tc>
              <w:tc>
                <w:tcPr>
                  <w:tcW w:w="438" w:type="dxa"/>
                  <w:vMerge w:val="restart"/>
                  <w:vAlign w:val="center"/>
                </w:tcPr>
                <w:p>
                  <w:pPr>
                    <w:pStyle w:val="9"/>
                    <w:widowControl w:val="0"/>
                    <w:bidi w:val="0"/>
                    <w:jc w:val="center"/>
                    <w:rPr>
                      <w:rFonts w:hint="eastAsia"/>
                      <w:lang w:val="en-US" w:eastAsia="zh-CN"/>
                    </w:rPr>
                  </w:pPr>
                  <w:r>
                    <w:rPr>
                      <w:rFonts w:hint="eastAsia"/>
                      <w:lang w:val="en-US" w:eastAsia="zh-CN"/>
                    </w:rPr>
                    <w:t>建筑物名称</w:t>
                  </w:r>
                </w:p>
              </w:tc>
              <w:tc>
                <w:tcPr>
                  <w:tcW w:w="371" w:type="dxa"/>
                  <w:vMerge w:val="restart"/>
                  <w:vAlign w:val="center"/>
                </w:tcPr>
                <w:p>
                  <w:pPr>
                    <w:pStyle w:val="9"/>
                    <w:widowControl w:val="0"/>
                    <w:bidi w:val="0"/>
                    <w:jc w:val="center"/>
                    <w:rPr>
                      <w:rFonts w:hint="eastAsia"/>
                      <w:lang w:val="en-US" w:eastAsia="zh-CN"/>
                    </w:rPr>
                  </w:pPr>
                  <w:r>
                    <w:rPr>
                      <w:rFonts w:hint="eastAsia"/>
                      <w:lang w:val="en-US" w:eastAsia="zh-CN"/>
                    </w:rPr>
                    <w:t>声源名称</w:t>
                  </w:r>
                </w:p>
              </w:tc>
              <w:tc>
                <w:tcPr>
                  <w:tcW w:w="741" w:type="dxa"/>
                  <w:vMerge w:val="restart"/>
                  <w:vAlign w:val="center"/>
                </w:tcPr>
                <w:p>
                  <w:pPr>
                    <w:pStyle w:val="9"/>
                    <w:widowControl w:val="0"/>
                    <w:bidi w:val="0"/>
                    <w:jc w:val="center"/>
                    <w:rPr>
                      <w:rFonts w:hint="eastAsia"/>
                      <w:lang w:val="en-US" w:eastAsia="zh-CN"/>
                    </w:rPr>
                  </w:pPr>
                  <w:r>
                    <w:rPr>
                      <w:rFonts w:hint="eastAsia"/>
                      <w:lang w:val="en-US" w:eastAsia="zh-CN"/>
                    </w:rPr>
                    <w:t>型号</w:t>
                  </w:r>
                </w:p>
              </w:tc>
              <w:tc>
                <w:tcPr>
                  <w:tcW w:w="776" w:type="dxa"/>
                  <w:vAlign w:val="center"/>
                </w:tcPr>
                <w:p>
                  <w:pPr>
                    <w:pStyle w:val="9"/>
                    <w:widowControl w:val="0"/>
                    <w:bidi w:val="0"/>
                    <w:jc w:val="center"/>
                    <w:rPr>
                      <w:rFonts w:hint="eastAsia"/>
                      <w:lang w:val="en-US" w:eastAsia="zh-CN"/>
                    </w:rPr>
                  </w:pPr>
                  <w:r>
                    <w:rPr>
                      <w:rFonts w:hint="eastAsia"/>
                      <w:lang w:val="en-US" w:eastAsia="zh-CN"/>
                    </w:rPr>
                    <w:t>声源源强</w:t>
                  </w:r>
                </w:p>
              </w:tc>
              <w:tc>
                <w:tcPr>
                  <w:tcW w:w="539" w:type="dxa"/>
                  <w:vMerge w:val="restart"/>
                  <w:vAlign w:val="center"/>
                </w:tcPr>
                <w:p>
                  <w:pPr>
                    <w:pStyle w:val="9"/>
                    <w:widowControl w:val="0"/>
                    <w:bidi w:val="0"/>
                    <w:jc w:val="center"/>
                    <w:rPr>
                      <w:rFonts w:hint="eastAsia"/>
                      <w:lang w:val="en-US" w:eastAsia="zh-CN"/>
                    </w:rPr>
                  </w:pPr>
                  <w:r>
                    <w:rPr>
                      <w:rFonts w:hint="eastAsia"/>
                      <w:lang w:val="en-US" w:eastAsia="zh-CN"/>
                    </w:rPr>
                    <w:t>声源控制措施</w:t>
                  </w:r>
                </w:p>
              </w:tc>
              <w:tc>
                <w:tcPr>
                  <w:tcW w:w="1517" w:type="dxa"/>
                  <w:gridSpan w:val="3"/>
                  <w:vAlign w:val="center"/>
                </w:tcPr>
                <w:p>
                  <w:pPr>
                    <w:pStyle w:val="9"/>
                    <w:widowControl w:val="0"/>
                    <w:bidi w:val="0"/>
                    <w:jc w:val="center"/>
                    <w:rPr>
                      <w:rFonts w:hint="eastAsia"/>
                      <w:lang w:val="en-US" w:eastAsia="zh-CN"/>
                    </w:rPr>
                  </w:pPr>
                  <w:r>
                    <w:rPr>
                      <w:rFonts w:hint="eastAsia"/>
                      <w:lang w:val="en-US" w:eastAsia="zh-CN"/>
                    </w:rPr>
                    <w:t>空间相对位置</w:t>
                  </w:r>
                  <w:r>
                    <w:rPr>
                      <w:rFonts w:hint="eastAsia" w:ascii="Calibri" w:hAnsi="Calibri" w:cs="Calibri"/>
                      <w:lang w:val="en-US" w:eastAsia="zh-CN"/>
                    </w:rPr>
                    <w:t>/</w:t>
                  </w:r>
                  <w:r>
                    <w:rPr>
                      <w:rFonts w:hint="eastAsia"/>
                      <w:lang w:val="en-US" w:eastAsia="zh-CN"/>
                    </w:rPr>
                    <w:t>m</w:t>
                  </w:r>
                </w:p>
              </w:tc>
              <w:tc>
                <w:tcPr>
                  <w:tcW w:w="573" w:type="dxa"/>
                  <w:vMerge w:val="restart"/>
                  <w:vAlign w:val="center"/>
                </w:tcPr>
                <w:p>
                  <w:pPr>
                    <w:pStyle w:val="9"/>
                    <w:widowControl w:val="0"/>
                    <w:bidi w:val="0"/>
                    <w:jc w:val="center"/>
                    <w:rPr>
                      <w:rFonts w:hint="eastAsia"/>
                      <w:lang w:val="en-US" w:eastAsia="zh-CN"/>
                    </w:rPr>
                  </w:pPr>
                  <w:r>
                    <w:rPr>
                      <w:rFonts w:hint="eastAsia"/>
                      <w:lang w:val="en-US" w:eastAsia="zh-CN"/>
                    </w:rPr>
                    <w:t>距室内边界距离</w:t>
                  </w:r>
                  <w:r>
                    <w:rPr>
                      <w:rFonts w:hint="eastAsia" w:ascii="Calibri" w:hAnsi="Calibri" w:cs="Calibri"/>
                      <w:lang w:val="en-US" w:eastAsia="zh-CN"/>
                    </w:rPr>
                    <w:t>/</w:t>
                  </w:r>
                  <w:r>
                    <w:rPr>
                      <w:rFonts w:hint="eastAsia"/>
                      <w:lang w:val="en-US" w:eastAsia="zh-CN"/>
                    </w:rPr>
                    <w:t>m</w:t>
                  </w:r>
                </w:p>
              </w:tc>
              <w:tc>
                <w:tcPr>
                  <w:tcW w:w="674" w:type="dxa"/>
                  <w:vMerge w:val="restart"/>
                  <w:vAlign w:val="center"/>
                </w:tcPr>
                <w:p>
                  <w:pPr>
                    <w:pStyle w:val="9"/>
                    <w:widowControl w:val="0"/>
                    <w:bidi w:val="0"/>
                    <w:jc w:val="center"/>
                    <w:rPr>
                      <w:rFonts w:hint="eastAsia"/>
                      <w:lang w:val="en-US" w:eastAsia="zh-CN"/>
                    </w:rPr>
                  </w:pPr>
                  <w:r>
                    <w:rPr>
                      <w:rFonts w:hint="eastAsia"/>
                      <w:lang w:val="en-US" w:eastAsia="zh-CN"/>
                    </w:rPr>
                    <w:t>室内边界声级</w:t>
                  </w:r>
                  <w:r>
                    <w:rPr>
                      <w:rFonts w:hint="eastAsia" w:ascii="Calibri" w:hAnsi="Calibri" w:cs="Calibri"/>
                      <w:lang w:val="en-US" w:eastAsia="zh-CN"/>
                    </w:rPr>
                    <w:t>/</w:t>
                  </w:r>
                  <w:r>
                    <w:rPr>
                      <w:rFonts w:hint="eastAsia"/>
                      <w:lang w:val="en-US" w:eastAsia="zh-CN"/>
                    </w:rPr>
                    <w:t>dB(A)</w:t>
                  </w:r>
                </w:p>
              </w:tc>
              <w:tc>
                <w:tcPr>
                  <w:tcW w:w="354" w:type="dxa"/>
                  <w:vMerge w:val="restart"/>
                  <w:vAlign w:val="center"/>
                </w:tcPr>
                <w:p>
                  <w:pPr>
                    <w:pStyle w:val="9"/>
                    <w:widowControl w:val="0"/>
                    <w:bidi w:val="0"/>
                    <w:jc w:val="center"/>
                    <w:rPr>
                      <w:rFonts w:hint="eastAsia"/>
                      <w:lang w:val="en-US" w:eastAsia="zh-CN"/>
                    </w:rPr>
                  </w:pPr>
                  <w:r>
                    <w:rPr>
                      <w:rFonts w:hint="eastAsia"/>
                      <w:lang w:val="en-US" w:eastAsia="zh-CN"/>
                    </w:rPr>
                    <w:t>运行时段</w:t>
                  </w:r>
                </w:p>
              </w:tc>
              <w:tc>
                <w:tcPr>
                  <w:tcW w:w="657" w:type="dxa"/>
                  <w:vMerge w:val="restart"/>
                  <w:vAlign w:val="center"/>
                </w:tcPr>
                <w:p>
                  <w:pPr>
                    <w:pStyle w:val="9"/>
                    <w:widowControl w:val="0"/>
                    <w:bidi w:val="0"/>
                    <w:jc w:val="center"/>
                    <w:rPr>
                      <w:rFonts w:hint="eastAsia"/>
                      <w:lang w:val="en-US" w:eastAsia="zh-CN"/>
                    </w:rPr>
                  </w:pPr>
                  <w:r>
                    <w:rPr>
                      <w:rFonts w:hint="eastAsia"/>
                      <w:lang w:val="en-US" w:eastAsia="zh-CN"/>
                    </w:rPr>
                    <w:t>建筑物插入损失</w:t>
                  </w:r>
                  <w:r>
                    <w:rPr>
                      <w:rFonts w:hint="eastAsia" w:ascii="Calibri" w:hAnsi="Calibri" w:cs="Calibri"/>
                      <w:lang w:val="en-US" w:eastAsia="zh-CN"/>
                    </w:rPr>
                    <w:t>/</w:t>
                  </w:r>
                  <w:r>
                    <w:rPr>
                      <w:rFonts w:hint="eastAsia"/>
                      <w:lang w:val="en-US" w:eastAsia="zh-CN"/>
                    </w:rPr>
                    <w:t>dB(A)</w:t>
                  </w:r>
                </w:p>
              </w:tc>
              <w:tc>
                <w:tcPr>
                  <w:tcW w:w="904" w:type="dxa"/>
                  <w:gridSpan w:val="2"/>
                  <w:vAlign w:val="center"/>
                </w:tcPr>
                <w:p>
                  <w:pPr>
                    <w:pStyle w:val="9"/>
                    <w:widowControl w:val="0"/>
                    <w:bidi w:val="0"/>
                    <w:jc w:val="center"/>
                    <w:rPr>
                      <w:rFonts w:hint="eastAsia"/>
                      <w:lang w:val="en-US" w:eastAsia="zh-CN"/>
                    </w:rPr>
                  </w:pPr>
                  <w:r>
                    <w:rPr>
                      <w:rFonts w:hint="eastAsia"/>
                      <w:lang w:val="en-US" w:eastAsia="zh-CN"/>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299" w:type="dxa"/>
                  <w:vMerge w:val="continue"/>
                  <w:vAlign w:val="center"/>
                </w:tcPr>
                <w:p>
                  <w:pPr>
                    <w:pStyle w:val="9"/>
                    <w:widowControl w:val="0"/>
                    <w:bidi w:val="0"/>
                    <w:jc w:val="center"/>
                  </w:pPr>
                </w:p>
              </w:tc>
              <w:tc>
                <w:tcPr>
                  <w:tcW w:w="438" w:type="dxa"/>
                  <w:vMerge w:val="continue"/>
                  <w:vAlign w:val="center"/>
                </w:tcPr>
                <w:p>
                  <w:pPr>
                    <w:pStyle w:val="9"/>
                    <w:widowControl w:val="0"/>
                    <w:bidi w:val="0"/>
                    <w:jc w:val="center"/>
                  </w:pPr>
                </w:p>
              </w:tc>
              <w:tc>
                <w:tcPr>
                  <w:tcW w:w="371" w:type="dxa"/>
                  <w:vMerge w:val="continue"/>
                  <w:vAlign w:val="center"/>
                </w:tcPr>
                <w:p>
                  <w:pPr>
                    <w:pStyle w:val="9"/>
                    <w:widowControl w:val="0"/>
                    <w:bidi w:val="0"/>
                    <w:jc w:val="center"/>
                  </w:pPr>
                </w:p>
              </w:tc>
              <w:tc>
                <w:tcPr>
                  <w:tcW w:w="741" w:type="dxa"/>
                  <w:vMerge w:val="continue"/>
                  <w:vAlign w:val="center"/>
                </w:tcPr>
                <w:p>
                  <w:pPr>
                    <w:pStyle w:val="9"/>
                    <w:widowControl w:val="0"/>
                    <w:bidi w:val="0"/>
                    <w:jc w:val="center"/>
                  </w:pPr>
                </w:p>
              </w:tc>
              <w:tc>
                <w:tcPr>
                  <w:tcW w:w="776" w:type="dxa"/>
                  <w:vAlign w:val="center"/>
                </w:tcPr>
                <w:p>
                  <w:pPr>
                    <w:pStyle w:val="9"/>
                    <w:widowControl w:val="0"/>
                    <w:bidi w:val="0"/>
                    <w:jc w:val="center"/>
                    <w:rPr>
                      <w:rFonts w:hint="eastAsia"/>
                      <w:lang w:val="en-US" w:eastAsia="zh-CN"/>
                    </w:rPr>
                  </w:pPr>
                  <w:r>
                    <w:rPr>
                      <w:rFonts w:hint="eastAsia"/>
                      <w:lang w:val="en-US" w:eastAsia="zh-CN"/>
                    </w:rPr>
                    <w:t>（声压级</w:t>
                  </w:r>
                  <w:r>
                    <w:rPr>
                      <w:rFonts w:hint="eastAsia" w:ascii="Calibri" w:hAnsi="Calibri" w:cs="Calibri"/>
                      <w:lang w:val="en-US" w:eastAsia="zh-CN"/>
                    </w:rPr>
                    <w:t>/</w:t>
                  </w:r>
                  <w:r>
                    <w:rPr>
                      <w:rFonts w:hint="eastAsia"/>
                      <w:lang w:val="en-US" w:eastAsia="zh-CN"/>
                    </w:rPr>
                    <w:t>距声源距离）</w:t>
                  </w:r>
                  <w:r>
                    <w:rPr>
                      <w:rFonts w:hint="eastAsia" w:ascii="Calibri" w:hAnsi="Calibri" w:cs="Calibri"/>
                      <w:lang w:val="en-US" w:eastAsia="zh-CN"/>
                    </w:rPr>
                    <w:t>/</w:t>
                  </w:r>
                  <w:r>
                    <w:rPr>
                      <w:rFonts w:hint="eastAsia"/>
                      <w:lang w:val="en-US" w:eastAsia="zh-CN"/>
                    </w:rPr>
                    <w:t>（dB(A)</w:t>
                  </w:r>
                  <w:r>
                    <w:rPr>
                      <w:rFonts w:hint="eastAsia" w:ascii="Calibri" w:hAnsi="Calibri" w:cs="Calibri"/>
                      <w:lang w:val="en-US" w:eastAsia="zh-CN"/>
                    </w:rPr>
                    <w:t>/</w:t>
                  </w:r>
                  <w:r>
                    <w:rPr>
                      <w:rFonts w:hint="eastAsia"/>
                      <w:lang w:val="en-US" w:eastAsia="zh-CN"/>
                    </w:rPr>
                    <w:t>m）</w:t>
                  </w:r>
                </w:p>
              </w:tc>
              <w:tc>
                <w:tcPr>
                  <w:tcW w:w="539" w:type="dxa"/>
                  <w:vMerge w:val="continue"/>
                  <w:vAlign w:val="center"/>
                </w:tcPr>
                <w:p>
                  <w:pPr>
                    <w:pStyle w:val="9"/>
                    <w:widowControl w:val="0"/>
                    <w:bidi w:val="0"/>
                    <w:jc w:val="center"/>
                    <w:rPr>
                      <w:rFonts w:hint="eastAsia"/>
                      <w:lang w:val="en-US" w:eastAsia="zh-CN"/>
                    </w:rPr>
                  </w:pPr>
                </w:p>
              </w:tc>
              <w:tc>
                <w:tcPr>
                  <w:tcW w:w="489" w:type="dxa"/>
                  <w:vAlign w:val="center"/>
                </w:tcPr>
                <w:p>
                  <w:pPr>
                    <w:pStyle w:val="9"/>
                    <w:widowControl w:val="0"/>
                    <w:bidi w:val="0"/>
                    <w:jc w:val="center"/>
                    <w:rPr>
                      <w:rFonts w:hint="eastAsia"/>
                      <w:lang w:val="en-US" w:eastAsia="zh-CN"/>
                    </w:rPr>
                  </w:pPr>
                  <w:r>
                    <w:rPr>
                      <w:rFonts w:hint="eastAsia"/>
                      <w:lang w:val="en-US" w:eastAsia="zh-CN"/>
                    </w:rPr>
                    <w:t>X</w:t>
                  </w:r>
                </w:p>
              </w:tc>
              <w:tc>
                <w:tcPr>
                  <w:tcW w:w="522" w:type="dxa"/>
                  <w:vAlign w:val="center"/>
                </w:tcPr>
                <w:p>
                  <w:pPr>
                    <w:pStyle w:val="9"/>
                    <w:widowControl w:val="0"/>
                    <w:bidi w:val="0"/>
                    <w:jc w:val="center"/>
                    <w:rPr>
                      <w:rFonts w:hint="eastAsia"/>
                      <w:lang w:val="en-US" w:eastAsia="zh-CN"/>
                    </w:rPr>
                  </w:pPr>
                  <w:r>
                    <w:rPr>
                      <w:rFonts w:hint="eastAsia"/>
                      <w:lang w:val="en-US" w:eastAsia="zh-CN"/>
                    </w:rPr>
                    <w:t>Y</w:t>
                  </w:r>
                </w:p>
              </w:tc>
              <w:tc>
                <w:tcPr>
                  <w:tcW w:w="506" w:type="dxa"/>
                  <w:vAlign w:val="center"/>
                </w:tcPr>
                <w:p>
                  <w:pPr>
                    <w:pStyle w:val="9"/>
                    <w:widowControl w:val="0"/>
                    <w:bidi w:val="0"/>
                    <w:jc w:val="center"/>
                    <w:rPr>
                      <w:rFonts w:hint="eastAsia"/>
                      <w:lang w:val="en-US" w:eastAsia="zh-CN"/>
                    </w:rPr>
                  </w:pPr>
                  <w:r>
                    <w:rPr>
                      <w:rFonts w:hint="eastAsia"/>
                      <w:lang w:val="en-US" w:eastAsia="zh-CN"/>
                    </w:rPr>
                    <w:t>Z</w:t>
                  </w:r>
                </w:p>
              </w:tc>
              <w:tc>
                <w:tcPr>
                  <w:tcW w:w="573" w:type="dxa"/>
                  <w:vMerge w:val="continue"/>
                  <w:vAlign w:val="center"/>
                </w:tcPr>
                <w:p>
                  <w:pPr>
                    <w:pStyle w:val="9"/>
                    <w:widowControl w:val="0"/>
                    <w:bidi w:val="0"/>
                    <w:jc w:val="center"/>
                    <w:rPr>
                      <w:rFonts w:hint="eastAsia"/>
                      <w:lang w:val="en-US" w:eastAsia="zh-CN"/>
                    </w:rPr>
                  </w:pPr>
                </w:p>
              </w:tc>
              <w:tc>
                <w:tcPr>
                  <w:tcW w:w="674" w:type="dxa"/>
                  <w:vMerge w:val="continue"/>
                  <w:vAlign w:val="center"/>
                </w:tcPr>
                <w:p>
                  <w:pPr>
                    <w:pStyle w:val="9"/>
                    <w:widowControl w:val="0"/>
                    <w:bidi w:val="0"/>
                    <w:jc w:val="center"/>
                    <w:rPr>
                      <w:rFonts w:hint="eastAsia"/>
                      <w:lang w:val="en-US" w:eastAsia="zh-CN"/>
                    </w:rPr>
                  </w:pPr>
                </w:p>
              </w:tc>
              <w:tc>
                <w:tcPr>
                  <w:tcW w:w="354" w:type="dxa"/>
                  <w:vMerge w:val="continue"/>
                  <w:vAlign w:val="center"/>
                </w:tcPr>
                <w:p>
                  <w:pPr>
                    <w:pStyle w:val="9"/>
                    <w:widowControl w:val="0"/>
                    <w:bidi w:val="0"/>
                    <w:jc w:val="center"/>
                    <w:rPr>
                      <w:rFonts w:hint="eastAsia"/>
                      <w:lang w:val="en-US" w:eastAsia="zh-CN"/>
                    </w:rPr>
                  </w:pPr>
                </w:p>
              </w:tc>
              <w:tc>
                <w:tcPr>
                  <w:tcW w:w="657" w:type="dxa"/>
                  <w:vMerge w:val="continue"/>
                  <w:vAlign w:val="center"/>
                </w:tcPr>
                <w:p>
                  <w:pPr>
                    <w:pStyle w:val="9"/>
                    <w:widowControl w:val="0"/>
                    <w:bidi w:val="0"/>
                    <w:jc w:val="center"/>
                    <w:rPr>
                      <w:rFonts w:hint="eastAsia"/>
                      <w:lang w:val="en-US" w:eastAsia="zh-CN"/>
                    </w:rPr>
                  </w:pPr>
                </w:p>
              </w:tc>
              <w:tc>
                <w:tcPr>
                  <w:tcW w:w="590" w:type="dxa"/>
                  <w:vAlign w:val="center"/>
                </w:tcPr>
                <w:p>
                  <w:pPr>
                    <w:pStyle w:val="9"/>
                    <w:widowControl w:val="0"/>
                    <w:bidi w:val="0"/>
                    <w:jc w:val="center"/>
                    <w:rPr>
                      <w:rFonts w:hint="eastAsia"/>
                      <w:lang w:val="en-US" w:eastAsia="zh-CN"/>
                    </w:rPr>
                  </w:pPr>
                  <w:r>
                    <w:rPr>
                      <w:rFonts w:hint="eastAsia"/>
                      <w:lang w:val="en-US" w:eastAsia="zh-CN"/>
                    </w:rPr>
                    <w:t>声压级</w:t>
                  </w:r>
                  <w:r>
                    <w:rPr>
                      <w:rFonts w:hint="eastAsia" w:ascii="Calibri" w:hAnsi="Calibri" w:cs="Calibri"/>
                      <w:lang w:val="en-US" w:eastAsia="zh-CN"/>
                    </w:rPr>
                    <w:t>/</w:t>
                  </w:r>
                  <w:r>
                    <w:rPr>
                      <w:rFonts w:hint="eastAsia"/>
                      <w:lang w:val="en-US" w:eastAsia="zh-CN"/>
                    </w:rPr>
                    <w:t>dB(A)</w:t>
                  </w:r>
                </w:p>
              </w:tc>
              <w:tc>
                <w:tcPr>
                  <w:tcW w:w="314" w:type="dxa"/>
                  <w:vAlign w:val="center"/>
                </w:tcPr>
                <w:p>
                  <w:pPr>
                    <w:pStyle w:val="9"/>
                    <w:widowControl w:val="0"/>
                    <w:bidi w:val="0"/>
                    <w:jc w:val="center"/>
                    <w:rPr>
                      <w:rFonts w:hint="eastAsia"/>
                      <w:lang w:val="en-US" w:eastAsia="zh-CN"/>
                    </w:rPr>
                  </w:pPr>
                  <w:r>
                    <w:rPr>
                      <w:rFonts w:hint="eastAsia"/>
                      <w:lang w:val="en-US" w:eastAsia="zh-CN"/>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9" w:type="dxa"/>
                  <w:vAlign w:val="center"/>
                </w:tcPr>
                <w:p>
                  <w:pPr>
                    <w:pStyle w:val="9"/>
                    <w:widowControl w:val="0"/>
                    <w:bidi w:val="0"/>
                    <w:jc w:val="center"/>
                    <w:rPr>
                      <w:rFonts w:hint="default"/>
                      <w:lang w:val="en-US" w:eastAsia="zh-CN"/>
                    </w:rPr>
                  </w:pPr>
                  <w:r>
                    <w:rPr>
                      <w:rFonts w:hint="eastAsia"/>
                      <w:lang w:val="en-US" w:eastAsia="zh-CN"/>
                    </w:rPr>
                    <w:t>1</w:t>
                  </w:r>
                </w:p>
              </w:tc>
              <w:tc>
                <w:tcPr>
                  <w:tcW w:w="438" w:type="dxa"/>
                  <w:vAlign w:val="center"/>
                </w:tcPr>
                <w:p>
                  <w:pPr>
                    <w:pStyle w:val="9"/>
                    <w:widowControl w:val="0"/>
                    <w:bidi w:val="0"/>
                    <w:jc w:val="center"/>
                    <w:rPr>
                      <w:rFonts w:hint="default"/>
                      <w:lang w:val="en-US" w:eastAsia="zh-CN"/>
                    </w:rPr>
                  </w:pPr>
                  <w:r>
                    <w:rPr>
                      <w:rFonts w:hint="eastAsia"/>
                      <w:lang w:val="en-US" w:eastAsia="zh-CN"/>
                    </w:rPr>
                    <w:t>加油区地面</w:t>
                  </w:r>
                </w:p>
              </w:tc>
              <w:tc>
                <w:tcPr>
                  <w:tcW w:w="371" w:type="dxa"/>
                  <w:vAlign w:val="center"/>
                </w:tcPr>
                <w:p>
                  <w:pPr>
                    <w:pStyle w:val="9"/>
                    <w:widowControl w:val="0"/>
                    <w:bidi w:val="0"/>
                    <w:jc w:val="center"/>
                    <w:rPr>
                      <w:rFonts w:hint="default"/>
                      <w:lang w:val="en-US" w:eastAsia="zh-CN"/>
                    </w:rPr>
                  </w:pPr>
                  <w:r>
                    <w:rPr>
                      <w:rFonts w:hint="eastAsia"/>
                      <w:lang w:val="en-US" w:eastAsia="zh-CN"/>
                    </w:rPr>
                    <w:t>储油罐</w:t>
                  </w:r>
                </w:p>
              </w:tc>
              <w:tc>
                <w:tcPr>
                  <w:tcW w:w="741" w:type="dxa"/>
                  <w:vAlign w:val="center"/>
                </w:tcPr>
                <w:p>
                  <w:pPr>
                    <w:pStyle w:val="9"/>
                    <w:widowControl w:val="0"/>
                    <w:bidi w:val="0"/>
                    <w:jc w:val="center"/>
                    <w:rPr>
                      <w:rFonts w:hint="default"/>
                      <w:lang w:val="en-US" w:eastAsia="zh-CN"/>
                    </w:rPr>
                  </w:pPr>
                  <w:r>
                    <w:rPr>
                      <w:rFonts w:hint="eastAsia" w:ascii="Calibri" w:hAnsi="Calibri" w:cs="Calibri"/>
                      <w:lang w:val="en-US" w:eastAsia="zh-CN"/>
                    </w:rPr>
                    <w:t>/</w:t>
                  </w:r>
                </w:p>
              </w:tc>
              <w:tc>
                <w:tcPr>
                  <w:tcW w:w="776" w:type="dxa"/>
                  <w:vAlign w:val="center"/>
                </w:tcPr>
                <w:p>
                  <w:pPr>
                    <w:bidi w:val="0"/>
                    <w:jc w:val="center"/>
                    <w:rPr>
                      <w:rFonts w:hint="default"/>
                      <w:lang w:val="en-US" w:eastAsia="zh-CN"/>
                    </w:rPr>
                  </w:pPr>
                  <w:r>
                    <w:rPr>
                      <w:rStyle w:val="12"/>
                      <w:rFonts w:hint="eastAsia"/>
                      <w:lang w:val="en-US" w:eastAsia="zh-CN"/>
                    </w:rPr>
                    <w:t>65</w:t>
                  </w:r>
                  <w:r>
                    <w:rPr>
                      <w:rStyle w:val="12"/>
                      <w:rFonts w:hint="eastAsia" w:ascii="Calibri" w:hAnsi="Calibri" w:cs="Calibri"/>
                      <w:lang w:val="en-US" w:eastAsia="zh-CN"/>
                    </w:rPr>
                    <w:t>/</w:t>
                  </w:r>
                  <w:r>
                    <w:rPr>
                      <w:rStyle w:val="12"/>
                      <w:rFonts w:hint="eastAsia"/>
                      <w:lang w:val="en-US" w:eastAsia="zh-CN"/>
                    </w:rPr>
                    <w:t>1</w:t>
                  </w:r>
                </w:p>
              </w:tc>
              <w:tc>
                <w:tcPr>
                  <w:tcW w:w="539" w:type="dxa"/>
                  <w:vAlign w:val="center"/>
                </w:tcPr>
                <w:p>
                  <w:pPr>
                    <w:bidi w:val="0"/>
                    <w:jc w:val="center"/>
                    <w:rPr>
                      <w:rFonts w:hint="default"/>
                      <w:lang w:val="en-US" w:eastAsia="zh-CN"/>
                    </w:rPr>
                  </w:pPr>
                  <w:r>
                    <w:rPr>
                      <w:rStyle w:val="12"/>
                      <w:rFonts w:hint="eastAsia"/>
                      <w:lang w:val="en-US" w:eastAsia="zh-CN"/>
                    </w:rPr>
                    <w:t>埋在地下</w:t>
                  </w:r>
                </w:p>
              </w:tc>
              <w:tc>
                <w:tcPr>
                  <w:tcW w:w="489" w:type="dxa"/>
                  <w:vAlign w:val="center"/>
                </w:tcPr>
                <w:p>
                  <w:pPr>
                    <w:bidi w:val="0"/>
                    <w:jc w:val="center"/>
                    <w:rPr>
                      <w:rFonts w:hint="default"/>
                      <w:lang w:val="en-US" w:eastAsia="zh-CN"/>
                    </w:rPr>
                  </w:pPr>
                  <w:r>
                    <w:rPr>
                      <w:rStyle w:val="12"/>
                      <w:rFonts w:hint="eastAsia"/>
                      <w:lang w:val="en-US" w:eastAsia="zh-CN"/>
                    </w:rPr>
                    <w:t>8.2</w:t>
                  </w:r>
                </w:p>
              </w:tc>
              <w:tc>
                <w:tcPr>
                  <w:tcW w:w="522" w:type="dxa"/>
                  <w:vAlign w:val="center"/>
                </w:tcPr>
                <w:p>
                  <w:pPr>
                    <w:bidi w:val="0"/>
                    <w:jc w:val="center"/>
                    <w:rPr>
                      <w:rFonts w:hint="default"/>
                      <w:lang w:val="en-US" w:eastAsia="zh-CN"/>
                    </w:rPr>
                  </w:pPr>
                  <w:r>
                    <w:rPr>
                      <w:rStyle w:val="12"/>
                      <w:rFonts w:hint="eastAsia"/>
                      <w:lang w:val="en-US" w:eastAsia="zh-CN"/>
                    </w:rPr>
                    <w:t>3.7</w:t>
                  </w:r>
                </w:p>
              </w:tc>
              <w:tc>
                <w:tcPr>
                  <w:tcW w:w="506" w:type="dxa"/>
                  <w:vAlign w:val="center"/>
                </w:tcPr>
                <w:p>
                  <w:pPr>
                    <w:bidi w:val="0"/>
                    <w:jc w:val="center"/>
                    <w:rPr>
                      <w:rFonts w:hint="default"/>
                      <w:lang w:val="en-US" w:eastAsia="zh-CN"/>
                    </w:rPr>
                  </w:pPr>
                  <w:r>
                    <w:rPr>
                      <w:rStyle w:val="12"/>
                      <w:rFonts w:hint="eastAsia"/>
                      <w:lang w:val="en-US" w:eastAsia="zh-CN"/>
                    </w:rPr>
                    <w:t>81.9</w:t>
                  </w:r>
                </w:p>
              </w:tc>
              <w:tc>
                <w:tcPr>
                  <w:tcW w:w="573" w:type="dxa"/>
                  <w:vAlign w:val="center"/>
                </w:tcPr>
                <w:p>
                  <w:pPr>
                    <w:bidi w:val="0"/>
                    <w:jc w:val="center"/>
                    <w:rPr>
                      <w:rStyle w:val="12"/>
                      <w:rFonts w:hint="eastAsia"/>
                      <w:lang w:val="en-US" w:eastAsia="zh-CN"/>
                    </w:rPr>
                  </w:pPr>
                  <w:r>
                    <w:rPr>
                      <w:rStyle w:val="12"/>
                      <w:rFonts w:hint="eastAsia"/>
                      <w:lang w:val="en-US" w:eastAsia="zh-CN"/>
                    </w:rPr>
                    <w:t>声屏障-1：11.0</w:t>
                  </w:r>
                </w:p>
                <w:p>
                  <w:pPr>
                    <w:bidi w:val="0"/>
                    <w:jc w:val="center"/>
                    <w:rPr>
                      <w:rStyle w:val="12"/>
                      <w:rFonts w:hint="eastAsia"/>
                      <w:lang w:val="en-US" w:eastAsia="zh-CN"/>
                    </w:rPr>
                  </w:pPr>
                  <w:r>
                    <w:rPr>
                      <w:rStyle w:val="12"/>
                      <w:rFonts w:hint="eastAsia"/>
                      <w:lang w:val="en-US" w:eastAsia="zh-CN"/>
                    </w:rPr>
                    <w:t>声屏障-2：11.5</w:t>
                  </w:r>
                </w:p>
                <w:p>
                  <w:pPr>
                    <w:bidi w:val="0"/>
                    <w:jc w:val="center"/>
                    <w:rPr>
                      <w:rStyle w:val="12"/>
                      <w:rFonts w:hint="eastAsia"/>
                      <w:lang w:val="en-US" w:eastAsia="zh-CN"/>
                    </w:rPr>
                  </w:pPr>
                  <w:r>
                    <w:rPr>
                      <w:rStyle w:val="12"/>
                      <w:rFonts w:hint="eastAsia"/>
                      <w:lang w:val="en-US" w:eastAsia="zh-CN"/>
                    </w:rPr>
                    <w:t>声屏障-3：16.8</w:t>
                  </w:r>
                </w:p>
                <w:p>
                  <w:pPr>
                    <w:bidi w:val="0"/>
                    <w:jc w:val="center"/>
                    <w:rPr>
                      <w:rFonts w:hint="eastAsia"/>
                      <w:lang w:val="en-US" w:eastAsia="zh-CN"/>
                    </w:rPr>
                  </w:pPr>
                  <w:r>
                    <w:rPr>
                      <w:rStyle w:val="12"/>
                      <w:rFonts w:hint="eastAsia"/>
                      <w:lang w:val="en-US" w:eastAsia="zh-CN"/>
                    </w:rPr>
                    <w:t>声屏障-4：8.9</w:t>
                  </w:r>
                </w:p>
              </w:tc>
              <w:tc>
                <w:tcPr>
                  <w:tcW w:w="674" w:type="dxa"/>
                  <w:vAlign w:val="center"/>
                </w:tcPr>
                <w:p>
                  <w:pPr>
                    <w:bidi w:val="0"/>
                    <w:jc w:val="center"/>
                    <w:rPr>
                      <w:rStyle w:val="12"/>
                      <w:rFonts w:hint="eastAsia"/>
                      <w:lang w:val="en-US" w:eastAsia="zh-CN"/>
                    </w:rPr>
                  </w:pPr>
                  <w:r>
                    <w:rPr>
                      <w:rStyle w:val="12"/>
                      <w:rFonts w:hint="eastAsia"/>
                      <w:lang w:val="en-US" w:eastAsia="zh-CN"/>
                    </w:rPr>
                    <w:t>声屏障-1：61.0</w:t>
                  </w:r>
                </w:p>
                <w:p>
                  <w:pPr>
                    <w:bidi w:val="0"/>
                    <w:jc w:val="center"/>
                    <w:rPr>
                      <w:rStyle w:val="12"/>
                      <w:rFonts w:hint="eastAsia"/>
                      <w:lang w:val="en-US" w:eastAsia="zh-CN"/>
                    </w:rPr>
                  </w:pPr>
                  <w:r>
                    <w:rPr>
                      <w:rStyle w:val="12"/>
                      <w:rFonts w:hint="eastAsia"/>
                      <w:lang w:val="en-US" w:eastAsia="zh-CN"/>
                    </w:rPr>
                    <w:t>声屏障-2：61.0</w:t>
                  </w:r>
                </w:p>
                <w:p>
                  <w:pPr>
                    <w:bidi w:val="0"/>
                    <w:jc w:val="center"/>
                    <w:rPr>
                      <w:rStyle w:val="12"/>
                      <w:rFonts w:hint="eastAsia"/>
                      <w:lang w:val="en-US" w:eastAsia="zh-CN"/>
                    </w:rPr>
                  </w:pPr>
                  <w:r>
                    <w:rPr>
                      <w:rStyle w:val="12"/>
                      <w:rFonts w:hint="eastAsia"/>
                      <w:lang w:val="en-US" w:eastAsia="zh-CN"/>
                    </w:rPr>
                    <w:t>声屏障-3：61.0</w:t>
                  </w:r>
                </w:p>
                <w:p>
                  <w:pPr>
                    <w:bidi w:val="0"/>
                    <w:jc w:val="center"/>
                    <w:rPr>
                      <w:rFonts w:hint="eastAsia"/>
                      <w:lang w:val="en-US" w:eastAsia="zh-CN"/>
                    </w:rPr>
                  </w:pPr>
                  <w:r>
                    <w:rPr>
                      <w:rStyle w:val="12"/>
                      <w:rFonts w:hint="eastAsia"/>
                      <w:lang w:val="en-US" w:eastAsia="zh-CN"/>
                    </w:rPr>
                    <w:t>声屏障-4：61.0</w:t>
                  </w:r>
                </w:p>
              </w:tc>
              <w:tc>
                <w:tcPr>
                  <w:tcW w:w="354" w:type="dxa"/>
                  <w:vAlign w:val="center"/>
                </w:tcPr>
                <w:p>
                  <w:pPr>
                    <w:bidi w:val="0"/>
                    <w:jc w:val="center"/>
                    <w:rPr>
                      <w:rFonts w:hint="default"/>
                      <w:lang w:val="en-US" w:eastAsia="zh-CN"/>
                    </w:rPr>
                  </w:pPr>
                  <w:r>
                    <w:rPr>
                      <w:rStyle w:val="12"/>
                      <w:rFonts w:hint="eastAsia"/>
                      <w:lang w:val="en-US" w:eastAsia="zh-CN"/>
                    </w:rPr>
                    <w:t>24h</w:t>
                  </w:r>
                </w:p>
              </w:tc>
              <w:tc>
                <w:tcPr>
                  <w:tcW w:w="657" w:type="dxa"/>
                  <w:vAlign w:val="center"/>
                </w:tcPr>
                <w:p>
                  <w:pPr>
                    <w:bidi w:val="0"/>
                    <w:jc w:val="center"/>
                    <w:rPr>
                      <w:rStyle w:val="12"/>
                      <w:rFonts w:hint="eastAsia"/>
                      <w:lang w:val="en-US" w:eastAsia="zh-CN"/>
                    </w:rPr>
                  </w:pPr>
                  <w:r>
                    <w:rPr>
                      <w:rStyle w:val="12"/>
                      <w:rFonts w:hint="eastAsia"/>
                      <w:lang w:val="en-US" w:eastAsia="zh-CN"/>
                    </w:rPr>
                    <w:t>声屏障-1：41.0</w:t>
                  </w:r>
                </w:p>
                <w:p>
                  <w:pPr>
                    <w:bidi w:val="0"/>
                    <w:jc w:val="center"/>
                    <w:rPr>
                      <w:rStyle w:val="12"/>
                      <w:rFonts w:hint="eastAsia"/>
                      <w:lang w:val="en-US" w:eastAsia="zh-CN"/>
                    </w:rPr>
                  </w:pPr>
                  <w:r>
                    <w:rPr>
                      <w:rStyle w:val="12"/>
                      <w:rFonts w:hint="eastAsia"/>
                      <w:lang w:val="en-US" w:eastAsia="zh-CN"/>
                    </w:rPr>
                    <w:t>声屏障-2：41.0</w:t>
                  </w:r>
                </w:p>
                <w:p>
                  <w:pPr>
                    <w:bidi w:val="0"/>
                    <w:jc w:val="center"/>
                    <w:rPr>
                      <w:rStyle w:val="12"/>
                      <w:rFonts w:hint="eastAsia"/>
                      <w:lang w:val="en-US" w:eastAsia="zh-CN"/>
                    </w:rPr>
                  </w:pPr>
                  <w:r>
                    <w:rPr>
                      <w:rStyle w:val="12"/>
                      <w:rFonts w:hint="eastAsia"/>
                      <w:lang w:val="en-US" w:eastAsia="zh-CN"/>
                    </w:rPr>
                    <w:t>声屏障-3：41.0</w:t>
                  </w:r>
                </w:p>
                <w:p>
                  <w:pPr>
                    <w:bidi w:val="0"/>
                    <w:jc w:val="center"/>
                    <w:rPr>
                      <w:rFonts w:hint="eastAsia"/>
                      <w:lang w:val="en-US" w:eastAsia="zh-CN"/>
                    </w:rPr>
                  </w:pPr>
                  <w:r>
                    <w:rPr>
                      <w:rStyle w:val="12"/>
                      <w:rFonts w:hint="eastAsia"/>
                      <w:lang w:val="en-US" w:eastAsia="zh-CN"/>
                    </w:rPr>
                    <w:t>声屏障-4：41.0</w:t>
                  </w:r>
                </w:p>
              </w:tc>
              <w:tc>
                <w:tcPr>
                  <w:tcW w:w="590" w:type="dxa"/>
                  <w:vAlign w:val="center"/>
                </w:tcPr>
                <w:p>
                  <w:pPr>
                    <w:bidi w:val="0"/>
                    <w:jc w:val="center"/>
                    <w:rPr>
                      <w:rStyle w:val="12"/>
                      <w:rFonts w:hint="eastAsia"/>
                      <w:lang w:val="en-US" w:eastAsia="zh-CN"/>
                    </w:rPr>
                  </w:pPr>
                  <w:r>
                    <w:rPr>
                      <w:rStyle w:val="12"/>
                      <w:rFonts w:hint="eastAsia"/>
                      <w:lang w:val="en-US" w:eastAsia="zh-CN"/>
                    </w:rPr>
                    <w:t>声屏障-1：20.0</w:t>
                  </w:r>
                </w:p>
                <w:p>
                  <w:pPr>
                    <w:bidi w:val="0"/>
                    <w:jc w:val="center"/>
                    <w:rPr>
                      <w:rStyle w:val="12"/>
                      <w:rFonts w:hint="eastAsia"/>
                      <w:lang w:val="en-US" w:eastAsia="zh-CN"/>
                    </w:rPr>
                  </w:pPr>
                  <w:r>
                    <w:rPr>
                      <w:rStyle w:val="12"/>
                      <w:rFonts w:hint="eastAsia"/>
                      <w:lang w:val="en-US" w:eastAsia="zh-CN"/>
                    </w:rPr>
                    <w:t>声屏障-2：20.0</w:t>
                  </w:r>
                </w:p>
                <w:p>
                  <w:pPr>
                    <w:bidi w:val="0"/>
                    <w:jc w:val="center"/>
                    <w:rPr>
                      <w:rStyle w:val="12"/>
                      <w:rFonts w:hint="eastAsia"/>
                      <w:lang w:val="en-US" w:eastAsia="zh-CN"/>
                    </w:rPr>
                  </w:pPr>
                  <w:r>
                    <w:rPr>
                      <w:rStyle w:val="12"/>
                      <w:rFonts w:hint="eastAsia"/>
                      <w:lang w:val="en-US" w:eastAsia="zh-CN"/>
                    </w:rPr>
                    <w:t>声屏障-3：20.0</w:t>
                  </w:r>
                </w:p>
                <w:p>
                  <w:pPr>
                    <w:bidi w:val="0"/>
                    <w:jc w:val="center"/>
                    <w:rPr>
                      <w:rFonts w:hint="eastAsia"/>
                      <w:lang w:val="en-US" w:eastAsia="zh-CN"/>
                    </w:rPr>
                  </w:pPr>
                  <w:r>
                    <w:rPr>
                      <w:rStyle w:val="12"/>
                      <w:rFonts w:hint="eastAsia"/>
                      <w:lang w:val="en-US" w:eastAsia="zh-CN"/>
                    </w:rPr>
                    <w:t>声屏障-4：20.0</w:t>
                  </w:r>
                </w:p>
              </w:tc>
              <w:tc>
                <w:tcPr>
                  <w:tcW w:w="314" w:type="dxa"/>
                  <w:vAlign w:val="center"/>
                </w:tcPr>
                <w:p>
                  <w:pPr>
                    <w:pStyle w:val="9"/>
                    <w:widowControl w:val="0"/>
                    <w:bidi w:val="0"/>
                    <w:jc w:val="center"/>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9" w:type="dxa"/>
                  <w:vAlign w:val="center"/>
                </w:tcPr>
                <w:p>
                  <w:pPr>
                    <w:pStyle w:val="9"/>
                    <w:widowControl w:val="0"/>
                    <w:bidi w:val="0"/>
                    <w:jc w:val="center"/>
                    <w:rPr>
                      <w:rFonts w:hint="default"/>
                      <w:lang w:val="en-US" w:eastAsia="zh-CN"/>
                    </w:rPr>
                  </w:pPr>
                  <w:r>
                    <w:rPr>
                      <w:rFonts w:hint="eastAsia"/>
                      <w:lang w:val="en-US" w:eastAsia="zh-CN"/>
                    </w:rPr>
                    <w:t>2</w:t>
                  </w:r>
                </w:p>
              </w:tc>
              <w:tc>
                <w:tcPr>
                  <w:tcW w:w="438" w:type="dxa"/>
                  <w:vAlign w:val="center"/>
                </w:tcPr>
                <w:p>
                  <w:pPr>
                    <w:pStyle w:val="9"/>
                    <w:widowControl w:val="0"/>
                    <w:bidi w:val="0"/>
                    <w:jc w:val="center"/>
                    <w:rPr>
                      <w:rFonts w:hint="default"/>
                      <w:lang w:val="en-US" w:eastAsia="zh-CN"/>
                    </w:rPr>
                  </w:pPr>
                  <w:r>
                    <w:rPr>
                      <w:rFonts w:hint="eastAsia"/>
                      <w:lang w:val="en-US" w:eastAsia="zh-CN"/>
                    </w:rPr>
                    <w:t>加油区地面</w:t>
                  </w:r>
                </w:p>
              </w:tc>
              <w:tc>
                <w:tcPr>
                  <w:tcW w:w="371" w:type="dxa"/>
                  <w:vAlign w:val="center"/>
                </w:tcPr>
                <w:p>
                  <w:pPr>
                    <w:pStyle w:val="9"/>
                    <w:widowControl w:val="0"/>
                    <w:bidi w:val="0"/>
                    <w:jc w:val="center"/>
                    <w:rPr>
                      <w:rFonts w:hint="default"/>
                      <w:lang w:val="en-US" w:eastAsia="zh-CN"/>
                    </w:rPr>
                  </w:pPr>
                  <w:r>
                    <w:rPr>
                      <w:rFonts w:hint="eastAsia"/>
                      <w:lang w:val="en-US" w:eastAsia="zh-CN"/>
                    </w:rPr>
                    <w:t>潜油泵</w:t>
                  </w:r>
                </w:p>
              </w:tc>
              <w:tc>
                <w:tcPr>
                  <w:tcW w:w="741" w:type="dxa"/>
                  <w:vAlign w:val="center"/>
                </w:tcPr>
                <w:p>
                  <w:pPr>
                    <w:bidi w:val="0"/>
                    <w:jc w:val="center"/>
                    <w:rPr>
                      <w:rFonts w:hint="default"/>
                      <w:lang w:val="en-US" w:eastAsia="zh-CN"/>
                    </w:rPr>
                  </w:pPr>
                  <w:r>
                    <w:rPr>
                      <w:rFonts w:hint="eastAsia" w:ascii="Calibri" w:hAnsi="Calibri" w:cs="Calibri"/>
                      <w:lang w:val="en-US" w:eastAsia="zh-CN"/>
                    </w:rPr>
                    <w:t>/</w:t>
                  </w:r>
                </w:p>
              </w:tc>
              <w:tc>
                <w:tcPr>
                  <w:tcW w:w="776" w:type="dxa"/>
                  <w:vAlign w:val="center"/>
                </w:tcPr>
                <w:p>
                  <w:pPr>
                    <w:bidi w:val="0"/>
                    <w:jc w:val="center"/>
                    <w:rPr>
                      <w:rFonts w:hint="default"/>
                      <w:lang w:val="en-US" w:eastAsia="zh-CN"/>
                    </w:rPr>
                  </w:pPr>
                  <w:r>
                    <w:rPr>
                      <w:rStyle w:val="12"/>
                      <w:rFonts w:hint="eastAsia"/>
                      <w:lang w:val="en-US" w:eastAsia="zh-CN"/>
                    </w:rPr>
                    <w:t>75</w:t>
                  </w:r>
                  <w:r>
                    <w:rPr>
                      <w:rStyle w:val="12"/>
                      <w:rFonts w:hint="eastAsia" w:ascii="Calibri" w:hAnsi="Calibri" w:cs="Calibri"/>
                      <w:lang w:val="en-US" w:eastAsia="zh-CN"/>
                    </w:rPr>
                    <w:t>/</w:t>
                  </w:r>
                  <w:r>
                    <w:rPr>
                      <w:rStyle w:val="12"/>
                      <w:rFonts w:hint="eastAsia"/>
                      <w:lang w:val="en-US" w:eastAsia="zh-CN"/>
                    </w:rPr>
                    <w:t>1</w:t>
                  </w:r>
                </w:p>
              </w:tc>
              <w:tc>
                <w:tcPr>
                  <w:tcW w:w="539" w:type="dxa"/>
                  <w:vAlign w:val="center"/>
                </w:tcPr>
                <w:p>
                  <w:pPr>
                    <w:bidi w:val="0"/>
                    <w:jc w:val="center"/>
                    <w:rPr>
                      <w:rFonts w:hint="eastAsia"/>
                      <w:lang w:val="en-US" w:eastAsia="zh-CN"/>
                    </w:rPr>
                  </w:pPr>
                  <w:r>
                    <w:rPr>
                      <w:rStyle w:val="12"/>
                      <w:rFonts w:hint="eastAsia"/>
                      <w:lang w:val="en-US" w:eastAsia="zh-CN"/>
                    </w:rPr>
                    <w:t>埋在地下</w:t>
                  </w:r>
                </w:p>
              </w:tc>
              <w:tc>
                <w:tcPr>
                  <w:tcW w:w="489" w:type="dxa"/>
                  <w:vAlign w:val="center"/>
                </w:tcPr>
                <w:p>
                  <w:pPr>
                    <w:bidi w:val="0"/>
                    <w:jc w:val="center"/>
                    <w:rPr>
                      <w:rFonts w:hint="default"/>
                      <w:lang w:val="en-US" w:eastAsia="zh-CN"/>
                    </w:rPr>
                  </w:pPr>
                  <w:r>
                    <w:rPr>
                      <w:rStyle w:val="12"/>
                      <w:rFonts w:hint="eastAsia"/>
                      <w:lang w:val="en-US" w:eastAsia="zh-CN"/>
                    </w:rPr>
                    <w:t>15.4</w:t>
                  </w:r>
                </w:p>
              </w:tc>
              <w:tc>
                <w:tcPr>
                  <w:tcW w:w="522" w:type="dxa"/>
                  <w:vAlign w:val="center"/>
                </w:tcPr>
                <w:p>
                  <w:pPr>
                    <w:bidi w:val="0"/>
                    <w:jc w:val="center"/>
                    <w:rPr>
                      <w:rFonts w:hint="default"/>
                      <w:lang w:val="en-US" w:eastAsia="zh-CN"/>
                    </w:rPr>
                  </w:pPr>
                  <w:r>
                    <w:rPr>
                      <w:rStyle w:val="12"/>
                      <w:rFonts w:hint="eastAsia"/>
                      <w:lang w:val="en-US" w:eastAsia="zh-CN"/>
                    </w:rPr>
                    <w:t>7.2</w:t>
                  </w:r>
                </w:p>
              </w:tc>
              <w:tc>
                <w:tcPr>
                  <w:tcW w:w="506" w:type="dxa"/>
                  <w:vAlign w:val="center"/>
                </w:tcPr>
                <w:p>
                  <w:pPr>
                    <w:bidi w:val="0"/>
                    <w:jc w:val="center"/>
                    <w:rPr>
                      <w:rFonts w:hint="default"/>
                      <w:lang w:val="en-US" w:eastAsia="zh-CN"/>
                    </w:rPr>
                  </w:pPr>
                  <w:r>
                    <w:rPr>
                      <w:rStyle w:val="12"/>
                      <w:rFonts w:hint="eastAsia"/>
                      <w:lang w:val="en-US" w:eastAsia="zh-CN"/>
                    </w:rPr>
                    <w:t>81.6</w:t>
                  </w:r>
                </w:p>
              </w:tc>
              <w:tc>
                <w:tcPr>
                  <w:tcW w:w="573" w:type="dxa"/>
                  <w:vAlign w:val="center"/>
                </w:tcPr>
                <w:p>
                  <w:pPr>
                    <w:bidi w:val="0"/>
                    <w:jc w:val="center"/>
                    <w:rPr>
                      <w:rStyle w:val="12"/>
                      <w:rFonts w:hint="eastAsia"/>
                      <w:lang w:val="en-US" w:eastAsia="zh-CN"/>
                    </w:rPr>
                  </w:pPr>
                  <w:r>
                    <w:rPr>
                      <w:rStyle w:val="12"/>
                      <w:rFonts w:hint="eastAsia"/>
                      <w:lang w:val="en-US" w:eastAsia="zh-CN"/>
                    </w:rPr>
                    <w:t>声屏障-1：7.32</w:t>
                  </w:r>
                </w:p>
                <w:p>
                  <w:pPr>
                    <w:bidi w:val="0"/>
                    <w:jc w:val="center"/>
                    <w:rPr>
                      <w:rStyle w:val="12"/>
                      <w:rFonts w:hint="eastAsia"/>
                      <w:lang w:val="en-US" w:eastAsia="zh-CN"/>
                    </w:rPr>
                  </w:pPr>
                  <w:r>
                    <w:rPr>
                      <w:rStyle w:val="12"/>
                      <w:rFonts w:hint="eastAsia"/>
                      <w:lang w:val="en-US" w:eastAsia="zh-CN"/>
                    </w:rPr>
                    <w:t>声屏障-2：4.58</w:t>
                  </w:r>
                </w:p>
                <w:p>
                  <w:pPr>
                    <w:bidi w:val="0"/>
                    <w:jc w:val="center"/>
                    <w:rPr>
                      <w:rStyle w:val="12"/>
                      <w:rFonts w:hint="eastAsia"/>
                      <w:lang w:val="en-US" w:eastAsia="zh-CN"/>
                    </w:rPr>
                  </w:pPr>
                  <w:r>
                    <w:rPr>
                      <w:rStyle w:val="12"/>
                      <w:rFonts w:hint="eastAsia"/>
                      <w:lang w:val="en-US" w:eastAsia="zh-CN"/>
                    </w:rPr>
                    <w:t>声屏障-3：20.08</w:t>
                  </w:r>
                </w:p>
                <w:p>
                  <w:pPr>
                    <w:bidi w:val="0"/>
                    <w:jc w:val="center"/>
                    <w:rPr>
                      <w:rFonts w:hint="eastAsia"/>
                      <w:lang w:val="en-US" w:eastAsia="zh-CN"/>
                    </w:rPr>
                  </w:pPr>
                  <w:r>
                    <w:rPr>
                      <w:rStyle w:val="12"/>
                      <w:rFonts w:hint="eastAsia"/>
                      <w:lang w:val="en-US" w:eastAsia="zh-CN"/>
                    </w:rPr>
                    <w:t>声屏障-4：16.06</w:t>
                  </w:r>
                </w:p>
              </w:tc>
              <w:tc>
                <w:tcPr>
                  <w:tcW w:w="674" w:type="dxa"/>
                  <w:vAlign w:val="center"/>
                </w:tcPr>
                <w:p>
                  <w:pPr>
                    <w:bidi w:val="0"/>
                    <w:jc w:val="center"/>
                    <w:rPr>
                      <w:rStyle w:val="12"/>
                      <w:rFonts w:hint="eastAsia"/>
                      <w:lang w:val="en-US" w:eastAsia="zh-CN"/>
                    </w:rPr>
                  </w:pPr>
                  <w:r>
                    <w:rPr>
                      <w:rStyle w:val="12"/>
                      <w:rFonts w:hint="eastAsia"/>
                      <w:lang w:val="en-US" w:eastAsia="zh-CN"/>
                    </w:rPr>
                    <w:t>声屏障-1：71.04</w:t>
                  </w:r>
                </w:p>
                <w:p>
                  <w:pPr>
                    <w:bidi w:val="0"/>
                    <w:jc w:val="center"/>
                    <w:rPr>
                      <w:rStyle w:val="12"/>
                      <w:rFonts w:hint="eastAsia"/>
                      <w:lang w:val="en-US" w:eastAsia="zh-CN"/>
                    </w:rPr>
                  </w:pPr>
                  <w:r>
                    <w:rPr>
                      <w:rStyle w:val="12"/>
                      <w:rFonts w:hint="eastAsia"/>
                      <w:lang w:val="en-US" w:eastAsia="zh-CN"/>
                    </w:rPr>
                    <w:t>声屏障-2：71.06</w:t>
                  </w:r>
                </w:p>
                <w:p>
                  <w:pPr>
                    <w:bidi w:val="0"/>
                    <w:jc w:val="center"/>
                    <w:rPr>
                      <w:rStyle w:val="12"/>
                      <w:rFonts w:hint="eastAsia"/>
                      <w:lang w:val="en-US" w:eastAsia="zh-CN"/>
                    </w:rPr>
                  </w:pPr>
                  <w:r>
                    <w:rPr>
                      <w:rStyle w:val="12"/>
                      <w:rFonts w:hint="eastAsia"/>
                      <w:lang w:val="en-US" w:eastAsia="zh-CN"/>
                    </w:rPr>
                    <w:t>声屏障-3：71.02</w:t>
                  </w:r>
                </w:p>
                <w:p>
                  <w:pPr>
                    <w:bidi w:val="0"/>
                    <w:jc w:val="center"/>
                    <w:rPr>
                      <w:rFonts w:hint="eastAsia"/>
                      <w:lang w:val="en-US" w:eastAsia="zh-CN"/>
                    </w:rPr>
                  </w:pPr>
                  <w:r>
                    <w:rPr>
                      <w:rStyle w:val="12"/>
                      <w:rFonts w:hint="eastAsia"/>
                      <w:lang w:val="en-US" w:eastAsia="zh-CN"/>
                    </w:rPr>
                    <w:t>声屏障-4：71.02</w:t>
                  </w:r>
                </w:p>
              </w:tc>
              <w:tc>
                <w:tcPr>
                  <w:tcW w:w="354" w:type="dxa"/>
                  <w:vAlign w:val="center"/>
                </w:tcPr>
                <w:p>
                  <w:pPr>
                    <w:bidi w:val="0"/>
                    <w:jc w:val="center"/>
                    <w:rPr>
                      <w:rFonts w:hint="default"/>
                      <w:lang w:val="en-US" w:eastAsia="zh-CN"/>
                    </w:rPr>
                  </w:pPr>
                  <w:r>
                    <w:rPr>
                      <w:rStyle w:val="12"/>
                      <w:rFonts w:hint="eastAsia"/>
                      <w:lang w:val="en-US" w:eastAsia="zh-CN"/>
                    </w:rPr>
                    <w:t>24h</w:t>
                  </w:r>
                </w:p>
              </w:tc>
              <w:tc>
                <w:tcPr>
                  <w:tcW w:w="657" w:type="dxa"/>
                  <w:vAlign w:val="center"/>
                </w:tcPr>
                <w:p>
                  <w:pPr>
                    <w:bidi w:val="0"/>
                    <w:jc w:val="center"/>
                    <w:rPr>
                      <w:rStyle w:val="12"/>
                      <w:rFonts w:hint="eastAsia"/>
                      <w:lang w:val="en-US" w:eastAsia="zh-CN"/>
                    </w:rPr>
                  </w:pPr>
                  <w:r>
                    <w:rPr>
                      <w:rStyle w:val="12"/>
                      <w:rFonts w:hint="eastAsia"/>
                      <w:lang w:val="en-US" w:eastAsia="zh-CN"/>
                    </w:rPr>
                    <w:t>声屏障-1：41.00</w:t>
                  </w:r>
                </w:p>
                <w:p>
                  <w:pPr>
                    <w:bidi w:val="0"/>
                    <w:jc w:val="center"/>
                    <w:rPr>
                      <w:rStyle w:val="12"/>
                      <w:rFonts w:hint="eastAsia"/>
                      <w:lang w:val="en-US" w:eastAsia="zh-CN"/>
                    </w:rPr>
                  </w:pPr>
                  <w:r>
                    <w:rPr>
                      <w:rStyle w:val="12"/>
                      <w:rFonts w:hint="eastAsia"/>
                      <w:lang w:val="en-US" w:eastAsia="zh-CN"/>
                    </w:rPr>
                    <w:t>声屏障-2：41.00</w:t>
                  </w:r>
                </w:p>
                <w:p>
                  <w:pPr>
                    <w:bidi w:val="0"/>
                    <w:jc w:val="center"/>
                    <w:rPr>
                      <w:rStyle w:val="12"/>
                      <w:rFonts w:hint="eastAsia"/>
                      <w:lang w:val="en-US" w:eastAsia="zh-CN"/>
                    </w:rPr>
                  </w:pPr>
                  <w:r>
                    <w:rPr>
                      <w:rStyle w:val="12"/>
                      <w:rFonts w:hint="eastAsia"/>
                      <w:lang w:val="en-US" w:eastAsia="zh-CN"/>
                    </w:rPr>
                    <w:t>声屏障-3：41.00</w:t>
                  </w:r>
                </w:p>
                <w:p>
                  <w:pPr>
                    <w:bidi w:val="0"/>
                    <w:jc w:val="center"/>
                    <w:rPr>
                      <w:rFonts w:hint="eastAsia"/>
                      <w:lang w:val="en-US" w:eastAsia="zh-CN"/>
                    </w:rPr>
                  </w:pPr>
                  <w:r>
                    <w:rPr>
                      <w:rStyle w:val="12"/>
                      <w:rFonts w:hint="eastAsia"/>
                      <w:lang w:val="en-US" w:eastAsia="zh-CN"/>
                    </w:rPr>
                    <w:t>声屏障-4：41.00</w:t>
                  </w:r>
                </w:p>
              </w:tc>
              <w:tc>
                <w:tcPr>
                  <w:tcW w:w="590" w:type="dxa"/>
                  <w:vAlign w:val="center"/>
                </w:tcPr>
                <w:p>
                  <w:pPr>
                    <w:bidi w:val="0"/>
                    <w:jc w:val="center"/>
                    <w:rPr>
                      <w:rStyle w:val="12"/>
                      <w:rFonts w:hint="eastAsia"/>
                      <w:lang w:val="en-US" w:eastAsia="zh-CN"/>
                    </w:rPr>
                  </w:pPr>
                  <w:r>
                    <w:rPr>
                      <w:rStyle w:val="12"/>
                      <w:rFonts w:hint="eastAsia"/>
                      <w:lang w:val="en-US" w:eastAsia="zh-CN"/>
                    </w:rPr>
                    <w:t>声屏障-1：30.04</w:t>
                  </w:r>
                </w:p>
                <w:p>
                  <w:pPr>
                    <w:bidi w:val="0"/>
                    <w:jc w:val="center"/>
                    <w:rPr>
                      <w:rStyle w:val="12"/>
                      <w:rFonts w:hint="eastAsia"/>
                      <w:lang w:val="en-US" w:eastAsia="zh-CN"/>
                    </w:rPr>
                  </w:pPr>
                  <w:r>
                    <w:rPr>
                      <w:rStyle w:val="12"/>
                      <w:rFonts w:hint="eastAsia"/>
                      <w:lang w:val="en-US" w:eastAsia="zh-CN"/>
                    </w:rPr>
                    <w:t>声屏障-2：30.06</w:t>
                  </w:r>
                </w:p>
                <w:p>
                  <w:pPr>
                    <w:bidi w:val="0"/>
                    <w:jc w:val="center"/>
                    <w:rPr>
                      <w:rStyle w:val="12"/>
                      <w:rFonts w:hint="eastAsia"/>
                      <w:lang w:val="en-US" w:eastAsia="zh-CN"/>
                    </w:rPr>
                  </w:pPr>
                  <w:r>
                    <w:rPr>
                      <w:rStyle w:val="12"/>
                      <w:rFonts w:hint="eastAsia"/>
                      <w:lang w:val="en-US" w:eastAsia="zh-CN"/>
                    </w:rPr>
                    <w:t>声屏障-3：30.02</w:t>
                  </w:r>
                </w:p>
                <w:p>
                  <w:pPr>
                    <w:bidi w:val="0"/>
                    <w:jc w:val="center"/>
                    <w:rPr>
                      <w:rFonts w:hint="eastAsia"/>
                      <w:lang w:val="en-US" w:eastAsia="zh-CN"/>
                    </w:rPr>
                  </w:pPr>
                  <w:r>
                    <w:rPr>
                      <w:rStyle w:val="12"/>
                      <w:rFonts w:hint="eastAsia"/>
                      <w:lang w:val="en-US" w:eastAsia="zh-CN"/>
                    </w:rPr>
                    <w:t>声屏障-4：30.02</w:t>
                  </w:r>
                </w:p>
              </w:tc>
              <w:tc>
                <w:tcPr>
                  <w:tcW w:w="314" w:type="dxa"/>
                  <w:vAlign w:val="center"/>
                </w:tcPr>
                <w:p>
                  <w:pPr>
                    <w:pStyle w:val="9"/>
                    <w:widowControl w:val="0"/>
                    <w:bidi w:val="0"/>
                    <w:jc w:val="center"/>
                    <w:rPr>
                      <w:rFonts w:hint="default"/>
                      <w:lang w:val="en-US" w:eastAsia="zh-CN"/>
                    </w:rPr>
                  </w:pP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9" w:type="dxa"/>
                  <w:vAlign w:val="center"/>
                </w:tcPr>
                <w:p>
                  <w:pPr>
                    <w:pStyle w:val="9"/>
                    <w:widowControl w:val="0"/>
                    <w:bidi w:val="0"/>
                    <w:jc w:val="center"/>
                    <w:rPr>
                      <w:rFonts w:hint="default"/>
                      <w:lang w:val="en-US" w:eastAsia="zh-CN"/>
                    </w:rPr>
                  </w:pPr>
                  <w:r>
                    <w:rPr>
                      <w:rFonts w:hint="eastAsia"/>
                      <w:lang w:val="en-US" w:eastAsia="zh-CN"/>
                    </w:rPr>
                    <w:t>3</w:t>
                  </w:r>
                </w:p>
              </w:tc>
              <w:tc>
                <w:tcPr>
                  <w:tcW w:w="438" w:type="dxa"/>
                  <w:vAlign w:val="center"/>
                </w:tcPr>
                <w:p>
                  <w:pPr>
                    <w:pStyle w:val="9"/>
                    <w:widowControl w:val="0"/>
                    <w:bidi w:val="0"/>
                    <w:jc w:val="center"/>
                    <w:rPr>
                      <w:rFonts w:hint="default"/>
                      <w:lang w:val="en-US" w:eastAsia="zh-CN"/>
                    </w:rPr>
                  </w:pPr>
                  <w:r>
                    <w:rPr>
                      <w:rFonts w:hint="eastAsia"/>
                      <w:lang w:val="en-US" w:eastAsia="zh-CN"/>
                    </w:rPr>
                    <w:t>辅房</w:t>
                  </w:r>
                </w:p>
              </w:tc>
              <w:tc>
                <w:tcPr>
                  <w:tcW w:w="371" w:type="dxa"/>
                  <w:vAlign w:val="center"/>
                </w:tcPr>
                <w:p>
                  <w:pPr>
                    <w:pStyle w:val="9"/>
                    <w:widowControl w:val="0"/>
                    <w:bidi w:val="0"/>
                    <w:jc w:val="center"/>
                    <w:rPr>
                      <w:rFonts w:hint="default"/>
                      <w:lang w:val="en-US" w:eastAsia="zh-CN"/>
                    </w:rPr>
                  </w:pPr>
                  <w:r>
                    <w:rPr>
                      <w:rFonts w:hint="eastAsia"/>
                      <w:lang w:val="en-US" w:eastAsia="zh-CN"/>
                    </w:rPr>
                    <w:t>发电机</w:t>
                  </w:r>
                </w:p>
              </w:tc>
              <w:tc>
                <w:tcPr>
                  <w:tcW w:w="741" w:type="dxa"/>
                  <w:vAlign w:val="center"/>
                </w:tcPr>
                <w:p>
                  <w:pPr>
                    <w:bidi w:val="0"/>
                    <w:jc w:val="center"/>
                    <w:rPr>
                      <w:rFonts w:hint="default"/>
                      <w:lang w:val="en-US" w:eastAsia="zh-CN"/>
                    </w:rPr>
                  </w:pPr>
                  <w:r>
                    <w:rPr>
                      <w:rStyle w:val="12"/>
                      <w:rFonts w:hint="eastAsia"/>
                      <w:lang w:val="en-US" w:eastAsia="zh-CN"/>
                    </w:rPr>
                    <w:t>30kw</w:t>
                  </w:r>
                </w:p>
              </w:tc>
              <w:tc>
                <w:tcPr>
                  <w:tcW w:w="776" w:type="dxa"/>
                  <w:vAlign w:val="center"/>
                </w:tcPr>
                <w:p>
                  <w:pPr>
                    <w:bidi w:val="0"/>
                    <w:jc w:val="center"/>
                    <w:rPr>
                      <w:rFonts w:hint="default"/>
                      <w:lang w:val="en-US" w:eastAsia="zh-CN"/>
                    </w:rPr>
                  </w:pPr>
                  <w:r>
                    <w:rPr>
                      <w:rStyle w:val="12"/>
                      <w:rFonts w:hint="eastAsia"/>
                      <w:lang w:val="en-US" w:eastAsia="zh-CN"/>
                    </w:rPr>
                    <w:t>70</w:t>
                  </w:r>
                  <w:r>
                    <w:rPr>
                      <w:rStyle w:val="12"/>
                      <w:rFonts w:hint="eastAsia" w:ascii="Calibri" w:hAnsi="Calibri" w:cs="Calibri"/>
                      <w:lang w:val="en-US" w:eastAsia="zh-CN"/>
                    </w:rPr>
                    <w:t>/</w:t>
                  </w:r>
                  <w:r>
                    <w:rPr>
                      <w:rStyle w:val="12"/>
                      <w:rFonts w:hint="eastAsia"/>
                      <w:lang w:val="en-US" w:eastAsia="zh-CN"/>
                    </w:rPr>
                    <w:t>1</w:t>
                  </w:r>
                </w:p>
              </w:tc>
              <w:tc>
                <w:tcPr>
                  <w:tcW w:w="539" w:type="dxa"/>
                  <w:vAlign w:val="center"/>
                </w:tcPr>
                <w:p>
                  <w:pPr>
                    <w:bidi w:val="0"/>
                    <w:jc w:val="center"/>
                    <w:rPr>
                      <w:rFonts w:hint="default"/>
                      <w:lang w:val="en-US" w:eastAsia="zh-CN"/>
                    </w:rPr>
                  </w:pPr>
                  <w:r>
                    <w:rPr>
                      <w:rStyle w:val="12"/>
                      <w:rFonts w:hint="eastAsia"/>
                      <w:lang w:val="en-US" w:eastAsia="zh-CN"/>
                    </w:rPr>
                    <w:t>隔声减震</w:t>
                  </w:r>
                </w:p>
              </w:tc>
              <w:tc>
                <w:tcPr>
                  <w:tcW w:w="489" w:type="dxa"/>
                  <w:vAlign w:val="center"/>
                </w:tcPr>
                <w:p>
                  <w:pPr>
                    <w:bidi w:val="0"/>
                    <w:jc w:val="center"/>
                    <w:rPr>
                      <w:rFonts w:hint="default"/>
                      <w:lang w:val="en-US" w:eastAsia="zh-CN"/>
                    </w:rPr>
                  </w:pPr>
                  <w:r>
                    <w:rPr>
                      <w:rStyle w:val="12"/>
                      <w:rFonts w:hint="eastAsia"/>
                      <w:lang w:val="en-US" w:eastAsia="zh-CN"/>
                    </w:rPr>
                    <w:t>-20</w:t>
                  </w:r>
                </w:p>
              </w:tc>
              <w:tc>
                <w:tcPr>
                  <w:tcW w:w="522" w:type="dxa"/>
                  <w:vAlign w:val="center"/>
                </w:tcPr>
                <w:p>
                  <w:pPr>
                    <w:bidi w:val="0"/>
                    <w:jc w:val="center"/>
                    <w:rPr>
                      <w:rFonts w:hint="default"/>
                      <w:lang w:val="en-US" w:eastAsia="zh-CN"/>
                    </w:rPr>
                  </w:pPr>
                  <w:r>
                    <w:rPr>
                      <w:rStyle w:val="12"/>
                      <w:rFonts w:hint="eastAsia"/>
                      <w:lang w:val="en-US" w:eastAsia="zh-CN"/>
                    </w:rPr>
                    <w:t>-25.8</w:t>
                  </w:r>
                </w:p>
              </w:tc>
              <w:tc>
                <w:tcPr>
                  <w:tcW w:w="506" w:type="dxa"/>
                  <w:vAlign w:val="center"/>
                </w:tcPr>
                <w:p>
                  <w:pPr>
                    <w:bidi w:val="0"/>
                    <w:jc w:val="center"/>
                    <w:rPr>
                      <w:rFonts w:hint="default"/>
                      <w:lang w:val="en-US" w:eastAsia="zh-CN"/>
                    </w:rPr>
                  </w:pPr>
                  <w:r>
                    <w:rPr>
                      <w:rStyle w:val="12"/>
                      <w:rFonts w:hint="eastAsia"/>
                      <w:lang w:val="en-US" w:eastAsia="zh-CN"/>
                    </w:rPr>
                    <w:t>84.6</w:t>
                  </w:r>
                </w:p>
              </w:tc>
              <w:tc>
                <w:tcPr>
                  <w:tcW w:w="573" w:type="dxa"/>
                  <w:vAlign w:val="center"/>
                </w:tcPr>
                <w:p>
                  <w:pPr>
                    <w:bidi w:val="0"/>
                    <w:jc w:val="center"/>
                    <w:rPr>
                      <w:rStyle w:val="12"/>
                      <w:rFonts w:hint="eastAsia"/>
                      <w:lang w:val="en-US" w:eastAsia="zh-CN"/>
                    </w:rPr>
                  </w:pPr>
                  <w:r>
                    <w:rPr>
                      <w:rStyle w:val="12"/>
                      <w:rFonts w:hint="eastAsia"/>
                      <w:lang w:val="en-US" w:eastAsia="zh-CN"/>
                    </w:rPr>
                    <w:t>声屏障-1：6.33</w:t>
                  </w:r>
                </w:p>
                <w:p>
                  <w:pPr>
                    <w:bidi w:val="0"/>
                    <w:jc w:val="center"/>
                    <w:rPr>
                      <w:rStyle w:val="12"/>
                      <w:rFonts w:hint="eastAsia"/>
                      <w:lang w:val="en-US" w:eastAsia="zh-CN"/>
                    </w:rPr>
                  </w:pPr>
                  <w:r>
                    <w:rPr>
                      <w:rStyle w:val="12"/>
                      <w:rFonts w:hint="eastAsia"/>
                      <w:lang w:val="en-US" w:eastAsia="zh-CN"/>
                    </w:rPr>
                    <w:t>声屏障-2：7.61</w:t>
                  </w:r>
                </w:p>
                <w:p>
                  <w:pPr>
                    <w:bidi w:val="0"/>
                    <w:jc w:val="center"/>
                    <w:rPr>
                      <w:rStyle w:val="12"/>
                      <w:rFonts w:hint="eastAsia"/>
                      <w:lang w:val="en-US" w:eastAsia="zh-CN"/>
                    </w:rPr>
                  </w:pPr>
                  <w:r>
                    <w:rPr>
                      <w:rStyle w:val="12"/>
                      <w:rFonts w:hint="eastAsia"/>
                      <w:lang w:val="en-US" w:eastAsia="zh-CN"/>
                    </w:rPr>
                    <w:t>声屏障-3：4.64</w:t>
                  </w:r>
                </w:p>
                <w:p>
                  <w:pPr>
                    <w:bidi w:val="0"/>
                    <w:jc w:val="center"/>
                    <w:rPr>
                      <w:rFonts w:hint="eastAsia"/>
                      <w:lang w:val="en-US" w:eastAsia="zh-CN"/>
                    </w:rPr>
                  </w:pPr>
                  <w:r>
                    <w:rPr>
                      <w:rStyle w:val="12"/>
                      <w:rFonts w:hint="eastAsia"/>
                      <w:lang w:val="en-US" w:eastAsia="zh-CN"/>
                    </w:rPr>
                    <w:t>声屏障-4：9.13</w:t>
                  </w:r>
                </w:p>
              </w:tc>
              <w:tc>
                <w:tcPr>
                  <w:tcW w:w="674" w:type="dxa"/>
                  <w:vAlign w:val="center"/>
                </w:tcPr>
                <w:p>
                  <w:pPr>
                    <w:bidi w:val="0"/>
                    <w:jc w:val="center"/>
                    <w:rPr>
                      <w:rStyle w:val="12"/>
                      <w:rFonts w:hint="eastAsia"/>
                      <w:lang w:val="en-US" w:eastAsia="zh-CN"/>
                    </w:rPr>
                  </w:pPr>
                  <w:r>
                    <w:rPr>
                      <w:rStyle w:val="12"/>
                      <w:rFonts w:hint="eastAsia"/>
                      <w:lang w:val="en-US" w:eastAsia="zh-CN"/>
                    </w:rPr>
                    <w:t>声屏障-1：66.04</w:t>
                  </w:r>
                </w:p>
                <w:p>
                  <w:pPr>
                    <w:bidi w:val="0"/>
                    <w:jc w:val="center"/>
                    <w:rPr>
                      <w:rStyle w:val="12"/>
                      <w:rFonts w:hint="eastAsia"/>
                      <w:lang w:val="en-US" w:eastAsia="zh-CN"/>
                    </w:rPr>
                  </w:pPr>
                  <w:r>
                    <w:rPr>
                      <w:rStyle w:val="12"/>
                      <w:rFonts w:hint="eastAsia"/>
                      <w:lang w:val="en-US" w:eastAsia="zh-CN"/>
                    </w:rPr>
                    <w:t>声屏障-2：66.04</w:t>
                  </w:r>
                </w:p>
                <w:p>
                  <w:pPr>
                    <w:bidi w:val="0"/>
                    <w:jc w:val="center"/>
                    <w:rPr>
                      <w:rStyle w:val="12"/>
                      <w:rFonts w:hint="eastAsia"/>
                      <w:lang w:val="en-US" w:eastAsia="zh-CN"/>
                    </w:rPr>
                  </w:pPr>
                  <w:r>
                    <w:rPr>
                      <w:rStyle w:val="12"/>
                      <w:rFonts w:hint="eastAsia"/>
                      <w:lang w:val="en-US" w:eastAsia="zh-CN"/>
                    </w:rPr>
                    <w:t>声屏障-3：66.06</w:t>
                  </w:r>
                </w:p>
                <w:p>
                  <w:pPr>
                    <w:bidi w:val="0"/>
                    <w:jc w:val="center"/>
                    <w:rPr>
                      <w:rFonts w:hint="eastAsia"/>
                      <w:lang w:val="en-US" w:eastAsia="zh-CN"/>
                    </w:rPr>
                  </w:pPr>
                  <w:r>
                    <w:rPr>
                      <w:rStyle w:val="12"/>
                      <w:rFonts w:hint="eastAsia"/>
                      <w:lang w:val="en-US" w:eastAsia="zh-CN"/>
                    </w:rPr>
                    <w:t>声屏障-4：66.03</w:t>
                  </w:r>
                </w:p>
              </w:tc>
              <w:tc>
                <w:tcPr>
                  <w:tcW w:w="354" w:type="dxa"/>
                  <w:vAlign w:val="center"/>
                </w:tcPr>
                <w:p>
                  <w:pPr>
                    <w:bidi w:val="0"/>
                    <w:jc w:val="center"/>
                    <w:rPr>
                      <w:rFonts w:hint="default"/>
                      <w:lang w:val="en-US" w:eastAsia="zh-CN"/>
                    </w:rPr>
                  </w:pPr>
                  <w:r>
                    <w:rPr>
                      <w:rStyle w:val="12"/>
                      <w:rFonts w:hint="eastAsia"/>
                      <w:lang w:val="en-US" w:eastAsia="zh-CN"/>
                    </w:rPr>
                    <w:t>间歇</w:t>
                  </w:r>
                </w:p>
              </w:tc>
              <w:tc>
                <w:tcPr>
                  <w:tcW w:w="657" w:type="dxa"/>
                  <w:vAlign w:val="center"/>
                </w:tcPr>
                <w:p>
                  <w:pPr>
                    <w:bidi w:val="0"/>
                    <w:jc w:val="center"/>
                    <w:rPr>
                      <w:rStyle w:val="12"/>
                      <w:rFonts w:hint="eastAsia"/>
                      <w:lang w:val="en-US" w:eastAsia="zh-CN"/>
                    </w:rPr>
                  </w:pPr>
                  <w:r>
                    <w:rPr>
                      <w:rStyle w:val="12"/>
                      <w:rFonts w:hint="eastAsia"/>
                      <w:lang w:val="en-US" w:eastAsia="zh-CN"/>
                    </w:rPr>
                    <w:t>声屏障-1：41.00</w:t>
                  </w:r>
                </w:p>
                <w:p>
                  <w:pPr>
                    <w:bidi w:val="0"/>
                    <w:jc w:val="center"/>
                    <w:rPr>
                      <w:rStyle w:val="12"/>
                      <w:rFonts w:hint="eastAsia"/>
                      <w:lang w:val="en-US" w:eastAsia="zh-CN"/>
                    </w:rPr>
                  </w:pPr>
                  <w:r>
                    <w:rPr>
                      <w:rStyle w:val="12"/>
                      <w:rFonts w:hint="eastAsia"/>
                      <w:lang w:val="en-US" w:eastAsia="zh-CN"/>
                    </w:rPr>
                    <w:t>声屏障-2：41.00</w:t>
                  </w:r>
                </w:p>
                <w:p>
                  <w:pPr>
                    <w:bidi w:val="0"/>
                    <w:jc w:val="center"/>
                    <w:rPr>
                      <w:rStyle w:val="12"/>
                      <w:rFonts w:hint="eastAsia"/>
                      <w:lang w:val="en-US" w:eastAsia="zh-CN"/>
                    </w:rPr>
                  </w:pPr>
                  <w:r>
                    <w:rPr>
                      <w:rStyle w:val="12"/>
                      <w:rFonts w:hint="eastAsia"/>
                      <w:lang w:val="en-US" w:eastAsia="zh-CN"/>
                    </w:rPr>
                    <w:t>声屏障-3：41.00</w:t>
                  </w:r>
                </w:p>
                <w:p>
                  <w:pPr>
                    <w:bidi w:val="0"/>
                    <w:jc w:val="center"/>
                    <w:rPr>
                      <w:rFonts w:hint="eastAsia"/>
                      <w:lang w:val="en-US" w:eastAsia="zh-CN"/>
                    </w:rPr>
                  </w:pPr>
                  <w:r>
                    <w:rPr>
                      <w:rStyle w:val="12"/>
                      <w:rFonts w:hint="eastAsia"/>
                      <w:lang w:val="en-US" w:eastAsia="zh-CN"/>
                    </w:rPr>
                    <w:t>声屏障-4：41.00</w:t>
                  </w:r>
                </w:p>
              </w:tc>
              <w:tc>
                <w:tcPr>
                  <w:tcW w:w="590" w:type="dxa"/>
                  <w:vAlign w:val="center"/>
                </w:tcPr>
                <w:p>
                  <w:pPr>
                    <w:bidi w:val="0"/>
                    <w:jc w:val="center"/>
                    <w:rPr>
                      <w:rStyle w:val="12"/>
                      <w:rFonts w:hint="eastAsia"/>
                      <w:lang w:val="en-US" w:eastAsia="zh-CN"/>
                    </w:rPr>
                  </w:pPr>
                  <w:r>
                    <w:rPr>
                      <w:rStyle w:val="12"/>
                      <w:rFonts w:hint="eastAsia"/>
                      <w:lang w:val="en-US" w:eastAsia="zh-CN"/>
                    </w:rPr>
                    <w:t>声屏障-1：25.04</w:t>
                  </w:r>
                </w:p>
                <w:p>
                  <w:pPr>
                    <w:bidi w:val="0"/>
                    <w:jc w:val="center"/>
                    <w:rPr>
                      <w:rStyle w:val="12"/>
                      <w:rFonts w:hint="eastAsia"/>
                      <w:lang w:val="en-US" w:eastAsia="zh-CN"/>
                    </w:rPr>
                  </w:pPr>
                  <w:r>
                    <w:rPr>
                      <w:rStyle w:val="12"/>
                      <w:rFonts w:hint="eastAsia"/>
                      <w:lang w:val="en-US" w:eastAsia="zh-CN"/>
                    </w:rPr>
                    <w:t>声屏障-2：25.04</w:t>
                  </w:r>
                </w:p>
                <w:p>
                  <w:pPr>
                    <w:bidi w:val="0"/>
                    <w:jc w:val="center"/>
                    <w:rPr>
                      <w:rStyle w:val="12"/>
                      <w:rFonts w:hint="eastAsia"/>
                      <w:lang w:val="en-US" w:eastAsia="zh-CN"/>
                    </w:rPr>
                  </w:pPr>
                  <w:r>
                    <w:rPr>
                      <w:rStyle w:val="12"/>
                      <w:rFonts w:hint="eastAsia"/>
                      <w:lang w:val="en-US" w:eastAsia="zh-CN"/>
                    </w:rPr>
                    <w:t>声屏障-3：25.06</w:t>
                  </w:r>
                </w:p>
                <w:p>
                  <w:pPr>
                    <w:bidi w:val="0"/>
                    <w:jc w:val="center"/>
                    <w:rPr>
                      <w:rFonts w:hint="eastAsia"/>
                      <w:lang w:val="en-US" w:eastAsia="zh-CN"/>
                    </w:rPr>
                  </w:pPr>
                  <w:r>
                    <w:rPr>
                      <w:rStyle w:val="12"/>
                      <w:rFonts w:hint="eastAsia"/>
                      <w:lang w:val="en-US" w:eastAsia="zh-CN"/>
                    </w:rPr>
                    <w:t>声屏障-4：25.03</w:t>
                  </w:r>
                </w:p>
              </w:tc>
              <w:tc>
                <w:tcPr>
                  <w:tcW w:w="314" w:type="dxa"/>
                  <w:vAlign w:val="center"/>
                </w:tcPr>
                <w:p>
                  <w:pPr>
                    <w:pStyle w:val="9"/>
                    <w:widowControl w:val="0"/>
                    <w:bidi w:val="0"/>
                    <w:jc w:val="center"/>
                    <w:rPr>
                      <w:rFonts w:hint="default"/>
                      <w:lang w:val="en-US" w:eastAsia="zh-CN"/>
                    </w:rPr>
                  </w:pPr>
                  <w:r>
                    <w:rPr>
                      <w:rFonts w:hint="eastAsia"/>
                      <w:lang w:val="en-US" w:eastAsia="zh-CN"/>
                    </w:rPr>
                    <w:t>1</w:t>
                  </w:r>
                </w:p>
              </w:tc>
            </w:tr>
          </w:tbl>
          <w:p>
            <w:pPr>
              <w:ind w:firstLine="480" w:firstLineChars="200"/>
              <w:rPr>
                <w:rFonts w:hint="eastAsia"/>
                <w:color w:val="auto"/>
                <w:vertAlign w:val="baseline"/>
                <w:lang w:val="en-US" w:eastAsia="zh-CN"/>
              </w:rPr>
            </w:pPr>
            <w:r>
              <w:rPr>
                <w:rFonts w:hint="eastAsia"/>
                <w:color w:val="auto"/>
                <w:vertAlign w:val="baseline"/>
                <w:lang w:val="en-US" w:eastAsia="zh-CN"/>
              </w:rPr>
              <w:t>（2）噪声达标分析</w:t>
            </w:r>
          </w:p>
          <w:p>
            <w:pPr>
              <w:bidi w:val="0"/>
              <w:ind w:firstLine="480" w:firstLineChars="200"/>
              <w:rPr>
                <w:rFonts w:hint="eastAsia"/>
                <w:lang w:val="en-US" w:eastAsia="zh-CN"/>
              </w:rPr>
            </w:pPr>
            <w:r>
              <w:rPr>
                <w:rFonts w:hint="eastAsia"/>
                <w:lang w:val="en-US" w:eastAsia="zh-CN"/>
              </w:rPr>
              <w:t>通过预测模型计算，项目厂界噪声预测结果与达标分析见</w:t>
            </w:r>
            <w:r>
              <w:rPr>
                <w:rFonts w:hint="eastAsia"/>
                <w:b w:val="0"/>
                <w:bCs w:val="0"/>
                <w:color w:val="auto"/>
                <w:vertAlign w:val="baseline"/>
                <w:lang w:val="en-US" w:eastAsia="zh-CN"/>
              </w:rPr>
              <w:t>表4-</w:t>
            </w:r>
            <w:r>
              <w:rPr>
                <w:rFonts w:hint="default"/>
                <w:b w:val="0"/>
                <w:bCs w:val="0"/>
                <w:color w:val="auto"/>
                <w:vertAlign w:val="baseline"/>
                <w:lang w:eastAsia="zh-CN"/>
              </w:rPr>
              <w:fldChar w:fldCharType="begin"/>
            </w:r>
            <w:r>
              <w:rPr>
                <w:rFonts w:hint="default"/>
                <w:b w:val="0"/>
                <w:bCs w:val="0"/>
                <w:color w:val="auto"/>
                <w:vertAlign w:val="baseline"/>
                <w:lang w:eastAsia="zh-CN"/>
              </w:rPr>
              <w:instrText xml:space="preserve"> SEQ 4- </w:instrText>
            </w:r>
            <w:r>
              <w:rPr>
                <w:rFonts w:hint="default"/>
                <w:b w:val="0"/>
                <w:bCs w:val="0"/>
                <w:color w:val="auto"/>
                <w:vertAlign w:val="baseline"/>
                <w:lang w:eastAsia="zh-CN"/>
              </w:rPr>
              <w:fldChar w:fldCharType="separate"/>
            </w:r>
            <w:r>
              <w:rPr>
                <w:rFonts w:hint="default"/>
                <w:b w:val="0"/>
                <w:bCs w:val="0"/>
                <w:color w:val="auto"/>
                <w:vertAlign w:val="baseline"/>
                <w:lang w:eastAsia="zh-CN"/>
              </w:rPr>
              <w:t>9</w:t>
            </w:r>
            <w:r>
              <w:rPr>
                <w:rFonts w:hint="default"/>
                <w:b w:val="0"/>
                <w:bCs w:val="0"/>
                <w:color w:val="auto"/>
                <w:vertAlign w:val="baseline"/>
                <w:lang w:eastAsia="zh-CN"/>
              </w:rPr>
              <w:fldChar w:fldCharType="end"/>
            </w:r>
            <w:r>
              <w:rPr>
                <w:rFonts w:hint="eastAsia"/>
                <w:lang w:val="en-US" w:eastAsia="zh-CN"/>
              </w:rPr>
              <w:t>，声环境保护目标噪声预测结果与达标分析见表4-</w:t>
            </w:r>
            <w:r>
              <w:rPr>
                <w:rFonts w:hint="default"/>
                <w:lang w:eastAsia="zh-CN"/>
              </w:rPr>
              <w:fldChar w:fldCharType="begin"/>
            </w:r>
            <w:r>
              <w:rPr>
                <w:rFonts w:hint="default"/>
                <w:lang w:eastAsia="zh-CN"/>
              </w:rPr>
              <w:instrText xml:space="preserve"> SEQ 4- </w:instrText>
            </w:r>
            <w:r>
              <w:rPr>
                <w:rFonts w:hint="default"/>
                <w:lang w:eastAsia="zh-CN"/>
              </w:rPr>
              <w:fldChar w:fldCharType="separate"/>
            </w:r>
            <w:r>
              <w:rPr>
                <w:rFonts w:hint="default"/>
                <w:lang w:eastAsia="zh-CN"/>
              </w:rPr>
              <w:t>10</w:t>
            </w:r>
            <w:r>
              <w:rPr>
                <w:rFonts w:hint="default"/>
                <w:lang w:eastAsia="zh-CN"/>
              </w:rPr>
              <w:fldChar w:fldCharType="end"/>
            </w:r>
            <w:r>
              <w:rPr>
                <w:rFonts w:hint="eastAsia"/>
                <w:lang w:val="en-US" w:eastAsia="zh-CN"/>
              </w:rPr>
              <w:t>。</w:t>
            </w:r>
          </w:p>
          <w:p>
            <w:pPr>
              <w:spacing w:line="240" w:lineRule="auto"/>
              <w:jc w:val="center"/>
              <w:rPr>
                <w:rFonts w:hint="eastAsia"/>
                <w:b/>
                <w:bCs/>
                <w:color w:val="auto"/>
                <w:vertAlign w:val="baseline"/>
                <w:lang w:val="en-US" w:eastAsia="zh-CN"/>
              </w:rPr>
            </w:pPr>
            <w:r>
              <w:rPr>
                <w:rFonts w:hint="eastAsia"/>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9</w:t>
            </w:r>
            <w:r>
              <w:rPr>
                <w:rFonts w:hint="default"/>
                <w:b/>
                <w:bCs/>
                <w:color w:val="auto"/>
                <w:vertAlign w:val="baseline"/>
                <w:lang w:eastAsia="zh-CN"/>
              </w:rPr>
              <w:fldChar w:fldCharType="end"/>
            </w:r>
            <w:r>
              <w:rPr>
                <w:rFonts w:hint="eastAsia"/>
                <w:b/>
                <w:bCs/>
                <w:color w:val="auto"/>
                <w:vertAlign w:val="baseline"/>
                <w:lang w:val="en-US" w:eastAsia="zh-CN"/>
              </w:rPr>
              <w:t xml:space="preserve">   项目厂界噪声预测结果与达标分析表 单位：dB(A)</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736"/>
              <w:gridCol w:w="736"/>
              <w:gridCol w:w="736"/>
              <w:gridCol w:w="1045"/>
              <w:gridCol w:w="1112"/>
              <w:gridCol w:w="1298"/>
              <w:gridCol w:w="1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091" w:type="dxa"/>
                  <w:vMerge w:val="restart"/>
                  <w:vAlign w:val="center"/>
                </w:tcPr>
                <w:p>
                  <w:pPr>
                    <w:pStyle w:val="9"/>
                    <w:widowControl w:val="0"/>
                    <w:bidi w:val="0"/>
                    <w:jc w:val="center"/>
                    <w:rPr>
                      <w:rFonts w:hint="default"/>
                      <w:lang w:val="en-US" w:eastAsia="zh-CN"/>
                    </w:rPr>
                  </w:pPr>
                  <w:r>
                    <w:rPr>
                      <w:rFonts w:hint="default"/>
                      <w:lang w:val="en-US" w:eastAsia="zh-CN"/>
                    </w:rPr>
                    <w:t>预测方位</w:t>
                  </w:r>
                </w:p>
              </w:tc>
              <w:tc>
                <w:tcPr>
                  <w:tcW w:w="2208" w:type="dxa"/>
                  <w:gridSpan w:val="3"/>
                  <w:vAlign w:val="center"/>
                </w:tcPr>
                <w:p>
                  <w:pPr>
                    <w:pStyle w:val="9"/>
                    <w:widowControl w:val="0"/>
                    <w:bidi w:val="0"/>
                    <w:jc w:val="center"/>
                    <w:rPr>
                      <w:rFonts w:hint="default"/>
                      <w:lang w:val="en-US" w:eastAsia="zh-CN"/>
                    </w:rPr>
                  </w:pPr>
                  <w:r>
                    <w:rPr>
                      <w:rFonts w:hint="default"/>
                      <w:lang w:val="en-US" w:eastAsia="zh-CN"/>
                    </w:rPr>
                    <w:t>空间相对位置</w:t>
                  </w:r>
                  <w:r>
                    <w:rPr>
                      <w:rFonts w:hint="default" w:ascii="Calibri" w:hAnsi="Calibri" w:cs="Calibri"/>
                      <w:lang w:val="en-US" w:eastAsia="zh-CN"/>
                    </w:rPr>
                    <w:t>/</w:t>
                  </w:r>
                  <w:r>
                    <w:rPr>
                      <w:rFonts w:hint="default"/>
                      <w:lang w:val="en-US" w:eastAsia="zh-CN"/>
                    </w:rPr>
                    <w:t>m</w:t>
                  </w:r>
                </w:p>
              </w:tc>
              <w:tc>
                <w:tcPr>
                  <w:tcW w:w="1045" w:type="dxa"/>
                  <w:vMerge w:val="restart"/>
                  <w:vAlign w:val="center"/>
                </w:tcPr>
                <w:p>
                  <w:pPr>
                    <w:pStyle w:val="9"/>
                    <w:widowControl w:val="0"/>
                    <w:bidi w:val="0"/>
                    <w:jc w:val="center"/>
                    <w:rPr>
                      <w:rFonts w:hint="default"/>
                      <w:lang w:val="en-US" w:eastAsia="zh-CN"/>
                    </w:rPr>
                  </w:pPr>
                  <w:r>
                    <w:rPr>
                      <w:rFonts w:hint="default"/>
                      <w:lang w:val="en-US" w:eastAsia="zh-CN"/>
                    </w:rPr>
                    <w:t>时段</w:t>
                  </w:r>
                </w:p>
              </w:tc>
              <w:tc>
                <w:tcPr>
                  <w:tcW w:w="1112" w:type="dxa"/>
                  <w:vMerge w:val="restart"/>
                  <w:vAlign w:val="center"/>
                </w:tcPr>
                <w:p>
                  <w:pPr>
                    <w:pStyle w:val="9"/>
                    <w:widowControl w:val="0"/>
                    <w:bidi w:val="0"/>
                    <w:jc w:val="center"/>
                    <w:rPr>
                      <w:rFonts w:hint="default"/>
                      <w:lang w:val="en-US" w:eastAsia="zh-CN"/>
                    </w:rPr>
                  </w:pPr>
                  <w:r>
                    <w:rPr>
                      <w:rFonts w:hint="default"/>
                      <w:lang w:val="en-US" w:eastAsia="zh-CN"/>
                    </w:rPr>
                    <w:t>预测值（dB(A)）</w:t>
                  </w:r>
                </w:p>
              </w:tc>
              <w:tc>
                <w:tcPr>
                  <w:tcW w:w="1298" w:type="dxa"/>
                  <w:vMerge w:val="restart"/>
                  <w:vAlign w:val="center"/>
                </w:tcPr>
                <w:p>
                  <w:pPr>
                    <w:pStyle w:val="9"/>
                    <w:widowControl w:val="0"/>
                    <w:bidi w:val="0"/>
                    <w:jc w:val="center"/>
                    <w:rPr>
                      <w:rFonts w:hint="default"/>
                      <w:lang w:val="en-US" w:eastAsia="zh-CN"/>
                    </w:rPr>
                  </w:pPr>
                  <w:r>
                    <w:rPr>
                      <w:rFonts w:hint="default"/>
                      <w:lang w:val="en-US" w:eastAsia="zh-CN"/>
                    </w:rPr>
                    <w:t>标准限值（dB(A)）</w:t>
                  </w:r>
                </w:p>
              </w:tc>
              <w:tc>
                <w:tcPr>
                  <w:tcW w:w="1089" w:type="dxa"/>
                  <w:vMerge w:val="restart"/>
                  <w:vAlign w:val="center"/>
                </w:tcPr>
                <w:p>
                  <w:pPr>
                    <w:pStyle w:val="9"/>
                    <w:widowControl w:val="0"/>
                    <w:bidi w:val="0"/>
                    <w:jc w:val="center"/>
                    <w:rPr>
                      <w:rFonts w:hint="default"/>
                      <w:lang w:val="en-US" w:eastAsia="zh-CN"/>
                    </w:rPr>
                  </w:pPr>
                  <w:r>
                    <w:rPr>
                      <w:rFonts w:hint="default"/>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091" w:type="dxa"/>
                  <w:vMerge w:val="continue"/>
                  <w:vAlign w:val="center"/>
                </w:tcPr>
                <w:p>
                  <w:pPr>
                    <w:pStyle w:val="9"/>
                    <w:widowControl w:val="0"/>
                    <w:bidi w:val="0"/>
                    <w:jc w:val="center"/>
                  </w:pPr>
                </w:p>
              </w:tc>
              <w:tc>
                <w:tcPr>
                  <w:tcW w:w="736" w:type="dxa"/>
                  <w:vAlign w:val="center"/>
                </w:tcPr>
                <w:p>
                  <w:pPr>
                    <w:pStyle w:val="9"/>
                    <w:widowControl w:val="0"/>
                    <w:bidi w:val="0"/>
                    <w:jc w:val="center"/>
                    <w:rPr>
                      <w:rFonts w:hint="default"/>
                      <w:lang w:val="en-US" w:eastAsia="zh-CN"/>
                    </w:rPr>
                  </w:pPr>
                  <w:r>
                    <w:rPr>
                      <w:rFonts w:hint="default"/>
                      <w:lang w:val="en-US" w:eastAsia="zh-CN"/>
                    </w:rPr>
                    <w:t>X</w:t>
                  </w:r>
                </w:p>
              </w:tc>
              <w:tc>
                <w:tcPr>
                  <w:tcW w:w="736" w:type="dxa"/>
                  <w:vAlign w:val="center"/>
                </w:tcPr>
                <w:p>
                  <w:pPr>
                    <w:pStyle w:val="9"/>
                    <w:widowControl w:val="0"/>
                    <w:bidi w:val="0"/>
                    <w:jc w:val="center"/>
                    <w:rPr>
                      <w:rFonts w:hint="default"/>
                      <w:lang w:val="en-US" w:eastAsia="zh-CN"/>
                    </w:rPr>
                  </w:pPr>
                  <w:r>
                    <w:rPr>
                      <w:rFonts w:hint="default"/>
                      <w:lang w:val="en-US" w:eastAsia="zh-CN"/>
                    </w:rPr>
                    <w:t>Y</w:t>
                  </w:r>
                </w:p>
              </w:tc>
              <w:tc>
                <w:tcPr>
                  <w:tcW w:w="736" w:type="dxa"/>
                  <w:vAlign w:val="center"/>
                </w:tcPr>
                <w:p>
                  <w:pPr>
                    <w:pStyle w:val="9"/>
                    <w:widowControl w:val="0"/>
                    <w:bidi w:val="0"/>
                    <w:jc w:val="center"/>
                    <w:rPr>
                      <w:rFonts w:hint="default"/>
                      <w:lang w:val="en-US" w:eastAsia="zh-CN"/>
                    </w:rPr>
                  </w:pPr>
                  <w:r>
                    <w:rPr>
                      <w:rFonts w:hint="default"/>
                      <w:lang w:val="en-US" w:eastAsia="zh-CN"/>
                    </w:rPr>
                    <w:t>Z</w:t>
                  </w:r>
                </w:p>
              </w:tc>
              <w:tc>
                <w:tcPr>
                  <w:tcW w:w="1045" w:type="dxa"/>
                  <w:vMerge w:val="continue"/>
                  <w:vAlign w:val="center"/>
                </w:tcPr>
                <w:p>
                  <w:pPr>
                    <w:pStyle w:val="9"/>
                    <w:widowControl w:val="0"/>
                    <w:bidi w:val="0"/>
                    <w:jc w:val="center"/>
                    <w:rPr>
                      <w:rFonts w:hint="default"/>
                      <w:lang w:val="en-US" w:eastAsia="zh-CN"/>
                    </w:rPr>
                  </w:pPr>
                </w:p>
              </w:tc>
              <w:tc>
                <w:tcPr>
                  <w:tcW w:w="1112" w:type="dxa"/>
                  <w:vMerge w:val="continue"/>
                  <w:vAlign w:val="center"/>
                </w:tcPr>
                <w:p>
                  <w:pPr>
                    <w:pStyle w:val="9"/>
                    <w:widowControl w:val="0"/>
                    <w:bidi w:val="0"/>
                    <w:jc w:val="center"/>
                    <w:rPr>
                      <w:rFonts w:hint="default"/>
                      <w:lang w:val="en-US" w:eastAsia="zh-CN"/>
                    </w:rPr>
                  </w:pPr>
                </w:p>
              </w:tc>
              <w:tc>
                <w:tcPr>
                  <w:tcW w:w="1298" w:type="dxa"/>
                  <w:vMerge w:val="continue"/>
                  <w:vAlign w:val="center"/>
                </w:tcPr>
                <w:p>
                  <w:pPr>
                    <w:pStyle w:val="9"/>
                    <w:widowControl w:val="0"/>
                    <w:bidi w:val="0"/>
                    <w:jc w:val="center"/>
                    <w:rPr>
                      <w:rFonts w:hint="default"/>
                      <w:lang w:val="en-US" w:eastAsia="zh-CN"/>
                    </w:rPr>
                  </w:pPr>
                </w:p>
              </w:tc>
              <w:tc>
                <w:tcPr>
                  <w:tcW w:w="1089" w:type="dxa"/>
                  <w:vMerge w:val="continue"/>
                  <w:vAlign w:val="center"/>
                </w:tcPr>
                <w:p>
                  <w:pPr>
                    <w:pStyle w:val="9"/>
                    <w:widowControl w:val="0"/>
                    <w:bidi w:val="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restart"/>
                  <w:vAlign w:val="center"/>
                </w:tcPr>
                <w:p>
                  <w:pPr>
                    <w:pStyle w:val="9"/>
                    <w:widowControl w:val="0"/>
                    <w:bidi w:val="0"/>
                    <w:jc w:val="center"/>
                    <w:rPr>
                      <w:rFonts w:hint="default"/>
                      <w:lang w:val="en-US" w:eastAsia="zh-CN"/>
                    </w:rPr>
                  </w:pPr>
                  <w:r>
                    <w:rPr>
                      <w:rFonts w:hint="default"/>
                      <w:lang w:val="en-US" w:eastAsia="zh-CN"/>
                    </w:rPr>
                    <w:t>东侧</w:t>
                  </w:r>
                </w:p>
              </w:tc>
              <w:tc>
                <w:tcPr>
                  <w:tcW w:w="736" w:type="dxa"/>
                  <w:vAlign w:val="center"/>
                </w:tcPr>
                <w:p>
                  <w:pPr>
                    <w:pStyle w:val="9"/>
                    <w:widowControl w:val="0"/>
                    <w:bidi w:val="0"/>
                    <w:jc w:val="center"/>
                    <w:rPr>
                      <w:rFonts w:hint="default"/>
                      <w:lang w:val="en-US" w:eastAsia="zh-CN"/>
                    </w:rPr>
                  </w:pPr>
                  <w:r>
                    <w:rPr>
                      <w:rFonts w:hint="default"/>
                      <w:lang w:val="en-US" w:eastAsia="zh-CN"/>
                    </w:rPr>
                    <w:t>33.2</w:t>
                  </w:r>
                </w:p>
              </w:tc>
              <w:tc>
                <w:tcPr>
                  <w:tcW w:w="736" w:type="dxa"/>
                  <w:vAlign w:val="center"/>
                </w:tcPr>
                <w:p>
                  <w:pPr>
                    <w:pStyle w:val="9"/>
                    <w:widowControl w:val="0"/>
                    <w:bidi w:val="0"/>
                    <w:jc w:val="center"/>
                    <w:rPr>
                      <w:rFonts w:hint="default"/>
                      <w:lang w:val="en-US" w:eastAsia="zh-CN"/>
                    </w:rPr>
                  </w:pPr>
                  <w:r>
                    <w:rPr>
                      <w:rFonts w:hint="default"/>
                      <w:lang w:val="en-US" w:eastAsia="zh-CN"/>
                    </w:rPr>
                    <w:t>26.2</w:t>
                  </w:r>
                </w:p>
              </w:tc>
              <w:tc>
                <w:tcPr>
                  <w:tcW w:w="736" w:type="dxa"/>
                  <w:vAlign w:val="center"/>
                </w:tcPr>
                <w:p>
                  <w:pPr>
                    <w:pStyle w:val="9"/>
                    <w:widowControl w:val="0"/>
                    <w:bidi w:val="0"/>
                    <w:jc w:val="center"/>
                    <w:rPr>
                      <w:rFonts w:hint="default"/>
                      <w:lang w:val="en-US" w:eastAsia="zh-CN"/>
                    </w:rPr>
                  </w:pPr>
                  <w:r>
                    <w:rPr>
                      <w:rFonts w:hint="default"/>
                      <w:lang w:val="en-US" w:eastAsia="zh-CN"/>
                    </w:rPr>
                    <w:t>80.6</w:t>
                  </w:r>
                </w:p>
              </w:tc>
              <w:tc>
                <w:tcPr>
                  <w:tcW w:w="1045" w:type="dxa"/>
                  <w:vAlign w:val="center"/>
                </w:tcPr>
                <w:p>
                  <w:pPr>
                    <w:pStyle w:val="9"/>
                    <w:widowControl w:val="0"/>
                    <w:bidi w:val="0"/>
                    <w:jc w:val="center"/>
                    <w:rPr>
                      <w:rFonts w:hint="default"/>
                      <w:lang w:val="en-US" w:eastAsia="zh-CN"/>
                    </w:rPr>
                  </w:pPr>
                  <w:r>
                    <w:rPr>
                      <w:rFonts w:hint="default"/>
                      <w:lang w:val="en-US" w:eastAsia="zh-CN"/>
                    </w:rPr>
                    <w:t>昼间</w:t>
                  </w:r>
                </w:p>
              </w:tc>
              <w:tc>
                <w:tcPr>
                  <w:tcW w:w="1112" w:type="dxa"/>
                  <w:vAlign w:val="center"/>
                </w:tcPr>
                <w:p>
                  <w:pPr>
                    <w:pStyle w:val="9"/>
                    <w:widowControl w:val="0"/>
                    <w:bidi w:val="0"/>
                    <w:jc w:val="center"/>
                    <w:rPr>
                      <w:rFonts w:hint="default"/>
                      <w:lang w:val="en-US" w:eastAsia="zh-CN"/>
                    </w:rPr>
                  </w:pPr>
                  <w:r>
                    <w:rPr>
                      <w:rFonts w:hint="default"/>
                      <w:lang w:val="en-US" w:eastAsia="zh-CN"/>
                    </w:rPr>
                    <w:t>44.8</w:t>
                  </w:r>
                </w:p>
              </w:tc>
              <w:tc>
                <w:tcPr>
                  <w:tcW w:w="1298" w:type="dxa"/>
                  <w:vAlign w:val="center"/>
                </w:tcPr>
                <w:p>
                  <w:pPr>
                    <w:pStyle w:val="9"/>
                    <w:widowControl w:val="0"/>
                    <w:bidi w:val="0"/>
                    <w:jc w:val="center"/>
                    <w:rPr>
                      <w:rFonts w:hint="default"/>
                      <w:lang w:val="en-US" w:eastAsia="zh-CN"/>
                    </w:rPr>
                  </w:pPr>
                  <w:r>
                    <w:rPr>
                      <w:rFonts w:hint="eastAsia"/>
                      <w:lang w:val="en-US" w:eastAsia="zh-CN"/>
                    </w:rPr>
                    <w:t>7</w:t>
                  </w:r>
                  <w:r>
                    <w:rPr>
                      <w:rFonts w:hint="default"/>
                      <w:lang w:val="en-US" w:eastAsia="zh-CN"/>
                    </w:rPr>
                    <w:t>0</w:t>
                  </w:r>
                </w:p>
              </w:tc>
              <w:tc>
                <w:tcPr>
                  <w:tcW w:w="1089" w:type="dxa"/>
                  <w:vAlign w:val="center"/>
                </w:tcPr>
                <w:p>
                  <w:pPr>
                    <w:pStyle w:val="9"/>
                    <w:widowControl w:val="0"/>
                    <w:bidi w:val="0"/>
                    <w:jc w:val="center"/>
                    <w:rPr>
                      <w:rFonts w:hint="default"/>
                      <w:lang w:val="en-US" w:eastAsia="zh-CN"/>
                    </w:rPr>
                  </w:pPr>
                  <w:r>
                    <w:rPr>
                      <w:rFonts w:hint="default"/>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vAlign w:val="center"/>
                </w:tcPr>
                <w:p>
                  <w:pPr>
                    <w:pStyle w:val="9"/>
                    <w:widowControl w:val="0"/>
                    <w:bidi w:val="0"/>
                    <w:jc w:val="center"/>
                    <w:rPr>
                      <w:rFonts w:hint="default"/>
                      <w:lang w:val="en-US" w:eastAsia="zh-CN"/>
                    </w:rPr>
                  </w:pPr>
                </w:p>
              </w:tc>
              <w:tc>
                <w:tcPr>
                  <w:tcW w:w="736" w:type="dxa"/>
                  <w:vAlign w:val="center"/>
                </w:tcPr>
                <w:p>
                  <w:pPr>
                    <w:pStyle w:val="9"/>
                    <w:widowControl w:val="0"/>
                    <w:bidi w:val="0"/>
                    <w:jc w:val="center"/>
                    <w:rPr>
                      <w:rFonts w:hint="default"/>
                      <w:lang w:val="en-US" w:eastAsia="zh-CN"/>
                    </w:rPr>
                  </w:pPr>
                  <w:r>
                    <w:rPr>
                      <w:rFonts w:hint="default"/>
                      <w:lang w:val="en-US" w:eastAsia="zh-CN"/>
                    </w:rPr>
                    <w:t>33.2</w:t>
                  </w:r>
                </w:p>
              </w:tc>
              <w:tc>
                <w:tcPr>
                  <w:tcW w:w="736" w:type="dxa"/>
                  <w:vAlign w:val="center"/>
                </w:tcPr>
                <w:p>
                  <w:pPr>
                    <w:pStyle w:val="9"/>
                    <w:widowControl w:val="0"/>
                    <w:bidi w:val="0"/>
                    <w:jc w:val="center"/>
                    <w:rPr>
                      <w:rFonts w:hint="default"/>
                      <w:lang w:val="en-US" w:eastAsia="zh-CN"/>
                    </w:rPr>
                  </w:pPr>
                  <w:r>
                    <w:rPr>
                      <w:rFonts w:hint="default"/>
                      <w:lang w:val="en-US" w:eastAsia="zh-CN"/>
                    </w:rPr>
                    <w:t>26.2</w:t>
                  </w:r>
                </w:p>
              </w:tc>
              <w:tc>
                <w:tcPr>
                  <w:tcW w:w="736" w:type="dxa"/>
                  <w:vAlign w:val="center"/>
                </w:tcPr>
                <w:p>
                  <w:pPr>
                    <w:pStyle w:val="9"/>
                    <w:widowControl w:val="0"/>
                    <w:bidi w:val="0"/>
                    <w:jc w:val="center"/>
                    <w:rPr>
                      <w:rFonts w:hint="default"/>
                      <w:lang w:val="en-US" w:eastAsia="zh-CN"/>
                    </w:rPr>
                  </w:pPr>
                  <w:r>
                    <w:rPr>
                      <w:rFonts w:hint="default"/>
                      <w:lang w:val="en-US" w:eastAsia="zh-CN"/>
                    </w:rPr>
                    <w:t>80.6</w:t>
                  </w:r>
                </w:p>
              </w:tc>
              <w:tc>
                <w:tcPr>
                  <w:tcW w:w="1045" w:type="dxa"/>
                  <w:vAlign w:val="center"/>
                </w:tcPr>
                <w:p>
                  <w:pPr>
                    <w:pStyle w:val="9"/>
                    <w:widowControl w:val="0"/>
                    <w:bidi w:val="0"/>
                    <w:jc w:val="center"/>
                    <w:rPr>
                      <w:rFonts w:hint="default"/>
                      <w:lang w:val="en-US" w:eastAsia="zh-CN"/>
                    </w:rPr>
                  </w:pPr>
                  <w:r>
                    <w:rPr>
                      <w:rFonts w:hint="default"/>
                      <w:lang w:val="en-US" w:eastAsia="zh-CN"/>
                    </w:rPr>
                    <w:t>夜间</w:t>
                  </w:r>
                </w:p>
              </w:tc>
              <w:tc>
                <w:tcPr>
                  <w:tcW w:w="1112" w:type="dxa"/>
                  <w:vAlign w:val="center"/>
                </w:tcPr>
                <w:p>
                  <w:pPr>
                    <w:pStyle w:val="9"/>
                    <w:widowControl w:val="0"/>
                    <w:bidi w:val="0"/>
                    <w:jc w:val="center"/>
                    <w:rPr>
                      <w:rFonts w:hint="default"/>
                      <w:lang w:val="en-US" w:eastAsia="zh-CN"/>
                    </w:rPr>
                  </w:pPr>
                  <w:r>
                    <w:rPr>
                      <w:rFonts w:hint="default"/>
                      <w:lang w:val="en-US" w:eastAsia="zh-CN"/>
                    </w:rPr>
                    <w:t>44.8</w:t>
                  </w:r>
                </w:p>
              </w:tc>
              <w:tc>
                <w:tcPr>
                  <w:tcW w:w="1298" w:type="dxa"/>
                  <w:vAlign w:val="center"/>
                </w:tcPr>
                <w:p>
                  <w:pPr>
                    <w:pStyle w:val="9"/>
                    <w:widowControl w:val="0"/>
                    <w:bidi w:val="0"/>
                    <w:jc w:val="center"/>
                    <w:rPr>
                      <w:rFonts w:hint="default"/>
                      <w:lang w:val="en-US" w:eastAsia="zh-CN"/>
                    </w:rPr>
                  </w:pPr>
                  <w:r>
                    <w:rPr>
                      <w:rFonts w:hint="default"/>
                      <w:lang w:val="en-US" w:eastAsia="zh-CN"/>
                    </w:rPr>
                    <w:t>5</w:t>
                  </w:r>
                  <w:r>
                    <w:rPr>
                      <w:rFonts w:hint="eastAsia"/>
                      <w:lang w:val="en-US" w:eastAsia="zh-CN"/>
                    </w:rPr>
                    <w:t>5</w:t>
                  </w:r>
                </w:p>
              </w:tc>
              <w:tc>
                <w:tcPr>
                  <w:tcW w:w="1089" w:type="dxa"/>
                  <w:vAlign w:val="center"/>
                </w:tcPr>
                <w:p>
                  <w:pPr>
                    <w:pStyle w:val="9"/>
                    <w:widowControl w:val="0"/>
                    <w:bidi w:val="0"/>
                    <w:jc w:val="center"/>
                    <w:rPr>
                      <w:rFonts w:hint="default"/>
                      <w:lang w:val="en-US" w:eastAsia="zh-CN"/>
                    </w:rPr>
                  </w:pPr>
                  <w:r>
                    <w:rPr>
                      <w:rFonts w:hint="default"/>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restart"/>
                  <w:vAlign w:val="center"/>
                </w:tcPr>
                <w:p>
                  <w:pPr>
                    <w:pStyle w:val="9"/>
                    <w:widowControl w:val="0"/>
                    <w:bidi w:val="0"/>
                    <w:jc w:val="center"/>
                    <w:rPr>
                      <w:rFonts w:hint="default"/>
                      <w:lang w:val="en-US" w:eastAsia="zh-CN"/>
                    </w:rPr>
                  </w:pPr>
                  <w:r>
                    <w:rPr>
                      <w:rFonts w:hint="default"/>
                      <w:lang w:val="en-US" w:eastAsia="zh-CN"/>
                    </w:rPr>
                    <w:t>南侧</w:t>
                  </w:r>
                </w:p>
              </w:tc>
              <w:tc>
                <w:tcPr>
                  <w:tcW w:w="736" w:type="dxa"/>
                  <w:vAlign w:val="center"/>
                </w:tcPr>
                <w:p>
                  <w:pPr>
                    <w:pStyle w:val="9"/>
                    <w:widowControl w:val="0"/>
                    <w:bidi w:val="0"/>
                    <w:jc w:val="center"/>
                    <w:rPr>
                      <w:rFonts w:hint="default"/>
                      <w:lang w:val="en-US" w:eastAsia="zh-CN"/>
                    </w:rPr>
                  </w:pPr>
                  <w:r>
                    <w:rPr>
                      <w:rFonts w:hint="default"/>
                      <w:lang w:val="en-US" w:eastAsia="zh-CN"/>
                    </w:rPr>
                    <w:t>5.4</w:t>
                  </w:r>
                </w:p>
              </w:tc>
              <w:tc>
                <w:tcPr>
                  <w:tcW w:w="736" w:type="dxa"/>
                  <w:vAlign w:val="center"/>
                </w:tcPr>
                <w:p>
                  <w:pPr>
                    <w:pStyle w:val="9"/>
                    <w:widowControl w:val="0"/>
                    <w:bidi w:val="0"/>
                    <w:jc w:val="center"/>
                    <w:rPr>
                      <w:rFonts w:hint="default"/>
                      <w:lang w:val="en-US" w:eastAsia="zh-CN"/>
                    </w:rPr>
                  </w:pPr>
                  <w:r>
                    <w:rPr>
                      <w:rFonts w:hint="default"/>
                      <w:lang w:val="en-US" w:eastAsia="zh-CN"/>
                    </w:rPr>
                    <w:t>-38.9</w:t>
                  </w:r>
                </w:p>
              </w:tc>
              <w:tc>
                <w:tcPr>
                  <w:tcW w:w="736" w:type="dxa"/>
                  <w:vAlign w:val="center"/>
                </w:tcPr>
                <w:p>
                  <w:pPr>
                    <w:pStyle w:val="9"/>
                    <w:widowControl w:val="0"/>
                    <w:bidi w:val="0"/>
                    <w:jc w:val="center"/>
                    <w:rPr>
                      <w:rFonts w:hint="default"/>
                      <w:lang w:val="en-US" w:eastAsia="zh-CN"/>
                    </w:rPr>
                  </w:pPr>
                  <w:r>
                    <w:rPr>
                      <w:rFonts w:hint="default"/>
                      <w:lang w:val="en-US" w:eastAsia="zh-CN"/>
                    </w:rPr>
                    <w:t>83.4</w:t>
                  </w:r>
                </w:p>
              </w:tc>
              <w:tc>
                <w:tcPr>
                  <w:tcW w:w="1045" w:type="dxa"/>
                  <w:vAlign w:val="center"/>
                </w:tcPr>
                <w:p>
                  <w:pPr>
                    <w:pStyle w:val="9"/>
                    <w:widowControl w:val="0"/>
                    <w:bidi w:val="0"/>
                    <w:jc w:val="center"/>
                    <w:rPr>
                      <w:rFonts w:hint="default"/>
                      <w:lang w:val="en-US" w:eastAsia="zh-CN"/>
                    </w:rPr>
                  </w:pPr>
                  <w:r>
                    <w:rPr>
                      <w:rFonts w:hint="default"/>
                      <w:lang w:val="en-US" w:eastAsia="zh-CN"/>
                    </w:rPr>
                    <w:t>昼间</w:t>
                  </w:r>
                </w:p>
              </w:tc>
              <w:tc>
                <w:tcPr>
                  <w:tcW w:w="1112" w:type="dxa"/>
                  <w:vAlign w:val="center"/>
                </w:tcPr>
                <w:p>
                  <w:pPr>
                    <w:pStyle w:val="9"/>
                    <w:widowControl w:val="0"/>
                    <w:bidi w:val="0"/>
                    <w:jc w:val="center"/>
                    <w:rPr>
                      <w:rFonts w:hint="default"/>
                      <w:lang w:val="en-US" w:eastAsia="zh-CN"/>
                    </w:rPr>
                  </w:pPr>
                  <w:r>
                    <w:rPr>
                      <w:rFonts w:hint="default"/>
                      <w:lang w:val="en-US" w:eastAsia="zh-CN"/>
                    </w:rPr>
                    <w:t>48.6</w:t>
                  </w:r>
                </w:p>
              </w:tc>
              <w:tc>
                <w:tcPr>
                  <w:tcW w:w="1298" w:type="dxa"/>
                  <w:vAlign w:val="center"/>
                </w:tcPr>
                <w:p>
                  <w:pPr>
                    <w:pStyle w:val="9"/>
                    <w:widowControl w:val="0"/>
                    <w:bidi w:val="0"/>
                    <w:jc w:val="center"/>
                    <w:rPr>
                      <w:rFonts w:hint="default"/>
                      <w:lang w:val="en-US" w:eastAsia="zh-CN"/>
                    </w:rPr>
                  </w:pPr>
                  <w:r>
                    <w:rPr>
                      <w:rFonts w:hint="default"/>
                      <w:lang w:val="en-US" w:eastAsia="zh-CN"/>
                    </w:rPr>
                    <w:t>60</w:t>
                  </w:r>
                </w:p>
              </w:tc>
              <w:tc>
                <w:tcPr>
                  <w:tcW w:w="1089" w:type="dxa"/>
                  <w:vAlign w:val="center"/>
                </w:tcPr>
                <w:p>
                  <w:pPr>
                    <w:pStyle w:val="9"/>
                    <w:widowControl w:val="0"/>
                    <w:bidi w:val="0"/>
                    <w:jc w:val="center"/>
                    <w:rPr>
                      <w:rFonts w:hint="default"/>
                      <w:lang w:val="en-US" w:eastAsia="zh-CN"/>
                    </w:rPr>
                  </w:pPr>
                  <w:r>
                    <w:rPr>
                      <w:rFonts w:hint="default"/>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vAlign w:val="center"/>
                </w:tcPr>
                <w:p>
                  <w:pPr>
                    <w:pStyle w:val="9"/>
                    <w:widowControl w:val="0"/>
                    <w:bidi w:val="0"/>
                    <w:jc w:val="center"/>
                    <w:rPr>
                      <w:rFonts w:hint="default"/>
                      <w:lang w:val="en-US" w:eastAsia="zh-CN"/>
                    </w:rPr>
                  </w:pPr>
                </w:p>
              </w:tc>
              <w:tc>
                <w:tcPr>
                  <w:tcW w:w="736" w:type="dxa"/>
                  <w:vAlign w:val="center"/>
                </w:tcPr>
                <w:p>
                  <w:pPr>
                    <w:pStyle w:val="9"/>
                    <w:widowControl w:val="0"/>
                    <w:bidi w:val="0"/>
                    <w:jc w:val="center"/>
                    <w:rPr>
                      <w:rFonts w:hint="default"/>
                      <w:lang w:val="en-US" w:eastAsia="zh-CN"/>
                    </w:rPr>
                  </w:pPr>
                  <w:r>
                    <w:rPr>
                      <w:rFonts w:hint="default"/>
                      <w:lang w:val="en-US" w:eastAsia="zh-CN"/>
                    </w:rPr>
                    <w:t>5.4</w:t>
                  </w:r>
                </w:p>
              </w:tc>
              <w:tc>
                <w:tcPr>
                  <w:tcW w:w="736" w:type="dxa"/>
                  <w:vAlign w:val="center"/>
                </w:tcPr>
                <w:p>
                  <w:pPr>
                    <w:pStyle w:val="9"/>
                    <w:widowControl w:val="0"/>
                    <w:bidi w:val="0"/>
                    <w:jc w:val="center"/>
                    <w:rPr>
                      <w:rFonts w:hint="default"/>
                      <w:lang w:val="en-US" w:eastAsia="zh-CN"/>
                    </w:rPr>
                  </w:pPr>
                  <w:r>
                    <w:rPr>
                      <w:rFonts w:hint="default"/>
                      <w:lang w:val="en-US" w:eastAsia="zh-CN"/>
                    </w:rPr>
                    <w:t>-38.9</w:t>
                  </w:r>
                </w:p>
              </w:tc>
              <w:tc>
                <w:tcPr>
                  <w:tcW w:w="736" w:type="dxa"/>
                  <w:vAlign w:val="center"/>
                </w:tcPr>
                <w:p>
                  <w:pPr>
                    <w:pStyle w:val="9"/>
                    <w:widowControl w:val="0"/>
                    <w:bidi w:val="0"/>
                    <w:jc w:val="center"/>
                    <w:rPr>
                      <w:rFonts w:hint="default"/>
                      <w:lang w:val="en-US" w:eastAsia="zh-CN"/>
                    </w:rPr>
                  </w:pPr>
                  <w:r>
                    <w:rPr>
                      <w:rFonts w:hint="default"/>
                      <w:lang w:val="en-US" w:eastAsia="zh-CN"/>
                    </w:rPr>
                    <w:t>83.4</w:t>
                  </w:r>
                </w:p>
              </w:tc>
              <w:tc>
                <w:tcPr>
                  <w:tcW w:w="1045" w:type="dxa"/>
                  <w:vAlign w:val="center"/>
                </w:tcPr>
                <w:p>
                  <w:pPr>
                    <w:pStyle w:val="9"/>
                    <w:widowControl w:val="0"/>
                    <w:bidi w:val="0"/>
                    <w:jc w:val="center"/>
                    <w:rPr>
                      <w:rFonts w:hint="default"/>
                      <w:lang w:val="en-US" w:eastAsia="zh-CN"/>
                    </w:rPr>
                  </w:pPr>
                  <w:r>
                    <w:rPr>
                      <w:rFonts w:hint="default"/>
                      <w:lang w:val="en-US" w:eastAsia="zh-CN"/>
                    </w:rPr>
                    <w:t>夜间</w:t>
                  </w:r>
                </w:p>
              </w:tc>
              <w:tc>
                <w:tcPr>
                  <w:tcW w:w="1112" w:type="dxa"/>
                  <w:vAlign w:val="center"/>
                </w:tcPr>
                <w:p>
                  <w:pPr>
                    <w:pStyle w:val="9"/>
                    <w:widowControl w:val="0"/>
                    <w:bidi w:val="0"/>
                    <w:jc w:val="center"/>
                    <w:rPr>
                      <w:rFonts w:hint="default"/>
                      <w:lang w:val="en-US" w:eastAsia="zh-CN"/>
                    </w:rPr>
                  </w:pPr>
                  <w:r>
                    <w:rPr>
                      <w:rFonts w:hint="default"/>
                      <w:lang w:val="en-US" w:eastAsia="zh-CN"/>
                    </w:rPr>
                    <w:t>48.6</w:t>
                  </w:r>
                </w:p>
              </w:tc>
              <w:tc>
                <w:tcPr>
                  <w:tcW w:w="1298" w:type="dxa"/>
                  <w:vAlign w:val="center"/>
                </w:tcPr>
                <w:p>
                  <w:pPr>
                    <w:pStyle w:val="9"/>
                    <w:widowControl w:val="0"/>
                    <w:bidi w:val="0"/>
                    <w:jc w:val="center"/>
                    <w:rPr>
                      <w:rFonts w:hint="default"/>
                      <w:lang w:val="en-US" w:eastAsia="zh-CN"/>
                    </w:rPr>
                  </w:pPr>
                  <w:r>
                    <w:rPr>
                      <w:rFonts w:hint="default"/>
                      <w:lang w:val="en-US" w:eastAsia="zh-CN"/>
                    </w:rPr>
                    <w:t>50</w:t>
                  </w:r>
                </w:p>
              </w:tc>
              <w:tc>
                <w:tcPr>
                  <w:tcW w:w="1089" w:type="dxa"/>
                  <w:vAlign w:val="center"/>
                </w:tcPr>
                <w:p>
                  <w:pPr>
                    <w:pStyle w:val="9"/>
                    <w:widowControl w:val="0"/>
                    <w:bidi w:val="0"/>
                    <w:jc w:val="center"/>
                    <w:rPr>
                      <w:rFonts w:hint="default"/>
                      <w:lang w:val="en-US" w:eastAsia="zh-CN"/>
                    </w:rPr>
                  </w:pPr>
                  <w:r>
                    <w:rPr>
                      <w:rFonts w:hint="default"/>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restart"/>
                  <w:vAlign w:val="center"/>
                </w:tcPr>
                <w:p>
                  <w:pPr>
                    <w:pStyle w:val="9"/>
                    <w:widowControl w:val="0"/>
                    <w:bidi w:val="0"/>
                    <w:jc w:val="center"/>
                    <w:rPr>
                      <w:rFonts w:hint="default"/>
                      <w:lang w:val="en-US" w:eastAsia="zh-CN"/>
                    </w:rPr>
                  </w:pPr>
                  <w:r>
                    <w:rPr>
                      <w:rFonts w:hint="default"/>
                      <w:lang w:val="en-US" w:eastAsia="zh-CN"/>
                    </w:rPr>
                    <w:t>西侧</w:t>
                  </w:r>
                </w:p>
              </w:tc>
              <w:tc>
                <w:tcPr>
                  <w:tcW w:w="736" w:type="dxa"/>
                  <w:vAlign w:val="center"/>
                </w:tcPr>
                <w:p>
                  <w:pPr>
                    <w:pStyle w:val="9"/>
                    <w:widowControl w:val="0"/>
                    <w:bidi w:val="0"/>
                    <w:jc w:val="center"/>
                    <w:rPr>
                      <w:rFonts w:hint="default"/>
                      <w:lang w:val="en-US" w:eastAsia="zh-CN"/>
                    </w:rPr>
                  </w:pPr>
                  <w:r>
                    <w:rPr>
                      <w:rFonts w:hint="default"/>
                      <w:lang w:val="en-US" w:eastAsia="zh-CN"/>
                    </w:rPr>
                    <w:t>-32.1</w:t>
                  </w:r>
                </w:p>
              </w:tc>
              <w:tc>
                <w:tcPr>
                  <w:tcW w:w="736" w:type="dxa"/>
                  <w:vAlign w:val="center"/>
                </w:tcPr>
                <w:p>
                  <w:pPr>
                    <w:pStyle w:val="9"/>
                    <w:widowControl w:val="0"/>
                    <w:bidi w:val="0"/>
                    <w:jc w:val="center"/>
                    <w:rPr>
                      <w:rFonts w:hint="default"/>
                      <w:lang w:val="en-US" w:eastAsia="zh-CN"/>
                    </w:rPr>
                  </w:pPr>
                  <w:r>
                    <w:rPr>
                      <w:rFonts w:hint="default"/>
                      <w:lang w:val="en-US" w:eastAsia="zh-CN"/>
                    </w:rPr>
                    <w:t>7</w:t>
                  </w:r>
                </w:p>
              </w:tc>
              <w:tc>
                <w:tcPr>
                  <w:tcW w:w="736" w:type="dxa"/>
                  <w:vAlign w:val="center"/>
                </w:tcPr>
                <w:p>
                  <w:pPr>
                    <w:pStyle w:val="9"/>
                    <w:widowControl w:val="0"/>
                    <w:bidi w:val="0"/>
                    <w:jc w:val="center"/>
                    <w:rPr>
                      <w:rFonts w:hint="default"/>
                      <w:lang w:val="en-US" w:eastAsia="zh-CN"/>
                    </w:rPr>
                  </w:pPr>
                  <w:r>
                    <w:rPr>
                      <w:rFonts w:hint="default"/>
                      <w:lang w:val="en-US" w:eastAsia="zh-CN"/>
                    </w:rPr>
                    <w:t>84</w:t>
                  </w:r>
                </w:p>
              </w:tc>
              <w:tc>
                <w:tcPr>
                  <w:tcW w:w="1045" w:type="dxa"/>
                  <w:vAlign w:val="center"/>
                </w:tcPr>
                <w:p>
                  <w:pPr>
                    <w:pStyle w:val="9"/>
                    <w:widowControl w:val="0"/>
                    <w:bidi w:val="0"/>
                    <w:jc w:val="center"/>
                    <w:rPr>
                      <w:rFonts w:hint="default"/>
                      <w:lang w:val="en-US" w:eastAsia="zh-CN"/>
                    </w:rPr>
                  </w:pPr>
                  <w:r>
                    <w:rPr>
                      <w:rFonts w:hint="default"/>
                      <w:lang w:val="en-US" w:eastAsia="zh-CN"/>
                    </w:rPr>
                    <w:t>昼间</w:t>
                  </w:r>
                </w:p>
              </w:tc>
              <w:tc>
                <w:tcPr>
                  <w:tcW w:w="1112" w:type="dxa"/>
                  <w:vAlign w:val="center"/>
                </w:tcPr>
                <w:p>
                  <w:pPr>
                    <w:pStyle w:val="9"/>
                    <w:widowControl w:val="0"/>
                    <w:bidi w:val="0"/>
                    <w:jc w:val="center"/>
                    <w:rPr>
                      <w:rFonts w:hint="default"/>
                      <w:lang w:val="en-US" w:eastAsia="zh-CN"/>
                    </w:rPr>
                  </w:pPr>
                  <w:r>
                    <w:rPr>
                      <w:rFonts w:hint="default"/>
                      <w:lang w:val="en-US" w:eastAsia="zh-CN"/>
                    </w:rPr>
                    <w:t>48.3</w:t>
                  </w:r>
                </w:p>
              </w:tc>
              <w:tc>
                <w:tcPr>
                  <w:tcW w:w="1298" w:type="dxa"/>
                  <w:vAlign w:val="center"/>
                </w:tcPr>
                <w:p>
                  <w:pPr>
                    <w:pStyle w:val="9"/>
                    <w:widowControl w:val="0"/>
                    <w:bidi w:val="0"/>
                    <w:jc w:val="center"/>
                    <w:rPr>
                      <w:rFonts w:hint="default"/>
                      <w:lang w:val="en-US" w:eastAsia="zh-CN"/>
                    </w:rPr>
                  </w:pPr>
                  <w:r>
                    <w:rPr>
                      <w:rFonts w:hint="default"/>
                      <w:lang w:val="en-US" w:eastAsia="zh-CN"/>
                    </w:rPr>
                    <w:t>60</w:t>
                  </w:r>
                </w:p>
              </w:tc>
              <w:tc>
                <w:tcPr>
                  <w:tcW w:w="1089" w:type="dxa"/>
                  <w:vAlign w:val="center"/>
                </w:tcPr>
                <w:p>
                  <w:pPr>
                    <w:pStyle w:val="9"/>
                    <w:widowControl w:val="0"/>
                    <w:bidi w:val="0"/>
                    <w:jc w:val="center"/>
                    <w:rPr>
                      <w:rFonts w:hint="default"/>
                      <w:lang w:val="en-US" w:eastAsia="zh-CN"/>
                    </w:rPr>
                  </w:pPr>
                  <w:r>
                    <w:rPr>
                      <w:rFonts w:hint="default"/>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vAlign w:val="center"/>
                </w:tcPr>
                <w:p>
                  <w:pPr>
                    <w:pStyle w:val="9"/>
                    <w:widowControl w:val="0"/>
                    <w:bidi w:val="0"/>
                    <w:jc w:val="center"/>
                    <w:rPr>
                      <w:rFonts w:hint="default"/>
                      <w:lang w:val="en-US" w:eastAsia="zh-CN"/>
                    </w:rPr>
                  </w:pPr>
                </w:p>
              </w:tc>
              <w:tc>
                <w:tcPr>
                  <w:tcW w:w="736" w:type="dxa"/>
                  <w:vAlign w:val="center"/>
                </w:tcPr>
                <w:p>
                  <w:pPr>
                    <w:pStyle w:val="9"/>
                    <w:widowControl w:val="0"/>
                    <w:bidi w:val="0"/>
                    <w:jc w:val="center"/>
                    <w:rPr>
                      <w:rFonts w:hint="default"/>
                      <w:lang w:val="en-US" w:eastAsia="zh-CN"/>
                    </w:rPr>
                  </w:pPr>
                  <w:r>
                    <w:rPr>
                      <w:rFonts w:hint="default"/>
                      <w:lang w:val="en-US" w:eastAsia="zh-CN"/>
                    </w:rPr>
                    <w:t>-32.1</w:t>
                  </w:r>
                </w:p>
              </w:tc>
              <w:tc>
                <w:tcPr>
                  <w:tcW w:w="736" w:type="dxa"/>
                  <w:vAlign w:val="center"/>
                </w:tcPr>
                <w:p>
                  <w:pPr>
                    <w:pStyle w:val="9"/>
                    <w:widowControl w:val="0"/>
                    <w:bidi w:val="0"/>
                    <w:jc w:val="center"/>
                    <w:rPr>
                      <w:rFonts w:hint="default"/>
                      <w:lang w:val="en-US" w:eastAsia="zh-CN"/>
                    </w:rPr>
                  </w:pPr>
                  <w:r>
                    <w:rPr>
                      <w:rFonts w:hint="default"/>
                      <w:lang w:val="en-US" w:eastAsia="zh-CN"/>
                    </w:rPr>
                    <w:t>7</w:t>
                  </w:r>
                </w:p>
              </w:tc>
              <w:tc>
                <w:tcPr>
                  <w:tcW w:w="736" w:type="dxa"/>
                  <w:vAlign w:val="center"/>
                </w:tcPr>
                <w:p>
                  <w:pPr>
                    <w:pStyle w:val="9"/>
                    <w:widowControl w:val="0"/>
                    <w:bidi w:val="0"/>
                    <w:jc w:val="center"/>
                    <w:rPr>
                      <w:rFonts w:hint="default"/>
                      <w:lang w:val="en-US" w:eastAsia="zh-CN"/>
                    </w:rPr>
                  </w:pPr>
                  <w:r>
                    <w:rPr>
                      <w:rFonts w:hint="default"/>
                      <w:lang w:val="en-US" w:eastAsia="zh-CN"/>
                    </w:rPr>
                    <w:t>84</w:t>
                  </w:r>
                </w:p>
              </w:tc>
              <w:tc>
                <w:tcPr>
                  <w:tcW w:w="1045" w:type="dxa"/>
                  <w:vAlign w:val="center"/>
                </w:tcPr>
                <w:p>
                  <w:pPr>
                    <w:pStyle w:val="9"/>
                    <w:widowControl w:val="0"/>
                    <w:bidi w:val="0"/>
                    <w:jc w:val="center"/>
                    <w:rPr>
                      <w:rFonts w:hint="default"/>
                      <w:lang w:val="en-US" w:eastAsia="zh-CN"/>
                    </w:rPr>
                  </w:pPr>
                  <w:r>
                    <w:rPr>
                      <w:rFonts w:hint="default"/>
                      <w:lang w:val="en-US" w:eastAsia="zh-CN"/>
                    </w:rPr>
                    <w:t>夜间</w:t>
                  </w:r>
                </w:p>
              </w:tc>
              <w:tc>
                <w:tcPr>
                  <w:tcW w:w="1112" w:type="dxa"/>
                  <w:vAlign w:val="center"/>
                </w:tcPr>
                <w:p>
                  <w:pPr>
                    <w:pStyle w:val="9"/>
                    <w:widowControl w:val="0"/>
                    <w:bidi w:val="0"/>
                    <w:jc w:val="center"/>
                    <w:rPr>
                      <w:rFonts w:hint="default"/>
                      <w:lang w:val="en-US" w:eastAsia="zh-CN"/>
                    </w:rPr>
                  </w:pPr>
                  <w:r>
                    <w:rPr>
                      <w:rFonts w:hint="default"/>
                      <w:lang w:val="en-US" w:eastAsia="zh-CN"/>
                    </w:rPr>
                    <w:t>48.3</w:t>
                  </w:r>
                </w:p>
              </w:tc>
              <w:tc>
                <w:tcPr>
                  <w:tcW w:w="1298" w:type="dxa"/>
                  <w:vAlign w:val="center"/>
                </w:tcPr>
                <w:p>
                  <w:pPr>
                    <w:pStyle w:val="9"/>
                    <w:widowControl w:val="0"/>
                    <w:bidi w:val="0"/>
                    <w:jc w:val="center"/>
                    <w:rPr>
                      <w:rFonts w:hint="default"/>
                      <w:lang w:val="en-US" w:eastAsia="zh-CN"/>
                    </w:rPr>
                  </w:pPr>
                  <w:r>
                    <w:rPr>
                      <w:rFonts w:hint="default"/>
                      <w:lang w:val="en-US" w:eastAsia="zh-CN"/>
                    </w:rPr>
                    <w:t>50</w:t>
                  </w:r>
                </w:p>
              </w:tc>
              <w:tc>
                <w:tcPr>
                  <w:tcW w:w="1089" w:type="dxa"/>
                  <w:vAlign w:val="center"/>
                </w:tcPr>
                <w:p>
                  <w:pPr>
                    <w:pStyle w:val="9"/>
                    <w:widowControl w:val="0"/>
                    <w:bidi w:val="0"/>
                    <w:jc w:val="center"/>
                    <w:rPr>
                      <w:rFonts w:hint="default"/>
                      <w:lang w:val="en-US" w:eastAsia="zh-CN"/>
                    </w:rPr>
                  </w:pPr>
                  <w:r>
                    <w:rPr>
                      <w:rFonts w:hint="default"/>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restart"/>
                  <w:vAlign w:val="center"/>
                </w:tcPr>
                <w:p>
                  <w:pPr>
                    <w:pStyle w:val="9"/>
                    <w:widowControl w:val="0"/>
                    <w:bidi w:val="0"/>
                    <w:jc w:val="center"/>
                    <w:rPr>
                      <w:rFonts w:hint="default"/>
                      <w:lang w:val="en-US" w:eastAsia="zh-CN"/>
                    </w:rPr>
                  </w:pPr>
                  <w:r>
                    <w:rPr>
                      <w:rFonts w:hint="default"/>
                      <w:lang w:val="en-US" w:eastAsia="zh-CN"/>
                    </w:rPr>
                    <w:t>北侧</w:t>
                  </w:r>
                </w:p>
              </w:tc>
              <w:tc>
                <w:tcPr>
                  <w:tcW w:w="736" w:type="dxa"/>
                  <w:vAlign w:val="center"/>
                </w:tcPr>
                <w:p>
                  <w:pPr>
                    <w:pStyle w:val="9"/>
                    <w:widowControl w:val="0"/>
                    <w:bidi w:val="0"/>
                    <w:jc w:val="center"/>
                    <w:rPr>
                      <w:rFonts w:hint="default"/>
                      <w:lang w:val="en-US" w:eastAsia="zh-CN"/>
                    </w:rPr>
                  </w:pPr>
                  <w:r>
                    <w:rPr>
                      <w:rFonts w:hint="default"/>
                      <w:lang w:val="en-US" w:eastAsia="zh-CN"/>
                    </w:rPr>
                    <w:t>23.9</w:t>
                  </w:r>
                </w:p>
              </w:tc>
              <w:tc>
                <w:tcPr>
                  <w:tcW w:w="736" w:type="dxa"/>
                  <w:vAlign w:val="center"/>
                </w:tcPr>
                <w:p>
                  <w:pPr>
                    <w:pStyle w:val="9"/>
                    <w:widowControl w:val="0"/>
                    <w:bidi w:val="0"/>
                    <w:jc w:val="center"/>
                    <w:rPr>
                      <w:rFonts w:hint="default"/>
                      <w:lang w:val="en-US" w:eastAsia="zh-CN"/>
                    </w:rPr>
                  </w:pPr>
                  <w:r>
                    <w:rPr>
                      <w:rFonts w:hint="default"/>
                      <w:lang w:val="en-US" w:eastAsia="zh-CN"/>
                    </w:rPr>
                    <w:t>36</w:t>
                  </w:r>
                </w:p>
              </w:tc>
              <w:tc>
                <w:tcPr>
                  <w:tcW w:w="736" w:type="dxa"/>
                  <w:vAlign w:val="center"/>
                </w:tcPr>
                <w:p>
                  <w:pPr>
                    <w:pStyle w:val="9"/>
                    <w:widowControl w:val="0"/>
                    <w:bidi w:val="0"/>
                    <w:jc w:val="center"/>
                    <w:rPr>
                      <w:rFonts w:hint="default"/>
                      <w:lang w:val="en-US" w:eastAsia="zh-CN"/>
                    </w:rPr>
                  </w:pPr>
                  <w:r>
                    <w:rPr>
                      <w:rFonts w:hint="default"/>
                      <w:lang w:val="en-US" w:eastAsia="zh-CN"/>
                    </w:rPr>
                    <w:t>81.3</w:t>
                  </w:r>
                </w:p>
              </w:tc>
              <w:tc>
                <w:tcPr>
                  <w:tcW w:w="1045" w:type="dxa"/>
                  <w:vAlign w:val="center"/>
                </w:tcPr>
                <w:p>
                  <w:pPr>
                    <w:pStyle w:val="9"/>
                    <w:widowControl w:val="0"/>
                    <w:bidi w:val="0"/>
                    <w:jc w:val="center"/>
                    <w:rPr>
                      <w:rFonts w:hint="default"/>
                      <w:lang w:val="en-US" w:eastAsia="zh-CN"/>
                    </w:rPr>
                  </w:pPr>
                  <w:r>
                    <w:rPr>
                      <w:rFonts w:hint="default"/>
                      <w:lang w:val="en-US" w:eastAsia="zh-CN"/>
                    </w:rPr>
                    <w:t>昼间</w:t>
                  </w:r>
                </w:p>
              </w:tc>
              <w:tc>
                <w:tcPr>
                  <w:tcW w:w="1112" w:type="dxa"/>
                  <w:vAlign w:val="center"/>
                </w:tcPr>
                <w:p>
                  <w:pPr>
                    <w:pStyle w:val="9"/>
                    <w:widowControl w:val="0"/>
                    <w:bidi w:val="0"/>
                    <w:jc w:val="center"/>
                    <w:rPr>
                      <w:rFonts w:hint="default"/>
                      <w:lang w:val="en-US" w:eastAsia="zh-CN"/>
                    </w:rPr>
                  </w:pPr>
                  <w:r>
                    <w:rPr>
                      <w:rFonts w:hint="default"/>
                      <w:lang w:val="en-US" w:eastAsia="zh-CN"/>
                    </w:rPr>
                    <w:t>45.3</w:t>
                  </w:r>
                </w:p>
              </w:tc>
              <w:tc>
                <w:tcPr>
                  <w:tcW w:w="1298" w:type="dxa"/>
                  <w:vAlign w:val="center"/>
                </w:tcPr>
                <w:p>
                  <w:pPr>
                    <w:pStyle w:val="9"/>
                    <w:widowControl w:val="0"/>
                    <w:bidi w:val="0"/>
                    <w:jc w:val="center"/>
                    <w:rPr>
                      <w:rFonts w:hint="default"/>
                      <w:lang w:val="en-US" w:eastAsia="zh-CN"/>
                    </w:rPr>
                  </w:pPr>
                  <w:r>
                    <w:rPr>
                      <w:rFonts w:hint="default"/>
                      <w:lang w:val="en-US" w:eastAsia="zh-CN"/>
                    </w:rPr>
                    <w:t>60</w:t>
                  </w:r>
                </w:p>
              </w:tc>
              <w:tc>
                <w:tcPr>
                  <w:tcW w:w="1089" w:type="dxa"/>
                  <w:vAlign w:val="center"/>
                </w:tcPr>
                <w:p>
                  <w:pPr>
                    <w:pStyle w:val="9"/>
                    <w:widowControl w:val="0"/>
                    <w:bidi w:val="0"/>
                    <w:jc w:val="center"/>
                    <w:rPr>
                      <w:rFonts w:hint="default"/>
                      <w:lang w:val="en-US" w:eastAsia="zh-CN"/>
                    </w:rPr>
                  </w:pPr>
                  <w:r>
                    <w:rPr>
                      <w:rFonts w:hint="default"/>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Merge w:val="continue"/>
                  <w:vAlign w:val="center"/>
                </w:tcPr>
                <w:p>
                  <w:pPr>
                    <w:pStyle w:val="9"/>
                    <w:widowControl w:val="0"/>
                    <w:bidi w:val="0"/>
                    <w:jc w:val="center"/>
                    <w:rPr>
                      <w:rFonts w:hint="default"/>
                      <w:lang w:val="en-US" w:eastAsia="zh-CN"/>
                    </w:rPr>
                  </w:pPr>
                </w:p>
              </w:tc>
              <w:tc>
                <w:tcPr>
                  <w:tcW w:w="736" w:type="dxa"/>
                  <w:vAlign w:val="center"/>
                </w:tcPr>
                <w:p>
                  <w:pPr>
                    <w:pStyle w:val="9"/>
                    <w:widowControl w:val="0"/>
                    <w:bidi w:val="0"/>
                    <w:jc w:val="center"/>
                    <w:rPr>
                      <w:rFonts w:hint="default"/>
                      <w:lang w:val="en-US" w:eastAsia="zh-CN"/>
                    </w:rPr>
                  </w:pPr>
                  <w:r>
                    <w:rPr>
                      <w:rFonts w:hint="default"/>
                      <w:lang w:val="en-US" w:eastAsia="zh-CN"/>
                    </w:rPr>
                    <w:t>23.9</w:t>
                  </w:r>
                </w:p>
              </w:tc>
              <w:tc>
                <w:tcPr>
                  <w:tcW w:w="736" w:type="dxa"/>
                  <w:vAlign w:val="center"/>
                </w:tcPr>
                <w:p>
                  <w:pPr>
                    <w:pStyle w:val="9"/>
                    <w:widowControl w:val="0"/>
                    <w:bidi w:val="0"/>
                    <w:jc w:val="center"/>
                    <w:rPr>
                      <w:rFonts w:hint="default"/>
                      <w:lang w:val="en-US" w:eastAsia="zh-CN"/>
                    </w:rPr>
                  </w:pPr>
                  <w:r>
                    <w:rPr>
                      <w:rFonts w:hint="default"/>
                      <w:lang w:val="en-US" w:eastAsia="zh-CN"/>
                    </w:rPr>
                    <w:t>36</w:t>
                  </w:r>
                </w:p>
              </w:tc>
              <w:tc>
                <w:tcPr>
                  <w:tcW w:w="736" w:type="dxa"/>
                  <w:vAlign w:val="center"/>
                </w:tcPr>
                <w:p>
                  <w:pPr>
                    <w:pStyle w:val="9"/>
                    <w:widowControl w:val="0"/>
                    <w:bidi w:val="0"/>
                    <w:jc w:val="center"/>
                    <w:rPr>
                      <w:rFonts w:hint="default"/>
                      <w:lang w:val="en-US" w:eastAsia="zh-CN"/>
                    </w:rPr>
                  </w:pPr>
                  <w:r>
                    <w:rPr>
                      <w:rFonts w:hint="default"/>
                      <w:lang w:val="en-US" w:eastAsia="zh-CN"/>
                    </w:rPr>
                    <w:t>81.3</w:t>
                  </w:r>
                </w:p>
              </w:tc>
              <w:tc>
                <w:tcPr>
                  <w:tcW w:w="1045" w:type="dxa"/>
                  <w:vAlign w:val="center"/>
                </w:tcPr>
                <w:p>
                  <w:pPr>
                    <w:pStyle w:val="9"/>
                    <w:widowControl w:val="0"/>
                    <w:bidi w:val="0"/>
                    <w:jc w:val="center"/>
                    <w:rPr>
                      <w:rFonts w:hint="default"/>
                      <w:lang w:val="en-US" w:eastAsia="zh-CN"/>
                    </w:rPr>
                  </w:pPr>
                  <w:r>
                    <w:rPr>
                      <w:rFonts w:hint="default"/>
                      <w:lang w:val="en-US" w:eastAsia="zh-CN"/>
                    </w:rPr>
                    <w:t>夜间</w:t>
                  </w:r>
                </w:p>
              </w:tc>
              <w:tc>
                <w:tcPr>
                  <w:tcW w:w="1112" w:type="dxa"/>
                  <w:vAlign w:val="center"/>
                </w:tcPr>
                <w:p>
                  <w:pPr>
                    <w:pStyle w:val="9"/>
                    <w:widowControl w:val="0"/>
                    <w:bidi w:val="0"/>
                    <w:jc w:val="center"/>
                    <w:rPr>
                      <w:rFonts w:hint="default"/>
                      <w:lang w:val="en-US" w:eastAsia="zh-CN"/>
                    </w:rPr>
                  </w:pPr>
                  <w:r>
                    <w:rPr>
                      <w:rFonts w:hint="default"/>
                      <w:lang w:val="en-US" w:eastAsia="zh-CN"/>
                    </w:rPr>
                    <w:t>45.3</w:t>
                  </w:r>
                </w:p>
              </w:tc>
              <w:tc>
                <w:tcPr>
                  <w:tcW w:w="1298" w:type="dxa"/>
                  <w:vAlign w:val="center"/>
                </w:tcPr>
                <w:p>
                  <w:pPr>
                    <w:pStyle w:val="9"/>
                    <w:widowControl w:val="0"/>
                    <w:bidi w:val="0"/>
                    <w:jc w:val="center"/>
                    <w:rPr>
                      <w:rFonts w:hint="default"/>
                      <w:lang w:val="en-US" w:eastAsia="zh-CN"/>
                    </w:rPr>
                  </w:pPr>
                  <w:r>
                    <w:rPr>
                      <w:rFonts w:hint="default"/>
                      <w:lang w:val="en-US" w:eastAsia="zh-CN"/>
                    </w:rPr>
                    <w:t>50</w:t>
                  </w:r>
                </w:p>
              </w:tc>
              <w:tc>
                <w:tcPr>
                  <w:tcW w:w="1089" w:type="dxa"/>
                  <w:vAlign w:val="center"/>
                </w:tcPr>
                <w:p>
                  <w:pPr>
                    <w:pStyle w:val="9"/>
                    <w:widowControl w:val="0"/>
                    <w:bidi w:val="0"/>
                    <w:jc w:val="center"/>
                    <w:rPr>
                      <w:rFonts w:hint="default"/>
                      <w:lang w:val="en-US" w:eastAsia="zh-CN"/>
                    </w:rPr>
                  </w:pPr>
                  <w:r>
                    <w:rPr>
                      <w:rFonts w:hint="default"/>
                      <w:lang w:val="en-US" w:eastAsia="zh-CN"/>
                    </w:rPr>
                    <w:t>达标</w:t>
                  </w:r>
                </w:p>
              </w:tc>
            </w:tr>
          </w:tbl>
          <w:p>
            <w:pPr>
              <w:ind w:firstLine="480" w:firstLineChars="200"/>
              <w:rPr>
                <w:rFonts w:hint="eastAsia"/>
                <w:lang w:val="en-US" w:eastAsia="zh-CN"/>
              </w:rPr>
            </w:pPr>
            <w:r>
              <w:rPr>
                <w:rFonts w:hint="default"/>
                <w:color w:val="auto"/>
                <w:vertAlign w:val="baseline"/>
                <w:lang w:val="en-US" w:eastAsia="zh-CN"/>
              </w:rPr>
              <w:t>由预测结果可知，项目东侧</w:t>
            </w:r>
            <w:r>
              <w:rPr>
                <w:rFonts w:hint="eastAsia"/>
                <w:color w:val="auto"/>
                <w:vertAlign w:val="baseline"/>
                <w:lang w:val="en-US" w:eastAsia="zh-CN"/>
              </w:rPr>
              <w:t>厂</w:t>
            </w:r>
            <w:r>
              <w:rPr>
                <w:rFonts w:hint="default"/>
                <w:color w:val="auto"/>
                <w:vertAlign w:val="baseline"/>
                <w:lang w:val="en-US" w:eastAsia="zh-CN"/>
              </w:rPr>
              <w:t>界昼夜间噪声预测贡献值能达到《工业企业厂界环境噪声排放标准》（GB12348-2008）中的4类标准，其余三侧</w:t>
            </w:r>
            <w:r>
              <w:rPr>
                <w:rFonts w:hint="eastAsia"/>
                <w:color w:val="auto"/>
                <w:vertAlign w:val="baseline"/>
                <w:lang w:val="en-US" w:eastAsia="zh-CN"/>
              </w:rPr>
              <w:t>厂</w:t>
            </w:r>
            <w:r>
              <w:rPr>
                <w:rFonts w:hint="default"/>
                <w:color w:val="auto"/>
                <w:vertAlign w:val="baseline"/>
                <w:lang w:val="en-US" w:eastAsia="zh-CN"/>
              </w:rPr>
              <w:t>界昼夜间噪声预测值均能达到《工业企业厂界环境噪声排放标准》（GB12348-2008）中的2类标准</w:t>
            </w:r>
            <w:r>
              <w:rPr>
                <w:rFonts w:hint="eastAsia"/>
                <w:color w:val="auto"/>
                <w:vertAlign w:val="baseline"/>
                <w:lang w:val="en-US" w:eastAsia="zh-CN"/>
              </w:rPr>
              <w:t>。</w:t>
            </w:r>
          </w:p>
          <w:p>
            <w:pPr>
              <w:pStyle w:val="10"/>
              <w:bidi w:val="0"/>
              <w:rPr>
                <w:rFonts w:hint="eastAsia"/>
                <w:lang w:val="en-US" w:eastAsia="zh-CN"/>
              </w:rPr>
            </w:pPr>
            <w:r>
              <w:rPr>
                <w:rFonts w:hint="eastAsia"/>
                <w:lang w:val="en-US" w:eastAsia="zh-CN"/>
              </w:rPr>
              <w:t>表4-</w:t>
            </w:r>
            <w:r>
              <w:rPr>
                <w:rFonts w:hint="default"/>
                <w:lang w:eastAsia="zh-CN"/>
              </w:rPr>
              <w:fldChar w:fldCharType="begin"/>
            </w:r>
            <w:r>
              <w:rPr>
                <w:rFonts w:hint="default"/>
                <w:lang w:eastAsia="zh-CN"/>
              </w:rPr>
              <w:instrText xml:space="preserve"> SEQ  表4- </w:instrText>
            </w:r>
            <w:r>
              <w:rPr>
                <w:rFonts w:hint="default"/>
                <w:lang w:eastAsia="zh-CN"/>
              </w:rPr>
              <w:fldChar w:fldCharType="separate"/>
            </w:r>
            <w:r>
              <w:rPr>
                <w:rFonts w:hint="default"/>
                <w:lang w:eastAsia="zh-CN"/>
              </w:rPr>
              <w:t>10</w:t>
            </w:r>
            <w:r>
              <w:rPr>
                <w:rFonts w:hint="default"/>
                <w:lang w:eastAsia="zh-CN"/>
              </w:rPr>
              <w:fldChar w:fldCharType="end"/>
            </w:r>
            <w:r>
              <w:rPr>
                <w:rFonts w:hint="eastAsia"/>
                <w:lang w:val="en-US" w:eastAsia="zh-CN"/>
              </w:rPr>
              <w:t xml:space="preserve">  项目声环境保护目标噪声预测结果与达标分析表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
              <w:gridCol w:w="421"/>
              <w:gridCol w:w="455"/>
              <w:gridCol w:w="489"/>
              <w:gridCol w:w="438"/>
              <w:gridCol w:w="523"/>
              <w:gridCol w:w="455"/>
              <w:gridCol w:w="539"/>
              <w:gridCol w:w="607"/>
              <w:gridCol w:w="607"/>
              <w:gridCol w:w="606"/>
              <w:gridCol w:w="603"/>
              <w:gridCol w:w="375"/>
              <w:gridCol w:w="489"/>
              <w:gridCol w:w="472"/>
              <w:gridCol w:w="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3" w:type="dxa"/>
                  <w:vMerge w:val="restart"/>
                  <w:vAlign w:val="center"/>
                </w:tcPr>
                <w:p>
                  <w:pPr>
                    <w:pStyle w:val="9"/>
                    <w:widowControl w:val="0"/>
                    <w:bidi w:val="0"/>
                    <w:jc w:val="center"/>
                    <w:rPr>
                      <w:rFonts w:hint="eastAsia"/>
                      <w:lang w:val="en-US" w:eastAsia="zh-CN"/>
                    </w:rPr>
                  </w:pPr>
                  <w:r>
                    <w:rPr>
                      <w:rFonts w:hint="eastAsia"/>
                      <w:lang w:val="en-US" w:eastAsia="zh-CN"/>
                    </w:rPr>
                    <w:t>序号</w:t>
                  </w:r>
                </w:p>
              </w:tc>
              <w:tc>
                <w:tcPr>
                  <w:tcW w:w="421" w:type="dxa"/>
                  <w:vMerge w:val="restart"/>
                  <w:vAlign w:val="center"/>
                </w:tcPr>
                <w:p>
                  <w:pPr>
                    <w:pStyle w:val="9"/>
                    <w:widowControl w:val="0"/>
                    <w:bidi w:val="0"/>
                    <w:jc w:val="center"/>
                    <w:rPr>
                      <w:rFonts w:hint="eastAsia"/>
                      <w:lang w:val="en-US" w:eastAsia="zh-CN"/>
                    </w:rPr>
                  </w:pPr>
                  <w:r>
                    <w:rPr>
                      <w:rFonts w:hint="eastAsia"/>
                      <w:lang w:val="en-US" w:eastAsia="zh-CN"/>
                    </w:rPr>
                    <w:t>声环境保护目标名称</w:t>
                  </w:r>
                </w:p>
              </w:tc>
              <w:tc>
                <w:tcPr>
                  <w:tcW w:w="944" w:type="dxa"/>
                  <w:gridSpan w:val="2"/>
                  <w:vAlign w:val="center"/>
                </w:tcPr>
                <w:p>
                  <w:pPr>
                    <w:pStyle w:val="9"/>
                    <w:widowControl w:val="0"/>
                    <w:bidi w:val="0"/>
                    <w:jc w:val="center"/>
                    <w:rPr>
                      <w:rFonts w:hint="eastAsia"/>
                      <w:lang w:val="en-US" w:eastAsia="zh-CN"/>
                    </w:rPr>
                  </w:pPr>
                  <w:r>
                    <w:rPr>
                      <w:rFonts w:hint="eastAsia"/>
                      <w:lang w:val="en-US" w:eastAsia="zh-CN"/>
                    </w:rPr>
                    <w:t>噪声背景值</w:t>
                  </w:r>
                  <w:r>
                    <w:rPr>
                      <w:rFonts w:hint="eastAsia" w:ascii="Calibri" w:hAnsi="Calibri" w:cs="Calibri"/>
                      <w:lang w:val="en-US" w:eastAsia="zh-CN"/>
                    </w:rPr>
                    <w:t>/</w:t>
                  </w:r>
                  <w:r>
                    <w:rPr>
                      <w:rFonts w:hint="eastAsia"/>
                      <w:lang w:val="en-US" w:eastAsia="zh-CN"/>
                    </w:rPr>
                    <w:t>dB(A)</w:t>
                  </w:r>
                </w:p>
              </w:tc>
              <w:tc>
                <w:tcPr>
                  <w:tcW w:w="961" w:type="dxa"/>
                  <w:gridSpan w:val="2"/>
                  <w:vAlign w:val="center"/>
                </w:tcPr>
                <w:p>
                  <w:pPr>
                    <w:pStyle w:val="9"/>
                    <w:widowControl w:val="0"/>
                    <w:bidi w:val="0"/>
                    <w:jc w:val="center"/>
                    <w:rPr>
                      <w:rFonts w:hint="eastAsia"/>
                      <w:lang w:val="en-US" w:eastAsia="zh-CN"/>
                    </w:rPr>
                  </w:pPr>
                  <w:r>
                    <w:rPr>
                      <w:rFonts w:hint="eastAsia"/>
                      <w:lang w:val="en-US" w:eastAsia="zh-CN"/>
                    </w:rPr>
                    <w:t>噪声现状值</w:t>
                  </w:r>
                  <w:r>
                    <w:rPr>
                      <w:rFonts w:hint="eastAsia" w:ascii="Calibri" w:hAnsi="Calibri" w:cs="Calibri"/>
                      <w:lang w:val="en-US" w:eastAsia="zh-CN"/>
                    </w:rPr>
                    <w:t>/</w:t>
                  </w:r>
                  <w:r>
                    <w:rPr>
                      <w:rFonts w:hint="eastAsia"/>
                      <w:lang w:val="en-US" w:eastAsia="zh-CN"/>
                    </w:rPr>
                    <w:t>dB(A)</w:t>
                  </w:r>
                </w:p>
              </w:tc>
              <w:tc>
                <w:tcPr>
                  <w:tcW w:w="994" w:type="dxa"/>
                  <w:gridSpan w:val="2"/>
                  <w:vAlign w:val="center"/>
                </w:tcPr>
                <w:p>
                  <w:pPr>
                    <w:pStyle w:val="9"/>
                    <w:widowControl w:val="0"/>
                    <w:bidi w:val="0"/>
                    <w:jc w:val="center"/>
                    <w:rPr>
                      <w:rFonts w:hint="eastAsia"/>
                      <w:lang w:val="en-US" w:eastAsia="zh-CN"/>
                    </w:rPr>
                  </w:pPr>
                  <w:r>
                    <w:rPr>
                      <w:rFonts w:hint="eastAsia"/>
                      <w:lang w:val="en-US" w:eastAsia="zh-CN"/>
                    </w:rPr>
                    <w:t>噪声标准</w:t>
                  </w:r>
                  <w:r>
                    <w:rPr>
                      <w:rFonts w:hint="eastAsia" w:ascii="Calibri" w:hAnsi="Calibri" w:cs="Calibri"/>
                      <w:lang w:val="en-US" w:eastAsia="zh-CN"/>
                    </w:rPr>
                    <w:t>/</w:t>
                  </w:r>
                  <w:r>
                    <w:rPr>
                      <w:rFonts w:hint="eastAsia"/>
                      <w:lang w:val="en-US" w:eastAsia="zh-CN"/>
                    </w:rPr>
                    <w:t>dB(A)</w:t>
                  </w:r>
                </w:p>
              </w:tc>
              <w:tc>
                <w:tcPr>
                  <w:tcW w:w="1214" w:type="dxa"/>
                  <w:gridSpan w:val="2"/>
                  <w:vAlign w:val="center"/>
                </w:tcPr>
                <w:p>
                  <w:pPr>
                    <w:pStyle w:val="9"/>
                    <w:widowControl w:val="0"/>
                    <w:bidi w:val="0"/>
                    <w:jc w:val="center"/>
                    <w:rPr>
                      <w:rFonts w:hint="eastAsia"/>
                      <w:lang w:val="en-US" w:eastAsia="zh-CN"/>
                    </w:rPr>
                  </w:pPr>
                  <w:r>
                    <w:rPr>
                      <w:rFonts w:hint="eastAsia"/>
                      <w:lang w:val="en-US" w:eastAsia="zh-CN"/>
                    </w:rPr>
                    <w:t>噪声贡献值</w:t>
                  </w:r>
                  <w:r>
                    <w:rPr>
                      <w:rFonts w:hint="eastAsia" w:ascii="Calibri" w:hAnsi="Calibri" w:cs="Calibri"/>
                      <w:lang w:val="en-US" w:eastAsia="zh-CN"/>
                    </w:rPr>
                    <w:t>/</w:t>
                  </w:r>
                  <w:r>
                    <w:rPr>
                      <w:rFonts w:hint="eastAsia"/>
                      <w:lang w:val="en-US" w:eastAsia="zh-CN"/>
                    </w:rPr>
                    <w:t>dB(A)</w:t>
                  </w:r>
                </w:p>
              </w:tc>
              <w:tc>
                <w:tcPr>
                  <w:tcW w:w="1209" w:type="dxa"/>
                  <w:gridSpan w:val="2"/>
                  <w:vAlign w:val="center"/>
                </w:tcPr>
                <w:p>
                  <w:pPr>
                    <w:pStyle w:val="9"/>
                    <w:widowControl w:val="0"/>
                    <w:bidi w:val="0"/>
                    <w:jc w:val="center"/>
                    <w:rPr>
                      <w:rFonts w:hint="eastAsia"/>
                      <w:lang w:val="en-US" w:eastAsia="zh-CN"/>
                    </w:rPr>
                  </w:pPr>
                  <w:r>
                    <w:rPr>
                      <w:rFonts w:hint="eastAsia"/>
                      <w:lang w:val="en-US" w:eastAsia="zh-CN"/>
                    </w:rPr>
                    <w:t>噪声预测值</w:t>
                  </w:r>
                  <w:r>
                    <w:rPr>
                      <w:rFonts w:hint="eastAsia" w:ascii="Calibri" w:hAnsi="Calibri" w:cs="Calibri"/>
                      <w:lang w:val="en-US" w:eastAsia="zh-CN"/>
                    </w:rPr>
                    <w:t>/</w:t>
                  </w:r>
                  <w:r>
                    <w:rPr>
                      <w:rFonts w:hint="eastAsia"/>
                      <w:lang w:val="en-US" w:eastAsia="zh-CN"/>
                    </w:rPr>
                    <w:t>dB(A)</w:t>
                  </w:r>
                </w:p>
              </w:tc>
              <w:tc>
                <w:tcPr>
                  <w:tcW w:w="864" w:type="dxa"/>
                  <w:gridSpan w:val="2"/>
                  <w:vAlign w:val="center"/>
                </w:tcPr>
                <w:p>
                  <w:pPr>
                    <w:pStyle w:val="9"/>
                    <w:widowControl w:val="0"/>
                    <w:bidi w:val="0"/>
                    <w:jc w:val="center"/>
                    <w:rPr>
                      <w:rFonts w:hint="eastAsia"/>
                      <w:lang w:val="en-US" w:eastAsia="zh-CN"/>
                    </w:rPr>
                  </w:pPr>
                  <w:r>
                    <w:rPr>
                      <w:rFonts w:hint="eastAsia"/>
                      <w:lang w:val="en-US" w:eastAsia="zh-CN"/>
                    </w:rPr>
                    <w:t>较现状增量</w:t>
                  </w:r>
                  <w:r>
                    <w:rPr>
                      <w:rFonts w:hint="eastAsia" w:ascii="Calibri" w:hAnsi="Calibri" w:cs="Calibri"/>
                      <w:lang w:val="en-US" w:eastAsia="zh-CN"/>
                    </w:rPr>
                    <w:t>/</w:t>
                  </w:r>
                  <w:r>
                    <w:rPr>
                      <w:rFonts w:hint="eastAsia"/>
                      <w:lang w:val="en-US" w:eastAsia="zh-CN"/>
                    </w:rPr>
                    <w:t>dB(A)</w:t>
                  </w:r>
                </w:p>
              </w:tc>
              <w:tc>
                <w:tcPr>
                  <w:tcW w:w="853" w:type="dxa"/>
                  <w:gridSpan w:val="2"/>
                  <w:vAlign w:val="center"/>
                </w:tcPr>
                <w:p>
                  <w:pPr>
                    <w:pStyle w:val="9"/>
                    <w:widowControl w:val="0"/>
                    <w:bidi w:val="0"/>
                    <w:jc w:val="center"/>
                    <w:rPr>
                      <w:rFonts w:hint="eastAsia"/>
                      <w:lang w:val="en-US" w:eastAsia="zh-CN"/>
                    </w:rPr>
                  </w:pPr>
                  <w:r>
                    <w:rPr>
                      <w:rFonts w:hint="eastAsia"/>
                      <w:lang w:val="en-US" w:eastAsia="zh-CN"/>
                    </w:rPr>
                    <w:t>超标和达标情况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3" w:type="dxa"/>
                  <w:vMerge w:val="continue"/>
                  <w:vAlign w:val="center"/>
                </w:tcPr>
                <w:p>
                  <w:pPr>
                    <w:pStyle w:val="9"/>
                    <w:widowControl w:val="0"/>
                    <w:bidi w:val="0"/>
                    <w:jc w:val="center"/>
                    <w:rPr>
                      <w:rFonts w:hint="eastAsia"/>
                      <w:lang w:val="en-US" w:eastAsia="zh-CN"/>
                    </w:rPr>
                  </w:pPr>
                </w:p>
              </w:tc>
              <w:tc>
                <w:tcPr>
                  <w:tcW w:w="421" w:type="dxa"/>
                  <w:vMerge w:val="continue"/>
                  <w:vAlign w:val="center"/>
                </w:tcPr>
                <w:p>
                  <w:pPr>
                    <w:pStyle w:val="9"/>
                    <w:widowControl w:val="0"/>
                    <w:bidi w:val="0"/>
                    <w:jc w:val="center"/>
                    <w:rPr>
                      <w:rFonts w:hint="eastAsia"/>
                      <w:lang w:val="en-US" w:eastAsia="zh-CN"/>
                    </w:rPr>
                  </w:pPr>
                </w:p>
              </w:tc>
              <w:tc>
                <w:tcPr>
                  <w:tcW w:w="455" w:type="dxa"/>
                  <w:vAlign w:val="center"/>
                </w:tcPr>
                <w:p>
                  <w:pPr>
                    <w:pStyle w:val="9"/>
                    <w:widowControl w:val="0"/>
                    <w:bidi w:val="0"/>
                    <w:jc w:val="center"/>
                    <w:rPr>
                      <w:rFonts w:hint="eastAsia"/>
                      <w:lang w:val="en-US" w:eastAsia="zh-CN"/>
                    </w:rPr>
                  </w:pPr>
                  <w:r>
                    <w:rPr>
                      <w:rFonts w:hint="eastAsia"/>
                      <w:lang w:val="en-US" w:eastAsia="zh-CN"/>
                    </w:rPr>
                    <w:t>昼间</w:t>
                  </w:r>
                </w:p>
              </w:tc>
              <w:tc>
                <w:tcPr>
                  <w:tcW w:w="489" w:type="dxa"/>
                  <w:vAlign w:val="center"/>
                </w:tcPr>
                <w:p>
                  <w:pPr>
                    <w:pStyle w:val="9"/>
                    <w:widowControl w:val="0"/>
                    <w:bidi w:val="0"/>
                    <w:jc w:val="center"/>
                    <w:rPr>
                      <w:rFonts w:hint="eastAsia"/>
                      <w:lang w:val="en-US" w:eastAsia="zh-CN"/>
                    </w:rPr>
                  </w:pPr>
                  <w:r>
                    <w:rPr>
                      <w:rFonts w:hint="eastAsia"/>
                      <w:lang w:val="en-US" w:eastAsia="zh-CN"/>
                    </w:rPr>
                    <w:t>夜间</w:t>
                  </w:r>
                </w:p>
              </w:tc>
              <w:tc>
                <w:tcPr>
                  <w:tcW w:w="438" w:type="dxa"/>
                  <w:vAlign w:val="center"/>
                </w:tcPr>
                <w:p>
                  <w:pPr>
                    <w:pStyle w:val="9"/>
                    <w:widowControl w:val="0"/>
                    <w:bidi w:val="0"/>
                    <w:jc w:val="center"/>
                    <w:rPr>
                      <w:rFonts w:hint="eastAsia"/>
                      <w:lang w:val="en-US" w:eastAsia="zh-CN"/>
                    </w:rPr>
                  </w:pPr>
                  <w:r>
                    <w:rPr>
                      <w:rFonts w:hint="eastAsia"/>
                      <w:lang w:val="en-US" w:eastAsia="zh-CN"/>
                    </w:rPr>
                    <w:t>昼间</w:t>
                  </w:r>
                </w:p>
              </w:tc>
              <w:tc>
                <w:tcPr>
                  <w:tcW w:w="523" w:type="dxa"/>
                  <w:vAlign w:val="center"/>
                </w:tcPr>
                <w:p>
                  <w:pPr>
                    <w:pStyle w:val="9"/>
                    <w:widowControl w:val="0"/>
                    <w:bidi w:val="0"/>
                    <w:jc w:val="center"/>
                    <w:rPr>
                      <w:rFonts w:hint="eastAsia"/>
                      <w:lang w:val="en-US" w:eastAsia="zh-CN"/>
                    </w:rPr>
                  </w:pPr>
                  <w:r>
                    <w:rPr>
                      <w:rFonts w:hint="eastAsia"/>
                      <w:lang w:val="en-US" w:eastAsia="zh-CN"/>
                    </w:rPr>
                    <w:t>夜间</w:t>
                  </w:r>
                </w:p>
              </w:tc>
              <w:tc>
                <w:tcPr>
                  <w:tcW w:w="455" w:type="dxa"/>
                  <w:vAlign w:val="center"/>
                </w:tcPr>
                <w:p>
                  <w:pPr>
                    <w:pStyle w:val="9"/>
                    <w:widowControl w:val="0"/>
                    <w:bidi w:val="0"/>
                    <w:jc w:val="center"/>
                    <w:rPr>
                      <w:rFonts w:hint="eastAsia"/>
                      <w:lang w:val="en-US" w:eastAsia="zh-CN"/>
                    </w:rPr>
                  </w:pPr>
                  <w:r>
                    <w:rPr>
                      <w:rFonts w:hint="eastAsia"/>
                      <w:lang w:val="en-US" w:eastAsia="zh-CN"/>
                    </w:rPr>
                    <w:t>昼间</w:t>
                  </w:r>
                </w:p>
              </w:tc>
              <w:tc>
                <w:tcPr>
                  <w:tcW w:w="539" w:type="dxa"/>
                  <w:vAlign w:val="center"/>
                </w:tcPr>
                <w:p>
                  <w:pPr>
                    <w:pStyle w:val="9"/>
                    <w:widowControl w:val="0"/>
                    <w:bidi w:val="0"/>
                    <w:jc w:val="center"/>
                    <w:rPr>
                      <w:rFonts w:hint="eastAsia"/>
                      <w:lang w:val="en-US" w:eastAsia="zh-CN"/>
                    </w:rPr>
                  </w:pPr>
                  <w:r>
                    <w:rPr>
                      <w:rFonts w:hint="eastAsia"/>
                      <w:lang w:val="en-US" w:eastAsia="zh-CN"/>
                    </w:rPr>
                    <w:t>夜间</w:t>
                  </w:r>
                </w:p>
              </w:tc>
              <w:tc>
                <w:tcPr>
                  <w:tcW w:w="607" w:type="dxa"/>
                  <w:vAlign w:val="center"/>
                </w:tcPr>
                <w:p>
                  <w:pPr>
                    <w:pStyle w:val="9"/>
                    <w:widowControl w:val="0"/>
                    <w:bidi w:val="0"/>
                    <w:jc w:val="center"/>
                    <w:rPr>
                      <w:rFonts w:hint="eastAsia"/>
                      <w:lang w:val="en-US" w:eastAsia="zh-CN"/>
                    </w:rPr>
                  </w:pPr>
                  <w:r>
                    <w:rPr>
                      <w:rFonts w:hint="eastAsia"/>
                      <w:lang w:val="en-US" w:eastAsia="zh-CN"/>
                    </w:rPr>
                    <w:t>昼间</w:t>
                  </w:r>
                </w:p>
              </w:tc>
              <w:tc>
                <w:tcPr>
                  <w:tcW w:w="607" w:type="dxa"/>
                  <w:vAlign w:val="center"/>
                </w:tcPr>
                <w:p>
                  <w:pPr>
                    <w:pStyle w:val="9"/>
                    <w:widowControl w:val="0"/>
                    <w:bidi w:val="0"/>
                    <w:jc w:val="center"/>
                    <w:rPr>
                      <w:rFonts w:hint="eastAsia"/>
                      <w:lang w:val="en-US" w:eastAsia="zh-CN"/>
                    </w:rPr>
                  </w:pPr>
                  <w:r>
                    <w:rPr>
                      <w:rFonts w:hint="eastAsia"/>
                      <w:lang w:val="en-US" w:eastAsia="zh-CN"/>
                    </w:rPr>
                    <w:t>夜间</w:t>
                  </w:r>
                </w:p>
              </w:tc>
              <w:tc>
                <w:tcPr>
                  <w:tcW w:w="606" w:type="dxa"/>
                  <w:vAlign w:val="center"/>
                </w:tcPr>
                <w:p>
                  <w:pPr>
                    <w:pStyle w:val="9"/>
                    <w:widowControl w:val="0"/>
                    <w:bidi w:val="0"/>
                    <w:jc w:val="center"/>
                    <w:rPr>
                      <w:rFonts w:hint="eastAsia"/>
                      <w:lang w:val="en-US" w:eastAsia="zh-CN"/>
                    </w:rPr>
                  </w:pPr>
                  <w:r>
                    <w:rPr>
                      <w:rFonts w:hint="eastAsia"/>
                      <w:lang w:val="en-US" w:eastAsia="zh-CN"/>
                    </w:rPr>
                    <w:t>昼间</w:t>
                  </w:r>
                </w:p>
              </w:tc>
              <w:tc>
                <w:tcPr>
                  <w:tcW w:w="603" w:type="dxa"/>
                  <w:vAlign w:val="center"/>
                </w:tcPr>
                <w:p>
                  <w:pPr>
                    <w:pStyle w:val="9"/>
                    <w:widowControl w:val="0"/>
                    <w:bidi w:val="0"/>
                    <w:jc w:val="center"/>
                    <w:rPr>
                      <w:rFonts w:hint="eastAsia"/>
                      <w:lang w:val="en-US" w:eastAsia="zh-CN"/>
                    </w:rPr>
                  </w:pPr>
                  <w:r>
                    <w:rPr>
                      <w:rFonts w:hint="eastAsia"/>
                      <w:lang w:val="en-US" w:eastAsia="zh-CN"/>
                    </w:rPr>
                    <w:t>夜间</w:t>
                  </w:r>
                </w:p>
              </w:tc>
              <w:tc>
                <w:tcPr>
                  <w:tcW w:w="375" w:type="dxa"/>
                  <w:vAlign w:val="center"/>
                </w:tcPr>
                <w:p>
                  <w:pPr>
                    <w:pStyle w:val="9"/>
                    <w:widowControl w:val="0"/>
                    <w:bidi w:val="0"/>
                    <w:jc w:val="center"/>
                    <w:rPr>
                      <w:rFonts w:hint="eastAsia"/>
                      <w:lang w:val="en-US" w:eastAsia="zh-CN"/>
                    </w:rPr>
                  </w:pPr>
                  <w:r>
                    <w:rPr>
                      <w:rFonts w:hint="eastAsia"/>
                      <w:lang w:val="en-US" w:eastAsia="zh-CN"/>
                    </w:rPr>
                    <w:t>昼间</w:t>
                  </w:r>
                </w:p>
              </w:tc>
              <w:tc>
                <w:tcPr>
                  <w:tcW w:w="489" w:type="dxa"/>
                  <w:vAlign w:val="center"/>
                </w:tcPr>
                <w:p>
                  <w:pPr>
                    <w:pStyle w:val="9"/>
                    <w:widowControl w:val="0"/>
                    <w:bidi w:val="0"/>
                    <w:jc w:val="center"/>
                    <w:rPr>
                      <w:rFonts w:hint="eastAsia"/>
                      <w:lang w:val="en-US" w:eastAsia="zh-CN"/>
                    </w:rPr>
                  </w:pPr>
                  <w:r>
                    <w:rPr>
                      <w:rFonts w:hint="eastAsia"/>
                      <w:lang w:val="en-US" w:eastAsia="zh-CN"/>
                    </w:rPr>
                    <w:t>夜间</w:t>
                  </w:r>
                </w:p>
              </w:tc>
              <w:tc>
                <w:tcPr>
                  <w:tcW w:w="472" w:type="dxa"/>
                  <w:vAlign w:val="center"/>
                </w:tcPr>
                <w:p>
                  <w:pPr>
                    <w:pStyle w:val="9"/>
                    <w:widowControl w:val="0"/>
                    <w:bidi w:val="0"/>
                    <w:jc w:val="center"/>
                    <w:rPr>
                      <w:rFonts w:hint="eastAsia"/>
                      <w:lang w:val="en-US" w:eastAsia="zh-CN"/>
                    </w:rPr>
                  </w:pPr>
                  <w:r>
                    <w:rPr>
                      <w:rFonts w:hint="eastAsia"/>
                      <w:lang w:val="en-US" w:eastAsia="zh-CN"/>
                    </w:rPr>
                    <w:t>昼间</w:t>
                  </w:r>
                </w:p>
              </w:tc>
              <w:tc>
                <w:tcPr>
                  <w:tcW w:w="381" w:type="dxa"/>
                  <w:vAlign w:val="center"/>
                </w:tcPr>
                <w:p>
                  <w:pPr>
                    <w:pStyle w:val="9"/>
                    <w:widowControl w:val="0"/>
                    <w:bidi w:val="0"/>
                    <w:jc w:val="center"/>
                    <w:rPr>
                      <w:rFonts w:hint="eastAsia"/>
                      <w:lang w:val="en-US" w:eastAsia="zh-CN"/>
                    </w:rPr>
                  </w:pPr>
                  <w:r>
                    <w:rPr>
                      <w:rFonts w:hint="eastAsia"/>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3" w:type="dxa"/>
                  <w:vAlign w:val="center"/>
                </w:tcPr>
                <w:p>
                  <w:pPr>
                    <w:pStyle w:val="9"/>
                    <w:widowControl w:val="0"/>
                    <w:bidi w:val="0"/>
                    <w:jc w:val="center"/>
                    <w:rPr>
                      <w:rFonts w:hint="eastAsia"/>
                      <w:lang w:val="en-US" w:eastAsia="zh-CN"/>
                    </w:rPr>
                  </w:pPr>
                  <w:r>
                    <w:rPr>
                      <w:rFonts w:hint="eastAsia"/>
                      <w:lang w:val="en-US" w:eastAsia="zh-CN"/>
                    </w:rPr>
                    <w:t>1</w:t>
                  </w:r>
                </w:p>
              </w:tc>
              <w:tc>
                <w:tcPr>
                  <w:tcW w:w="421" w:type="dxa"/>
                  <w:vAlign w:val="center"/>
                </w:tcPr>
                <w:p>
                  <w:pPr>
                    <w:pStyle w:val="9"/>
                    <w:widowControl w:val="0"/>
                    <w:bidi w:val="0"/>
                    <w:jc w:val="center"/>
                    <w:rPr>
                      <w:rFonts w:hint="eastAsia"/>
                      <w:lang w:val="en-US" w:eastAsia="zh-CN"/>
                    </w:rPr>
                  </w:pPr>
                  <w:r>
                    <w:rPr>
                      <w:rFonts w:hint="eastAsia"/>
                      <w:lang w:val="en-US" w:eastAsia="zh-CN"/>
                    </w:rPr>
                    <w:t>松木塘安置房</w:t>
                  </w:r>
                </w:p>
              </w:tc>
              <w:tc>
                <w:tcPr>
                  <w:tcW w:w="455" w:type="dxa"/>
                  <w:vAlign w:val="center"/>
                </w:tcPr>
                <w:p>
                  <w:pPr>
                    <w:pStyle w:val="9"/>
                    <w:widowControl w:val="0"/>
                    <w:bidi w:val="0"/>
                    <w:jc w:val="center"/>
                    <w:rPr>
                      <w:rFonts w:hint="eastAsia"/>
                      <w:lang w:val="en-US" w:eastAsia="zh-CN"/>
                    </w:rPr>
                  </w:pPr>
                  <w:r>
                    <w:rPr>
                      <w:rFonts w:hint="eastAsia"/>
                      <w:lang w:val="en-US" w:eastAsia="zh-CN"/>
                    </w:rPr>
                    <w:t>58</w:t>
                  </w:r>
                </w:p>
              </w:tc>
              <w:tc>
                <w:tcPr>
                  <w:tcW w:w="489" w:type="dxa"/>
                  <w:vAlign w:val="center"/>
                </w:tcPr>
                <w:p>
                  <w:pPr>
                    <w:pStyle w:val="9"/>
                    <w:widowControl w:val="0"/>
                    <w:bidi w:val="0"/>
                    <w:jc w:val="center"/>
                    <w:rPr>
                      <w:rFonts w:hint="eastAsia"/>
                      <w:lang w:val="en-US" w:eastAsia="zh-CN"/>
                    </w:rPr>
                  </w:pPr>
                  <w:r>
                    <w:rPr>
                      <w:rFonts w:hint="eastAsia"/>
                      <w:lang w:val="en-US" w:eastAsia="zh-CN"/>
                    </w:rPr>
                    <w:t>46</w:t>
                  </w:r>
                </w:p>
              </w:tc>
              <w:tc>
                <w:tcPr>
                  <w:tcW w:w="438" w:type="dxa"/>
                  <w:vAlign w:val="center"/>
                </w:tcPr>
                <w:p>
                  <w:pPr>
                    <w:pStyle w:val="9"/>
                    <w:widowControl w:val="0"/>
                    <w:bidi w:val="0"/>
                    <w:jc w:val="center"/>
                    <w:rPr>
                      <w:rFonts w:hint="eastAsia"/>
                      <w:lang w:val="en-US" w:eastAsia="zh-CN"/>
                    </w:rPr>
                  </w:pPr>
                  <w:r>
                    <w:rPr>
                      <w:rFonts w:hint="eastAsia"/>
                      <w:lang w:val="en-US" w:eastAsia="zh-CN"/>
                    </w:rPr>
                    <w:t>58</w:t>
                  </w:r>
                </w:p>
              </w:tc>
              <w:tc>
                <w:tcPr>
                  <w:tcW w:w="523" w:type="dxa"/>
                  <w:vAlign w:val="center"/>
                </w:tcPr>
                <w:p>
                  <w:pPr>
                    <w:pStyle w:val="9"/>
                    <w:widowControl w:val="0"/>
                    <w:bidi w:val="0"/>
                    <w:jc w:val="center"/>
                    <w:rPr>
                      <w:rFonts w:hint="eastAsia"/>
                      <w:lang w:val="en-US" w:eastAsia="zh-CN"/>
                    </w:rPr>
                  </w:pPr>
                  <w:r>
                    <w:rPr>
                      <w:rFonts w:hint="eastAsia"/>
                      <w:lang w:val="en-US" w:eastAsia="zh-CN"/>
                    </w:rPr>
                    <w:t>46</w:t>
                  </w:r>
                </w:p>
              </w:tc>
              <w:tc>
                <w:tcPr>
                  <w:tcW w:w="455" w:type="dxa"/>
                  <w:vAlign w:val="center"/>
                </w:tcPr>
                <w:p>
                  <w:pPr>
                    <w:pStyle w:val="9"/>
                    <w:widowControl w:val="0"/>
                    <w:bidi w:val="0"/>
                    <w:jc w:val="center"/>
                    <w:rPr>
                      <w:rFonts w:hint="eastAsia"/>
                      <w:lang w:val="en-US" w:eastAsia="zh-CN"/>
                    </w:rPr>
                  </w:pPr>
                  <w:r>
                    <w:rPr>
                      <w:rFonts w:hint="eastAsia"/>
                      <w:lang w:val="en-US" w:eastAsia="zh-CN"/>
                    </w:rPr>
                    <w:t>60</w:t>
                  </w:r>
                </w:p>
              </w:tc>
              <w:tc>
                <w:tcPr>
                  <w:tcW w:w="539" w:type="dxa"/>
                  <w:vAlign w:val="center"/>
                </w:tcPr>
                <w:p>
                  <w:pPr>
                    <w:pStyle w:val="9"/>
                    <w:widowControl w:val="0"/>
                    <w:bidi w:val="0"/>
                    <w:jc w:val="center"/>
                    <w:rPr>
                      <w:rFonts w:hint="eastAsia"/>
                      <w:lang w:val="en-US" w:eastAsia="zh-CN"/>
                    </w:rPr>
                  </w:pPr>
                  <w:r>
                    <w:rPr>
                      <w:rFonts w:hint="eastAsia"/>
                      <w:lang w:val="en-US" w:eastAsia="zh-CN"/>
                    </w:rPr>
                    <w:t>50</w:t>
                  </w:r>
                </w:p>
              </w:tc>
              <w:tc>
                <w:tcPr>
                  <w:tcW w:w="607" w:type="dxa"/>
                  <w:vAlign w:val="center"/>
                </w:tcPr>
                <w:p>
                  <w:pPr>
                    <w:pStyle w:val="9"/>
                    <w:widowControl w:val="0"/>
                    <w:bidi w:val="0"/>
                    <w:jc w:val="center"/>
                    <w:rPr>
                      <w:rFonts w:hint="eastAsia"/>
                      <w:lang w:val="en-US" w:eastAsia="zh-CN"/>
                    </w:rPr>
                  </w:pPr>
                  <w:r>
                    <w:rPr>
                      <w:rFonts w:hint="eastAsia"/>
                      <w:lang w:val="en-US" w:eastAsia="zh-CN"/>
                    </w:rPr>
                    <w:t>36.6</w:t>
                  </w:r>
                </w:p>
              </w:tc>
              <w:tc>
                <w:tcPr>
                  <w:tcW w:w="607" w:type="dxa"/>
                  <w:vAlign w:val="center"/>
                </w:tcPr>
                <w:p>
                  <w:pPr>
                    <w:pStyle w:val="9"/>
                    <w:widowControl w:val="0"/>
                    <w:bidi w:val="0"/>
                    <w:jc w:val="center"/>
                    <w:rPr>
                      <w:rFonts w:hint="eastAsia"/>
                      <w:lang w:val="en-US" w:eastAsia="zh-CN"/>
                    </w:rPr>
                  </w:pPr>
                  <w:r>
                    <w:rPr>
                      <w:rFonts w:hint="eastAsia"/>
                      <w:lang w:val="en-US" w:eastAsia="zh-CN"/>
                    </w:rPr>
                    <w:t>36.6</w:t>
                  </w:r>
                </w:p>
              </w:tc>
              <w:tc>
                <w:tcPr>
                  <w:tcW w:w="606" w:type="dxa"/>
                  <w:vAlign w:val="center"/>
                </w:tcPr>
                <w:p>
                  <w:pPr>
                    <w:pStyle w:val="9"/>
                    <w:widowControl w:val="0"/>
                    <w:bidi w:val="0"/>
                    <w:jc w:val="center"/>
                    <w:rPr>
                      <w:rFonts w:hint="eastAsia"/>
                      <w:lang w:val="en-US" w:eastAsia="zh-CN"/>
                    </w:rPr>
                  </w:pPr>
                  <w:r>
                    <w:rPr>
                      <w:rFonts w:hint="eastAsia"/>
                      <w:lang w:val="en-US" w:eastAsia="zh-CN"/>
                    </w:rPr>
                    <w:t>58.0</w:t>
                  </w:r>
                </w:p>
              </w:tc>
              <w:tc>
                <w:tcPr>
                  <w:tcW w:w="603" w:type="dxa"/>
                  <w:vAlign w:val="center"/>
                </w:tcPr>
                <w:p>
                  <w:pPr>
                    <w:pStyle w:val="9"/>
                    <w:widowControl w:val="0"/>
                    <w:bidi w:val="0"/>
                    <w:jc w:val="center"/>
                    <w:rPr>
                      <w:rFonts w:hint="eastAsia"/>
                      <w:lang w:val="en-US" w:eastAsia="zh-CN"/>
                    </w:rPr>
                  </w:pPr>
                  <w:r>
                    <w:rPr>
                      <w:rFonts w:hint="eastAsia"/>
                      <w:lang w:val="en-US" w:eastAsia="zh-CN"/>
                    </w:rPr>
                    <w:t>46.5</w:t>
                  </w:r>
                </w:p>
              </w:tc>
              <w:tc>
                <w:tcPr>
                  <w:tcW w:w="375" w:type="dxa"/>
                  <w:vAlign w:val="center"/>
                </w:tcPr>
                <w:p>
                  <w:pPr>
                    <w:pStyle w:val="9"/>
                    <w:widowControl w:val="0"/>
                    <w:bidi w:val="0"/>
                    <w:jc w:val="center"/>
                    <w:rPr>
                      <w:rFonts w:hint="eastAsia"/>
                      <w:lang w:val="en-US" w:eastAsia="zh-CN"/>
                    </w:rPr>
                  </w:pPr>
                  <w:r>
                    <w:rPr>
                      <w:rFonts w:hint="eastAsia"/>
                      <w:lang w:val="en-US" w:eastAsia="zh-CN"/>
                    </w:rPr>
                    <w:t>0</w:t>
                  </w:r>
                </w:p>
              </w:tc>
              <w:tc>
                <w:tcPr>
                  <w:tcW w:w="489" w:type="dxa"/>
                  <w:vAlign w:val="center"/>
                </w:tcPr>
                <w:p>
                  <w:pPr>
                    <w:pStyle w:val="9"/>
                    <w:widowControl w:val="0"/>
                    <w:bidi w:val="0"/>
                    <w:jc w:val="center"/>
                    <w:rPr>
                      <w:rFonts w:hint="eastAsia"/>
                      <w:lang w:val="en-US" w:eastAsia="zh-CN"/>
                    </w:rPr>
                  </w:pPr>
                  <w:r>
                    <w:rPr>
                      <w:rFonts w:hint="eastAsia"/>
                      <w:lang w:val="en-US" w:eastAsia="zh-CN"/>
                    </w:rPr>
                    <w:t>0.5</w:t>
                  </w:r>
                </w:p>
              </w:tc>
              <w:tc>
                <w:tcPr>
                  <w:tcW w:w="472" w:type="dxa"/>
                  <w:vAlign w:val="center"/>
                </w:tcPr>
                <w:p>
                  <w:pPr>
                    <w:pStyle w:val="9"/>
                    <w:widowControl w:val="0"/>
                    <w:bidi w:val="0"/>
                    <w:jc w:val="center"/>
                    <w:rPr>
                      <w:rFonts w:hint="eastAsia"/>
                      <w:lang w:val="en-US" w:eastAsia="zh-CN"/>
                    </w:rPr>
                  </w:pPr>
                  <w:r>
                    <w:rPr>
                      <w:rFonts w:hint="eastAsia"/>
                      <w:lang w:val="en-US" w:eastAsia="zh-CN"/>
                    </w:rPr>
                    <w:t>达标</w:t>
                  </w:r>
                </w:p>
              </w:tc>
              <w:tc>
                <w:tcPr>
                  <w:tcW w:w="381" w:type="dxa"/>
                  <w:vAlign w:val="center"/>
                </w:tcPr>
                <w:p>
                  <w:pPr>
                    <w:pStyle w:val="9"/>
                    <w:widowControl w:val="0"/>
                    <w:bidi w:val="0"/>
                    <w:jc w:val="center"/>
                    <w:rPr>
                      <w:rFonts w:hint="eastAsia"/>
                      <w:lang w:val="en-US" w:eastAsia="zh-CN"/>
                    </w:rPr>
                  </w:pPr>
                  <w:r>
                    <w:rPr>
                      <w:rFonts w:hint="eastAsia"/>
                      <w:lang w:val="en-US" w:eastAsia="zh-CN"/>
                    </w:rPr>
                    <w:t>达标</w:t>
                  </w:r>
                </w:p>
              </w:tc>
            </w:tr>
          </w:tbl>
          <w:p>
            <w:pPr>
              <w:ind w:firstLine="480" w:firstLineChars="200"/>
              <w:rPr>
                <w:rFonts w:hint="default"/>
                <w:color w:val="auto"/>
                <w:vertAlign w:val="baseline"/>
                <w:lang w:val="en-US" w:eastAsia="zh-CN"/>
              </w:rPr>
            </w:pPr>
            <w:r>
              <w:rPr>
                <w:rFonts w:hint="default"/>
                <w:color w:val="auto"/>
                <w:vertAlign w:val="baseline"/>
                <w:lang w:val="en-US" w:eastAsia="zh-CN"/>
              </w:rPr>
              <w:t>由预测结果可知，项目声环境保护目标昼夜间噪声预测值能达到《声环境质量标准》（GB3096-2008）中的2类标准。</w:t>
            </w:r>
          </w:p>
          <w:p>
            <w:pPr>
              <w:ind w:firstLine="480" w:firstLineChars="200"/>
              <w:rPr>
                <w:rFonts w:hint="default"/>
                <w:color w:val="auto"/>
                <w:vertAlign w:val="baseline"/>
                <w:lang w:val="en-US" w:eastAsia="zh-CN"/>
              </w:rPr>
            </w:pPr>
            <w:r>
              <w:rPr>
                <w:rFonts w:hint="eastAsia"/>
                <w:color w:val="auto"/>
                <w:vertAlign w:val="baseline"/>
                <w:lang w:val="en-US" w:eastAsia="zh-CN"/>
              </w:rPr>
              <w:t>（3）</w:t>
            </w:r>
            <w:r>
              <w:rPr>
                <w:rFonts w:hint="default"/>
                <w:color w:val="auto"/>
                <w:vertAlign w:val="baseline"/>
                <w:lang w:val="en-US" w:eastAsia="zh-CN"/>
              </w:rPr>
              <w:t xml:space="preserve">防治措施 </w:t>
            </w:r>
          </w:p>
          <w:p>
            <w:pPr>
              <w:ind w:firstLine="480" w:firstLineChars="200"/>
              <w:rPr>
                <w:rFonts w:hint="default"/>
                <w:color w:val="auto"/>
                <w:vertAlign w:val="baseline"/>
                <w:lang w:val="en-US" w:eastAsia="zh-CN"/>
              </w:rPr>
            </w:pPr>
            <w:r>
              <w:rPr>
                <w:rFonts w:hint="default"/>
                <w:color w:val="auto"/>
                <w:vertAlign w:val="baseline"/>
                <w:lang w:val="en-US" w:eastAsia="zh-CN"/>
              </w:rPr>
              <w:t>本项目潜油泵</w:t>
            </w:r>
            <w:r>
              <w:rPr>
                <w:rFonts w:hint="eastAsia"/>
                <w:color w:val="auto"/>
                <w:vertAlign w:val="baseline"/>
                <w:lang w:val="en-US" w:eastAsia="zh-CN"/>
              </w:rPr>
              <w:t>、储油罐</w:t>
            </w:r>
            <w:r>
              <w:rPr>
                <w:rFonts w:hint="default"/>
                <w:color w:val="auto"/>
                <w:vertAlign w:val="baseline"/>
                <w:lang w:val="en-US" w:eastAsia="zh-CN"/>
              </w:rPr>
              <w:t>布置在地下，噪声传至地面后对外环境影响较小。本项目噪声主要为车辆进出加油站时产生的交通噪声和加油机、洗车机等噪声。为降低噪声对周边环境的影响，建议采取以下降噪措施：</w:t>
            </w:r>
          </w:p>
          <w:p>
            <w:pPr>
              <w:ind w:firstLine="480" w:firstLineChars="200"/>
              <w:rPr>
                <w:rFonts w:hint="default"/>
                <w:color w:val="auto"/>
                <w:vertAlign w:val="baseline"/>
                <w:lang w:val="en-US" w:eastAsia="zh-CN"/>
              </w:rPr>
            </w:pPr>
            <w:r>
              <w:rPr>
                <w:rFonts w:hint="default"/>
                <w:color w:val="auto"/>
                <w:vertAlign w:val="baseline"/>
                <w:lang w:val="en-US" w:eastAsia="zh-CN"/>
              </w:rPr>
              <w:t>①在进站口设置减速标志和禁鸣标志，加强对进站车辆的管理；</w:t>
            </w:r>
          </w:p>
          <w:p>
            <w:pPr>
              <w:ind w:firstLine="480" w:firstLineChars="200"/>
              <w:rPr>
                <w:rFonts w:hint="default"/>
                <w:color w:val="auto"/>
                <w:vertAlign w:val="baseline"/>
                <w:lang w:val="en-US" w:eastAsia="zh-CN"/>
              </w:rPr>
            </w:pPr>
            <w:r>
              <w:rPr>
                <w:rFonts w:hint="default"/>
                <w:color w:val="auto"/>
                <w:vertAlign w:val="baseline"/>
                <w:lang w:val="en-US" w:eastAsia="zh-CN"/>
              </w:rPr>
              <w:t>②优先选用低噪声设备，加强对加油机、洗车机等设备的维护和保养，避免因设备问题而引发突发性高噪声噪声，在有关环保人员的统一管理下，定期检查、监测，发现噪声超标要及时治理并增加相关操作岗位工人的个体防护；</w:t>
            </w:r>
          </w:p>
          <w:p>
            <w:pPr>
              <w:ind w:firstLine="480" w:firstLineChars="200"/>
              <w:rPr>
                <w:rFonts w:hint="default"/>
                <w:color w:val="auto"/>
                <w:vertAlign w:val="baseline"/>
                <w:lang w:val="en-US" w:eastAsia="zh-CN"/>
              </w:rPr>
            </w:pPr>
            <w:r>
              <w:rPr>
                <w:rFonts w:hint="default"/>
                <w:color w:val="auto"/>
                <w:vertAlign w:val="baseline"/>
                <w:lang w:val="en-US" w:eastAsia="zh-CN"/>
              </w:rPr>
              <w:t>③在运营过程中应遵守作业规定，减少碰撞噪声，尽量降低人为噪声；</w:t>
            </w:r>
          </w:p>
          <w:p>
            <w:pPr>
              <w:ind w:firstLine="480" w:firstLineChars="200"/>
              <w:rPr>
                <w:rFonts w:hint="eastAsia"/>
                <w:color w:val="auto"/>
                <w:vertAlign w:val="baseline"/>
                <w:lang w:val="en-US" w:eastAsia="zh-CN"/>
              </w:rPr>
            </w:pPr>
            <w:r>
              <w:rPr>
                <w:rFonts w:hint="default"/>
                <w:color w:val="auto"/>
                <w:vertAlign w:val="baseline"/>
                <w:lang w:val="en-US" w:eastAsia="zh-CN"/>
              </w:rPr>
              <w:t xml:space="preserve">④在场界四周多种灌木使其形成绿化带，进一步降低噪声对周围环境的影响。 </w:t>
            </w:r>
          </w:p>
          <w:p>
            <w:pPr>
              <w:ind w:firstLine="480" w:firstLineChars="200"/>
              <w:rPr>
                <w:rFonts w:hint="default"/>
                <w:color w:val="auto"/>
                <w:vertAlign w:val="baseline"/>
                <w:lang w:val="en-US" w:eastAsia="zh-CN"/>
              </w:rPr>
            </w:pPr>
            <w:r>
              <w:rPr>
                <w:rFonts w:hint="eastAsia"/>
                <w:color w:val="auto"/>
                <w:vertAlign w:val="baseline"/>
                <w:lang w:val="en-US" w:eastAsia="zh-CN"/>
              </w:rPr>
              <w:t>（4）</w:t>
            </w:r>
            <w:r>
              <w:rPr>
                <w:rFonts w:hint="default"/>
                <w:color w:val="auto"/>
                <w:vertAlign w:val="baseline"/>
                <w:lang w:val="en-US" w:eastAsia="zh-CN"/>
              </w:rPr>
              <w:t>噪声自行监测要求</w:t>
            </w:r>
          </w:p>
          <w:p>
            <w:pPr>
              <w:ind w:firstLine="480" w:firstLineChars="200"/>
              <w:rPr>
                <w:rFonts w:hint="default"/>
                <w:color w:val="auto"/>
                <w:vertAlign w:val="baseline"/>
                <w:lang w:val="en-US" w:eastAsia="zh-CN"/>
              </w:rPr>
            </w:pPr>
            <w:r>
              <w:rPr>
                <w:rFonts w:hint="default"/>
                <w:color w:val="auto"/>
                <w:vertAlign w:val="baseline"/>
                <w:lang w:val="en-US" w:eastAsia="zh-CN"/>
              </w:rPr>
              <w:t>对照《固定污染源排污许可分类管理名录(2019 年版)》(生态环境部第11号)可知，本项目实行排污许可简化管理，本评价参照《排污单位自行监测技术指南 总则》(HJ 819-2017)等要求，提出项目运营期噪声自行监测计划见表4-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11</w:t>
            </w:r>
            <w:r>
              <w:rPr>
                <w:rFonts w:hint="default"/>
                <w:color w:val="auto"/>
                <w:vertAlign w:val="baseline"/>
                <w:lang w:eastAsia="zh-CN"/>
              </w:rPr>
              <w:fldChar w:fldCharType="end"/>
            </w:r>
            <w:r>
              <w:rPr>
                <w:rFonts w:hint="default"/>
                <w:color w:val="auto"/>
                <w:vertAlign w:val="baseline"/>
                <w:lang w:val="en-US" w:eastAsia="zh-CN"/>
              </w:rPr>
              <w:t>。</w:t>
            </w:r>
          </w:p>
          <w:p>
            <w:pPr>
              <w:spacing w:line="240" w:lineRule="auto"/>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11</w:t>
            </w:r>
            <w:r>
              <w:rPr>
                <w:rFonts w:hint="default"/>
                <w:b/>
                <w:bCs/>
                <w:color w:val="auto"/>
                <w:vertAlign w:val="baseline"/>
                <w:lang w:eastAsia="zh-CN"/>
              </w:rPr>
              <w:fldChar w:fldCharType="end"/>
            </w:r>
            <w:r>
              <w:rPr>
                <w:rFonts w:hint="default"/>
                <w:b/>
                <w:bCs/>
                <w:color w:val="auto"/>
                <w:vertAlign w:val="baseline"/>
                <w:lang w:val="en-US" w:eastAsia="zh-CN"/>
              </w:rPr>
              <w:t xml:space="preserve"> 项目运营期噪声自行监测要求一览表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9"/>
              <w:gridCol w:w="2362"/>
              <w:gridCol w:w="1800"/>
              <w:gridCol w:w="2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监测因子</w:t>
                  </w:r>
                </w:p>
              </w:tc>
              <w:tc>
                <w:tcPr>
                  <w:tcW w:w="23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监测点位</w:t>
                  </w:r>
                </w:p>
              </w:tc>
              <w:tc>
                <w:tcPr>
                  <w:tcW w:w="1800"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监测频次</w:t>
                  </w:r>
                </w:p>
              </w:tc>
              <w:tc>
                <w:tcPr>
                  <w:tcW w:w="2272"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排放执行标准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40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噪声</w:t>
                  </w:r>
                </w:p>
              </w:tc>
              <w:tc>
                <w:tcPr>
                  <w:tcW w:w="23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加油站</w:t>
                  </w:r>
                  <w:r>
                    <w:rPr>
                      <w:rFonts w:hint="eastAsia" w:eastAsia="宋体"/>
                      <w:color w:val="auto"/>
                      <w:sz w:val="21"/>
                      <w:szCs w:val="21"/>
                      <w:vertAlign w:val="baseline"/>
                      <w:lang w:val="en-US" w:eastAsia="zh-CN"/>
                    </w:rPr>
                    <w:t>厂界四周外1m</w:t>
                  </w:r>
                </w:p>
              </w:tc>
              <w:tc>
                <w:tcPr>
                  <w:tcW w:w="180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1</w:t>
                  </w:r>
                  <w:r>
                    <w:rPr>
                      <w:rFonts w:hint="default" w:eastAsia="宋体"/>
                      <w:color w:val="auto"/>
                      <w:sz w:val="21"/>
                      <w:szCs w:val="21"/>
                      <w:vertAlign w:val="baseline"/>
                      <w:lang w:val="en-US" w:eastAsia="zh-CN"/>
                    </w:rPr>
                    <w:t>次</w:t>
                  </w:r>
                  <w:r>
                    <w:rPr>
                      <w:rFonts w:hint="default" w:ascii="Calibri" w:hAnsi="Calibri" w:eastAsia="宋体" w:cs="Calibri"/>
                      <w:color w:val="auto"/>
                      <w:sz w:val="21"/>
                      <w:szCs w:val="21"/>
                      <w:vertAlign w:val="baseline"/>
                      <w:lang w:val="en-US" w:eastAsia="zh-CN"/>
                    </w:rPr>
                    <w:t>/</w:t>
                  </w:r>
                  <w:r>
                    <w:rPr>
                      <w:rFonts w:hint="default" w:eastAsia="宋体"/>
                      <w:color w:val="auto"/>
                      <w:sz w:val="21"/>
                      <w:szCs w:val="21"/>
                      <w:vertAlign w:val="baseline"/>
                      <w:lang w:val="en-US" w:eastAsia="zh-CN"/>
                    </w:rPr>
                    <w:t>季度</w:t>
                  </w:r>
                </w:p>
              </w:tc>
              <w:tc>
                <w:tcPr>
                  <w:tcW w:w="2272"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《工业企业厂界环境噪声排放标准》</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GB12348</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2008</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2类、4类标准</w:t>
                  </w:r>
                </w:p>
              </w:tc>
            </w:tr>
          </w:tbl>
          <w:p>
            <w:pPr>
              <w:rPr>
                <w:rFonts w:hint="eastAsia"/>
                <w:b/>
                <w:bCs/>
                <w:color w:val="auto"/>
                <w:vertAlign w:val="baseline"/>
                <w:lang w:val="en-US" w:eastAsia="zh-CN"/>
              </w:rPr>
            </w:pPr>
            <w:r>
              <w:rPr>
                <w:rFonts w:hint="eastAsia"/>
                <w:b/>
                <w:bCs/>
                <w:color w:val="auto"/>
                <w:vertAlign w:val="baseline"/>
                <w:lang w:val="en-US" w:eastAsia="zh-CN"/>
              </w:rPr>
              <w:t>4、固体废物影响分析和保护措施</w:t>
            </w:r>
          </w:p>
          <w:p>
            <w:pPr>
              <w:ind w:firstLine="480" w:firstLineChars="200"/>
              <w:rPr>
                <w:rFonts w:hint="eastAsia"/>
                <w:color w:val="auto"/>
                <w:vertAlign w:val="baseline"/>
                <w:lang w:val="en-US" w:eastAsia="zh-CN"/>
              </w:rPr>
            </w:pPr>
            <w:r>
              <w:rPr>
                <w:rFonts w:hint="eastAsia"/>
                <w:color w:val="auto"/>
                <w:vertAlign w:val="baseline"/>
                <w:lang w:val="en-US" w:eastAsia="zh-CN"/>
              </w:rPr>
              <w:t>（1）固体废物产生情况</w:t>
            </w:r>
          </w:p>
          <w:p>
            <w:pPr>
              <w:ind w:firstLine="480" w:firstLineChars="200"/>
              <w:rPr>
                <w:rFonts w:hint="eastAsia"/>
                <w:color w:val="auto"/>
                <w:vertAlign w:val="baseline"/>
                <w:lang w:val="en-US" w:eastAsia="zh-CN"/>
              </w:rPr>
            </w:pPr>
            <w:r>
              <w:rPr>
                <w:rFonts w:hint="eastAsia"/>
                <w:color w:val="auto"/>
                <w:vertAlign w:val="baseline"/>
                <w:lang w:val="en-US" w:eastAsia="zh-CN"/>
              </w:rPr>
              <w:t>项目运营期产生的固体废物主要包括油罐底泥、废活性炭、隔油池废油泥、含油废抹布手套以及生活垃圾等。</w:t>
            </w:r>
          </w:p>
          <w:p>
            <w:pPr>
              <w:ind w:firstLine="480" w:firstLineChars="200"/>
              <w:rPr>
                <w:rFonts w:hint="default"/>
                <w:color w:val="auto"/>
                <w:vertAlign w:val="baseline"/>
                <w:lang w:val="en-US" w:eastAsia="zh-CN"/>
              </w:rPr>
            </w:pPr>
            <w:r>
              <w:rPr>
                <w:rFonts w:hint="eastAsia"/>
                <w:color w:val="auto"/>
                <w:vertAlign w:val="baseline"/>
                <w:lang w:val="en-US" w:eastAsia="zh-CN"/>
              </w:rPr>
              <w:t>①油罐底泥</w:t>
            </w:r>
          </w:p>
          <w:p>
            <w:pPr>
              <w:ind w:firstLine="480" w:firstLineChars="200"/>
              <w:rPr>
                <w:rFonts w:hint="eastAsia"/>
                <w:color w:val="auto"/>
                <w:vertAlign w:val="baseline"/>
                <w:lang w:val="en-US" w:eastAsia="zh-CN"/>
              </w:rPr>
            </w:pPr>
            <w:r>
              <w:rPr>
                <w:rFonts w:hint="eastAsia"/>
                <w:color w:val="auto"/>
                <w:vertAlign w:val="baseline"/>
                <w:lang w:val="en-US" w:eastAsia="zh-CN"/>
              </w:rPr>
              <w:t>加油站在经营过程中需委托专业油罐清理公司对油罐定期清理，根据企业提供的资料，本项目储油罐拟每3-5年清理一次。清理过程无清洗废水产生，油罐内沉积的油渣产生量约为0.3t</w:t>
            </w:r>
            <w:r>
              <w:rPr>
                <w:rFonts w:hint="eastAsia" w:ascii="Calibri" w:hAnsi="Calibri" w:cs="Calibri"/>
                <w:color w:val="auto"/>
                <w:vertAlign w:val="baseline"/>
                <w:lang w:val="en-US" w:eastAsia="zh-CN"/>
              </w:rPr>
              <w:t>/</w:t>
            </w:r>
            <w:r>
              <w:rPr>
                <w:rFonts w:hint="eastAsia"/>
                <w:color w:val="auto"/>
                <w:vertAlign w:val="baseline"/>
                <w:lang w:val="en-US" w:eastAsia="zh-CN"/>
              </w:rPr>
              <w:t>（罐▪次），本项目共有4个储罐，本次评价按最不利情况考虑，假设年产生量即为单次产生量，则油罐底泥总产生量约为1.2t</w:t>
            </w:r>
            <w:r>
              <w:rPr>
                <w:rFonts w:hint="eastAsia" w:ascii="Calibri" w:hAnsi="Calibri" w:cs="Calibri"/>
                <w:color w:val="auto"/>
                <w:vertAlign w:val="baseline"/>
                <w:lang w:val="en-US" w:eastAsia="zh-CN"/>
              </w:rPr>
              <w:t>/</w:t>
            </w:r>
            <w:r>
              <w:rPr>
                <w:rFonts w:hint="eastAsia"/>
                <w:color w:val="auto"/>
                <w:vertAlign w:val="baseline"/>
                <w:lang w:val="en-US" w:eastAsia="zh-CN"/>
              </w:rPr>
              <w:t>a，由专业清洗公司带走，委托有资质单位处置。根据《国家危险废物名录》（2021版），油罐底泥危废代码为“HW08</w:t>
            </w:r>
            <w:r>
              <w:rPr>
                <w:rFonts w:hint="eastAsia" w:ascii="Calibri" w:hAnsi="Calibri" w:cs="Calibri"/>
                <w:color w:val="auto"/>
                <w:vertAlign w:val="baseline"/>
                <w:lang w:val="en-US" w:eastAsia="zh-CN"/>
              </w:rPr>
              <w:t>/</w:t>
            </w:r>
            <w:r>
              <w:rPr>
                <w:rFonts w:hint="eastAsia"/>
                <w:color w:val="auto"/>
                <w:vertAlign w:val="baseline"/>
                <w:lang w:val="en-US" w:eastAsia="zh-CN"/>
              </w:rPr>
              <w:t>非特定行业900-221-08废燃料油及燃料油储存过程中产生的油泥”。</w:t>
            </w:r>
          </w:p>
          <w:p>
            <w:pPr>
              <w:ind w:firstLine="480" w:firstLineChars="200"/>
              <w:rPr>
                <w:rFonts w:hint="default"/>
                <w:color w:val="auto"/>
                <w:vertAlign w:val="baseline"/>
                <w:lang w:val="en-US" w:eastAsia="zh-CN"/>
              </w:rPr>
            </w:pPr>
            <w:r>
              <w:rPr>
                <w:rFonts w:hint="eastAsia"/>
                <w:color w:val="auto"/>
                <w:vertAlign w:val="baseline"/>
                <w:lang w:val="en-US" w:eastAsia="zh-CN"/>
              </w:rPr>
              <w:t>②废活性炭</w:t>
            </w:r>
          </w:p>
          <w:p>
            <w:pPr>
              <w:ind w:firstLine="480" w:firstLineChars="200"/>
              <w:rPr>
                <w:rFonts w:hint="default"/>
                <w:color w:val="FF0000"/>
                <w:vertAlign w:val="baseline"/>
                <w:lang w:val="en-US" w:eastAsia="zh-CN"/>
              </w:rPr>
            </w:pPr>
            <w:r>
              <w:rPr>
                <w:rFonts w:hint="eastAsia"/>
                <w:color w:val="auto"/>
                <w:vertAlign w:val="baseline"/>
                <w:lang w:val="en-US" w:eastAsia="zh-CN"/>
              </w:rPr>
              <w:t>本项目三次油气回收采用活性炭吸附油气，参考同类加油站项目，油气回收装置活性炭装填量约0.5t，平均半年更换1次，则废活性炭产生量约1t</w:t>
            </w:r>
            <w:r>
              <w:rPr>
                <w:rFonts w:hint="eastAsia" w:ascii="Calibri" w:hAnsi="Calibri" w:cs="Calibri"/>
                <w:color w:val="auto"/>
                <w:vertAlign w:val="baseline"/>
                <w:lang w:val="en-US" w:eastAsia="zh-CN"/>
              </w:rPr>
              <w:t>/</w:t>
            </w:r>
            <w:r>
              <w:rPr>
                <w:rFonts w:hint="eastAsia"/>
                <w:color w:val="auto"/>
                <w:vertAlign w:val="baseline"/>
                <w:lang w:val="en-US" w:eastAsia="zh-CN"/>
              </w:rPr>
              <w:t>a，由专门人士现场更换，更换后带走并委托有资质单位处置。根据《国家危险废物名录》(2021版)，废活性炭危废代码为“HW49</w:t>
            </w:r>
            <w:r>
              <w:rPr>
                <w:rFonts w:hint="eastAsia" w:ascii="Calibri" w:hAnsi="Calibri" w:cs="Calibri"/>
                <w:color w:val="auto"/>
                <w:vertAlign w:val="baseline"/>
                <w:lang w:val="en-US" w:eastAsia="zh-CN"/>
              </w:rPr>
              <w:t>/</w:t>
            </w:r>
            <w:r>
              <w:rPr>
                <w:rFonts w:hint="eastAsia"/>
                <w:color w:val="auto"/>
                <w:vertAlign w:val="baseline"/>
                <w:lang w:val="en-US" w:eastAsia="zh-CN"/>
              </w:rPr>
              <w:t>非特定行业900-039-49 VOCs治理过程（不包括餐饮行业油烟治理过程）产生的废活性炭”。</w:t>
            </w:r>
          </w:p>
          <w:p>
            <w:pPr>
              <w:ind w:firstLine="480" w:firstLineChars="200"/>
              <w:rPr>
                <w:rFonts w:hint="default"/>
                <w:color w:val="auto"/>
                <w:vertAlign w:val="baseline"/>
                <w:lang w:val="en-US" w:eastAsia="zh-CN"/>
              </w:rPr>
            </w:pPr>
            <w:r>
              <w:rPr>
                <w:rFonts w:hint="eastAsia"/>
                <w:color w:val="auto"/>
                <w:vertAlign w:val="baseline"/>
                <w:lang w:val="en-US" w:eastAsia="zh-CN"/>
              </w:rPr>
              <w:t>③隔油池废油泥</w:t>
            </w:r>
          </w:p>
          <w:p>
            <w:pPr>
              <w:ind w:firstLine="480" w:firstLineChars="200"/>
              <w:rPr>
                <w:rFonts w:hint="eastAsia"/>
                <w:color w:val="auto"/>
                <w:vertAlign w:val="baseline"/>
                <w:lang w:val="en-US" w:eastAsia="zh-CN"/>
              </w:rPr>
            </w:pPr>
            <w:r>
              <w:rPr>
                <w:rFonts w:hint="eastAsia"/>
                <w:lang w:val="en-US" w:eastAsia="zh-CN"/>
              </w:rPr>
              <w:t>根据建设单位提供的资料，项目拟采用隔油池对洗车废水及地面冲洗废水进行处理，隔油沉淀池清理产生少量废油、污泥，该类废物产生量约为20kg</w:t>
            </w:r>
            <w:r>
              <w:rPr>
                <w:rFonts w:hint="eastAsia" w:ascii="Calibri" w:hAnsi="Calibri" w:cs="Calibri"/>
                <w:lang w:val="en-US" w:eastAsia="zh-CN"/>
              </w:rPr>
              <w:t>/</w:t>
            </w:r>
            <w:r>
              <w:rPr>
                <w:rFonts w:hint="eastAsia"/>
                <w:lang w:val="en-US" w:eastAsia="zh-CN"/>
              </w:rPr>
              <w:t>a，</w:t>
            </w:r>
            <w:r>
              <w:rPr>
                <w:rFonts w:hint="eastAsia"/>
                <w:color w:val="auto"/>
                <w:lang w:val="en-US" w:eastAsia="zh-CN"/>
              </w:rPr>
              <w:t>收集后暂存于危废暂存箱，委托有资质的单位处置。根据《国家危险废物名录》（2021版），隔油池废油泥危废代码为“HW08</w:t>
            </w:r>
            <w:r>
              <w:rPr>
                <w:rFonts w:hint="eastAsia" w:ascii="Calibri" w:hAnsi="Calibri" w:cs="Calibri"/>
                <w:color w:val="auto"/>
                <w:lang w:val="en-US" w:eastAsia="zh-CN"/>
              </w:rPr>
              <w:t>/</w:t>
            </w:r>
            <w:r>
              <w:rPr>
                <w:rFonts w:hint="eastAsia"/>
                <w:color w:val="auto"/>
                <w:lang w:val="en-US" w:eastAsia="zh-CN"/>
              </w:rPr>
              <w:t>非特定行业900-210-08含油废水处理中隔油、气浮、沉淀等处理过程中产生的浮油、浮渣和污泥（不包括废水生化处理污泥）”。</w:t>
            </w:r>
          </w:p>
          <w:p>
            <w:pPr>
              <w:ind w:firstLine="480" w:firstLineChars="200"/>
              <w:rPr>
                <w:rFonts w:hint="default"/>
                <w:color w:val="auto"/>
                <w:vertAlign w:val="baseline"/>
                <w:lang w:val="en-US" w:eastAsia="zh-CN"/>
              </w:rPr>
            </w:pPr>
            <w:r>
              <w:rPr>
                <w:rFonts w:hint="eastAsia"/>
                <w:color w:val="auto"/>
                <w:vertAlign w:val="baseline"/>
                <w:lang w:val="en-US" w:eastAsia="zh-CN"/>
              </w:rPr>
              <w:t>④含油废抹布、手套</w:t>
            </w:r>
          </w:p>
          <w:p>
            <w:pPr>
              <w:ind w:firstLine="480" w:firstLineChars="200"/>
              <w:rPr>
                <w:rFonts w:hint="eastAsia"/>
                <w:color w:val="auto"/>
                <w:vertAlign w:val="baseline"/>
                <w:lang w:val="en-US" w:eastAsia="zh-CN"/>
              </w:rPr>
            </w:pPr>
            <w:r>
              <w:rPr>
                <w:rFonts w:hint="eastAsia"/>
                <w:color w:val="auto"/>
                <w:vertAlign w:val="baseline"/>
                <w:lang w:val="en-US" w:eastAsia="zh-CN"/>
              </w:rPr>
              <w:t>加油站在经营过程中会产生含油废抹布、手套，根据企业提供的资料，含油废抹布、手套产生量约为0.1t</w:t>
            </w:r>
            <w:r>
              <w:rPr>
                <w:rFonts w:hint="eastAsia" w:ascii="Calibri" w:hAnsi="Calibri" w:cs="Calibri"/>
                <w:color w:val="auto"/>
                <w:vertAlign w:val="baseline"/>
                <w:lang w:val="en-US" w:eastAsia="zh-CN"/>
              </w:rPr>
              <w:t>/</w:t>
            </w:r>
            <w:r>
              <w:rPr>
                <w:rFonts w:hint="eastAsia"/>
                <w:color w:val="auto"/>
                <w:vertAlign w:val="baseline"/>
                <w:lang w:val="en-US" w:eastAsia="zh-CN"/>
              </w:rPr>
              <w:t>a，</w:t>
            </w:r>
            <w:r>
              <w:rPr>
                <w:rFonts w:hint="eastAsia"/>
                <w:color w:val="auto"/>
                <w:lang w:val="en-US" w:eastAsia="zh-CN"/>
              </w:rPr>
              <w:t>收集后暂存于危废暂存箱，委托有资质的单位处置</w:t>
            </w:r>
            <w:r>
              <w:rPr>
                <w:rFonts w:hint="eastAsia"/>
                <w:color w:val="auto"/>
                <w:vertAlign w:val="baseline"/>
                <w:lang w:val="en-US" w:eastAsia="zh-CN"/>
              </w:rPr>
              <w:t>。含油废抹布、手套危废代码为“HW49</w:t>
            </w:r>
            <w:r>
              <w:rPr>
                <w:rFonts w:hint="eastAsia" w:ascii="Calibri" w:hAnsi="Calibri" w:cs="Calibri"/>
                <w:color w:val="auto"/>
                <w:vertAlign w:val="baseline"/>
                <w:lang w:val="en-US" w:eastAsia="zh-CN"/>
              </w:rPr>
              <w:t>/</w:t>
            </w:r>
            <w:r>
              <w:rPr>
                <w:rFonts w:hint="eastAsia"/>
                <w:color w:val="auto"/>
                <w:vertAlign w:val="baseline"/>
                <w:lang w:val="en-US" w:eastAsia="zh-CN"/>
              </w:rPr>
              <w:t>非特定行业900-041-49含有或沾染毒性、感染性危险废物的废弃包装物、容器、过滤吸附介质”。</w:t>
            </w:r>
          </w:p>
          <w:p>
            <w:pPr>
              <w:ind w:firstLine="480" w:firstLineChars="200"/>
              <w:rPr>
                <w:rFonts w:hint="eastAsia"/>
                <w:color w:val="auto"/>
                <w:vertAlign w:val="baseline"/>
                <w:lang w:val="en-US" w:eastAsia="zh-CN"/>
              </w:rPr>
            </w:pPr>
            <w:r>
              <w:rPr>
                <w:rFonts w:hint="eastAsia"/>
                <w:color w:val="auto"/>
                <w:vertAlign w:val="baseline"/>
                <w:lang w:val="en-US" w:eastAsia="zh-CN"/>
              </w:rPr>
              <w:fldChar w:fldCharType="begin"/>
            </w:r>
            <w:r>
              <w:rPr>
                <w:rFonts w:hint="eastAsia"/>
                <w:color w:val="auto"/>
                <w:vertAlign w:val="baseline"/>
                <w:lang w:val="en-US" w:eastAsia="zh-CN"/>
              </w:rPr>
              <w:instrText xml:space="preserve"> = 5 \* GB3 \* MERGEFORMAT </w:instrText>
            </w:r>
            <w:r>
              <w:rPr>
                <w:rFonts w:hint="eastAsia"/>
                <w:color w:val="auto"/>
                <w:vertAlign w:val="baseline"/>
                <w:lang w:val="en-US" w:eastAsia="zh-CN"/>
              </w:rPr>
              <w:fldChar w:fldCharType="separate"/>
            </w:r>
            <w:r>
              <w:t>⑤</w:t>
            </w:r>
            <w:r>
              <w:rPr>
                <w:rFonts w:hint="eastAsia"/>
                <w:color w:val="auto"/>
                <w:vertAlign w:val="baseline"/>
                <w:lang w:val="en-US" w:eastAsia="zh-CN"/>
              </w:rPr>
              <w:fldChar w:fldCharType="end"/>
            </w:r>
            <w:r>
              <w:rPr>
                <w:rFonts w:hint="eastAsia"/>
                <w:color w:val="auto"/>
                <w:vertAlign w:val="baseline"/>
                <w:lang w:val="en-US" w:eastAsia="zh-CN"/>
              </w:rPr>
              <w:t>生活垃圾</w:t>
            </w:r>
          </w:p>
          <w:p>
            <w:pPr>
              <w:ind w:firstLine="480" w:firstLineChars="200"/>
              <w:rPr>
                <w:rFonts w:hint="eastAsia"/>
                <w:color w:val="auto"/>
                <w:vertAlign w:val="baseline"/>
                <w:lang w:val="en-US" w:eastAsia="zh-CN"/>
              </w:rPr>
            </w:pPr>
            <w:r>
              <w:rPr>
                <w:rFonts w:hint="eastAsia"/>
                <w:color w:val="auto"/>
                <w:vertAlign w:val="baseline"/>
                <w:lang w:val="en-US" w:eastAsia="zh-CN"/>
              </w:rPr>
              <w:t>工作人员4人，预计外来人员300人</w:t>
            </w:r>
            <w:r>
              <w:rPr>
                <w:rFonts w:hint="eastAsia" w:ascii="Calibri" w:hAnsi="Calibri" w:cs="Calibri"/>
                <w:color w:val="auto"/>
                <w:vertAlign w:val="baseline"/>
                <w:lang w:val="en-US" w:eastAsia="zh-CN"/>
              </w:rPr>
              <w:t>/</w:t>
            </w:r>
            <w:r>
              <w:rPr>
                <w:rFonts w:hint="eastAsia"/>
                <w:color w:val="auto"/>
                <w:vertAlign w:val="baseline"/>
                <w:lang w:val="en-US" w:eastAsia="zh-CN"/>
              </w:rPr>
              <w:t>d，生活垃圾产生系数工作人员以0.5kg</w:t>
            </w:r>
            <w:r>
              <w:rPr>
                <w:rFonts w:hint="eastAsia" w:ascii="Calibri" w:hAnsi="Calibri" w:cs="Calibri"/>
                <w:color w:val="auto"/>
                <w:vertAlign w:val="baseline"/>
                <w:lang w:val="en-US" w:eastAsia="zh-CN"/>
              </w:rPr>
              <w:t>/</w:t>
            </w:r>
            <w:r>
              <w:rPr>
                <w:rFonts w:hint="eastAsia"/>
                <w:color w:val="auto"/>
                <w:vertAlign w:val="baseline"/>
                <w:lang w:val="en-US" w:eastAsia="zh-CN"/>
              </w:rPr>
              <w:t>人·d计，外来人员以0.1kg</w:t>
            </w:r>
            <w:r>
              <w:rPr>
                <w:rFonts w:hint="eastAsia" w:ascii="Calibri" w:hAnsi="Calibri" w:cs="Calibri"/>
                <w:color w:val="auto"/>
                <w:vertAlign w:val="baseline"/>
                <w:lang w:val="en-US" w:eastAsia="zh-CN"/>
              </w:rPr>
              <w:t>/</w:t>
            </w:r>
            <w:r>
              <w:rPr>
                <w:rFonts w:hint="eastAsia"/>
                <w:color w:val="auto"/>
                <w:vertAlign w:val="baseline"/>
                <w:lang w:val="en-US" w:eastAsia="zh-CN"/>
              </w:rPr>
              <w:t>次计，则产生的生活垃圾量为32kg</w:t>
            </w:r>
            <w:r>
              <w:rPr>
                <w:rFonts w:hint="eastAsia" w:ascii="Calibri" w:hAnsi="Calibri" w:cs="Calibri"/>
                <w:color w:val="auto"/>
                <w:vertAlign w:val="baseline"/>
                <w:lang w:val="en-US" w:eastAsia="zh-CN"/>
              </w:rPr>
              <w:t>/</w:t>
            </w:r>
            <w:r>
              <w:rPr>
                <w:rFonts w:hint="eastAsia"/>
                <w:color w:val="auto"/>
                <w:vertAlign w:val="baseline"/>
                <w:lang w:val="en-US" w:eastAsia="zh-CN"/>
              </w:rPr>
              <w:t>d；年工作日365d，则产生的生活垃圾量为11.68t</w:t>
            </w:r>
            <w:r>
              <w:rPr>
                <w:rFonts w:hint="eastAsia" w:ascii="Calibri" w:hAnsi="Calibri" w:cs="Calibri"/>
                <w:color w:val="auto"/>
                <w:vertAlign w:val="baseline"/>
                <w:lang w:val="en-US" w:eastAsia="zh-CN"/>
              </w:rPr>
              <w:t>/</w:t>
            </w:r>
            <w:r>
              <w:rPr>
                <w:rFonts w:hint="eastAsia"/>
                <w:color w:val="auto"/>
                <w:vertAlign w:val="baseline"/>
                <w:lang w:val="en-US" w:eastAsia="zh-CN"/>
              </w:rPr>
              <w:t>a。建设单位在加油站内设置垃圾收集桶，统一收集后，最终由环卫部门定期清运。</w:t>
            </w:r>
          </w:p>
          <w:p>
            <w:pPr>
              <w:ind w:firstLine="480" w:firstLineChars="200"/>
              <w:rPr>
                <w:rFonts w:hint="eastAsia"/>
                <w:b/>
                <w:bCs/>
                <w:color w:val="auto"/>
                <w:vertAlign w:val="baseline"/>
                <w:lang w:val="en-US" w:eastAsia="zh-CN"/>
              </w:rPr>
            </w:pPr>
            <w:r>
              <w:rPr>
                <w:rFonts w:hint="eastAsia"/>
                <w:color w:val="auto"/>
                <w:vertAlign w:val="baseline"/>
                <w:lang w:val="en-US" w:eastAsia="zh-CN"/>
              </w:rPr>
              <w:t>本项目固体废物分析情况汇总见表4-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12</w:t>
            </w:r>
            <w:r>
              <w:rPr>
                <w:rFonts w:hint="default"/>
                <w:color w:val="auto"/>
                <w:vertAlign w:val="baseline"/>
                <w:lang w:eastAsia="zh-CN"/>
              </w:rPr>
              <w:fldChar w:fldCharType="end"/>
            </w:r>
            <w:r>
              <w:rPr>
                <w:rFonts w:hint="eastAsia"/>
                <w:color w:val="auto"/>
                <w:vertAlign w:val="baseline"/>
                <w:lang w:val="en-US" w:eastAsia="zh-CN"/>
              </w:rPr>
              <w:t>。</w:t>
            </w: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eastAsia"/>
                <w:b/>
                <w:bCs/>
                <w:color w:val="auto"/>
                <w:vertAlign w:val="baseline"/>
                <w:lang w:val="en-US" w:eastAsia="zh-CN"/>
              </w:rPr>
            </w:pPr>
          </w:p>
          <w:p>
            <w:pPr>
              <w:spacing w:line="240" w:lineRule="auto"/>
              <w:jc w:val="center"/>
              <w:rPr>
                <w:rFonts w:hint="default"/>
                <w:b/>
                <w:bCs/>
                <w:color w:val="auto"/>
                <w:vertAlign w:val="baseline"/>
                <w:lang w:val="en-US" w:eastAsia="zh-CN"/>
              </w:rPr>
            </w:pPr>
            <w:r>
              <w:rPr>
                <w:rFonts w:hint="eastAsia"/>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12</w:t>
            </w:r>
            <w:r>
              <w:rPr>
                <w:rFonts w:hint="default"/>
                <w:b/>
                <w:bCs/>
                <w:color w:val="auto"/>
                <w:vertAlign w:val="baseline"/>
                <w:lang w:eastAsia="zh-CN"/>
              </w:rPr>
              <w:fldChar w:fldCharType="end"/>
            </w:r>
            <w:r>
              <w:rPr>
                <w:rFonts w:hint="eastAsia"/>
                <w:b/>
                <w:bCs/>
                <w:color w:val="auto"/>
                <w:vertAlign w:val="baseline"/>
                <w:lang w:val="en-US" w:eastAsia="zh-CN"/>
              </w:rPr>
              <w:t xml:space="preserve">  本项目固体废物产生情况一览表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
              <w:gridCol w:w="663"/>
              <w:gridCol w:w="675"/>
              <w:gridCol w:w="900"/>
              <w:gridCol w:w="1062"/>
              <w:gridCol w:w="763"/>
              <w:gridCol w:w="1200"/>
              <w:gridCol w:w="387"/>
              <w:gridCol w:w="900"/>
              <w:gridCol w:w="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属性</w:t>
                  </w:r>
                </w:p>
              </w:tc>
              <w:tc>
                <w:tcPr>
                  <w:tcW w:w="6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产生环节</w:t>
                  </w:r>
                </w:p>
              </w:tc>
              <w:tc>
                <w:tcPr>
                  <w:tcW w:w="6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物理性状</w:t>
                  </w:r>
                </w:p>
              </w:tc>
              <w:tc>
                <w:tcPr>
                  <w:tcW w:w="900"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名称</w:t>
                  </w:r>
                </w:p>
              </w:tc>
              <w:tc>
                <w:tcPr>
                  <w:tcW w:w="10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主要成分</w:t>
                  </w:r>
                </w:p>
              </w:tc>
              <w:tc>
                <w:tcPr>
                  <w:tcW w:w="7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有害成分</w:t>
                  </w:r>
                </w:p>
              </w:tc>
              <w:tc>
                <w:tcPr>
                  <w:tcW w:w="1200"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危废代码</w:t>
                  </w:r>
                </w:p>
              </w:tc>
              <w:tc>
                <w:tcPr>
                  <w:tcW w:w="387"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危险特性</w:t>
                  </w:r>
                </w:p>
              </w:tc>
              <w:tc>
                <w:tcPr>
                  <w:tcW w:w="900"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产生量</w:t>
                  </w:r>
                </w:p>
              </w:tc>
              <w:tc>
                <w:tcPr>
                  <w:tcW w:w="87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处置情况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Merge w:val="restart"/>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危险废物</w:t>
                  </w:r>
                </w:p>
              </w:tc>
              <w:tc>
                <w:tcPr>
                  <w:tcW w:w="6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油罐清理</w:t>
                  </w:r>
                </w:p>
              </w:tc>
              <w:tc>
                <w:tcPr>
                  <w:tcW w:w="6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固态</w:t>
                  </w:r>
                </w:p>
              </w:tc>
              <w:tc>
                <w:tcPr>
                  <w:tcW w:w="900"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油底泥</w:t>
                  </w:r>
                </w:p>
              </w:tc>
              <w:tc>
                <w:tcPr>
                  <w:tcW w:w="10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废矿物油</w:t>
                  </w:r>
                </w:p>
              </w:tc>
              <w:tc>
                <w:tcPr>
                  <w:tcW w:w="7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废矿物油</w:t>
                  </w:r>
                </w:p>
              </w:tc>
              <w:tc>
                <w:tcPr>
                  <w:tcW w:w="120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HW08</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900</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221</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08</w:t>
                  </w:r>
                </w:p>
              </w:tc>
              <w:tc>
                <w:tcPr>
                  <w:tcW w:w="387"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T</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I</w:t>
                  </w:r>
                </w:p>
              </w:tc>
              <w:tc>
                <w:tcPr>
                  <w:tcW w:w="90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1</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2t</w:t>
                  </w:r>
                  <w:r>
                    <w:rPr>
                      <w:rFonts w:hint="default"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a</w:t>
                  </w:r>
                </w:p>
              </w:tc>
              <w:tc>
                <w:tcPr>
                  <w:tcW w:w="872"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由专门人士定期清理（更换）后带走，委托有资质单位处置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Merge w:val="continue"/>
                  <w:vAlign w:val="center"/>
                </w:tcPr>
                <w:p>
                  <w:pPr>
                    <w:spacing w:line="240" w:lineRule="auto"/>
                    <w:jc w:val="center"/>
                    <w:rPr>
                      <w:rFonts w:hint="default"/>
                      <w:color w:val="auto"/>
                      <w:sz w:val="21"/>
                      <w:szCs w:val="21"/>
                      <w:vertAlign w:val="baseline"/>
                      <w:lang w:val="en-US" w:eastAsia="zh-CN"/>
                    </w:rPr>
                  </w:pPr>
                </w:p>
              </w:tc>
              <w:tc>
                <w:tcPr>
                  <w:tcW w:w="66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油气回收装置</w:t>
                  </w:r>
                </w:p>
              </w:tc>
              <w:tc>
                <w:tcPr>
                  <w:tcW w:w="67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固态</w:t>
                  </w:r>
                </w:p>
              </w:tc>
              <w:tc>
                <w:tcPr>
                  <w:tcW w:w="900"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废活性炭</w:t>
                  </w:r>
                </w:p>
              </w:tc>
              <w:tc>
                <w:tcPr>
                  <w:tcW w:w="106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废活性炭</w:t>
                  </w:r>
                </w:p>
              </w:tc>
              <w:tc>
                <w:tcPr>
                  <w:tcW w:w="763"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废活性炭</w:t>
                  </w:r>
                </w:p>
              </w:tc>
              <w:tc>
                <w:tcPr>
                  <w:tcW w:w="1200" w:type="dxa"/>
                  <w:vAlign w:val="center"/>
                </w:tcPr>
                <w:p>
                  <w:pPr>
                    <w:spacing w:line="240" w:lineRule="auto"/>
                    <w:jc w:val="center"/>
                    <w:rPr>
                      <w:rFonts w:hint="eastAsia"/>
                      <w:color w:val="auto"/>
                      <w:sz w:val="21"/>
                      <w:szCs w:val="21"/>
                      <w:vertAlign w:val="baseline"/>
                      <w:lang w:val="en-US" w:eastAsia="zh-CN"/>
                    </w:rPr>
                  </w:pPr>
                  <w:r>
                    <w:rPr>
                      <w:rFonts w:hint="eastAsia"/>
                      <w:color w:val="auto"/>
                      <w:sz w:val="21"/>
                      <w:szCs w:val="21"/>
                      <w:vertAlign w:val="baseline"/>
                      <w:lang w:val="en-US" w:eastAsia="zh-CN"/>
                    </w:rPr>
                    <w:t>HW49，</w:t>
                  </w:r>
                </w:p>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900-039-49</w:t>
                  </w:r>
                </w:p>
              </w:tc>
              <w:tc>
                <w:tcPr>
                  <w:tcW w:w="387"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T</w:t>
                  </w:r>
                </w:p>
              </w:tc>
              <w:tc>
                <w:tcPr>
                  <w:tcW w:w="90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1t</w:t>
                  </w:r>
                  <w:r>
                    <w:rPr>
                      <w:rFonts w:hint="default"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a</w:t>
                  </w:r>
                </w:p>
              </w:tc>
              <w:tc>
                <w:tcPr>
                  <w:tcW w:w="872"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421" w:type="dxa"/>
                  <w:vMerge w:val="continue"/>
                  <w:vAlign w:val="center"/>
                </w:tcPr>
                <w:p>
                  <w:pPr>
                    <w:spacing w:line="240" w:lineRule="auto"/>
                    <w:jc w:val="center"/>
                    <w:rPr>
                      <w:rFonts w:hint="default"/>
                      <w:color w:val="auto"/>
                      <w:sz w:val="21"/>
                      <w:szCs w:val="21"/>
                      <w:vertAlign w:val="baseline"/>
                      <w:lang w:val="en-US" w:eastAsia="zh-CN"/>
                    </w:rPr>
                  </w:pPr>
                </w:p>
              </w:tc>
              <w:tc>
                <w:tcPr>
                  <w:tcW w:w="6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隔油池清理</w:t>
                  </w:r>
                </w:p>
              </w:tc>
              <w:tc>
                <w:tcPr>
                  <w:tcW w:w="6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固态</w:t>
                  </w:r>
                </w:p>
              </w:tc>
              <w:tc>
                <w:tcPr>
                  <w:tcW w:w="900"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隔油池废油泥</w:t>
                  </w:r>
                </w:p>
              </w:tc>
              <w:tc>
                <w:tcPr>
                  <w:tcW w:w="10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废矿物油</w:t>
                  </w:r>
                </w:p>
              </w:tc>
              <w:tc>
                <w:tcPr>
                  <w:tcW w:w="7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废矿物油</w:t>
                  </w:r>
                </w:p>
              </w:tc>
              <w:tc>
                <w:tcPr>
                  <w:tcW w:w="120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HW08</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900</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210</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08</w:t>
                  </w:r>
                </w:p>
              </w:tc>
              <w:tc>
                <w:tcPr>
                  <w:tcW w:w="387"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T</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I</w:t>
                  </w:r>
                </w:p>
              </w:tc>
              <w:tc>
                <w:tcPr>
                  <w:tcW w:w="90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20kg</w:t>
                  </w:r>
                  <w:r>
                    <w:rPr>
                      <w:rFonts w:hint="default"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a</w:t>
                  </w:r>
                </w:p>
              </w:tc>
              <w:tc>
                <w:tcPr>
                  <w:tcW w:w="872"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分别</w:t>
                  </w:r>
                  <w:r>
                    <w:rPr>
                      <w:rFonts w:hint="eastAsia" w:eastAsia="宋体"/>
                      <w:color w:val="auto"/>
                      <w:sz w:val="21"/>
                      <w:szCs w:val="21"/>
                      <w:vertAlign w:val="baseline"/>
                      <w:lang w:val="en-US" w:eastAsia="zh-CN"/>
                    </w:rPr>
                    <w:t>暂存于危废暂存</w:t>
                  </w:r>
                  <w:r>
                    <w:rPr>
                      <w:rFonts w:hint="eastAsia"/>
                      <w:color w:val="auto"/>
                      <w:sz w:val="21"/>
                      <w:szCs w:val="21"/>
                      <w:vertAlign w:val="baseline"/>
                      <w:lang w:val="en-US" w:eastAsia="zh-CN"/>
                    </w:rPr>
                    <w:t>箱</w:t>
                  </w:r>
                  <w:r>
                    <w:rPr>
                      <w:rFonts w:hint="default" w:eastAsia="宋体"/>
                      <w:color w:val="auto"/>
                      <w:sz w:val="21"/>
                      <w:szCs w:val="21"/>
                      <w:vertAlign w:val="baseline"/>
                      <w:lang w:val="en-US" w:eastAsia="zh-CN"/>
                    </w:rPr>
                    <w:t>，</w:t>
                  </w:r>
                  <w:r>
                    <w:rPr>
                      <w:rFonts w:hint="eastAsia"/>
                      <w:color w:val="auto"/>
                      <w:sz w:val="21"/>
                      <w:szCs w:val="21"/>
                      <w:vertAlign w:val="baseline"/>
                      <w:lang w:val="en-US" w:eastAsia="zh-CN"/>
                    </w:rPr>
                    <w:t>定期</w:t>
                  </w:r>
                  <w:r>
                    <w:rPr>
                      <w:rFonts w:hint="eastAsia" w:eastAsia="宋体"/>
                      <w:color w:val="auto"/>
                      <w:sz w:val="21"/>
                      <w:szCs w:val="21"/>
                      <w:vertAlign w:val="baseline"/>
                      <w:lang w:val="en-US" w:eastAsia="zh-CN"/>
                    </w:rPr>
                    <w:t>委托有资质单位</w:t>
                  </w:r>
                  <w:r>
                    <w:rPr>
                      <w:rFonts w:hint="default" w:eastAsia="宋体"/>
                      <w:color w:val="auto"/>
                      <w:sz w:val="21"/>
                      <w:szCs w:val="21"/>
                      <w:vertAlign w:val="baseline"/>
                      <w:lang w:val="en-US" w:eastAsia="zh-CN"/>
                    </w:rPr>
                    <w:t>处</w:t>
                  </w:r>
                  <w:r>
                    <w:rPr>
                      <w:rFonts w:hint="eastAsia"/>
                      <w:color w:val="auto"/>
                      <w:sz w:val="21"/>
                      <w:szCs w:val="21"/>
                      <w:vertAlign w:val="baseline"/>
                      <w:lang w:val="en-US" w:eastAsia="zh-CN"/>
                    </w:rPr>
                    <w:t>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421" w:type="dxa"/>
                  <w:vMerge w:val="continue"/>
                  <w:vAlign w:val="center"/>
                </w:tcPr>
                <w:p>
                  <w:pPr>
                    <w:spacing w:line="240" w:lineRule="auto"/>
                    <w:jc w:val="center"/>
                  </w:pPr>
                </w:p>
              </w:tc>
              <w:tc>
                <w:tcPr>
                  <w:tcW w:w="663" w:type="dxa"/>
                  <w:vAlign w:val="center"/>
                </w:tcPr>
                <w:p>
                  <w:pPr>
                    <w:spacing w:line="240" w:lineRule="auto"/>
                    <w:jc w:val="center"/>
                    <w:rPr>
                      <w:rFonts w:hint="eastAsia" w:eastAsia="宋体"/>
                      <w:color w:val="auto"/>
                      <w:sz w:val="21"/>
                      <w:szCs w:val="21"/>
                      <w:vertAlign w:val="baseline"/>
                      <w:lang w:val="en-US" w:eastAsia="zh-CN"/>
                    </w:rPr>
                  </w:pPr>
                  <w:r>
                    <w:rPr>
                      <w:rFonts w:hint="eastAsia" w:eastAsia="宋体"/>
                      <w:color w:val="auto"/>
                      <w:sz w:val="21"/>
                      <w:szCs w:val="21"/>
                      <w:vertAlign w:val="baseline"/>
                      <w:lang w:val="en-US" w:eastAsia="zh-CN"/>
                    </w:rPr>
                    <w:t>日常运营</w:t>
                  </w:r>
                </w:p>
              </w:tc>
              <w:tc>
                <w:tcPr>
                  <w:tcW w:w="675" w:type="dxa"/>
                  <w:vAlign w:val="center"/>
                </w:tcPr>
                <w:p>
                  <w:pPr>
                    <w:spacing w:line="240" w:lineRule="auto"/>
                    <w:jc w:val="center"/>
                    <w:rPr>
                      <w:rFonts w:hint="eastAsia" w:eastAsia="宋体"/>
                      <w:color w:val="auto"/>
                      <w:sz w:val="21"/>
                      <w:szCs w:val="21"/>
                      <w:vertAlign w:val="baseline"/>
                      <w:lang w:val="en-US" w:eastAsia="zh-CN"/>
                    </w:rPr>
                  </w:pPr>
                  <w:r>
                    <w:rPr>
                      <w:rFonts w:hint="eastAsia" w:eastAsia="宋体"/>
                      <w:color w:val="auto"/>
                      <w:sz w:val="21"/>
                      <w:szCs w:val="21"/>
                      <w:vertAlign w:val="baseline"/>
                      <w:lang w:val="en-US" w:eastAsia="zh-CN"/>
                    </w:rPr>
                    <w:t>固态</w:t>
                  </w:r>
                </w:p>
              </w:tc>
              <w:tc>
                <w:tcPr>
                  <w:tcW w:w="900" w:type="dxa"/>
                  <w:vAlign w:val="center"/>
                </w:tcPr>
                <w:p>
                  <w:pPr>
                    <w:spacing w:line="240" w:lineRule="auto"/>
                    <w:jc w:val="center"/>
                    <w:rPr>
                      <w:rFonts w:hint="eastAsia" w:eastAsia="宋体"/>
                      <w:color w:val="auto"/>
                      <w:sz w:val="21"/>
                      <w:szCs w:val="21"/>
                      <w:vertAlign w:val="baseline"/>
                      <w:lang w:val="en-US" w:eastAsia="zh-CN"/>
                    </w:rPr>
                  </w:pPr>
                  <w:r>
                    <w:rPr>
                      <w:rFonts w:hint="eastAsia" w:eastAsia="宋体"/>
                      <w:color w:val="auto"/>
                      <w:sz w:val="21"/>
                      <w:szCs w:val="21"/>
                      <w:vertAlign w:val="baseline"/>
                      <w:lang w:val="en-US" w:eastAsia="zh-CN"/>
                    </w:rPr>
                    <w:t>含油废抹布、手套</w:t>
                  </w:r>
                </w:p>
              </w:tc>
              <w:tc>
                <w:tcPr>
                  <w:tcW w:w="1062" w:type="dxa"/>
                  <w:vAlign w:val="center"/>
                </w:tcPr>
                <w:p>
                  <w:pPr>
                    <w:spacing w:line="240" w:lineRule="auto"/>
                    <w:jc w:val="center"/>
                    <w:rPr>
                      <w:rFonts w:hint="eastAsia" w:eastAsia="宋体"/>
                      <w:color w:val="auto"/>
                      <w:sz w:val="21"/>
                      <w:szCs w:val="21"/>
                      <w:vertAlign w:val="baseline"/>
                      <w:lang w:val="en-US" w:eastAsia="zh-CN"/>
                    </w:rPr>
                  </w:pPr>
                  <w:r>
                    <w:rPr>
                      <w:rFonts w:hint="default" w:eastAsia="宋体"/>
                      <w:color w:val="auto"/>
                      <w:sz w:val="21"/>
                      <w:szCs w:val="21"/>
                      <w:vertAlign w:val="baseline"/>
                      <w:lang w:val="en-US" w:eastAsia="zh-CN"/>
                    </w:rPr>
                    <w:t>废矿物油</w:t>
                  </w:r>
                </w:p>
              </w:tc>
              <w:tc>
                <w:tcPr>
                  <w:tcW w:w="763" w:type="dxa"/>
                  <w:vAlign w:val="center"/>
                </w:tcPr>
                <w:p>
                  <w:pPr>
                    <w:spacing w:line="240" w:lineRule="auto"/>
                    <w:jc w:val="center"/>
                    <w:rPr>
                      <w:rFonts w:hint="eastAsia" w:eastAsia="宋体"/>
                      <w:color w:val="auto"/>
                      <w:sz w:val="21"/>
                      <w:szCs w:val="21"/>
                      <w:vertAlign w:val="baseline"/>
                      <w:lang w:val="en-US" w:eastAsia="zh-CN"/>
                    </w:rPr>
                  </w:pPr>
                  <w:r>
                    <w:rPr>
                      <w:rFonts w:hint="default" w:eastAsia="宋体"/>
                      <w:color w:val="auto"/>
                      <w:sz w:val="21"/>
                      <w:szCs w:val="21"/>
                      <w:vertAlign w:val="baseline"/>
                      <w:lang w:val="en-US" w:eastAsia="zh-CN"/>
                    </w:rPr>
                    <w:t>废矿物油</w:t>
                  </w:r>
                </w:p>
              </w:tc>
              <w:tc>
                <w:tcPr>
                  <w:tcW w:w="1200" w:type="dxa"/>
                  <w:vAlign w:val="center"/>
                </w:tcPr>
                <w:p>
                  <w:pPr>
                    <w:spacing w:line="240" w:lineRule="auto"/>
                    <w:jc w:val="center"/>
                    <w:rPr>
                      <w:rFonts w:hint="eastAsia" w:eastAsia="宋体"/>
                      <w:color w:val="auto"/>
                      <w:sz w:val="21"/>
                      <w:szCs w:val="21"/>
                      <w:vertAlign w:val="baseline"/>
                      <w:lang w:val="en-US" w:eastAsia="zh-CN"/>
                    </w:rPr>
                  </w:pPr>
                  <w:r>
                    <w:rPr>
                      <w:rFonts w:hint="eastAsia" w:eastAsia="宋体"/>
                      <w:color w:val="auto"/>
                      <w:sz w:val="21"/>
                      <w:szCs w:val="21"/>
                      <w:vertAlign w:val="baseline"/>
                      <w:lang w:val="en-US" w:eastAsia="zh-CN"/>
                    </w:rPr>
                    <w:t>HW</w:t>
                  </w:r>
                  <w:r>
                    <w:rPr>
                      <w:rFonts w:hint="eastAsia"/>
                      <w:color w:val="auto"/>
                      <w:sz w:val="21"/>
                      <w:szCs w:val="21"/>
                      <w:vertAlign w:val="baseline"/>
                      <w:lang w:val="en-US" w:eastAsia="zh-CN"/>
                    </w:rPr>
                    <w:t>49</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900-041-49</w:t>
                  </w:r>
                </w:p>
              </w:tc>
              <w:tc>
                <w:tcPr>
                  <w:tcW w:w="387" w:type="dxa"/>
                  <w:vAlign w:val="center"/>
                </w:tcPr>
                <w:p>
                  <w:pPr>
                    <w:spacing w:line="240" w:lineRule="auto"/>
                    <w:jc w:val="center"/>
                    <w:rPr>
                      <w:rFonts w:hint="eastAsia" w:eastAsia="宋体"/>
                      <w:color w:val="auto"/>
                      <w:sz w:val="21"/>
                      <w:szCs w:val="21"/>
                      <w:vertAlign w:val="baseline"/>
                      <w:lang w:val="en-US" w:eastAsia="zh-CN"/>
                    </w:rPr>
                  </w:pPr>
                  <w:r>
                    <w:rPr>
                      <w:rFonts w:hint="eastAsia" w:eastAsia="宋体"/>
                      <w:color w:val="auto"/>
                      <w:sz w:val="21"/>
                      <w:szCs w:val="21"/>
                      <w:vertAlign w:val="baseline"/>
                      <w:lang w:val="en-US" w:eastAsia="zh-CN"/>
                    </w:rPr>
                    <w:t>T</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I</w:t>
                  </w:r>
                </w:p>
              </w:tc>
              <w:tc>
                <w:tcPr>
                  <w:tcW w:w="900" w:type="dxa"/>
                  <w:vAlign w:val="center"/>
                </w:tcPr>
                <w:p>
                  <w:pPr>
                    <w:spacing w:line="240" w:lineRule="auto"/>
                    <w:jc w:val="center"/>
                    <w:rPr>
                      <w:rFonts w:hint="eastAsia" w:eastAsia="宋体"/>
                      <w:color w:val="auto"/>
                      <w:sz w:val="21"/>
                      <w:szCs w:val="21"/>
                      <w:vertAlign w:val="baseline"/>
                      <w:lang w:val="en-US" w:eastAsia="zh-CN"/>
                    </w:rPr>
                  </w:pPr>
                  <w:r>
                    <w:rPr>
                      <w:rFonts w:hint="eastAsia" w:eastAsia="宋体"/>
                      <w:color w:val="auto"/>
                      <w:sz w:val="21"/>
                      <w:szCs w:val="21"/>
                      <w:vertAlign w:val="baseline"/>
                      <w:lang w:val="en-US" w:eastAsia="zh-CN"/>
                    </w:rPr>
                    <w:t>0</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1t</w:t>
                  </w:r>
                  <w:r>
                    <w:rPr>
                      <w:rFonts w:hint="default"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a</w:t>
                  </w:r>
                </w:p>
              </w:tc>
              <w:tc>
                <w:tcPr>
                  <w:tcW w:w="872" w:type="dxa"/>
                  <w:vMerge w:val="continue"/>
                  <w:vAlign w:val="center"/>
                </w:tcPr>
                <w:p>
                  <w:pPr>
                    <w:spacing w:line="240" w:lineRule="auto"/>
                    <w:jc w:val="center"/>
                    <w:rPr>
                      <w:rFonts w:hint="eastAsia" w:eastAsia="宋体"/>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1" w:type="dxa"/>
                  <w:vAlign w:val="center"/>
                </w:tcPr>
                <w:p>
                  <w:pPr>
                    <w:spacing w:line="240" w:lineRule="auto"/>
                    <w:jc w:val="center"/>
                    <w:rPr>
                      <w:rFonts w:hint="default"/>
                      <w:color w:val="auto"/>
                      <w:sz w:val="21"/>
                      <w:szCs w:val="21"/>
                      <w:vertAlign w:val="baseline"/>
                      <w:lang w:val="en-US" w:eastAsia="zh-CN"/>
                    </w:rPr>
                  </w:pPr>
                  <w:r>
                    <w:rPr>
                      <w:rFonts w:hint="eastAsia" w:ascii="Calibri" w:hAnsi="Calibri" w:eastAsia="宋体" w:cs="Calibri"/>
                      <w:color w:val="auto"/>
                      <w:sz w:val="21"/>
                      <w:szCs w:val="21"/>
                      <w:vertAlign w:val="baseline"/>
                      <w:lang w:val="en-US" w:eastAsia="zh-CN"/>
                    </w:rPr>
                    <w:t>/</w:t>
                  </w:r>
                </w:p>
              </w:tc>
              <w:tc>
                <w:tcPr>
                  <w:tcW w:w="6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生活办公</w:t>
                  </w:r>
                </w:p>
              </w:tc>
              <w:tc>
                <w:tcPr>
                  <w:tcW w:w="6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固态</w:t>
                  </w:r>
                </w:p>
              </w:tc>
              <w:tc>
                <w:tcPr>
                  <w:tcW w:w="900"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生活垃圾</w:t>
                  </w:r>
                </w:p>
              </w:tc>
              <w:tc>
                <w:tcPr>
                  <w:tcW w:w="10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废纸张、垃圾等</w:t>
                  </w:r>
                </w:p>
              </w:tc>
              <w:tc>
                <w:tcPr>
                  <w:tcW w:w="763"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c>
                <w:tcPr>
                  <w:tcW w:w="1200"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c>
                <w:tcPr>
                  <w:tcW w:w="387"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c>
                <w:tcPr>
                  <w:tcW w:w="90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11.68t</w:t>
                  </w:r>
                  <w:r>
                    <w:rPr>
                      <w:rFonts w:hint="default"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a</w:t>
                  </w:r>
                </w:p>
              </w:tc>
              <w:tc>
                <w:tcPr>
                  <w:tcW w:w="87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环卫部门清运处理</w:t>
                  </w:r>
                </w:p>
              </w:tc>
            </w:tr>
          </w:tbl>
          <w:p>
            <w:pPr>
              <w:ind w:firstLine="480" w:firstLineChars="200"/>
              <w:rPr>
                <w:rFonts w:hint="default"/>
                <w:b w:val="0"/>
                <w:bCs w:val="0"/>
                <w:color w:val="auto"/>
                <w:vertAlign w:val="baseline"/>
                <w:lang w:val="en-US" w:eastAsia="zh-CN"/>
              </w:rPr>
            </w:pPr>
            <w:r>
              <w:rPr>
                <w:rFonts w:hint="eastAsia"/>
                <w:b w:val="0"/>
                <w:bCs w:val="0"/>
                <w:color w:val="auto"/>
                <w:vertAlign w:val="baseline"/>
                <w:lang w:val="en-US" w:eastAsia="zh-CN"/>
              </w:rPr>
              <w:t>（2）固体</w:t>
            </w:r>
            <w:r>
              <w:rPr>
                <w:rFonts w:hint="default"/>
                <w:b w:val="0"/>
                <w:bCs w:val="0"/>
                <w:color w:val="auto"/>
                <w:vertAlign w:val="baseline"/>
                <w:lang w:val="en-US" w:eastAsia="zh-CN"/>
              </w:rPr>
              <w:t>废物环境影响分析和保护措施</w:t>
            </w:r>
          </w:p>
          <w:p>
            <w:pPr>
              <w:ind w:firstLine="480" w:firstLineChars="200"/>
              <w:rPr>
                <w:rFonts w:hint="default"/>
                <w:b w:val="0"/>
                <w:bCs w:val="0"/>
                <w:color w:val="auto"/>
                <w:vertAlign w:val="baseline"/>
                <w:lang w:val="en-US" w:eastAsia="zh-CN"/>
              </w:rPr>
            </w:pPr>
            <w:r>
              <w:rPr>
                <w:rFonts w:hint="default"/>
                <w:b w:val="0"/>
                <w:bCs w:val="0"/>
                <w:color w:val="auto"/>
                <w:vertAlign w:val="baseline"/>
                <w:lang w:val="en-US" w:eastAsia="zh-CN"/>
              </w:rPr>
              <w:fldChar w:fldCharType="begin"/>
            </w:r>
            <w:r>
              <w:rPr>
                <w:rFonts w:hint="default"/>
                <w:b w:val="0"/>
                <w:bCs w:val="0"/>
                <w:color w:val="auto"/>
                <w:vertAlign w:val="baseline"/>
                <w:lang w:val="en-US" w:eastAsia="zh-CN"/>
              </w:rPr>
              <w:instrText xml:space="preserve"> = 1 \* GB3 \* MERGEFORMAT </w:instrText>
            </w:r>
            <w:r>
              <w:rPr>
                <w:rFonts w:hint="default"/>
                <w:b w:val="0"/>
                <w:bCs w:val="0"/>
                <w:color w:val="auto"/>
                <w:vertAlign w:val="baseline"/>
                <w:lang w:val="en-US" w:eastAsia="zh-CN"/>
              </w:rPr>
              <w:fldChar w:fldCharType="separate"/>
            </w:r>
            <w:r>
              <w:rPr>
                <w:b w:val="0"/>
                <w:bCs w:val="0"/>
                <w:color w:val="auto"/>
              </w:rPr>
              <w:t>①</w:t>
            </w:r>
            <w:r>
              <w:rPr>
                <w:rFonts w:hint="default"/>
                <w:b w:val="0"/>
                <w:bCs w:val="0"/>
                <w:color w:val="auto"/>
                <w:vertAlign w:val="baseline"/>
                <w:lang w:val="en-US" w:eastAsia="zh-CN"/>
              </w:rPr>
              <w:fldChar w:fldCharType="end"/>
            </w:r>
            <w:r>
              <w:rPr>
                <w:rFonts w:hint="eastAsia"/>
                <w:b w:val="0"/>
                <w:bCs w:val="0"/>
                <w:color w:val="auto"/>
                <w:vertAlign w:val="baseline"/>
                <w:lang w:val="en-US" w:eastAsia="zh-CN"/>
              </w:rPr>
              <w:t>油罐底泥和废活性炭</w:t>
            </w:r>
          </w:p>
          <w:p>
            <w:pPr>
              <w:ind w:firstLine="480" w:firstLineChars="200"/>
              <w:rPr>
                <w:rFonts w:hint="default"/>
                <w:b w:val="0"/>
                <w:bCs w:val="0"/>
                <w:color w:val="auto"/>
                <w:vertAlign w:val="baseline"/>
                <w:lang w:val="en-US" w:eastAsia="zh-CN"/>
              </w:rPr>
            </w:pPr>
            <w:r>
              <w:rPr>
                <w:rFonts w:hint="eastAsia"/>
                <w:b w:val="0"/>
                <w:bCs w:val="0"/>
                <w:color w:val="auto"/>
                <w:vertAlign w:val="baseline"/>
                <w:lang w:val="en-US" w:eastAsia="zh-CN"/>
              </w:rPr>
              <w:t>本</w:t>
            </w:r>
            <w:r>
              <w:rPr>
                <w:rFonts w:hint="default"/>
                <w:b w:val="0"/>
                <w:bCs w:val="0"/>
                <w:color w:val="auto"/>
                <w:vertAlign w:val="baseline"/>
                <w:lang w:val="en-US" w:eastAsia="zh-CN"/>
              </w:rPr>
              <w:t>项目建成后，储油罐平均3</w:t>
            </w:r>
            <w:r>
              <w:rPr>
                <w:rFonts w:hint="eastAsia"/>
                <w:b w:val="0"/>
                <w:bCs w:val="0"/>
                <w:color w:val="auto"/>
                <w:vertAlign w:val="baseline"/>
                <w:lang w:val="en-US" w:eastAsia="zh-CN"/>
              </w:rPr>
              <w:t>-</w:t>
            </w:r>
            <w:r>
              <w:rPr>
                <w:rFonts w:hint="default"/>
                <w:b w:val="0"/>
                <w:bCs w:val="0"/>
                <w:color w:val="auto"/>
                <w:vertAlign w:val="baseline"/>
                <w:lang w:val="en-US" w:eastAsia="zh-CN"/>
              </w:rPr>
              <w:t>5年定期清洗一次，由专业的油罐清洗公司清洗，清洗会产生废油渣，由专业清洗公司带走</w:t>
            </w:r>
            <w:r>
              <w:rPr>
                <w:rFonts w:hint="eastAsia"/>
                <w:b w:val="0"/>
                <w:bCs w:val="0"/>
                <w:color w:val="auto"/>
                <w:vertAlign w:val="baseline"/>
                <w:lang w:val="en-US" w:eastAsia="zh-CN"/>
              </w:rPr>
              <w:t>，委托有资质单位处置</w:t>
            </w:r>
            <w:r>
              <w:rPr>
                <w:rFonts w:hint="default"/>
                <w:b w:val="0"/>
                <w:bCs w:val="0"/>
                <w:color w:val="auto"/>
                <w:vertAlign w:val="baseline"/>
                <w:lang w:val="en-US" w:eastAsia="zh-CN"/>
              </w:rPr>
              <w:t>；油气回收系统废活性炭约半年更换1次，由</w:t>
            </w:r>
            <w:r>
              <w:rPr>
                <w:rFonts w:hint="eastAsia"/>
                <w:b w:val="0"/>
                <w:bCs w:val="0"/>
                <w:color w:val="auto"/>
                <w:vertAlign w:val="baseline"/>
                <w:lang w:val="en-US" w:eastAsia="zh-CN"/>
              </w:rPr>
              <w:t>专门人士</w:t>
            </w:r>
            <w:r>
              <w:rPr>
                <w:rFonts w:hint="default"/>
                <w:b w:val="0"/>
                <w:bCs w:val="0"/>
                <w:color w:val="auto"/>
                <w:vertAlign w:val="baseline"/>
                <w:lang w:val="en-US" w:eastAsia="zh-CN"/>
              </w:rPr>
              <w:t>现场更换</w:t>
            </w:r>
            <w:r>
              <w:rPr>
                <w:rFonts w:hint="eastAsia"/>
                <w:b w:val="0"/>
                <w:bCs w:val="0"/>
                <w:color w:val="auto"/>
                <w:vertAlign w:val="baseline"/>
                <w:lang w:val="en-US" w:eastAsia="zh-CN"/>
              </w:rPr>
              <w:t>并带走</w:t>
            </w:r>
            <w:r>
              <w:rPr>
                <w:rFonts w:hint="default"/>
                <w:b w:val="0"/>
                <w:bCs w:val="0"/>
                <w:color w:val="auto"/>
                <w:vertAlign w:val="baseline"/>
                <w:lang w:val="en-US" w:eastAsia="zh-CN"/>
              </w:rPr>
              <w:t>，</w:t>
            </w:r>
            <w:r>
              <w:rPr>
                <w:rFonts w:hint="eastAsia"/>
                <w:b w:val="0"/>
                <w:bCs w:val="0"/>
                <w:color w:val="auto"/>
                <w:vertAlign w:val="baseline"/>
                <w:lang w:val="en-US" w:eastAsia="zh-CN"/>
              </w:rPr>
              <w:t>委托有资质单位处置</w:t>
            </w:r>
            <w:r>
              <w:rPr>
                <w:rFonts w:hint="default"/>
                <w:b w:val="0"/>
                <w:bCs w:val="0"/>
                <w:color w:val="auto"/>
                <w:vertAlign w:val="baseline"/>
                <w:lang w:val="en-US" w:eastAsia="zh-CN"/>
              </w:rPr>
              <w:t>。根据同类加油站运行经验，该处置方式可行。</w:t>
            </w:r>
          </w:p>
          <w:p>
            <w:pPr>
              <w:ind w:firstLine="480" w:firstLineChars="200"/>
              <w:rPr>
                <w:rFonts w:hint="default"/>
                <w:b w:val="0"/>
                <w:bCs w:val="0"/>
                <w:color w:val="auto"/>
                <w:vertAlign w:val="baseline"/>
                <w:lang w:val="en-US" w:eastAsia="zh-CN"/>
              </w:rPr>
            </w:pPr>
            <w:r>
              <w:rPr>
                <w:rFonts w:hint="default"/>
                <w:b w:val="0"/>
                <w:bCs w:val="0"/>
                <w:color w:val="auto"/>
                <w:vertAlign w:val="baseline"/>
                <w:lang w:val="en-US" w:eastAsia="zh-CN"/>
              </w:rPr>
              <w:fldChar w:fldCharType="begin"/>
            </w:r>
            <w:r>
              <w:rPr>
                <w:rFonts w:hint="default"/>
                <w:b w:val="0"/>
                <w:bCs w:val="0"/>
                <w:color w:val="auto"/>
                <w:vertAlign w:val="baseline"/>
                <w:lang w:val="en-US" w:eastAsia="zh-CN"/>
              </w:rPr>
              <w:instrText xml:space="preserve"> = 2 \* GB3 \* MERGEFORMAT </w:instrText>
            </w:r>
            <w:r>
              <w:rPr>
                <w:rFonts w:hint="default"/>
                <w:b w:val="0"/>
                <w:bCs w:val="0"/>
                <w:color w:val="auto"/>
                <w:vertAlign w:val="baseline"/>
                <w:lang w:val="en-US" w:eastAsia="zh-CN"/>
              </w:rPr>
              <w:fldChar w:fldCharType="separate"/>
            </w:r>
            <w:r>
              <w:rPr>
                <w:b w:val="0"/>
                <w:bCs w:val="0"/>
                <w:color w:val="auto"/>
              </w:rPr>
              <w:t>②</w:t>
            </w:r>
            <w:r>
              <w:rPr>
                <w:rFonts w:hint="default"/>
                <w:b w:val="0"/>
                <w:bCs w:val="0"/>
                <w:color w:val="auto"/>
                <w:vertAlign w:val="baseline"/>
                <w:lang w:val="en-US" w:eastAsia="zh-CN"/>
              </w:rPr>
              <w:fldChar w:fldCharType="end"/>
            </w:r>
            <w:r>
              <w:rPr>
                <w:rFonts w:hint="eastAsia"/>
                <w:b w:val="0"/>
                <w:bCs w:val="0"/>
                <w:color w:val="auto"/>
                <w:vertAlign w:val="baseline"/>
                <w:lang w:val="en-US" w:eastAsia="zh-CN"/>
              </w:rPr>
              <w:t>隔油池废油泥和含油废抹布、手套</w:t>
            </w:r>
          </w:p>
          <w:p>
            <w:pPr>
              <w:ind w:firstLine="480" w:firstLineChars="200"/>
              <w:rPr>
                <w:rFonts w:hint="default"/>
                <w:color w:val="auto"/>
                <w:vertAlign w:val="baseline"/>
                <w:lang w:val="en-US" w:eastAsia="zh-CN"/>
              </w:rPr>
            </w:pPr>
            <w:r>
              <w:rPr>
                <w:rFonts w:hint="eastAsia"/>
                <w:b w:val="0"/>
                <w:bCs w:val="0"/>
                <w:color w:val="auto"/>
                <w:vertAlign w:val="baseline"/>
                <w:lang w:val="en-US" w:eastAsia="zh-CN"/>
              </w:rPr>
              <w:t>本</w:t>
            </w:r>
            <w:r>
              <w:rPr>
                <w:rFonts w:hint="default"/>
                <w:b w:val="0"/>
                <w:bCs w:val="0"/>
                <w:color w:val="auto"/>
                <w:vertAlign w:val="baseline"/>
                <w:lang w:val="en-US" w:eastAsia="zh-CN"/>
              </w:rPr>
              <w:t>项目拟</w:t>
            </w:r>
            <w:r>
              <w:rPr>
                <w:rFonts w:hint="eastAsia"/>
                <w:b w:val="0"/>
                <w:bCs w:val="0"/>
                <w:color w:val="auto"/>
                <w:vertAlign w:val="baseline"/>
                <w:lang w:val="en-US" w:eastAsia="zh-CN"/>
              </w:rPr>
              <w:t>设置两个</w:t>
            </w:r>
            <w:r>
              <w:rPr>
                <w:rFonts w:hint="default"/>
                <w:b w:val="0"/>
                <w:bCs w:val="0"/>
                <w:color w:val="auto"/>
                <w:vertAlign w:val="baseline"/>
                <w:lang w:val="en-US" w:eastAsia="zh-CN"/>
              </w:rPr>
              <w:t>危废暂存</w:t>
            </w:r>
            <w:r>
              <w:rPr>
                <w:rFonts w:hint="eastAsia"/>
                <w:b w:val="0"/>
                <w:bCs w:val="0"/>
                <w:color w:val="auto"/>
                <w:vertAlign w:val="baseline"/>
                <w:lang w:val="en-US" w:eastAsia="zh-CN"/>
              </w:rPr>
              <w:t>箱</w:t>
            </w:r>
            <w:r>
              <w:rPr>
                <w:rFonts w:hint="default"/>
                <w:b w:val="0"/>
                <w:bCs w:val="0"/>
                <w:color w:val="auto"/>
                <w:vertAlign w:val="baseline"/>
                <w:lang w:val="en-US" w:eastAsia="zh-CN"/>
              </w:rPr>
              <w:t>，</w:t>
            </w:r>
            <w:r>
              <w:rPr>
                <w:rFonts w:hint="eastAsia"/>
                <w:b w:val="0"/>
                <w:bCs w:val="0"/>
                <w:color w:val="auto"/>
                <w:vertAlign w:val="baseline"/>
                <w:lang w:val="en-US" w:eastAsia="zh-CN"/>
              </w:rPr>
              <w:t>分别暂存隔油池废油泥和含油废抹布、手套。</w:t>
            </w:r>
            <w:r>
              <w:rPr>
                <w:rFonts w:hint="default"/>
                <w:b w:val="0"/>
                <w:bCs w:val="0"/>
                <w:color w:val="auto"/>
                <w:vertAlign w:val="baseline"/>
                <w:lang w:val="en-US" w:eastAsia="zh-CN"/>
              </w:rPr>
              <w:t>危险废物应设置专用容器存放，妥善保管，并采取防渗漏、防雨淋、防流失等措施。</w:t>
            </w:r>
            <w:r>
              <w:rPr>
                <w:rFonts w:hint="eastAsia"/>
                <w:b w:val="0"/>
                <w:bCs w:val="0"/>
                <w:color w:val="auto"/>
                <w:vertAlign w:val="baseline"/>
                <w:lang w:val="en-US" w:eastAsia="zh-CN"/>
              </w:rPr>
              <w:t>本</w:t>
            </w:r>
            <w:r>
              <w:rPr>
                <w:rFonts w:hint="default"/>
                <w:b w:val="0"/>
                <w:bCs w:val="0"/>
                <w:color w:val="auto"/>
                <w:vertAlign w:val="baseline"/>
                <w:lang w:val="en-US" w:eastAsia="zh-CN"/>
              </w:rPr>
              <w:t>项目在危废的收集、储存和运输过程中还应注意安全性、防止泄漏和扩散。危险废物的收集、暂存和保管均应符合《危险废物贮存污染控制指标》（GB18597-2001）及其修改单的要求，不会对环境造成二次污染；按照国家有关危险废物申报登记、转移联单等管理制度的要求，向当地</w:t>
            </w:r>
            <w:r>
              <w:rPr>
                <w:rFonts w:hint="default"/>
                <w:color w:val="auto"/>
                <w:vertAlign w:val="baseline"/>
                <w:lang w:val="en-US" w:eastAsia="zh-CN"/>
              </w:rPr>
              <w:t>环境保护部门进行危险废物的申报、转移等；制定危险废物环境风险防范措施，防止对地表水、环境空气和地下水等造成污染；履行申报登记制度、建立台帐管理制度，属委托利用处置的，应执行报批和转移联单等制度。</w:t>
            </w:r>
          </w:p>
          <w:p>
            <w:pPr>
              <w:ind w:firstLine="480" w:firstLineChars="200"/>
              <w:rPr>
                <w:rFonts w:hint="default"/>
                <w:color w:val="auto"/>
                <w:vertAlign w:val="baseline"/>
                <w:lang w:val="en-US" w:eastAsia="zh-CN"/>
              </w:rPr>
            </w:pPr>
            <w:r>
              <w:rPr>
                <w:rFonts w:hint="default"/>
                <w:color w:val="auto"/>
                <w:vertAlign w:val="baseline"/>
                <w:lang w:val="en-US" w:eastAsia="zh-CN"/>
              </w:rPr>
              <w:fldChar w:fldCharType="begin"/>
            </w:r>
            <w:r>
              <w:rPr>
                <w:rFonts w:hint="default"/>
                <w:color w:val="auto"/>
                <w:vertAlign w:val="baseline"/>
                <w:lang w:val="en-US" w:eastAsia="zh-CN"/>
              </w:rPr>
              <w:instrText xml:space="preserve"> = 3 \* GB3 \* MERGEFORMAT </w:instrText>
            </w:r>
            <w:r>
              <w:rPr>
                <w:rFonts w:hint="default"/>
                <w:color w:val="auto"/>
                <w:vertAlign w:val="baseline"/>
                <w:lang w:val="en-US" w:eastAsia="zh-CN"/>
              </w:rPr>
              <w:fldChar w:fldCharType="separate"/>
            </w:r>
            <w:r>
              <w:rPr>
                <w:color w:val="auto"/>
              </w:rPr>
              <w:t>③</w:t>
            </w:r>
            <w:r>
              <w:rPr>
                <w:rFonts w:hint="default"/>
                <w:color w:val="auto"/>
                <w:vertAlign w:val="baseline"/>
                <w:lang w:val="en-US" w:eastAsia="zh-CN"/>
              </w:rPr>
              <w:fldChar w:fldCharType="end"/>
            </w:r>
            <w:r>
              <w:rPr>
                <w:rFonts w:hint="eastAsia"/>
                <w:color w:val="auto"/>
                <w:vertAlign w:val="baseline"/>
                <w:lang w:val="en-US" w:eastAsia="zh-CN"/>
              </w:rPr>
              <w:t>生活垃圾</w:t>
            </w:r>
          </w:p>
          <w:p>
            <w:pPr>
              <w:ind w:firstLine="480" w:firstLineChars="200"/>
              <w:rPr>
                <w:rFonts w:hint="default"/>
                <w:color w:val="auto"/>
                <w:vertAlign w:val="baseline"/>
                <w:lang w:val="en-US" w:eastAsia="zh-CN"/>
              </w:rPr>
            </w:pPr>
            <w:r>
              <w:rPr>
                <w:rFonts w:hint="default"/>
                <w:color w:val="auto"/>
                <w:vertAlign w:val="baseline"/>
                <w:lang w:val="en-US" w:eastAsia="zh-CN"/>
              </w:rPr>
              <w:t>运营期生活垃圾主要成分为果皮、纸屑、塑料等，由带盖垃圾桶分类收集后，由市政环卫部门统一清运</w:t>
            </w:r>
            <w:r>
              <w:rPr>
                <w:rFonts w:hint="eastAsia"/>
                <w:color w:val="auto"/>
                <w:vertAlign w:val="baseline"/>
                <w:lang w:val="en-US" w:eastAsia="zh-CN"/>
              </w:rPr>
              <w:t>处理</w:t>
            </w:r>
            <w:r>
              <w:rPr>
                <w:rFonts w:hint="default"/>
                <w:color w:val="auto"/>
                <w:vertAlign w:val="baseline"/>
                <w:lang w:val="en-US" w:eastAsia="zh-CN"/>
              </w:rPr>
              <w:t>，生活垃圾做到日产日清。</w:t>
            </w:r>
          </w:p>
          <w:p>
            <w:pPr>
              <w:ind w:firstLine="480" w:firstLineChars="200"/>
              <w:rPr>
                <w:rFonts w:hint="default"/>
                <w:color w:val="auto"/>
                <w:vertAlign w:val="baseline"/>
                <w:lang w:val="en-US" w:eastAsia="zh-CN"/>
              </w:rPr>
            </w:pPr>
            <w:r>
              <w:rPr>
                <w:rFonts w:hint="default"/>
                <w:color w:val="auto"/>
                <w:vertAlign w:val="baseline"/>
                <w:lang w:val="en-US" w:eastAsia="zh-CN"/>
              </w:rPr>
              <w:t>综上所述，本项目产生的固体废物经采取相关的措施处理处置后，可以得到及时、妥善的处理和处置，对周围环境的影响不大。</w:t>
            </w:r>
          </w:p>
          <w:p>
            <w:pPr>
              <w:rPr>
                <w:rFonts w:hint="default"/>
                <w:b/>
                <w:bCs/>
                <w:color w:val="auto"/>
                <w:vertAlign w:val="baseline"/>
                <w:lang w:val="en-US" w:eastAsia="zh-CN"/>
              </w:rPr>
            </w:pPr>
            <w:r>
              <w:rPr>
                <w:rFonts w:hint="eastAsia"/>
                <w:b/>
                <w:bCs/>
                <w:color w:val="auto"/>
                <w:vertAlign w:val="baseline"/>
                <w:lang w:val="en-US" w:eastAsia="zh-CN"/>
              </w:rPr>
              <w:t>5、</w:t>
            </w:r>
            <w:r>
              <w:rPr>
                <w:rFonts w:hint="default"/>
                <w:b/>
                <w:bCs/>
                <w:color w:val="auto"/>
                <w:vertAlign w:val="baseline"/>
                <w:lang w:val="en-US" w:eastAsia="zh-CN"/>
              </w:rPr>
              <w:t>地下水环境影响分析和保护措施</w:t>
            </w:r>
          </w:p>
          <w:p>
            <w:pPr>
              <w:ind w:firstLine="480" w:firstLineChars="200"/>
              <w:rPr>
                <w:rFonts w:hint="default"/>
                <w:color w:val="auto"/>
                <w:vertAlign w:val="baseline"/>
                <w:lang w:val="en-US" w:eastAsia="zh-CN"/>
              </w:rPr>
            </w:pPr>
            <w:r>
              <w:rPr>
                <w:rFonts w:hint="eastAsia"/>
                <w:color w:val="auto"/>
                <w:vertAlign w:val="baseline"/>
                <w:lang w:val="en-US" w:eastAsia="zh-CN"/>
              </w:rPr>
              <w:t>（1）</w:t>
            </w:r>
            <w:r>
              <w:rPr>
                <w:rFonts w:hint="default"/>
                <w:color w:val="auto"/>
                <w:vertAlign w:val="baseline"/>
                <w:lang w:val="en-US" w:eastAsia="zh-CN"/>
              </w:rPr>
              <w:t>污染源、污染物类型和污染途径</w:t>
            </w:r>
          </w:p>
          <w:p>
            <w:pPr>
              <w:ind w:firstLine="480" w:firstLineChars="200"/>
              <w:rPr>
                <w:rFonts w:hint="default"/>
                <w:color w:val="auto"/>
                <w:vertAlign w:val="baseline"/>
                <w:lang w:val="en-US" w:eastAsia="zh-CN"/>
              </w:rPr>
            </w:pPr>
            <w:r>
              <w:rPr>
                <w:rFonts w:hint="default"/>
                <w:color w:val="auto"/>
                <w:vertAlign w:val="baseline"/>
                <w:lang w:val="en-US" w:eastAsia="zh-CN"/>
              </w:rPr>
              <w:t>本项目地下水污染源包括汽油、柴油、输油管线、隔油池、化粪池、危废暂存</w:t>
            </w:r>
            <w:r>
              <w:rPr>
                <w:rFonts w:hint="eastAsia"/>
                <w:color w:val="auto"/>
                <w:vertAlign w:val="baseline"/>
                <w:lang w:val="en-US" w:eastAsia="zh-CN"/>
              </w:rPr>
              <w:t>箱</w:t>
            </w:r>
            <w:r>
              <w:rPr>
                <w:rFonts w:hint="default"/>
                <w:color w:val="auto"/>
                <w:vertAlign w:val="baseline"/>
                <w:lang w:val="en-US" w:eastAsia="zh-CN"/>
              </w:rPr>
              <w:t>以及污水管道等区域，主要污染物为石油类、COD，地下水污染源发生泄漏或渗漏后通过污染包气带导致潜水层受到污染，进一步通过隔水层污染承压含水层。项目可能影响地下水的主要途径是垂直入渗，具体方式为：通过泄漏或渗漏污染地下水，污染对象主要为浅部含水层，污染程度除受废水污染物化学成分、浓度及当地的降水、径流和入渗等条件影响外，还受地质结构、岩土成分、厚度、饱和和非饱和渗透性能以及对污染物的吸附滞留能力的影响。因此，项目运营期对地下水的影响主要体现在油品泄漏和废水泄漏，从而污染地下水。结合项目特点，本项目地下水污染防治分区，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13</w:t>
            </w:r>
            <w:r>
              <w:rPr>
                <w:rFonts w:hint="default"/>
                <w:color w:val="auto"/>
                <w:vertAlign w:val="baseline"/>
                <w:lang w:eastAsia="zh-CN"/>
              </w:rPr>
              <w:fldChar w:fldCharType="end"/>
            </w:r>
            <w:r>
              <w:rPr>
                <w:rFonts w:hint="default"/>
                <w:color w:val="auto"/>
                <w:vertAlign w:val="baseline"/>
                <w:lang w:val="en-US" w:eastAsia="zh-CN"/>
              </w:rPr>
              <w:t>。</w:t>
            </w:r>
          </w:p>
          <w:p>
            <w:pPr>
              <w:spacing w:line="240" w:lineRule="auto"/>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13</w:t>
            </w:r>
            <w:r>
              <w:rPr>
                <w:rFonts w:hint="default"/>
                <w:b/>
                <w:bCs/>
                <w:color w:val="auto"/>
                <w:vertAlign w:val="baseline"/>
                <w:lang w:eastAsia="zh-CN"/>
              </w:rPr>
              <w:fldChar w:fldCharType="end"/>
            </w:r>
            <w:r>
              <w:rPr>
                <w:rFonts w:hint="default"/>
                <w:b/>
                <w:bCs/>
                <w:color w:val="auto"/>
                <w:vertAlign w:val="baseline"/>
                <w:lang w:val="en-US" w:eastAsia="zh-CN"/>
              </w:rPr>
              <w:t xml:space="preserve"> </w:t>
            </w:r>
            <w:r>
              <w:rPr>
                <w:rFonts w:hint="eastAsia"/>
                <w:b/>
                <w:bCs/>
                <w:color w:val="auto"/>
                <w:vertAlign w:val="baseline"/>
                <w:lang w:val="en-US" w:eastAsia="zh-CN"/>
              </w:rPr>
              <w:t xml:space="preserve"> </w:t>
            </w:r>
            <w:r>
              <w:rPr>
                <w:rFonts w:hint="default"/>
                <w:b/>
                <w:bCs/>
                <w:color w:val="auto"/>
                <w:vertAlign w:val="baseline"/>
                <w:lang w:val="en-US" w:eastAsia="zh-CN"/>
              </w:rPr>
              <w:t>本项目地下水污染防治区分类表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1675"/>
              <w:gridCol w:w="1662"/>
              <w:gridCol w:w="1563"/>
              <w:gridCol w:w="1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序号</w:t>
                  </w:r>
                </w:p>
              </w:tc>
              <w:tc>
                <w:tcPr>
                  <w:tcW w:w="16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防治区分区</w:t>
                  </w:r>
                </w:p>
              </w:tc>
              <w:tc>
                <w:tcPr>
                  <w:tcW w:w="16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装置、单元名称</w:t>
                  </w:r>
                </w:p>
              </w:tc>
              <w:tc>
                <w:tcPr>
                  <w:tcW w:w="15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防渗区域</w:t>
                  </w:r>
                </w:p>
              </w:tc>
              <w:tc>
                <w:tcPr>
                  <w:tcW w:w="1834"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防渗要求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1</w:t>
                  </w:r>
                </w:p>
              </w:tc>
              <w:tc>
                <w:tcPr>
                  <w:tcW w:w="1675" w:type="dxa"/>
                  <w:vMerge w:val="restart"/>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重点防渗区</w:t>
                  </w:r>
                </w:p>
              </w:tc>
              <w:tc>
                <w:tcPr>
                  <w:tcW w:w="16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地下油罐、埋地加油管</w:t>
                  </w:r>
                </w:p>
              </w:tc>
              <w:tc>
                <w:tcPr>
                  <w:tcW w:w="15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油罐体、埋地加油管</w:t>
                  </w:r>
                </w:p>
              </w:tc>
              <w:tc>
                <w:tcPr>
                  <w:tcW w:w="1834" w:type="dxa"/>
                  <w:vMerge w:val="restart"/>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等效黏土防渗层Mb</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6</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0m，K</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1</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0</w:t>
                  </w:r>
                  <w:r>
                    <w:rPr>
                      <w:rFonts w:hint="default" w:eastAsia="宋体"/>
                      <w:color w:val="auto"/>
                      <w:sz w:val="21"/>
                      <w:szCs w:val="21"/>
                      <w:vertAlign w:val="baseline"/>
                      <w:lang w:val="en-US" w:eastAsia="zh-CN"/>
                    </w:rPr>
                    <w:t xml:space="preserve">× </w:t>
                  </w:r>
                  <w:r>
                    <w:rPr>
                      <w:rFonts w:hint="eastAsia" w:eastAsia="宋体"/>
                      <w:color w:val="auto"/>
                      <w:sz w:val="21"/>
                      <w:szCs w:val="21"/>
                      <w:vertAlign w:val="baseline"/>
                      <w:lang w:val="en-US" w:eastAsia="zh-CN"/>
                    </w:rPr>
                    <w:t>10</w:t>
                  </w:r>
                  <w:r>
                    <w:rPr>
                      <w:rFonts w:hint="default" w:eastAsia="宋体"/>
                      <w:color w:val="auto"/>
                      <w:sz w:val="21"/>
                      <w:szCs w:val="21"/>
                      <w:vertAlign w:val="superscript"/>
                      <w:lang w:val="en-US" w:eastAsia="zh-CN"/>
                    </w:rPr>
                    <w:t>-</w:t>
                  </w:r>
                  <w:r>
                    <w:rPr>
                      <w:rFonts w:hint="eastAsia" w:eastAsia="宋体"/>
                      <w:color w:val="auto"/>
                      <w:sz w:val="21"/>
                      <w:szCs w:val="21"/>
                      <w:vertAlign w:val="superscript"/>
                      <w:lang w:val="en-US" w:eastAsia="zh-CN"/>
                    </w:rPr>
                    <w:t>7</w:t>
                  </w:r>
                  <w:r>
                    <w:rPr>
                      <w:rFonts w:hint="default" w:eastAsia="宋体"/>
                      <w:color w:val="auto"/>
                      <w:sz w:val="21"/>
                      <w:szCs w:val="21"/>
                      <w:vertAlign w:val="baseline"/>
                      <w:lang w:val="en-US" w:eastAsia="zh-CN"/>
                    </w:rPr>
                    <w:t xml:space="preserve"> </w:t>
                  </w:r>
                  <w:r>
                    <w:rPr>
                      <w:rFonts w:hint="eastAsia" w:eastAsia="宋体"/>
                      <w:color w:val="auto"/>
                      <w:sz w:val="21"/>
                      <w:szCs w:val="21"/>
                      <w:vertAlign w:val="baseline"/>
                      <w:lang w:val="en-US" w:eastAsia="zh-CN"/>
                    </w:rPr>
                    <w:t>cm</w:t>
                  </w:r>
                  <w:r>
                    <w:rPr>
                      <w:rFonts w:hint="default"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s；或参照GB</w:t>
                  </w:r>
                  <w:r>
                    <w:rPr>
                      <w:rFonts w:hint="default" w:eastAsia="宋体"/>
                      <w:color w:val="auto"/>
                      <w:sz w:val="21"/>
                      <w:szCs w:val="21"/>
                      <w:vertAlign w:val="baseline"/>
                      <w:lang w:val="en-US" w:eastAsia="zh-CN"/>
                    </w:rPr>
                    <w:t xml:space="preserve"> </w:t>
                  </w:r>
                  <w:r>
                    <w:rPr>
                      <w:rFonts w:hint="eastAsia" w:eastAsia="宋体"/>
                      <w:color w:val="auto"/>
                      <w:sz w:val="21"/>
                      <w:szCs w:val="21"/>
                      <w:vertAlign w:val="baseline"/>
                      <w:lang w:val="en-US" w:eastAsia="zh-CN"/>
                    </w:rPr>
                    <w:t>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2</w:t>
                  </w:r>
                </w:p>
              </w:tc>
              <w:tc>
                <w:tcPr>
                  <w:tcW w:w="1675" w:type="dxa"/>
                  <w:vMerge w:val="continue"/>
                  <w:vAlign w:val="center"/>
                </w:tcPr>
                <w:p>
                  <w:pPr>
                    <w:spacing w:line="240" w:lineRule="auto"/>
                    <w:jc w:val="center"/>
                    <w:rPr>
                      <w:rFonts w:hint="default"/>
                      <w:color w:val="auto"/>
                      <w:sz w:val="21"/>
                      <w:szCs w:val="21"/>
                      <w:vertAlign w:val="baseline"/>
                      <w:lang w:val="en-US" w:eastAsia="zh-CN"/>
                    </w:rPr>
                  </w:pPr>
                </w:p>
              </w:tc>
              <w:tc>
                <w:tcPr>
                  <w:tcW w:w="16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隔油池</w:t>
                  </w:r>
                </w:p>
              </w:tc>
              <w:tc>
                <w:tcPr>
                  <w:tcW w:w="15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池壁和池底</w:t>
                  </w:r>
                </w:p>
              </w:tc>
              <w:tc>
                <w:tcPr>
                  <w:tcW w:w="1834"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109"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3</w:t>
                  </w:r>
                </w:p>
              </w:tc>
              <w:tc>
                <w:tcPr>
                  <w:tcW w:w="1675" w:type="dxa"/>
                  <w:vMerge w:val="continue"/>
                  <w:vAlign w:val="center"/>
                </w:tcPr>
                <w:p>
                  <w:pPr>
                    <w:spacing w:line="240" w:lineRule="auto"/>
                    <w:jc w:val="center"/>
                    <w:rPr>
                      <w:rFonts w:hint="default"/>
                      <w:color w:val="auto"/>
                      <w:sz w:val="21"/>
                      <w:szCs w:val="21"/>
                      <w:vertAlign w:val="baseline"/>
                      <w:lang w:val="en-US" w:eastAsia="zh-CN"/>
                    </w:rPr>
                  </w:pPr>
                </w:p>
              </w:tc>
              <w:tc>
                <w:tcPr>
                  <w:tcW w:w="166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加油区</w:t>
                  </w:r>
                </w:p>
              </w:tc>
              <w:tc>
                <w:tcPr>
                  <w:tcW w:w="1563"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地面</w:t>
                  </w:r>
                </w:p>
              </w:tc>
              <w:tc>
                <w:tcPr>
                  <w:tcW w:w="1834"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0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4</w:t>
                  </w:r>
                </w:p>
              </w:tc>
              <w:tc>
                <w:tcPr>
                  <w:tcW w:w="1675" w:type="dxa"/>
                  <w:vMerge w:val="restart"/>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一般防渗区</w:t>
                  </w:r>
                </w:p>
              </w:tc>
              <w:tc>
                <w:tcPr>
                  <w:tcW w:w="16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化粪池</w:t>
                  </w:r>
                </w:p>
              </w:tc>
              <w:tc>
                <w:tcPr>
                  <w:tcW w:w="15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池壁和池底</w:t>
                  </w:r>
                </w:p>
              </w:tc>
              <w:tc>
                <w:tcPr>
                  <w:tcW w:w="1834" w:type="dxa"/>
                  <w:vMerge w:val="restart"/>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等效黏土防渗层Mb</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1.5m，K</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1</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0</w:t>
                  </w:r>
                  <w:r>
                    <w:rPr>
                      <w:rFonts w:hint="default" w:eastAsia="宋体"/>
                      <w:color w:val="auto"/>
                      <w:sz w:val="21"/>
                      <w:szCs w:val="21"/>
                      <w:vertAlign w:val="baseline"/>
                      <w:lang w:val="en-US" w:eastAsia="zh-CN"/>
                    </w:rPr>
                    <w:t xml:space="preserve">× </w:t>
                  </w:r>
                  <w:r>
                    <w:rPr>
                      <w:rFonts w:hint="eastAsia" w:eastAsia="宋体"/>
                      <w:color w:val="auto"/>
                      <w:sz w:val="21"/>
                      <w:szCs w:val="21"/>
                      <w:vertAlign w:val="baseline"/>
                      <w:lang w:val="en-US" w:eastAsia="zh-CN"/>
                    </w:rPr>
                    <w:t>10</w:t>
                  </w:r>
                  <w:r>
                    <w:rPr>
                      <w:rFonts w:hint="default" w:eastAsia="宋体"/>
                      <w:color w:val="auto"/>
                      <w:sz w:val="21"/>
                      <w:szCs w:val="21"/>
                      <w:vertAlign w:val="superscript"/>
                      <w:lang w:val="en-US" w:eastAsia="zh-CN"/>
                    </w:rPr>
                    <w:t>-</w:t>
                  </w:r>
                  <w:r>
                    <w:rPr>
                      <w:rFonts w:hint="eastAsia" w:eastAsia="宋体"/>
                      <w:color w:val="auto"/>
                      <w:sz w:val="21"/>
                      <w:szCs w:val="21"/>
                      <w:vertAlign w:val="superscript"/>
                      <w:lang w:val="en-US" w:eastAsia="zh-CN"/>
                    </w:rPr>
                    <w:t>7</w:t>
                  </w:r>
                  <w:r>
                    <w:rPr>
                      <w:rFonts w:hint="default" w:eastAsia="宋体"/>
                      <w:color w:val="auto"/>
                      <w:sz w:val="21"/>
                      <w:szCs w:val="21"/>
                      <w:vertAlign w:val="baseline"/>
                      <w:lang w:val="en-US" w:eastAsia="zh-CN"/>
                    </w:rPr>
                    <w:t xml:space="preserve"> </w:t>
                  </w:r>
                  <w:r>
                    <w:rPr>
                      <w:rFonts w:hint="eastAsia" w:eastAsia="宋体"/>
                      <w:color w:val="auto"/>
                      <w:sz w:val="21"/>
                      <w:szCs w:val="21"/>
                      <w:vertAlign w:val="baseline"/>
                      <w:lang w:val="en-US" w:eastAsia="zh-CN"/>
                    </w:rPr>
                    <w:t>cm</w:t>
                  </w:r>
                  <w:r>
                    <w:rPr>
                      <w:rFonts w:hint="default"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s；或参照GB</w:t>
                  </w:r>
                  <w:r>
                    <w:rPr>
                      <w:rFonts w:hint="default" w:eastAsia="宋体"/>
                      <w:color w:val="auto"/>
                      <w:sz w:val="21"/>
                      <w:szCs w:val="21"/>
                      <w:vertAlign w:val="baseline"/>
                      <w:lang w:val="en-US" w:eastAsia="zh-CN"/>
                    </w:rPr>
                    <w:t xml:space="preserve"> </w:t>
                  </w:r>
                  <w:r>
                    <w:rPr>
                      <w:rFonts w:hint="eastAsia" w:eastAsia="宋体"/>
                      <w:color w:val="auto"/>
                      <w:sz w:val="21"/>
                      <w:szCs w:val="21"/>
                      <w:vertAlign w:val="baseline"/>
                      <w:lang w:val="en-US" w:eastAsia="zh-CN"/>
                    </w:rPr>
                    <w:t>16889执行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0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5</w:t>
                  </w:r>
                </w:p>
              </w:tc>
              <w:tc>
                <w:tcPr>
                  <w:tcW w:w="1675" w:type="dxa"/>
                  <w:vMerge w:val="continue"/>
                  <w:vAlign w:val="center"/>
                </w:tcPr>
                <w:p>
                  <w:pPr>
                    <w:spacing w:line="240" w:lineRule="auto"/>
                    <w:jc w:val="center"/>
                    <w:rPr>
                      <w:rFonts w:hint="default"/>
                      <w:color w:val="auto"/>
                      <w:sz w:val="21"/>
                      <w:szCs w:val="21"/>
                      <w:vertAlign w:val="baseline"/>
                      <w:lang w:val="en-US" w:eastAsia="zh-CN"/>
                    </w:rPr>
                  </w:pPr>
                </w:p>
              </w:tc>
              <w:tc>
                <w:tcPr>
                  <w:tcW w:w="1662"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洗车区</w:t>
                  </w:r>
                </w:p>
              </w:tc>
              <w:tc>
                <w:tcPr>
                  <w:tcW w:w="1563"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地面</w:t>
                  </w:r>
                </w:p>
              </w:tc>
              <w:tc>
                <w:tcPr>
                  <w:tcW w:w="1834"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109"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6</w:t>
                  </w:r>
                </w:p>
              </w:tc>
              <w:tc>
                <w:tcPr>
                  <w:tcW w:w="1675" w:type="dxa"/>
                  <w:vMerge w:val="continue"/>
                  <w:vAlign w:val="center"/>
                </w:tcPr>
                <w:p>
                  <w:pPr>
                    <w:spacing w:line="240" w:lineRule="auto"/>
                    <w:jc w:val="center"/>
                    <w:rPr>
                      <w:rFonts w:hint="default"/>
                      <w:color w:val="auto"/>
                      <w:sz w:val="21"/>
                      <w:szCs w:val="21"/>
                      <w:vertAlign w:val="baseline"/>
                      <w:lang w:val="en-US" w:eastAsia="zh-CN"/>
                    </w:rPr>
                  </w:pPr>
                </w:p>
              </w:tc>
              <w:tc>
                <w:tcPr>
                  <w:tcW w:w="1662"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充电区</w:t>
                  </w:r>
                </w:p>
              </w:tc>
              <w:tc>
                <w:tcPr>
                  <w:tcW w:w="1563"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地面</w:t>
                  </w:r>
                </w:p>
              </w:tc>
              <w:tc>
                <w:tcPr>
                  <w:tcW w:w="1834"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109" w:type="dxa"/>
                  <w:vMerge w:val="continue"/>
                  <w:vAlign w:val="center"/>
                </w:tcPr>
                <w:p>
                  <w:pPr>
                    <w:spacing w:line="240" w:lineRule="auto"/>
                    <w:jc w:val="center"/>
                  </w:pPr>
                </w:p>
              </w:tc>
              <w:tc>
                <w:tcPr>
                  <w:tcW w:w="1675" w:type="dxa"/>
                  <w:vMerge w:val="continue"/>
                  <w:vAlign w:val="center"/>
                </w:tcPr>
                <w:p>
                  <w:pPr>
                    <w:spacing w:line="240" w:lineRule="auto"/>
                    <w:jc w:val="center"/>
                  </w:pPr>
                </w:p>
              </w:tc>
              <w:tc>
                <w:tcPr>
                  <w:tcW w:w="1662" w:type="dxa"/>
                  <w:vAlign w:val="center"/>
                </w:tcPr>
                <w:p>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卸油区</w:t>
                  </w:r>
                </w:p>
              </w:tc>
              <w:tc>
                <w:tcPr>
                  <w:tcW w:w="1563" w:type="dxa"/>
                  <w:vAlign w:val="center"/>
                </w:tcPr>
                <w:p>
                  <w:pPr>
                    <w:spacing w:line="24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地面</w:t>
                  </w:r>
                </w:p>
              </w:tc>
              <w:tc>
                <w:tcPr>
                  <w:tcW w:w="1834" w:type="dxa"/>
                  <w:vMerge w:val="continue"/>
                  <w:vAlign w:val="center"/>
                </w:tcPr>
                <w:p>
                  <w:pPr>
                    <w:spacing w:line="240" w:lineRule="auto"/>
                    <w:jc w:val="center"/>
                    <w:rPr>
                      <w:rFonts w:hint="eastAsia" w:eastAsia="宋体"/>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0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7</w:t>
                  </w:r>
                </w:p>
              </w:tc>
              <w:tc>
                <w:tcPr>
                  <w:tcW w:w="1675" w:type="dxa"/>
                  <w:vMerge w:val="continue"/>
                  <w:vAlign w:val="center"/>
                </w:tcPr>
                <w:p>
                  <w:pPr>
                    <w:spacing w:line="240" w:lineRule="auto"/>
                    <w:jc w:val="center"/>
                    <w:rPr>
                      <w:rFonts w:hint="default"/>
                      <w:color w:val="auto"/>
                      <w:sz w:val="21"/>
                      <w:szCs w:val="21"/>
                      <w:vertAlign w:val="baseline"/>
                      <w:lang w:val="en-US" w:eastAsia="zh-CN"/>
                    </w:rPr>
                  </w:pPr>
                </w:p>
              </w:tc>
              <w:tc>
                <w:tcPr>
                  <w:tcW w:w="1662" w:type="dxa"/>
                  <w:vAlign w:val="center"/>
                </w:tcPr>
                <w:p>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排水沟</w:t>
                  </w:r>
                </w:p>
              </w:tc>
              <w:tc>
                <w:tcPr>
                  <w:tcW w:w="1563" w:type="dxa"/>
                  <w:vAlign w:val="center"/>
                </w:tcPr>
                <w:p>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沟壁和沟底</w:t>
                  </w:r>
                </w:p>
              </w:tc>
              <w:tc>
                <w:tcPr>
                  <w:tcW w:w="1834" w:type="dxa"/>
                  <w:vMerge w:val="continue"/>
                  <w:vAlign w:val="center"/>
                </w:tcPr>
                <w:p>
                  <w:pPr>
                    <w:spacing w:line="240" w:lineRule="auto"/>
                    <w:jc w:val="center"/>
                    <w:rPr>
                      <w:rFonts w:hint="default"/>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09"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8</w:t>
                  </w:r>
                </w:p>
              </w:tc>
              <w:tc>
                <w:tcPr>
                  <w:tcW w:w="16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简单防渗区</w:t>
                  </w:r>
                </w:p>
              </w:tc>
              <w:tc>
                <w:tcPr>
                  <w:tcW w:w="166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道路、站</w:t>
                  </w:r>
                  <w:r>
                    <w:rPr>
                      <w:rFonts w:hint="eastAsia" w:eastAsia="宋体"/>
                      <w:color w:val="auto"/>
                      <w:sz w:val="21"/>
                      <w:szCs w:val="21"/>
                      <w:vertAlign w:val="baseline"/>
                      <w:lang w:val="en-US" w:eastAsia="zh-CN"/>
                    </w:rPr>
                    <w:t>辅</w:t>
                  </w:r>
                  <w:r>
                    <w:rPr>
                      <w:rFonts w:hint="default" w:eastAsia="宋体"/>
                      <w:color w:val="auto"/>
                      <w:sz w:val="21"/>
                      <w:szCs w:val="21"/>
                      <w:vertAlign w:val="baseline"/>
                      <w:lang w:val="en-US" w:eastAsia="zh-CN"/>
                    </w:rPr>
                    <w:t>房</w:t>
                  </w:r>
                </w:p>
              </w:tc>
              <w:tc>
                <w:tcPr>
                  <w:tcW w:w="1563"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地面</w:t>
                  </w:r>
                </w:p>
              </w:tc>
              <w:tc>
                <w:tcPr>
                  <w:tcW w:w="1834"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一般地面硬化</w:t>
                  </w:r>
                </w:p>
              </w:tc>
            </w:tr>
          </w:tbl>
          <w:p>
            <w:pPr>
              <w:ind w:firstLine="480" w:firstLineChars="200"/>
              <w:rPr>
                <w:rFonts w:hint="default"/>
                <w:color w:val="auto"/>
                <w:vertAlign w:val="baseline"/>
                <w:lang w:val="en-US" w:eastAsia="zh-CN"/>
              </w:rPr>
            </w:pPr>
            <w:r>
              <w:rPr>
                <w:rFonts w:hint="default"/>
                <w:color w:val="auto"/>
                <w:vertAlign w:val="baseline"/>
                <w:lang w:val="en-US" w:eastAsia="zh-CN"/>
              </w:rPr>
              <w:t xml:space="preserve">为防止地下水污染，项目对可能造成渗漏的油罐、埋地加油管、隔油池等铺设或采用相应的防水材料，作好防渗漏处理，避免渗漏污染地下水。由于项目采用了双层罐和双层输油管道，可以有效防控油品泄漏，且储罐内设置了液位仪，可以及时发现储罐泄漏。只要建设单位对上述区域采取相应的防渗、防污、检漏措施后，项目污染物能得到有效处理，对区域地下水水质影响较小。 </w:t>
            </w:r>
          </w:p>
          <w:p>
            <w:pPr>
              <w:ind w:firstLine="480" w:firstLineChars="200"/>
              <w:rPr>
                <w:rFonts w:hint="default"/>
                <w:color w:val="auto"/>
                <w:vertAlign w:val="baseline"/>
                <w:lang w:val="en-US" w:eastAsia="zh-CN"/>
              </w:rPr>
            </w:pPr>
            <w:r>
              <w:rPr>
                <w:rFonts w:hint="eastAsia"/>
                <w:color w:val="auto"/>
                <w:vertAlign w:val="baseline"/>
                <w:lang w:val="en-US" w:eastAsia="zh-CN"/>
              </w:rPr>
              <w:t>（2）</w:t>
            </w:r>
            <w:r>
              <w:rPr>
                <w:rFonts w:hint="default"/>
                <w:color w:val="auto"/>
                <w:vertAlign w:val="baseline"/>
                <w:lang w:val="en-US" w:eastAsia="zh-CN"/>
              </w:rPr>
              <w:t xml:space="preserve">地下水污染防治措施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根据《中华人民共和国水污染防治法》相关规定，按“源头控制，分区防治，污染监控，应急响应”原则，确定本项目针对地下水保护措施和对策。 </w:t>
            </w:r>
          </w:p>
          <w:p>
            <w:pPr>
              <w:ind w:firstLine="480" w:firstLineChars="200"/>
              <w:rPr>
                <w:rFonts w:hint="default"/>
                <w:color w:val="auto"/>
                <w:vertAlign w:val="baseline"/>
                <w:lang w:val="en-US" w:eastAsia="zh-CN"/>
              </w:rPr>
            </w:pPr>
            <w:r>
              <w:rPr>
                <w:rFonts w:hint="default"/>
                <w:color w:val="auto"/>
                <w:vertAlign w:val="baseline"/>
                <w:lang w:val="en-US" w:eastAsia="zh-CN"/>
              </w:rPr>
              <w:t>A.源头控制：</w:t>
            </w:r>
          </w:p>
          <w:p>
            <w:pPr>
              <w:ind w:firstLine="480" w:firstLineChars="200"/>
              <w:rPr>
                <w:rFonts w:hint="default"/>
                <w:color w:val="auto"/>
                <w:vertAlign w:val="baseline"/>
                <w:lang w:val="en-US" w:eastAsia="zh-CN"/>
              </w:rPr>
            </w:pPr>
            <w:r>
              <w:rPr>
                <w:rFonts w:hint="default"/>
                <w:color w:val="auto"/>
                <w:vertAlign w:val="baseline"/>
                <w:lang w:val="en-US" w:eastAsia="zh-CN"/>
              </w:rPr>
              <w:t>根据《石油化工工程防渗技术规范》(GB</w:t>
            </w:r>
            <w:r>
              <w:rPr>
                <w:rFonts w:hint="default" w:ascii="Calibri" w:hAnsi="Calibri" w:cs="Calibri"/>
                <w:color w:val="auto"/>
                <w:vertAlign w:val="baseline"/>
                <w:lang w:val="en-US" w:eastAsia="zh-CN"/>
              </w:rPr>
              <w:t>/</w:t>
            </w:r>
            <w:r>
              <w:rPr>
                <w:rFonts w:hint="default"/>
                <w:color w:val="auto"/>
                <w:vertAlign w:val="baseline"/>
                <w:lang w:val="en-US" w:eastAsia="zh-CN"/>
              </w:rPr>
              <w:t>T50934-2013)及《加油站渗、泄漏污染控制标准》、《加油站地下水污染防治技术指南(试行)》等严格进行防渗、防泄漏设计与施工，主要包括在工艺、管道、设备等采取相应措施，防止和降低污染物跑、冒、滴、漏，将污染物泄露的环境风险事故降到最低程度。</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B.分区防治：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针对不同防渗分区的污染防治要求，应有针对性的采取不同的防渗措施。 </w:t>
            </w:r>
          </w:p>
          <w:p>
            <w:pPr>
              <w:bidi w:val="0"/>
              <w:ind w:firstLine="480" w:firstLineChars="200"/>
              <w:rPr>
                <w:rFonts w:hint="default"/>
                <w:lang w:val="en-US" w:eastAsia="zh-CN"/>
              </w:rPr>
            </w:pPr>
            <w:r>
              <w:rPr>
                <w:rFonts w:hint="default"/>
                <w:lang w:val="en-US" w:eastAsia="zh-CN"/>
              </w:rPr>
              <w:t xml:space="preserve">①重点防渗区 </w:t>
            </w:r>
          </w:p>
          <w:p>
            <w:pPr>
              <w:ind w:firstLine="480" w:firstLineChars="200"/>
              <w:rPr>
                <w:rFonts w:hint="default"/>
                <w:color w:val="auto"/>
                <w:vertAlign w:val="baseline"/>
                <w:lang w:val="en-US" w:eastAsia="zh-CN"/>
              </w:rPr>
            </w:pPr>
            <w:r>
              <w:rPr>
                <w:rFonts w:hint="default"/>
                <w:color w:val="auto"/>
                <w:vertAlign w:val="baseline"/>
                <w:lang w:val="en-US" w:eastAsia="zh-CN"/>
              </w:rPr>
              <w:t>本项目重点防渗区主要包括：地下油罐、埋地加油管、隔油池</w:t>
            </w:r>
            <w:r>
              <w:rPr>
                <w:rFonts w:hint="eastAsia"/>
                <w:color w:val="auto"/>
                <w:vertAlign w:val="baseline"/>
                <w:lang w:val="en-US" w:eastAsia="zh-CN"/>
              </w:rPr>
              <w:t>和加油区</w:t>
            </w:r>
            <w:r>
              <w:rPr>
                <w:rFonts w:hint="default"/>
                <w:color w:val="auto"/>
                <w:vertAlign w:val="baseline"/>
                <w:lang w:val="en-US" w:eastAsia="zh-CN"/>
              </w:rPr>
              <w:t>等。</w:t>
            </w:r>
          </w:p>
          <w:p>
            <w:pPr>
              <w:ind w:firstLine="480" w:firstLineChars="200"/>
              <w:rPr>
                <w:rFonts w:hint="default"/>
                <w:color w:val="auto"/>
                <w:vertAlign w:val="baseline"/>
                <w:lang w:val="en-US" w:eastAsia="zh-CN"/>
              </w:rPr>
            </w:pPr>
            <w:r>
              <w:rPr>
                <w:rFonts w:hint="default"/>
                <w:color w:val="auto"/>
                <w:vertAlign w:val="baseline"/>
                <w:lang w:val="en-US" w:eastAsia="zh-CN"/>
              </w:rPr>
              <w:t>防渗要求：根据《环境影响评价技术导则地下水环境》(HJ610-2016)表7，“重点防渗区”的防渗技术要满足以下要求：等效黏土防渗层Mb≥6.0m，K≤1×10</w:t>
            </w:r>
            <w:r>
              <w:rPr>
                <w:rFonts w:hint="default"/>
                <w:color w:val="auto"/>
                <w:vertAlign w:val="superscript"/>
                <w:lang w:val="en-US" w:eastAsia="zh-CN"/>
              </w:rPr>
              <w:t>-7</w:t>
            </w:r>
            <w:r>
              <w:rPr>
                <w:rFonts w:hint="default"/>
                <w:color w:val="auto"/>
                <w:vertAlign w:val="baseline"/>
                <w:lang w:val="en-US" w:eastAsia="zh-CN"/>
              </w:rPr>
              <w:t>cm</w:t>
            </w:r>
            <w:r>
              <w:rPr>
                <w:rFonts w:hint="default" w:ascii="Calibri" w:hAnsi="Calibri" w:cs="Calibri"/>
                <w:color w:val="auto"/>
                <w:vertAlign w:val="baseline"/>
                <w:lang w:val="en-US" w:eastAsia="zh-CN"/>
              </w:rPr>
              <w:t>/</w:t>
            </w:r>
            <w:r>
              <w:rPr>
                <w:rFonts w:hint="default"/>
                <w:color w:val="auto"/>
                <w:vertAlign w:val="baseline"/>
                <w:lang w:val="en-US" w:eastAsia="zh-CN"/>
              </w:rPr>
              <w:t xml:space="preserve">s；或参照GB18598执行。 </w:t>
            </w:r>
          </w:p>
          <w:p>
            <w:pPr>
              <w:ind w:firstLine="480" w:firstLineChars="200"/>
              <w:rPr>
                <w:rFonts w:hint="default"/>
                <w:color w:val="auto"/>
                <w:vertAlign w:val="baseline"/>
                <w:lang w:val="en-US" w:eastAsia="zh-CN"/>
              </w:rPr>
            </w:pPr>
            <w:r>
              <w:rPr>
                <w:rFonts w:hint="default"/>
                <w:color w:val="auto"/>
                <w:vertAlign w:val="baseline"/>
                <w:lang w:val="en-US" w:eastAsia="zh-CN"/>
              </w:rPr>
              <w:t>防渗措施：</w:t>
            </w:r>
            <w:r>
              <w:rPr>
                <w:rFonts w:hint="eastAsia"/>
                <w:color w:val="auto"/>
                <w:vertAlign w:val="baseline"/>
                <w:lang w:val="en-US" w:eastAsia="zh-CN"/>
              </w:rPr>
              <w:t>本</w:t>
            </w:r>
            <w:r>
              <w:rPr>
                <w:rFonts w:hint="default"/>
                <w:color w:val="auto"/>
                <w:vertAlign w:val="baseline"/>
                <w:lang w:val="en-US" w:eastAsia="zh-CN"/>
              </w:rPr>
              <w:t>项目埋地油罐采用</w:t>
            </w:r>
            <w:r>
              <w:rPr>
                <w:rFonts w:hint="eastAsia"/>
                <w:color w:val="auto"/>
                <w:vertAlign w:val="baseline"/>
                <w:lang w:val="en-US" w:eastAsia="zh-CN"/>
              </w:rPr>
              <w:t>SF</w:t>
            </w:r>
            <w:r>
              <w:rPr>
                <w:rFonts w:hint="default"/>
                <w:color w:val="auto"/>
                <w:vertAlign w:val="baseline"/>
                <w:lang w:val="en-US" w:eastAsia="zh-CN"/>
              </w:rPr>
              <w:t>埋地储油罐，内层罐是由钢制成，外层罐由玻璃钢制成起到防腐的作用，中间有间隙层，间隙层设有泄漏报警仪</w:t>
            </w:r>
            <w:r>
              <w:rPr>
                <w:rFonts w:hint="eastAsia"/>
                <w:color w:val="auto"/>
                <w:vertAlign w:val="baseline"/>
                <w:lang w:val="en-US" w:eastAsia="zh-CN"/>
              </w:rPr>
              <w:t>，</w:t>
            </w:r>
            <w:r>
              <w:rPr>
                <w:rFonts w:hint="default"/>
                <w:color w:val="auto"/>
                <w:vertAlign w:val="baseline"/>
                <w:lang w:val="en-US" w:eastAsia="zh-CN"/>
              </w:rPr>
              <w:t>在钢罐泄漏的时候，会漏到中间层，不会污染环境；</w:t>
            </w:r>
            <w:r>
              <w:rPr>
                <w:rFonts w:hint="eastAsia"/>
                <w:color w:val="auto"/>
                <w:vertAlign w:val="baseline"/>
                <w:lang w:val="en-US" w:eastAsia="zh-CN"/>
              </w:rPr>
              <w:t>本</w:t>
            </w:r>
            <w:r>
              <w:rPr>
                <w:rFonts w:hint="default"/>
                <w:color w:val="auto"/>
                <w:vertAlign w:val="baseline"/>
                <w:lang w:val="en-US" w:eastAsia="zh-CN"/>
              </w:rPr>
              <w:t>项目卸油、油气回收及通气管道均采用20#无缝钢管，出油管道采用双层导静电热缩性塑料管</w:t>
            </w:r>
            <w:r>
              <w:rPr>
                <w:rFonts w:hint="eastAsia"/>
                <w:color w:val="auto"/>
                <w:vertAlign w:val="baseline"/>
                <w:lang w:val="en-US" w:eastAsia="zh-CN"/>
              </w:rPr>
              <w:t>，埋地钢管作加强级防腐处理</w:t>
            </w:r>
            <w:r>
              <w:rPr>
                <w:rFonts w:hint="default"/>
                <w:color w:val="auto"/>
                <w:vertAlign w:val="baseline"/>
                <w:lang w:val="en-US" w:eastAsia="zh-CN"/>
              </w:rPr>
              <w:t>；</w:t>
            </w:r>
            <w:r>
              <w:rPr>
                <w:rFonts w:hint="eastAsia"/>
                <w:color w:val="auto"/>
                <w:vertAlign w:val="baseline"/>
                <w:lang w:val="en-US" w:eastAsia="zh-CN"/>
              </w:rPr>
              <w:t>本</w:t>
            </w:r>
            <w:r>
              <w:rPr>
                <w:rFonts w:hint="default"/>
                <w:color w:val="auto"/>
                <w:vertAlign w:val="baseline"/>
                <w:lang w:val="en-US" w:eastAsia="zh-CN"/>
              </w:rPr>
              <w:t>项目隔油池采用抗渗钢筋混凝土整体浇筑</w:t>
            </w:r>
            <w:r>
              <w:rPr>
                <w:rFonts w:hint="eastAsia"/>
                <w:color w:val="auto"/>
                <w:vertAlign w:val="baseline"/>
                <w:lang w:val="en-US" w:eastAsia="zh-CN"/>
              </w:rPr>
              <w:t>；本项目加油区地面采用</w:t>
            </w:r>
            <w:r>
              <w:rPr>
                <w:rFonts w:hint="default"/>
                <w:color w:val="auto"/>
                <w:vertAlign w:val="baseline"/>
                <w:lang w:val="en-US" w:eastAsia="zh-CN"/>
              </w:rPr>
              <w:t>抗渗钢筋</w:t>
            </w:r>
            <w:r>
              <w:rPr>
                <w:rFonts w:hint="eastAsia"/>
                <w:color w:val="auto"/>
                <w:vertAlign w:val="baseline"/>
                <w:lang w:val="en-US" w:eastAsia="zh-CN"/>
              </w:rPr>
              <w:t>混凝土地面硬化防渗措施</w:t>
            </w:r>
            <w:r>
              <w:rPr>
                <w:rFonts w:hint="default"/>
                <w:color w:val="auto"/>
                <w:vertAlign w:val="baseline"/>
                <w:lang w:val="en-US" w:eastAsia="zh-CN"/>
              </w:rPr>
              <w:t xml:space="preserve">。以上措施可以满足重点防渗区要求。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②一般防渗区 </w:t>
            </w:r>
          </w:p>
          <w:p>
            <w:pPr>
              <w:ind w:firstLine="480" w:firstLineChars="200"/>
              <w:rPr>
                <w:rFonts w:hint="default"/>
                <w:color w:val="auto"/>
                <w:vertAlign w:val="baseline"/>
                <w:lang w:val="en-US" w:eastAsia="zh-CN"/>
              </w:rPr>
            </w:pPr>
            <w:r>
              <w:rPr>
                <w:rFonts w:hint="default"/>
                <w:color w:val="auto"/>
                <w:vertAlign w:val="baseline"/>
                <w:lang w:val="en-US" w:eastAsia="zh-CN"/>
              </w:rPr>
              <w:t>本项目一般防渗区主要为化粪池、洗车区</w:t>
            </w:r>
            <w:r>
              <w:rPr>
                <w:rFonts w:hint="eastAsia"/>
                <w:color w:val="auto"/>
                <w:vertAlign w:val="baseline"/>
                <w:lang w:val="en-US" w:eastAsia="zh-CN"/>
              </w:rPr>
              <w:t>、</w:t>
            </w:r>
            <w:r>
              <w:rPr>
                <w:rFonts w:hint="default"/>
                <w:color w:val="auto"/>
                <w:vertAlign w:val="baseline"/>
                <w:lang w:val="en-US" w:eastAsia="zh-CN"/>
              </w:rPr>
              <w:t>充电区</w:t>
            </w:r>
            <w:r>
              <w:rPr>
                <w:rFonts w:hint="eastAsia"/>
                <w:color w:val="auto"/>
                <w:vertAlign w:val="baseline"/>
                <w:lang w:val="en-US" w:eastAsia="zh-CN"/>
              </w:rPr>
              <w:t>、卸油区和排水沟等</w:t>
            </w:r>
            <w:r>
              <w:rPr>
                <w:rFonts w:hint="default"/>
                <w:color w:val="auto"/>
                <w:vertAlign w:val="baseline"/>
                <w:lang w:val="en-US" w:eastAsia="zh-CN"/>
              </w:rPr>
              <w:t xml:space="preserve">。 </w:t>
            </w:r>
          </w:p>
          <w:p>
            <w:pPr>
              <w:ind w:firstLine="480" w:firstLineChars="200"/>
              <w:rPr>
                <w:rFonts w:hint="default"/>
                <w:color w:val="auto"/>
                <w:vertAlign w:val="baseline"/>
                <w:lang w:val="en-US" w:eastAsia="zh-CN"/>
              </w:rPr>
            </w:pPr>
            <w:r>
              <w:rPr>
                <w:rFonts w:hint="default"/>
                <w:color w:val="auto"/>
                <w:vertAlign w:val="baseline"/>
                <w:lang w:val="en-US" w:eastAsia="zh-CN"/>
              </w:rPr>
              <w:t>防渗要求：根据《环境影响评价技术导则地下水环境》(HJ610-2016)表7，“一般防渗区”的防渗技术要满足以下要求：等效黏土防渗层 Mb≥1.5m，K≤1×10</w:t>
            </w:r>
            <w:r>
              <w:rPr>
                <w:rFonts w:hint="default"/>
                <w:color w:val="auto"/>
                <w:vertAlign w:val="superscript"/>
                <w:lang w:val="en-US" w:eastAsia="zh-CN"/>
              </w:rPr>
              <w:t>-7</w:t>
            </w:r>
            <w:r>
              <w:rPr>
                <w:rFonts w:hint="default"/>
                <w:color w:val="auto"/>
                <w:vertAlign w:val="baseline"/>
                <w:lang w:val="en-US" w:eastAsia="zh-CN"/>
              </w:rPr>
              <w:t>cm</w:t>
            </w:r>
            <w:r>
              <w:rPr>
                <w:rFonts w:hint="default" w:ascii="Calibri" w:hAnsi="Calibri" w:cs="Calibri"/>
                <w:color w:val="auto"/>
                <w:vertAlign w:val="baseline"/>
                <w:lang w:val="en-US" w:eastAsia="zh-CN"/>
              </w:rPr>
              <w:t>/</w:t>
            </w:r>
            <w:r>
              <w:rPr>
                <w:rFonts w:hint="default"/>
                <w:color w:val="auto"/>
                <w:vertAlign w:val="baseline"/>
                <w:lang w:val="en-US" w:eastAsia="zh-CN"/>
              </w:rPr>
              <w:t>s；或参照GB18598执行。</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 防渗措施：</w:t>
            </w:r>
            <w:r>
              <w:rPr>
                <w:rFonts w:hint="eastAsia"/>
                <w:color w:val="auto"/>
                <w:vertAlign w:val="baseline"/>
                <w:lang w:val="en-US" w:eastAsia="zh-CN"/>
              </w:rPr>
              <w:t>本</w:t>
            </w:r>
            <w:r>
              <w:rPr>
                <w:rFonts w:hint="default"/>
                <w:color w:val="auto"/>
                <w:vertAlign w:val="baseline"/>
                <w:lang w:val="en-US" w:eastAsia="zh-CN"/>
              </w:rPr>
              <w:t>项目洗车区、充电区</w:t>
            </w:r>
            <w:r>
              <w:rPr>
                <w:rFonts w:hint="eastAsia"/>
                <w:color w:val="auto"/>
                <w:vertAlign w:val="baseline"/>
                <w:lang w:val="en-US" w:eastAsia="zh-CN"/>
              </w:rPr>
              <w:t>和</w:t>
            </w:r>
            <w:r>
              <w:rPr>
                <w:rFonts w:hint="default"/>
                <w:color w:val="auto"/>
                <w:vertAlign w:val="baseline"/>
                <w:lang w:val="en-US" w:eastAsia="zh-CN"/>
              </w:rPr>
              <w:t>卸油区地面采用抗渗混凝土地面硬化防渗措施。化粪池</w:t>
            </w:r>
            <w:r>
              <w:rPr>
                <w:rFonts w:hint="eastAsia"/>
                <w:color w:val="auto"/>
                <w:vertAlign w:val="baseline"/>
                <w:lang w:val="en-US" w:eastAsia="zh-CN"/>
              </w:rPr>
              <w:t>、排水沟</w:t>
            </w:r>
            <w:r>
              <w:rPr>
                <w:rFonts w:hint="default"/>
                <w:color w:val="auto"/>
                <w:vertAlign w:val="baseline"/>
                <w:lang w:val="en-US" w:eastAsia="zh-CN"/>
              </w:rPr>
              <w:t xml:space="preserve">采用抗渗钢筋混凝土整体浇筑。以上措施可以满足一般防渗区要求。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③简单防渗区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除重点防渗区和一般防渗区、绿化区域以外的区域，项目采用一般地面硬化措施。 </w:t>
            </w:r>
          </w:p>
          <w:p>
            <w:pPr>
              <w:numPr>
                <w:ilvl w:val="0"/>
                <w:numId w:val="0"/>
              </w:numPr>
              <w:ind w:leftChars="200"/>
              <w:rPr>
                <w:rFonts w:hint="eastAsia"/>
                <w:color w:val="auto"/>
                <w:vertAlign w:val="baseline"/>
                <w:lang w:val="en-US" w:eastAsia="zh-CN"/>
              </w:rPr>
            </w:pPr>
            <w:r>
              <w:rPr>
                <w:rFonts w:hint="eastAsia"/>
                <w:color w:val="auto"/>
                <w:vertAlign w:val="baseline"/>
                <w:lang w:val="en-US" w:eastAsia="zh-CN"/>
              </w:rPr>
              <w:t>（3）跟踪监测措施</w:t>
            </w:r>
          </w:p>
          <w:p>
            <w:pPr>
              <w:numPr>
                <w:ilvl w:val="0"/>
                <w:numId w:val="0"/>
              </w:numPr>
              <w:ind w:firstLine="480" w:firstLineChars="200"/>
              <w:rPr>
                <w:rFonts w:hint="default"/>
                <w:color w:val="auto"/>
                <w:vertAlign w:val="baseline"/>
                <w:lang w:val="en-US" w:eastAsia="zh-CN"/>
              </w:rPr>
            </w:pPr>
            <w:r>
              <w:rPr>
                <w:rFonts w:hint="default"/>
                <w:color w:val="auto"/>
                <w:vertAlign w:val="baseline"/>
                <w:lang w:val="en-US" w:eastAsia="zh-CN"/>
              </w:rPr>
              <w:t>根据《加油站地下水污染防治技术指南（试行）》中要求，为了有效监控建设项目对地下水的影响，评价要求在埋</w:t>
            </w:r>
            <w:r>
              <w:rPr>
                <w:rFonts w:hint="eastAsia"/>
                <w:color w:val="auto"/>
                <w:vertAlign w:val="baseline"/>
                <w:lang w:val="en-US" w:eastAsia="zh-CN"/>
              </w:rPr>
              <w:t>地</w:t>
            </w:r>
            <w:r>
              <w:rPr>
                <w:rFonts w:hint="default"/>
                <w:color w:val="auto"/>
                <w:vertAlign w:val="baseline"/>
                <w:lang w:val="en-US" w:eastAsia="zh-CN"/>
              </w:rPr>
              <w:t>油罐区地下水流方向的下游，设置一口地下水监控井。项目所在地地下水流方向为由西</w:t>
            </w:r>
            <w:r>
              <w:rPr>
                <w:rFonts w:hint="eastAsia"/>
                <w:color w:val="auto"/>
                <w:vertAlign w:val="baseline"/>
                <w:lang w:val="en-US" w:eastAsia="zh-CN"/>
              </w:rPr>
              <w:t>南</w:t>
            </w:r>
            <w:r>
              <w:rPr>
                <w:rFonts w:hint="default"/>
                <w:color w:val="auto"/>
                <w:vertAlign w:val="baseline"/>
                <w:lang w:val="en-US" w:eastAsia="zh-CN"/>
              </w:rPr>
              <w:t>向东</w:t>
            </w:r>
            <w:r>
              <w:rPr>
                <w:rFonts w:hint="eastAsia"/>
                <w:color w:val="auto"/>
                <w:vertAlign w:val="baseline"/>
                <w:lang w:val="en-US" w:eastAsia="zh-CN"/>
              </w:rPr>
              <w:t>北</w:t>
            </w:r>
            <w:r>
              <w:rPr>
                <w:rFonts w:hint="default"/>
                <w:color w:val="auto"/>
                <w:vertAlign w:val="baseline"/>
                <w:lang w:val="en-US" w:eastAsia="zh-CN"/>
              </w:rPr>
              <w:t>，故本环评要求在本项目埋</w:t>
            </w:r>
            <w:r>
              <w:rPr>
                <w:rFonts w:hint="eastAsia"/>
                <w:color w:val="auto"/>
                <w:vertAlign w:val="baseline"/>
                <w:lang w:val="en-US" w:eastAsia="zh-CN"/>
              </w:rPr>
              <w:t>地</w:t>
            </w:r>
            <w:r>
              <w:rPr>
                <w:rFonts w:hint="default"/>
                <w:color w:val="auto"/>
                <w:vertAlign w:val="baseline"/>
                <w:lang w:val="en-US" w:eastAsia="zh-CN"/>
              </w:rPr>
              <w:t>油罐的东</w:t>
            </w:r>
            <w:r>
              <w:rPr>
                <w:rFonts w:hint="eastAsia"/>
                <w:color w:val="auto"/>
                <w:vertAlign w:val="baseline"/>
                <w:lang w:val="en-US" w:eastAsia="zh-CN"/>
              </w:rPr>
              <w:t>北</w:t>
            </w:r>
            <w:r>
              <w:rPr>
                <w:rFonts w:hint="default"/>
                <w:color w:val="auto"/>
                <w:vertAlign w:val="baseline"/>
                <w:lang w:val="en-US" w:eastAsia="zh-CN"/>
              </w:rPr>
              <w:t>侧设置地下水监控井，定期对项目地下水监控，每季度委托有资质环境监测公司开展地下水监测1次，</w:t>
            </w:r>
            <w:r>
              <w:rPr>
                <w:rFonts w:hint="eastAsia"/>
                <w:color w:val="auto"/>
                <w:vertAlign w:val="baseline"/>
                <w:lang w:val="en-US" w:eastAsia="zh-CN"/>
              </w:rPr>
              <w:t>具体</w:t>
            </w:r>
            <w:r>
              <w:rPr>
                <w:rFonts w:hint="default"/>
                <w:color w:val="auto"/>
                <w:vertAlign w:val="baseline"/>
                <w:lang w:val="en-US" w:eastAsia="zh-CN"/>
              </w:rPr>
              <w:t>跟踪监测计划见表4-</w:t>
            </w:r>
            <w:r>
              <w:rPr>
                <w:rFonts w:hint="default"/>
                <w:color w:val="auto"/>
                <w:vertAlign w:val="baseline"/>
                <w:lang w:eastAsia="zh-CN"/>
              </w:rPr>
              <w:fldChar w:fldCharType="begin"/>
            </w:r>
            <w:r>
              <w:rPr>
                <w:rFonts w:hint="default"/>
                <w:color w:val="auto"/>
                <w:vertAlign w:val="baseline"/>
                <w:lang w:eastAsia="zh-CN"/>
              </w:rPr>
              <w:instrText xml:space="preserve"> SEQ 4- \* MERGEFORMAT </w:instrText>
            </w:r>
            <w:r>
              <w:rPr>
                <w:rFonts w:hint="default"/>
                <w:color w:val="auto"/>
                <w:vertAlign w:val="baseline"/>
                <w:lang w:eastAsia="zh-CN"/>
              </w:rPr>
              <w:fldChar w:fldCharType="separate"/>
            </w:r>
            <w:r>
              <w:rPr>
                <w:rFonts w:hint="default"/>
                <w:color w:val="auto"/>
                <w:vertAlign w:val="baseline"/>
                <w:lang w:eastAsia="zh-CN"/>
              </w:rPr>
              <w:t>14</w:t>
            </w:r>
            <w:r>
              <w:rPr>
                <w:rFonts w:hint="default"/>
                <w:color w:val="auto"/>
                <w:vertAlign w:val="baseline"/>
                <w:lang w:eastAsia="zh-CN"/>
              </w:rPr>
              <w:fldChar w:fldCharType="end"/>
            </w:r>
            <w:r>
              <w:rPr>
                <w:rFonts w:hint="default"/>
                <w:color w:val="auto"/>
                <w:vertAlign w:val="baseline"/>
                <w:lang w:val="en-US" w:eastAsia="zh-CN"/>
              </w:rPr>
              <w:t>。</w:t>
            </w:r>
          </w:p>
          <w:p>
            <w:pPr>
              <w:pStyle w:val="10"/>
              <w:bidi w:val="0"/>
              <w:rPr>
                <w:rFonts w:hint="default"/>
                <w:color w:val="auto"/>
                <w:lang w:val="en-US" w:eastAsia="zh-CN"/>
              </w:rPr>
            </w:pPr>
            <w:r>
              <w:rPr>
                <w:rFonts w:hint="default"/>
                <w:color w:val="auto"/>
                <w:lang w:val="en-US" w:eastAsia="zh-CN"/>
              </w:rPr>
              <w:t>表4-</w:t>
            </w:r>
            <w:r>
              <w:rPr>
                <w:rFonts w:hint="default"/>
                <w:color w:val="auto"/>
                <w:lang w:eastAsia="zh-CN"/>
              </w:rPr>
              <w:fldChar w:fldCharType="begin"/>
            </w:r>
            <w:r>
              <w:rPr>
                <w:rFonts w:hint="default"/>
                <w:color w:val="auto"/>
                <w:lang w:eastAsia="zh-CN"/>
              </w:rPr>
              <w:instrText xml:space="preserve"> SEQ 表4- \* MERGEFORMAT </w:instrText>
            </w:r>
            <w:r>
              <w:rPr>
                <w:rFonts w:hint="default"/>
                <w:color w:val="auto"/>
                <w:lang w:eastAsia="zh-CN"/>
              </w:rPr>
              <w:fldChar w:fldCharType="separate"/>
            </w:r>
            <w:r>
              <w:rPr>
                <w:rFonts w:hint="default"/>
                <w:color w:val="auto"/>
                <w:lang w:eastAsia="zh-CN"/>
              </w:rPr>
              <w:t>14</w:t>
            </w:r>
            <w:r>
              <w:rPr>
                <w:rFonts w:hint="default"/>
                <w:color w:val="auto"/>
                <w:lang w:eastAsia="zh-CN"/>
              </w:rPr>
              <w:fldChar w:fldCharType="end"/>
            </w:r>
            <w:r>
              <w:rPr>
                <w:rFonts w:hint="eastAsia"/>
                <w:color w:val="auto"/>
                <w:lang w:val="en-US" w:eastAsia="zh-CN"/>
              </w:rPr>
              <w:t xml:space="preserve">  </w:t>
            </w:r>
            <w:r>
              <w:rPr>
                <w:rFonts w:hint="default"/>
                <w:color w:val="auto"/>
                <w:lang w:val="en-US" w:eastAsia="zh-CN"/>
              </w:rPr>
              <w:t>地下水跟踪监测计划表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2242"/>
              <w:gridCol w:w="1180"/>
              <w:gridCol w:w="674"/>
              <w:gridCol w:w="691"/>
              <w:gridCol w:w="2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监测对象</w:t>
                  </w:r>
                </w:p>
              </w:tc>
              <w:tc>
                <w:tcPr>
                  <w:tcW w:w="2242"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监测项目</w:t>
                  </w:r>
                </w:p>
              </w:tc>
              <w:tc>
                <w:tcPr>
                  <w:tcW w:w="1180"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监测点</w:t>
                  </w:r>
                </w:p>
              </w:tc>
              <w:tc>
                <w:tcPr>
                  <w:tcW w:w="674"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监测点数</w:t>
                  </w:r>
                </w:p>
              </w:tc>
              <w:tc>
                <w:tcPr>
                  <w:tcW w:w="691"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监测频率</w:t>
                  </w:r>
                </w:p>
              </w:tc>
              <w:tc>
                <w:tcPr>
                  <w:tcW w:w="2353"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地下水</w:t>
                  </w:r>
                </w:p>
              </w:tc>
              <w:tc>
                <w:tcPr>
                  <w:tcW w:w="2242"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萘、苯、甲苯、乙苯、间（对）二甲苯系物、甲基叔丁基醚、石油类</w:t>
                  </w:r>
                </w:p>
              </w:tc>
              <w:tc>
                <w:tcPr>
                  <w:tcW w:w="1180"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项目油罐区东</w:t>
                  </w:r>
                  <w:r>
                    <w:rPr>
                      <w:rFonts w:hint="eastAsia"/>
                      <w:color w:val="auto"/>
                      <w:vertAlign w:val="baseline"/>
                      <w:lang w:val="en-US" w:eastAsia="zh-CN"/>
                    </w:rPr>
                    <w:t>北</w:t>
                  </w:r>
                  <w:r>
                    <w:rPr>
                      <w:rFonts w:hint="default"/>
                      <w:color w:val="auto"/>
                      <w:vertAlign w:val="baseline"/>
                      <w:lang w:val="en-US" w:eastAsia="zh-CN"/>
                    </w:rPr>
                    <w:t>侧监控井</w:t>
                  </w:r>
                </w:p>
              </w:tc>
              <w:tc>
                <w:tcPr>
                  <w:tcW w:w="674" w:type="dxa"/>
                  <w:vAlign w:val="center"/>
                </w:tcPr>
                <w:p>
                  <w:pPr>
                    <w:pStyle w:val="9"/>
                    <w:widowControl w:val="0"/>
                    <w:jc w:val="center"/>
                    <w:rPr>
                      <w:rFonts w:hint="default"/>
                      <w:color w:val="auto"/>
                      <w:vertAlign w:val="baseline"/>
                      <w:lang w:val="en-US" w:eastAsia="zh-CN"/>
                    </w:rPr>
                  </w:pPr>
                </w:p>
                <w:p>
                  <w:pPr>
                    <w:pStyle w:val="9"/>
                    <w:widowControl w:val="0"/>
                    <w:jc w:val="center"/>
                    <w:rPr>
                      <w:rFonts w:hint="default"/>
                      <w:color w:val="auto"/>
                      <w:vertAlign w:val="baseline"/>
                      <w:lang w:val="en-US" w:eastAsia="zh-CN"/>
                    </w:rPr>
                  </w:pPr>
                  <w:r>
                    <w:rPr>
                      <w:rFonts w:hint="default"/>
                      <w:color w:val="auto"/>
                      <w:vertAlign w:val="baseline"/>
                      <w:lang w:val="en-US" w:eastAsia="zh-CN"/>
                    </w:rPr>
                    <w:t>1个</w:t>
                  </w:r>
                </w:p>
              </w:tc>
              <w:tc>
                <w:tcPr>
                  <w:tcW w:w="691"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每季度1次</w:t>
                  </w:r>
                </w:p>
              </w:tc>
              <w:tc>
                <w:tcPr>
                  <w:tcW w:w="2353" w:type="dxa"/>
                  <w:vAlign w:val="center"/>
                </w:tcPr>
                <w:p>
                  <w:pPr>
                    <w:pStyle w:val="9"/>
                    <w:widowControl w:val="0"/>
                    <w:jc w:val="center"/>
                    <w:rPr>
                      <w:rFonts w:hint="default"/>
                      <w:color w:val="auto"/>
                      <w:vertAlign w:val="baseline"/>
                      <w:lang w:val="en-US" w:eastAsia="zh-CN"/>
                    </w:rPr>
                  </w:pPr>
                  <w:r>
                    <w:rPr>
                      <w:rFonts w:hint="default"/>
                      <w:color w:val="auto"/>
                      <w:vertAlign w:val="baseline"/>
                      <w:lang w:val="en-US" w:eastAsia="zh-CN"/>
                    </w:rPr>
                    <w:t>符合《地下水质量标准》（GB</w:t>
                  </w:r>
                  <w:r>
                    <w:rPr>
                      <w:rFonts w:hint="default" w:ascii="Calibri" w:hAnsi="Calibri" w:cs="Calibri"/>
                      <w:color w:val="auto"/>
                      <w:vertAlign w:val="baseline"/>
                      <w:lang w:val="en-US" w:eastAsia="zh-CN"/>
                    </w:rPr>
                    <w:t>/</w:t>
                  </w:r>
                  <w:r>
                    <w:rPr>
                      <w:rFonts w:hint="default"/>
                      <w:color w:val="auto"/>
                      <w:vertAlign w:val="baseline"/>
                      <w:lang w:val="en-US" w:eastAsia="zh-CN"/>
                    </w:rPr>
                    <w:t xml:space="preserve"> T14848-2017）III类标准</w:t>
                  </w:r>
                </w:p>
              </w:tc>
            </w:tr>
          </w:tbl>
          <w:p>
            <w:pPr>
              <w:bidi w:val="0"/>
              <w:ind w:firstLine="480" w:firstLineChars="200"/>
              <w:rPr>
                <w:rFonts w:hint="default"/>
                <w:lang w:val="en-US" w:eastAsia="zh-CN"/>
              </w:rPr>
            </w:pPr>
            <w:r>
              <w:rPr>
                <w:rFonts w:hint="eastAsia"/>
                <w:lang w:val="en-US" w:eastAsia="zh-CN"/>
              </w:rPr>
              <w:t>综上，</w:t>
            </w:r>
            <w:r>
              <w:rPr>
                <w:rFonts w:hint="default"/>
                <w:lang w:val="en-US" w:eastAsia="zh-CN"/>
              </w:rPr>
              <w:t>在采取评价要求的以上防渗措施和地下水跟踪监测后，</w:t>
            </w:r>
            <w:r>
              <w:rPr>
                <w:rFonts w:hint="eastAsia"/>
                <w:lang w:val="en-US" w:eastAsia="zh-CN"/>
              </w:rPr>
              <w:t>本项目</w:t>
            </w:r>
            <w:r>
              <w:rPr>
                <w:rFonts w:hint="default"/>
                <w:lang w:val="en-US" w:eastAsia="zh-CN"/>
              </w:rPr>
              <w:t>对地下水水质影响小，措施可行。</w:t>
            </w:r>
          </w:p>
          <w:p>
            <w:pPr>
              <w:rPr>
                <w:rFonts w:hint="default"/>
                <w:b/>
                <w:bCs/>
                <w:color w:val="auto"/>
                <w:vertAlign w:val="baseline"/>
                <w:lang w:val="en-US" w:eastAsia="zh-CN"/>
              </w:rPr>
            </w:pPr>
            <w:r>
              <w:rPr>
                <w:rFonts w:hint="eastAsia"/>
                <w:b/>
                <w:bCs/>
                <w:color w:val="auto"/>
                <w:vertAlign w:val="baseline"/>
                <w:lang w:val="en-US" w:eastAsia="zh-CN"/>
              </w:rPr>
              <w:t>6、</w:t>
            </w:r>
            <w:r>
              <w:rPr>
                <w:rFonts w:hint="default"/>
                <w:b/>
                <w:bCs/>
                <w:color w:val="auto"/>
                <w:vertAlign w:val="baseline"/>
                <w:lang w:val="en-US" w:eastAsia="zh-CN"/>
              </w:rPr>
              <w:t xml:space="preserve">土壤环境影响分析和保护措施 </w:t>
            </w:r>
          </w:p>
          <w:p>
            <w:pPr>
              <w:ind w:firstLine="480" w:firstLineChars="200"/>
              <w:rPr>
                <w:rFonts w:hint="default"/>
                <w:color w:val="auto"/>
                <w:vertAlign w:val="baseline"/>
                <w:lang w:val="en-US" w:eastAsia="zh-CN"/>
              </w:rPr>
            </w:pPr>
            <w:r>
              <w:rPr>
                <w:rFonts w:hint="eastAsia"/>
                <w:color w:val="auto"/>
                <w:vertAlign w:val="baseline"/>
                <w:lang w:val="en-US" w:eastAsia="zh-CN"/>
              </w:rPr>
              <w:t>（1）</w:t>
            </w:r>
            <w:r>
              <w:rPr>
                <w:rFonts w:hint="default"/>
                <w:color w:val="auto"/>
                <w:vertAlign w:val="baseline"/>
                <w:lang w:val="en-US" w:eastAsia="zh-CN"/>
              </w:rPr>
              <w:t xml:space="preserve">土壤环境影响类型 </w:t>
            </w:r>
          </w:p>
          <w:p>
            <w:pPr>
              <w:ind w:firstLine="480" w:firstLineChars="200"/>
              <w:rPr>
                <w:rFonts w:hint="default"/>
                <w:color w:val="auto"/>
                <w:vertAlign w:val="baseline"/>
                <w:lang w:val="en-US" w:eastAsia="zh-CN"/>
              </w:rPr>
            </w:pPr>
            <w:r>
              <w:rPr>
                <w:rFonts w:hint="default"/>
                <w:color w:val="auto"/>
                <w:vertAlign w:val="baseline"/>
                <w:lang w:val="en-US" w:eastAsia="zh-CN"/>
              </w:rPr>
              <w:t>本项目的土壤环境影响主要为污染影响型，营运期对土壤环境可能造成影响的污染源主要为加油区、</w:t>
            </w:r>
            <w:r>
              <w:rPr>
                <w:rFonts w:hint="eastAsia"/>
                <w:color w:val="auto"/>
                <w:vertAlign w:val="baseline"/>
                <w:lang w:val="en-US" w:eastAsia="zh-CN"/>
              </w:rPr>
              <w:t>卸油区、</w:t>
            </w:r>
            <w:r>
              <w:rPr>
                <w:rFonts w:hint="default"/>
                <w:color w:val="auto"/>
                <w:vertAlign w:val="baseline"/>
                <w:lang w:val="en-US" w:eastAsia="zh-CN"/>
              </w:rPr>
              <w:t>储罐区、</w:t>
            </w:r>
            <w:r>
              <w:rPr>
                <w:rFonts w:hint="eastAsia"/>
                <w:color w:val="auto"/>
                <w:vertAlign w:val="baseline"/>
                <w:lang w:val="en-US" w:eastAsia="zh-CN"/>
              </w:rPr>
              <w:t>管道区和</w:t>
            </w:r>
            <w:r>
              <w:rPr>
                <w:rFonts w:hint="default"/>
                <w:color w:val="auto"/>
                <w:vertAlign w:val="baseline"/>
                <w:lang w:val="en-US" w:eastAsia="zh-CN"/>
              </w:rPr>
              <w:t>危废暂存</w:t>
            </w:r>
            <w:r>
              <w:rPr>
                <w:rFonts w:hint="eastAsia"/>
                <w:color w:val="auto"/>
                <w:vertAlign w:val="baseline"/>
                <w:lang w:val="en-US" w:eastAsia="zh-CN"/>
              </w:rPr>
              <w:t>箱</w:t>
            </w:r>
            <w:r>
              <w:rPr>
                <w:rFonts w:hint="default"/>
                <w:color w:val="auto"/>
                <w:vertAlign w:val="baseline"/>
                <w:lang w:val="en-US" w:eastAsia="zh-CN"/>
              </w:rPr>
              <w:t>等区域。因此需要做好废水收集，做好废水输送管道、加油区、</w:t>
            </w:r>
            <w:r>
              <w:rPr>
                <w:rFonts w:hint="eastAsia"/>
                <w:color w:val="auto"/>
                <w:vertAlign w:val="baseline"/>
                <w:lang w:val="en-US" w:eastAsia="zh-CN"/>
              </w:rPr>
              <w:t>卸油区、</w:t>
            </w:r>
            <w:r>
              <w:rPr>
                <w:rFonts w:hint="default"/>
                <w:color w:val="auto"/>
                <w:vertAlign w:val="baseline"/>
                <w:lang w:val="en-US" w:eastAsia="zh-CN"/>
              </w:rPr>
              <w:t>储罐区以及危废暂存</w:t>
            </w:r>
            <w:r>
              <w:rPr>
                <w:rFonts w:hint="eastAsia"/>
                <w:color w:val="auto"/>
                <w:vertAlign w:val="baseline"/>
                <w:lang w:val="en-US" w:eastAsia="zh-CN"/>
              </w:rPr>
              <w:t>箱</w:t>
            </w:r>
            <w:r>
              <w:rPr>
                <w:rFonts w:hint="default"/>
                <w:color w:val="auto"/>
                <w:vertAlign w:val="baseline"/>
                <w:lang w:val="en-US" w:eastAsia="zh-CN"/>
              </w:rPr>
              <w:t xml:space="preserve">等的防渗措施。 </w:t>
            </w:r>
          </w:p>
          <w:p>
            <w:pPr>
              <w:ind w:firstLine="480" w:firstLineChars="200"/>
              <w:rPr>
                <w:rFonts w:hint="default"/>
                <w:color w:val="auto"/>
                <w:vertAlign w:val="baseline"/>
                <w:lang w:val="en-US" w:eastAsia="zh-CN"/>
              </w:rPr>
            </w:pPr>
            <w:r>
              <w:rPr>
                <w:rFonts w:hint="eastAsia"/>
                <w:color w:val="auto"/>
                <w:vertAlign w:val="baseline"/>
                <w:lang w:val="en-US" w:eastAsia="zh-CN"/>
              </w:rPr>
              <w:t>（2）</w:t>
            </w:r>
            <w:r>
              <w:rPr>
                <w:rFonts w:hint="default"/>
                <w:color w:val="auto"/>
                <w:vertAlign w:val="baseline"/>
                <w:lang w:val="en-US" w:eastAsia="zh-CN"/>
              </w:rPr>
              <w:t xml:space="preserve">影响途径分析 </w:t>
            </w:r>
          </w:p>
          <w:p>
            <w:pPr>
              <w:ind w:firstLine="480" w:firstLineChars="200"/>
              <w:rPr>
                <w:rFonts w:hint="default"/>
                <w:color w:val="auto"/>
                <w:vertAlign w:val="baseline"/>
                <w:lang w:val="en-US" w:eastAsia="zh-CN"/>
              </w:rPr>
            </w:pPr>
            <w:r>
              <w:rPr>
                <w:rFonts w:hint="default"/>
                <w:color w:val="auto"/>
                <w:vertAlign w:val="baseline"/>
                <w:lang w:val="en-US" w:eastAsia="zh-CN"/>
              </w:rPr>
              <w:t>由工程分析可知，项目生活污水、公厕污水经化粪池</w:t>
            </w:r>
            <w:r>
              <w:rPr>
                <w:rFonts w:hint="eastAsia"/>
                <w:color w:val="auto"/>
                <w:vertAlign w:val="baseline"/>
                <w:lang w:val="en-US" w:eastAsia="zh-CN"/>
              </w:rPr>
              <w:t>预</w:t>
            </w:r>
            <w:r>
              <w:rPr>
                <w:rFonts w:hint="default"/>
                <w:color w:val="auto"/>
                <w:vertAlign w:val="baseline"/>
                <w:lang w:val="en-US" w:eastAsia="zh-CN"/>
              </w:rPr>
              <w:t>处理，地面冲洗废水</w:t>
            </w:r>
            <w:r>
              <w:rPr>
                <w:rFonts w:hint="eastAsia"/>
                <w:color w:val="auto"/>
                <w:vertAlign w:val="baseline"/>
                <w:lang w:val="en-US" w:eastAsia="zh-CN"/>
              </w:rPr>
              <w:t>和</w:t>
            </w:r>
            <w:r>
              <w:rPr>
                <w:rFonts w:hint="default"/>
                <w:color w:val="auto"/>
                <w:vertAlign w:val="baseline"/>
                <w:lang w:val="en-US" w:eastAsia="zh-CN"/>
              </w:rPr>
              <w:t>洗车废水经隔油池</w:t>
            </w:r>
            <w:r>
              <w:rPr>
                <w:rFonts w:hint="eastAsia"/>
                <w:color w:val="auto"/>
                <w:vertAlign w:val="baseline"/>
                <w:lang w:val="en-US" w:eastAsia="zh-CN"/>
              </w:rPr>
              <w:t>预</w:t>
            </w:r>
            <w:r>
              <w:rPr>
                <w:rFonts w:hint="default"/>
                <w:color w:val="auto"/>
                <w:vertAlign w:val="baseline"/>
                <w:lang w:val="en-US" w:eastAsia="zh-CN"/>
              </w:rPr>
              <w:t>处理，不直接排放，因此正常情况下不会因漫流对土壤造成影响。如果厂区废水管道防渗防漏措施不完善，则会导致废水经处理构筑物长期下渗进入土壤。根据调查，企业在工程设计之时按照相应的标准采用混凝土构造及设置标准防渗层，防止污水下渗污染土壤。</w:t>
            </w:r>
          </w:p>
          <w:p>
            <w:pPr>
              <w:ind w:firstLine="480" w:firstLineChars="200"/>
              <w:rPr>
                <w:rFonts w:hint="default"/>
                <w:color w:val="auto"/>
                <w:vertAlign w:val="baseline"/>
                <w:lang w:val="en-US" w:eastAsia="zh-CN"/>
              </w:rPr>
            </w:pPr>
            <w:r>
              <w:rPr>
                <w:rFonts w:hint="default"/>
                <w:color w:val="auto"/>
                <w:vertAlign w:val="baseline"/>
                <w:lang w:val="en-US" w:eastAsia="zh-CN"/>
              </w:rPr>
              <w:t>油品保存不当产生泄漏，可能进入外环境。储罐泄漏，储罐区防渗防漏措施不完善，则会导致长期下渗进入含水层。根据调查，储罐区在工程设计之时按照相应的标准及设置防渗层，储罐均为双层罐加防渗池，防止污水下渗污染</w:t>
            </w:r>
            <w:r>
              <w:rPr>
                <w:rFonts w:hint="eastAsia"/>
                <w:color w:val="auto"/>
                <w:vertAlign w:val="baseline"/>
                <w:lang w:val="en-US" w:eastAsia="zh-CN"/>
              </w:rPr>
              <w:t>土壤</w:t>
            </w:r>
            <w:r>
              <w:rPr>
                <w:rFonts w:hint="default"/>
                <w:color w:val="auto"/>
                <w:vertAlign w:val="baseline"/>
                <w:lang w:val="en-US" w:eastAsia="zh-CN"/>
              </w:rPr>
              <w:t xml:space="preserve">。 </w:t>
            </w:r>
          </w:p>
          <w:p>
            <w:pPr>
              <w:ind w:firstLine="480" w:firstLineChars="200"/>
              <w:rPr>
                <w:rFonts w:hint="default"/>
                <w:color w:val="auto"/>
                <w:vertAlign w:val="baseline"/>
                <w:lang w:val="en-US" w:eastAsia="zh-CN"/>
              </w:rPr>
            </w:pPr>
            <w:r>
              <w:rPr>
                <w:rFonts w:hint="default"/>
                <w:color w:val="auto"/>
                <w:vertAlign w:val="baseline"/>
                <w:lang w:val="en-US" w:eastAsia="zh-CN"/>
              </w:rPr>
              <w:t>建设项目土壤环境影响类型与影响途径见表4-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15</w:t>
            </w:r>
            <w:r>
              <w:rPr>
                <w:rFonts w:hint="default"/>
                <w:color w:val="auto"/>
                <w:vertAlign w:val="baseline"/>
                <w:lang w:eastAsia="zh-CN"/>
              </w:rPr>
              <w:fldChar w:fldCharType="end"/>
            </w:r>
            <w:r>
              <w:rPr>
                <w:rFonts w:hint="default"/>
                <w:color w:val="auto"/>
                <w:vertAlign w:val="baseline"/>
                <w:lang w:val="en-US" w:eastAsia="zh-CN"/>
              </w:rPr>
              <w:t xml:space="preserve">。 </w:t>
            </w:r>
          </w:p>
          <w:p>
            <w:pPr>
              <w:spacing w:line="240" w:lineRule="auto"/>
              <w:jc w:val="center"/>
              <w:rPr>
                <w:rFonts w:hint="default"/>
                <w:b/>
                <w:bCs/>
                <w:color w:val="auto"/>
                <w:vertAlign w:val="baseline"/>
                <w:lang w:val="en-US" w:eastAsia="zh-CN"/>
              </w:rPr>
            </w:pPr>
          </w:p>
          <w:p>
            <w:pPr>
              <w:spacing w:line="240" w:lineRule="auto"/>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15</w:t>
            </w:r>
            <w:r>
              <w:rPr>
                <w:rFonts w:hint="default"/>
                <w:b/>
                <w:bCs/>
                <w:color w:val="auto"/>
                <w:vertAlign w:val="baseline"/>
                <w:lang w:eastAsia="zh-CN"/>
              </w:rPr>
              <w:fldChar w:fldCharType="end"/>
            </w:r>
            <w:r>
              <w:rPr>
                <w:rFonts w:hint="default"/>
                <w:b/>
                <w:bCs/>
                <w:color w:val="auto"/>
                <w:vertAlign w:val="baseline"/>
                <w:lang w:val="en-US" w:eastAsia="zh-CN"/>
              </w:rPr>
              <w:t xml:space="preserve"> 建设项目土壤环境影响类型与影响途径表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568"/>
              <w:gridCol w:w="1569"/>
              <w:gridCol w:w="1569"/>
              <w:gridCol w:w="15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Merge w:val="restart"/>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不同时段</w:t>
                  </w:r>
                </w:p>
              </w:tc>
              <w:tc>
                <w:tcPr>
                  <w:tcW w:w="6275" w:type="dxa"/>
                  <w:gridSpan w:val="4"/>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污染影响性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Merge w:val="continue"/>
                  <w:vAlign w:val="center"/>
                </w:tcPr>
                <w:p>
                  <w:pPr>
                    <w:spacing w:line="240" w:lineRule="auto"/>
                    <w:jc w:val="center"/>
                    <w:rPr>
                      <w:rFonts w:hint="default"/>
                      <w:color w:val="auto"/>
                      <w:sz w:val="21"/>
                      <w:szCs w:val="21"/>
                      <w:vertAlign w:val="baseline"/>
                      <w:lang w:val="en-US" w:eastAsia="zh-CN"/>
                    </w:rPr>
                  </w:pPr>
                </w:p>
              </w:tc>
              <w:tc>
                <w:tcPr>
                  <w:tcW w:w="1568"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大气沉降</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地面漫流</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垂直入渗</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施工</w:t>
                  </w:r>
                  <w:r>
                    <w:rPr>
                      <w:rFonts w:hint="default" w:eastAsia="宋体"/>
                      <w:color w:val="auto"/>
                      <w:sz w:val="21"/>
                      <w:szCs w:val="21"/>
                      <w:vertAlign w:val="baseline"/>
                      <w:lang w:val="en-US" w:eastAsia="zh-CN"/>
                    </w:rPr>
                    <w:t>期</w:t>
                  </w:r>
                </w:p>
              </w:tc>
              <w:tc>
                <w:tcPr>
                  <w:tcW w:w="1568"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运营期</w:t>
                  </w:r>
                </w:p>
              </w:tc>
              <w:tc>
                <w:tcPr>
                  <w:tcW w:w="1568"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ascii="Calibri" w:hAnsi="Calibri" w:eastAsia="宋体" w:cs="Calibri"/>
                      <w:color w:val="auto"/>
                      <w:sz w:val="21"/>
                      <w:szCs w:val="21"/>
                      <w:vertAlign w:val="baseline"/>
                      <w:lang w:val="en-US" w:eastAsia="zh-CN"/>
                    </w:rPr>
                    <w:t>/</w:t>
                  </w:r>
                </w:p>
              </w:tc>
            </w:tr>
          </w:tbl>
          <w:p>
            <w:pPr>
              <w:ind w:firstLine="480" w:firstLineChars="200"/>
              <w:rPr>
                <w:rFonts w:hint="default"/>
                <w:color w:val="auto"/>
                <w:vertAlign w:val="baseline"/>
                <w:lang w:val="en-US" w:eastAsia="zh-CN"/>
              </w:rPr>
            </w:pPr>
            <w:r>
              <w:rPr>
                <w:rFonts w:hint="eastAsia"/>
                <w:color w:val="auto"/>
                <w:vertAlign w:val="baseline"/>
                <w:lang w:val="en-US" w:eastAsia="zh-CN"/>
              </w:rPr>
              <w:t>（3）</w:t>
            </w:r>
            <w:r>
              <w:rPr>
                <w:rFonts w:hint="default"/>
                <w:color w:val="auto"/>
                <w:vertAlign w:val="baseline"/>
                <w:lang w:val="en-US" w:eastAsia="zh-CN"/>
              </w:rPr>
              <w:t xml:space="preserve">土壤环境影响源及因子识别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本项目废气为油气（非甲烷总烃），产生量较小，厂区内地面全部采用水泥抹面，加油区和油罐区采取更严格的硬化和防渗处理。加油过程中油气均与天然土壤隔离，不会通过裸露区渗入到土壤中，对土壤环境影响较小。 </w:t>
            </w:r>
          </w:p>
          <w:p>
            <w:pPr>
              <w:rPr>
                <w:rFonts w:hint="default"/>
                <w:color w:val="auto"/>
                <w:vertAlign w:val="baseline"/>
                <w:lang w:val="en-US" w:eastAsia="zh-CN"/>
              </w:rPr>
            </w:pPr>
            <w:r>
              <w:rPr>
                <w:rFonts w:hint="default"/>
                <w:color w:val="auto"/>
                <w:vertAlign w:val="baseline"/>
                <w:lang w:val="en-US" w:eastAsia="zh-CN"/>
              </w:rPr>
              <w:t>本项目废水主要为生活和公厕污水、地面冲洗废水</w:t>
            </w:r>
            <w:r>
              <w:rPr>
                <w:rFonts w:hint="eastAsia"/>
                <w:color w:val="auto"/>
                <w:vertAlign w:val="baseline"/>
                <w:lang w:val="en-US" w:eastAsia="zh-CN"/>
              </w:rPr>
              <w:t>及</w:t>
            </w:r>
            <w:r>
              <w:rPr>
                <w:rFonts w:hint="default"/>
                <w:color w:val="auto"/>
                <w:vertAlign w:val="baseline"/>
                <w:lang w:val="en-US" w:eastAsia="zh-CN"/>
              </w:rPr>
              <w:t>洗车废水，废水水质较为简单，生活和公厕污水经化粪池</w:t>
            </w:r>
            <w:r>
              <w:rPr>
                <w:rFonts w:hint="eastAsia"/>
                <w:color w:val="auto"/>
                <w:vertAlign w:val="baseline"/>
                <w:lang w:val="en-US" w:eastAsia="zh-CN"/>
              </w:rPr>
              <w:t>预</w:t>
            </w:r>
            <w:r>
              <w:rPr>
                <w:rFonts w:hint="default"/>
                <w:color w:val="auto"/>
                <w:vertAlign w:val="baseline"/>
                <w:lang w:val="en-US" w:eastAsia="zh-CN"/>
              </w:rPr>
              <w:t>处理</w:t>
            </w:r>
            <w:r>
              <w:rPr>
                <w:rFonts w:hint="eastAsia"/>
                <w:color w:val="auto"/>
                <w:vertAlign w:val="baseline"/>
                <w:lang w:val="en-US" w:eastAsia="zh-CN"/>
              </w:rPr>
              <w:t>后同</w:t>
            </w:r>
            <w:r>
              <w:rPr>
                <w:rFonts w:hint="default"/>
                <w:color w:val="auto"/>
                <w:vertAlign w:val="baseline"/>
                <w:lang w:val="en-US" w:eastAsia="zh-CN"/>
              </w:rPr>
              <w:t>地面冲洗废水</w:t>
            </w:r>
            <w:r>
              <w:rPr>
                <w:rFonts w:hint="eastAsia"/>
                <w:color w:val="auto"/>
                <w:vertAlign w:val="baseline"/>
                <w:lang w:val="en-US" w:eastAsia="zh-CN"/>
              </w:rPr>
              <w:t>及</w:t>
            </w:r>
            <w:r>
              <w:rPr>
                <w:rFonts w:hint="default"/>
                <w:color w:val="auto"/>
                <w:vertAlign w:val="baseline"/>
                <w:lang w:val="en-US" w:eastAsia="zh-CN"/>
              </w:rPr>
              <w:t>洗车废水经隔油池</w:t>
            </w:r>
            <w:r>
              <w:rPr>
                <w:rFonts w:hint="eastAsia"/>
                <w:color w:val="auto"/>
                <w:vertAlign w:val="baseline"/>
                <w:lang w:val="en-US" w:eastAsia="zh-CN"/>
              </w:rPr>
              <w:t>预</w:t>
            </w:r>
            <w:r>
              <w:rPr>
                <w:rFonts w:hint="default"/>
                <w:color w:val="auto"/>
                <w:vertAlign w:val="baseline"/>
                <w:lang w:val="en-US" w:eastAsia="zh-CN"/>
              </w:rPr>
              <w:t>处理后，不会对附近土壤产生影响。若发生事故，事故废水经</w:t>
            </w:r>
            <w:r>
              <w:rPr>
                <w:rFonts w:hint="eastAsia"/>
                <w:color w:val="auto"/>
                <w:vertAlign w:val="baseline"/>
                <w:lang w:val="en-US" w:eastAsia="zh-CN"/>
              </w:rPr>
              <w:t>排水</w:t>
            </w:r>
            <w:r>
              <w:rPr>
                <w:rFonts w:hint="default"/>
                <w:color w:val="auto"/>
                <w:vertAlign w:val="baseline"/>
                <w:lang w:val="en-US" w:eastAsia="zh-CN"/>
              </w:rPr>
              <w:t xml:space="preserve">沟汇集至隔油池，再统一处理废水，故在发生事故时，废水也不会对土壤产生影响。 </w:t>
            </w:r>
          </w:p>
          <w:p>
            <w:pPr>
              <w:ind w:firstLine="480" w:firstLineChars="200"/>
              <w:rPr>
                <w:rFonts w:hint="default"/>
                <w:color w:val="auto"/>
                <w:vertAlign w:val="baseline"/>
                <w:lang w:val="en-US" w:eastAsia="zh-CN"/>
              </w:rPr>
            </w:pPr>
            <w:r>
              <w:rPr>
                <w:rFonts w:hint="default"/>
                <w:color w:val="auto"/>
                <w:vertAlign w:val="baseline"/>
                <w:lang w:val="en-US" w:eastAsia="zh-CN"/>
              </w:rPr>
              <w:t>本项目固废主要为油罐底泥、</w:t>
            </w:r>
            <w:r>
              <w:rPr>
                <w:rFonts w:hint="eastAsia"/>
                <w:color w:val="auto"/>
                <w:vertAlign w:val="baseline"/>
                <w:lang w:val="en-US" w:eastAsia="zh-CN"/>
              </w:rPr>
              <w:t>废活性炭、</w:t>
            </w:r>
            <w:r>
              <w:rPr>
                <w:rFonts w:hint="default"/>
                <w:color w:val="auto"/>
                <w:vertAlign w:val="baseline"/>
                <w:lang w:val="en-US" w:eastAsia="zh-CN"/>
              </w:rPr>
              <w:t>隔油池废油泥、</w:t>
            </w:r>
            <w:r>
              <w:rPr>
                <w:rFonts w:hint="eastAsia"/>
                <w:color w:val="auto"/>
                <w:vertAlign w:val="baseline"/>
                <w:lang w:val="en-US" w:eastAsia="zh-CN"/>
              </w:rPr>
              <w:t>含油废抹布手套</w:t>
            </w:r>
            <w:r>
              <w:rPr>
                <w:rFonts w:hint="default"/>
                <w:color w:val="auto"/>
                <w:vertAlign w:val="baseline"/>
                <w:lang w:val="en-US" w:eastAsia="zh-CN"/>
              </w:rPr>
              <w:t>和生活垃圾</w:t>
            </w:r>
            <w:r>
              <w:rPr>
                <w:rFonts w:hint="eastAsia"/>
                <w:color w:val="auto"/>
                <w:vertAlign w:val="baseline"/>
                <w:lang w:val="en-US" w:eastAsia="zh-CN"/>
              </w:rPr>
              <w:t>。</w:t>
            </w:r>
            <w:r>
              <w:rPr>
                <w:rFonts w:hint="default"/>
                <w:color w:val="auto"/>
                <w:vertAlign w:val="baseline"/>
                <w:lang w:val="en-US" w:eastAsia="zh-CN"/>
              </w:rPr>
              <w:t>油罐底泥</w:t>
            </w:r>
            <w:r>
              <w:rPr>
                <w:rFonts w:hint="eastAsia"/>
                <w:color w:val="auto"/>
                <w:vertAlign w:val="baseline"/>
                <w:lang w:val="en-US" w:eastAsia="zh-CN"/>
              </w:rPr>
              <w:t>和废活性炭由</w:t>
            </w:r>
            <w:r>
              <w:rPr>
                <w:rFonts w:hint="default"/>
                <w:color w:val="auto"/>
                <w:vertAlign w:val="baseline"/>
                <w:lang w:val="en-US" w:eastAsia="zh-CN"/>
              </w:rPr>
              <w:t>专业人士定期清理</w:t>
            </w:r>
            <w:r>
              <w:rPr>
                <w:rFonts w:hint="eastAsia"/>
                <w:color w:val="auto"/>
                <w:vertAlign w:val="baseline"/>
                <w:lang w:val="en-US" w:eastAsia="zh-CN"/>
              </w:rPr>
              <w:t>（更换）后带走，委托有资质单位处置；</w:t>
            </w:r>
            <w:r>
              <w:rPr>
                <w:rFonts w:hint="default"/>
                <w:color w:val="auto"/>
                <w:vertAlign w:val="baseline"/>
                <w:lang w:val="en-US" w:eastAsia="zh-CN"/>
              </w:rPr>
              <w:t>隔油池废油泥、</w:t>
            </w:r>
            <w:r>
              <w:rPr>
                <w:rFonts w:hint="eastAsia"/>
                <w:color w:val="auto"/>
                <w:vertAlign w:val="baseline"/>
                <w:lang w:val="en-US" w:eastAsia="zh-CN"/>
              </w:rPr>
              <w:t>含油废抹布手套分别暂存于危废暂存箱</w:t>
            </w:r>
            <w:r>
              <w:rPr>
                <w:rFonts w:hint="default"/>
                <w:color w:val="auto"/>
                <w:vertAlign w:val="baseline"/>
                <w:lang w:val="en-US" w:eastAsia="zh-CN"/>
              </w:rPr>
              <w:t>，</w:t>
            </w:r>
            <w:r>
              <w:rPr>
                <w:rFonts w:hint="eastAsia"/>
                <w:color w:val="auto"/>
                <w:vertAlign w:val="baseline"/>
                <w:lang w:val="en-US" w:eastAsia="zh-CN"/>
              </w:rPr>
              <w:t>定期委托</w:t>
            </w:r>
            <w:r>
              <w:rPr>
                <w:rFonts w:hint="default"/>
                <w:color w:val="auto"/>
                <w:vertAlign w:val="baseline"/>
                <w:lang w:val="en-US" w:eastAsia="zh-CN"/>
              </w:rPr>
              <w:t>有资质单位处</w:t>
            </w:r>
            <w:r>
              <w:rPr>
                <w:rFonts w:hint="eastAsia"/>
                <w:color w:val="auto"/>
                <w:vertAlign w:val="baseline"/>
                <w:lang w:val="en-US" w:eastAsia="zh-CN"/>
              </w:rPr>
              <w:t>置；</w:t>
            </w:r>
            <w:r>
              <w:rPr>
                <w:rFonts w:hint="default"/>
                <w:color w:val="auto"/>
                <w:vertAlign w:val="baseline"/>
                <w:lang w:val="en-US" w:eastAsia="zh-CN"/>
              </w:rPr>
              <w:t xml:space="preserve">生活垃圾由环卫部门统一清运。因此，固废的产生、收集、处置环节对土壤环境基本无影响。 </w:t>
            </w:r>
          </w:p>
          <w:p>
            <w:pPr>
              <w:ind w:firstLine="480" w:firstLineChars="200"/>
              <w:rPr>
                <w:rFonts w:hint="default"/>
                <w:color w:val="auto"/>
                <w:vertAlign w:val="baseline"/>
                <w:lang w:val="en-US" w:eastAsia="zh-CN"/>
              </w:rPr>
            </w:pPr>
            <w:r>
              <w:rPr>
                <w:rFonts w:hint="default"/>
                <w:color w:val="auto"/>
                <w:vertAlign w:val="baseline"/>
                <w:lang w:val="en-US" w:eastAsia="zh-CN"/>
              </w:rPr>
              <w:t>综上所述，本项目对项目周边的土壤环境基本无影响。</w:t>
            </w:r>
          </w:p>
          <w:p>
            <w:pPr>
              <w:rPr>
                <w:rFonts w:hint="default"/>
                <w:b/>
                <w:bCs/>
                <w:color w:val="auto"/>
                <w:vertAlign w:val="baseline"/>
                <w:lang w:val="en-US" w:eastAsia="zh-CN"/>
              </w:rPr>
            </w:pPr>
            <w:r>
              <w:rPr>
                <w:rFonts w:hint="eastAsia"/>
                <w:b/>
                <w:bCs/>
                <w:color w:val="auto"/>
                <w:vertAlign w:val="baseline"/>
                <w:lang w:val="en-US" w:eastAsia="zh-CN"/>
              </w:rPr>
              <w:t>7、</w:t>
            </w:r>
            <w:r>
              <w:rPr>
                <w:rFonts w:hint="default"/>
                <w:b/>
                <w:bCs/>
                <w:color w:val="auto"/>
                <w:vertAlign w:val="baseline"/>
                <w:lang w:val="en-US" w:eastAsia="zh-CN"/>
              </w:rPr>
              <w:t>生态环境影响分析和保护措施</w:t>
            </w:r>
          </w:p>
          <w:p>
            <w:pPr>
              <w:ind w:firstLine="480" w:firstLineChars="200"/>
              <w:rPr>
                <w:rFonts w:hint="default"/>
                <w:color w:val="auto"/>
                <w:vertAlign w:val="baseline"/>
                <w:lang w:val="en-US" w:eastAsia="zh-CN"/>
              </w:rPr>
            </w:pPr>
            <w:r>
              <w:rPr>
                <w:rFonts w:hint="default"/>
                <w:color w:val="auto"/>
                <w:vertAlign w:val="baseline"/>
                <w:lang w:val="en-US" w:eastAsia="zh-CN"/>
              </w:rPr>
              <w:t>本项目拟建地无珍稀动植物和文物保护区，本项目三废经治理后可以达标排放，不会对区域生态环境产生明显影响。</w:t>
            </w:r>
          </w:p>
          <w:p>
            <w:pPr>
              <w:rPr>
                <w:rFonts w:hint="default"/>
                <w:b/>
                <w:bCs/>
                <w:color w:val="auto"/>
                <w:vertAlign w:val="baseline"/>
                <w:lang w:val="en-US" w:eastAsia="zh-CN"/>
              </w:rPr>
            </w:pPr>
            <w:r>
              <w:rPr>
                <w:rFonts w:hint="eastAsia"/>
                <w:b/>
                <w:bCs/>
                <w:color w:val="auto"/>
                <w:vertAlign w:val="baseline"/>
                <w:lang w:val="en-US" w:eastAsia="zh-CN"/>
              </w:rPr>
              <w:t>8、</w:t>
            </w:r>
            <w:r>
              <w:rPr>
                <w:rFonts w:hint="default"/>
                <w:b/>
                <w:bCs/>
                <w:color w:val="auto"/>
                <w:vertAlign w:val="baseline"/>
                <w:lang w:val="en-US" w:eastAsia="zh-CN"/>
              </w:rPr>
              <w:t xml:space="preserve">环境风险分析 </w:t>
            </w:r>
          </w:p>
          <w:p>
            <w:pPr>
              <w:ind w:firstLine="480" w:firstLineChars="200"/>
              <w:rPr>
                <w:rFonts w:hint="default"/>
                <w:color w:val="auto"/>
                <w:vertAlign w:val="baseline"/>
                <w:lang w:val="en-US" w:eastAsia="zh-CN"/>
              </w:rPr>
            </w:pPr>
            <w:r>
              <w:rPr>
                <w:rFonts w:hint="default"/>
                <w:color w:val="auto"/>
                <w:vertAlign w:val="baseline"/>
                <w:lang w:val="en-US" w:eastAsia="zh-CN"/>
              </w:rPr>
              <w:t>本项目为机动车燃料零售项目，所涉及到的主要风险因子为汽油和柴油，根据项目涉及的主要原辅料及生产工艺等，确认本项目的事故风险类型为汽油和柴油泄漏、火灾和爆炸等。</w:t>
            </w:r>
          </w:p>
          <w:p>
            <w:pPr>
              <w:numPr>
                <w:ilvl w:val="0"/>
                <w:numId w:val="0"/>
              </w:numPr>
              <w:ind w:firstLine="480" w:firstLineChars="200"/>
              <w:rPr>
                <w:rFonts w:hint="default"/>
                <w:lang w:val="en-US" w:eastAsia="zh-CN"/>
              </w:rPr>
            </w:pPr>
            <w:r>
              <w:rPr>
                <w:rFonts w:hint="eastAsia"/>
                <w:color w:val="auto"/>
                <w:vertAlign w:val="baseline"/>
                <w:lang w:val="en-US" w:eastAsia="zh-CN"/>
              </w:rPr>
              <w:t>（1）</w:t>
            </w:r>
            <w:r>
              <w:rPr>
                <w:rFonts w:hint="default"/>
                <w:color w:val="auto"/>
                <w:vertAlign w:val="baseline"/>
                <w:lang w:val="en-US" w:eastAsia="zh-CN"/>
              </w:rPr>
              <w:t>物质危险性识别</w:t>
            </w:r>
          </w:p>
          <w:p>
            <w:pPr>
              <w:ind w:firstLine="480" w:firstLineChars="200"/>
              <w:rPr>
                <w:rFonts w:hint="default"/>
                <w:color w:val="auto"/>
                <w:vertAlign w:val="baseline"/>
                <w:lang w:eastAsia="zh-CN"/>
              </w:rPr>
            </w:pPr>
            <w:r>
              <w:rPr>
                <w:rFonts w:hint="eastAsia"/>
                <w:color w:val="auto"/>
                <w:vertAlign w:val="baseline"/>
                <w:lang w:val="en-US" w:eastAsia="zh-CN"/>
              </w:rPr>
              <w:t>汽油和柴油的理化性质及危险特性分别见表4-</w:t>
            </w:r>
            <w:r>
              <w:rPr>
                <w:rFonts w:hint="eastAsia"/>
                <w:color w:val="auto"/>
                <w:vertAlign w:val="baseline"/>
                <w:lang w:val="en-US" w:eastAsia="zh-CN"/>
              </w:rPr>
              <w:fldChar w:fldCharType="begin"/>
            </w:r>
            <w:r>
              <w:rPr>
                <w:rFonts w:hint="eastAsia"/>
                <w:color w:val="auto"/>
                <w:vertAlign w:val="baseline"/>
                <w:lang w:val="en-US" w:eastAsia="zh-CN"/>
              </w:rPr>
              <w:instrText xml:space="preserve"> SEQ 4- </w:instrText>
            </w:r>
            <w:r>
              <w:rPr>
                <w:rFonts w:hint="eastAsia"/>
                <w:color w:val="auto"/>
                <w:vertAlign w:val="baseline"/>
                <w:lang w:val="en-US" w:eastAsia="zh-CN"/>
              </w:rPr>
              <w:fldChar w:fldCharType="separate"/>
            </w:r>
            <w:r>
              <w:rPr>
                <w:rFonts w:hint="eastAsia"/>
                <w:color w:val="auto"/>
                <w:vertAlign w:val="baseline"/>
                <w:lang w:val="en-US" w:eastAsia="zh-CN"/>
              </w:rPr>
              <w:t>16</w:t>
            </w:r>
            <w:r>
              <w:rPr>
                <w:rFonts w:hint="eastAsia"/>
                <w:color w:val="auto"/>
                <w:vertAlign w:val="baseline"/>
                <w:lang w:val="en-US" w:eastAsia="zh-CN"/>
              </w:rPr>
              <w:fldChar w:fldCharType="end"/>
            </w:r>
            <w:r>
              <w:rPr>
                <w:rFonts w:hint="eastAsia"/>
                <w:color w:val="auto"/>
                <w:vertAlign w:val="baseline"/>
                <w:lang w:val="en-US" w:eastAsia="zh-CN"/>
              </w:rPr>
              <w:t>和表4-</w:t>
            </w:r>
            <w:r>
              <w:rPr>
                <w:rFonts w:hint="eastAsia"/>
                <w:color w:val="auto"/>
                <w:vertAlign w:val="baseline"/>
                <w:lang w:val="en-US" w:eastAsia="zh-CN"/>
              </w:rPr>
              <w:fldChar w:fldCharType="begin"/>
            </w:r>
            <w:r>
              <w:rPr>
                <w:rFonts w:hint="eastAsia"/>
                <w:color w:val="auto"/>
                <w:vertAlign w:val="baseline"/>
                <w:lang w:val="en-US" w:eastAsia="zh-CN"/>
              </w:rPr>
              <w:instrText xml:space="preserve"> SEQ 4- </w:instrText>
            </w:r>
            <w:r>
              <w:rPr>
                <w:rFonts w:hint="eastAsia"/>
                <w:color w:val="auto"/>
                <w:vertAlign w:val="baseline"/>
                <w:lang w:val="en-US" w:eastAsia="zh-CN"/>
              </w:rPr>
              <w:fldChar w:fldCharType="separate"/>
            </w:r>
            <w:r>
              <w:rPr>
                <w:rFonts w:hint="eastAsia"/>
                <w:color w:val="auto"/>
                <w:vertAlign w:val="baseline"/>
                <w:lang w:val="en-US" w:eastAsia="zh-CN"/>
              </w:rPr>
              <w:t>17</w:t>
            </w:r>
            <w:r>
              <w:rPr>
                <w:rFonts w:hint="eastAsia"/>
                <w:color w:val="auto"/>
                <w:vertAlign w:val="baseline"/>
                <w:lang w:val="en-US" w:eastAsia="zh-CN"/>
              </w:rPr>
              <w:fldChar w:fldCharType="end"/>
            </w:r>
            <w:r>
              <w:rPr>
                <w:rFonts w:hint="eastAsia"/>
                <w:color w:val="auto"/>
                <w:vertAlign w:val="baseline"/>
                <w:lang w:val="en-US" w:eastAsia="zh-CN"/>
              </w:rPr>
              <w:t>。</w:t>
            </w:r>
          </w:p>
          <w:p>
            <w:pPr>
              <w:bidi w:val="0"/>
              <w:ind w:firstLine="480" w:firstLineChars="200"/>
              <w:rPr>
                <w:rFonts w:hint="default"/>
                <w:lang w:val="en-US" w:eastAsia="zh-CN"/>
              </w:rPr>
            </w:pPr>
            <w:r>
              <w:rPr>
                <w:rFonts w:hint="default"/>
                <w:lang w:val="en-US" w:eastAsia="zh-CN"/>
              </w:rPr>
              <w:t>①汽油</w:t>
            </w:r>
          </w:p>
          <w:p>
            <w:pPr>
              <w:spacing w:line="240" w:lineRule="auto"/>
              <w:ind w:firstLine="482" w:firstLineChars="200"/>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16</w:t>
            </w:r>
            <w:r>
              <w:rPr>
                <w:rFonts w:hint="default"/>
                <w:b/>
                <w:bCs/>
                <w:color w:val="auto"/>
                <w:vertAlign w:val="baseline"/>
                <w:lang w:eastAsia="zh-CN"/>
              </w:rPr>
              <w:fldChar w:fldCharType="end"/>
            </w:r>
            <w:r>
              <w:rPr>
                <w:rFonts w:hint="default"/>
                <w:b/>
                <w:bCs/>
                <w:color w:val="auto"/>
                <w:vertAlign w:val="baseline"/>
                <w:lang w:val="en-US" w:eastAsia="zh-CN"/>
              </w:rPr>
              <w:t xml:space="preserve"> </w:t>
            </w:r>
            <w:r>
              <w:rPr>
                <w:rFonts w:hint="eastAsia"/>
                <w:b/>
                <w:bCs/>
                <w:color w:val="auto"/>
                <w:vertAlign w:val="baseline"/>
                <w:lang w:val="en-US" w:eastAsia="zh-CN"/>
              </w:rPr>
              <w:t xml:space="preserve"> </w:t>
            </w:r>
            <w:r>
              <w:rPr>
                <w:rFonts w:hint="default"/>
                <w:b/>
                <w:bCs/>
                <w:color w:val="auto"/>
                <w:vertAlign w:val="baseline"/>
                <w:lang w:val="en-US" w:eastAsia="zh-CN"/>
              </w:rPr>
              <w:t>汽油的理化性质及危险特性</w:t>
            </w:r>
          </w:p>
          <w:tbl>
            <w:tblPr>
              <w:tblStyle w:val="7"/>
              <w:tblW w:w="78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
              <w:gridCol w:w="1512"/>
              <w:gridCol w:w="688"/>
              <w:gridCol w:w="500"/>
              <w:gridCol w:w="623"/>
              <w:gridCol w:w="514"/>
              <w:gridCol w:w="1150"/>
              <w:gridCol w:w="63"/>
              <w:gridCol w:w="1687"/>
              <w:gridCol w:w="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84"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标识</w:t>
                  </w:r>
                </w:p>
              </w:tc>
              <w:tc>
                <w:tcPr>
                  <w:tcW w:w="4987" w:type="dxa"/>
                  <w:gridSpan w:val="6"/>
                </w:tcPr>
                <w:p>
                  <w:pPr>
                    <w:spacing w:line="240" w:lineRule="auto"/>
                    <w:rPr>
                      <w:rFonts w:hint="default"/>
                      <w:color w:val="auto"/>
                      <w:sz w:val="21"/>
                      <w:szCs w:val="21"/>
                      <w:vertAlign w:val="baseline"/>
                      <w:lang w:val="en-US" w:eastAsia="zh-CN"/>
                    </w:rPr>
                  </w:pPr>
                  <w:r>
                    <w:rPr>
                      <w:rFonts w:hint="eastAsia"/>
                      <w:color w:val="auto"/>
                      <w:sz w:val="21"/>
                      <w:szCs w:val="21"/>
                      <w:vertAlign w:val="baseline"/>
                      <w:lang w:val="en-US" w:eastAsia="zh-CN"/>
                    </w:rPr>
                    <w:t>中文名：汽油</w:t>
                  </w:r>
                </w:p>
              </w:tc>
              <w:tc>
                <w:tcPr>
                  <w:tcW w:w="2382" w:type="dxa"/>
                  <w:gridSpan w:val="3"/>
                </w:tcPr>
                <w:p>
                  <w:pPr>
                    <w:spacing w:line="240" w:lineRule="auto"/>
                    <w:rPr>
                      <w:rFonts w:hint="default"/>
                      <w:color w:val="auto"/>
                      <w:sz w:val="21"/>
                      <w:szCs w:val="21"/>
                      <w:vertAlign w:val="baseline"/>
                      <w:lang w:val="en-US" w:eastAsia="zh-CN"/>
                    </w:rPr>
                  </w:pPr>
                  <w:r>
                    <w:rPr>
                      <w:rFonts w:hint="default"/>
                      <w:color w:val="auto"/>
                      <w:sz w:val="21"/>
                      <w:szCs w:val="21"/>
                      <w:vertAlign w:val="baseline"/>
                      <w:lang w:val="en-US" w:eastAsia="zh-CN"/>
                    </w:rPr>
                    <w:t>危险货物编号：31001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84" w:type="dxa"/>
                  <w:vMerge w:val="continue"/>
                  <w:vAlign w:val="center"/>
                </w:tcPr>
                <w:p>
                  <w:pPr>
                    <w:spacing w:line="240" w:lineRule="auto"/>
                  </w:pPr>
                </w:p>
              </w:tc>
              <w:tc>
                <w:tcPr>
                  <w:tcW w:w="4987" w:type="dxa"/>
                  <w:gridSpan w:val="6"/>
                </w:tcPr>
                <w:p>
                  <w:pPr>
                    <w:spacing w:line="240" w:lineRule="auto"/>
                    <w:rPr>
                      <w:rFonts w:hint="eastAsia"/>
                      <w:color w:val="auto"/>
                      <w:sz w:val="21"/>
                      <w:szCs w:val="21"/>
                      <w:vertAlign w:val="baseline"/>
                      <w:lang w:val="en-US" w:eastAsia="zh-CN"/>
                    </w:rPr>
                  </w:pPr>
                  <w:r>
                    <w:rPr>
                      <w:rFonts w:hint="eastAsia"/>
                      <w:color w:val="auto"/>
                      <w:sz w:val="21"/>
                      <w:szCs w:val="21"/>
                      <w:vertAlign w:val="baseline"/>
                      <w:lang w:val="en-US" w:eastAsia="zh-CN"/>
                    </w:rPr>
                    <w:t>英文名：Gasoline；Petrol</w:t>
                  </w:r>
                </w:p>
              </w:tc>
              <w:tc>
                <w:tcPr>
                  <w:tcW w:w="2382" w:type="dxa"/>
                  <w:gridSpan w:val="3"/>
                </w:tcPr>
                <w:p>
                  <w:pPr>
                    <w:spacing w:line="240" w:lineRule="auto"/>
                    <w:rPr>
                      <w:rFonts w:hint="eastAsia"/>
                      <w:color w:val="auto"/>
                      <w:sz w:val="21"/>
                      <w:szCs w:val="21"/>
                      <w:vertAlign w:val="baseline"/>
                      <w:lang w:val="en-US" w:eastAsia="zh-CN"/>
                    </w:rPr>
                  </w:pPr>
                  <w:r>
                    <w:rPr>
                      <w:rFonts w:hint="eastAsia"/>
                      <w:color w:val="auto"/>
                      <w:sz w:val="21"/>
                      <w:szCs w:val="21"/>
                      <w:vertAlign w:val="baseline"/>
                      <w:lang w:val="en-US" w:eastAsia="zh-CN"/>
                    </w:rPr>
                    <w:t>UN编号：1203、1257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理化性质</w:t>
                  </w: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外观与性状</w:t>
                  </w:r>
                </w:p>
              </w:tc>
              <w:tc>
                <w:tcPr>
                  <w:tcW w:w="5857" w:type="dxa"/>
                  <w:gridSpan w:val="8"/>
                </w:tcPr>
                <w:p>
                  <w:pPr>
                    <w:spacing w:line="240" w:lineRule="auto"/>
                    <w:rPr>
                      <w:rFonts w:hint="default"/>
                      <w:color w:val="auto"/>
                      <w:sz w:val="21"/>
                      <w:szCs w:val="21"/>
                      <w:vertAlign w:val="baseline"/>
                      <w:lang w:val="en-US" w:eastAsia="zh-CN"/>
                    </w:rPr>
                  </w:pPr>
                  <w:r>
                    <w:rPr>
                      <w:rFonts w:hint="default"/>
                      <w:color w:val="auto"/>
                      <w:sz w:val="21"/>
                      <w:szCs w:val="21"/>
                      <w:vertAlign w:val="baseline"/>
                      <w:lang w:val="en-US" w:eastAsia="zh-CN"/>
                    </w:rPr>
                    <w:t>无色或淡黄色易挥发液体，具有特殊臭味。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熔点（℃）</w:t>
                  </w:r>
                </w:p>
              </w:tc>
              <w:tc>
                <w:tcPr>
                  <w:tcW w:w="688" w:type="dxa"/>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&lt;-60</w:t>
                  </w:r>
                </w:p>
              </w:tc>
              <w:tc>
                <w:tcPr>
                  <w:tcW w:w="1637" w:type="dxa"/>
                  <w:gridSpan w:val="3"/>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相对密度(水=1)</w:t>
                  </w:r>
                </w:p>
              </w:tc>
              <w:tc>
                <w:tcPr>
                  <w:tcW w:w="1150" w:type="dxa"/>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0.70~0.90</w:t>
                  </w:r>
                </w:p>
              </w:tc>
              <w:tc>
                <w:tcPr>
                  <w:tcW w:w="1750" w:type="dxa"/>
                  <w:gridSpan w:val="2"/>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相对密度(空气=1)</w:t>
                  </w:r>
                </w:p>
              </w:tc>
              <w:tc>
                <w:tcPr>
                  <w:tcW w:w="632"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ascii="Times New Roman" w:hAnsi="Times New Roman"/>
                      <w:spacing w:val="10"/>
                      <w:sz w:val="21"/>
                      <w:szCs w:val="21"/>
                    </w:rPr>
                    <w:t>沸点（℃）</w:t>
                  </w:r>
                </w:p>
              </w:tc>
              <w:tc>
                <w:tcPr>
                  <w:tcW w:w="1188" w:type="dxa"/>
                  <w:gridSpan w:val="2"/>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40-200</w:t>
                  </w:r>
                </w:p>
              </w:tc>
              <w:tc>
                <w:tcPr>
                  <w:tcW w:w="2287" w:type="dxa"/>
                  <w:gridSpan w:val="3"/>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饱和蒸气压（kPa）</w:t>
                  </w:r>
                </w:p>
              </w:tc>
              <w:tc>
                <w:tcPr>
                  <w:tcW w:w="2382" w:type="dxa"/>
                  <w:gridSpan w:val="3"/>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溶解性</w:t>
                  </w:r>
                </w:p>
              </w:tc>
              <w:tc>
                <w:tcPr>
                  <w:tcW w:w="5857" w:type="dxa"/>
                  <w:gridSpan w:val="8"/>
                </w:tcPr>
                <w:p>
                  <w:pPr>
                    <w:spacing w:line="240" w:lineRule="auto"/>
                    <w:jc w:val="left"/>
                    <w:rPr>
                      <w:rFonts w:hint="default"/>
                      <w:color w:val="auto"/>
                      <w:sz w:val="21"/>
                      <w:szCs w:val="21"/>
                      <w:vertAlign w:val="baseline"/>
                      <w:lang w:val="en-US" w:eastAsia="zh-CN"/>
                    </w:rPr>
                  </w:pPr>
                  <w:r>
                    <w:rPr>
                      <w:rFonts w:hint="default"/>
                      <w:color w:val="auto"/>
                      <w:sz w:val="21"/>
                      <w:szCs w:val="21"/>
                      <w:vertAlign w:val="baseline"/>
                      <w:lang w:val="en-US" w:eastAsia="zh-CN"/>
                    </w:rPr>
                    <w:t>不溶于水，易溶于苯、二硫化碳、醇、脂肪。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毒性及健康危害</w:t>
                  </w: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侵入途径</w:t>
                  </w:r>
                </w:p>
              </w:tc>
              <w:tc>
                <w:tcPr>
                  <w:tcW w:w="5857" w:type="dxa"/>
                  <w:gridSpan w:val="8"/>
                </w:tcPr>
                <w:p>
                  <w:pPr>
                    <w:spacing w:line="240" w:lineRule="auto"/>
                    <w:jc w:val="left"/>
                    <w:rPr>
                      <w:rFonts w:hint="default"/>
                      <w:color w:val="auto"/>
                      <w:sz w:val="21"/>
                      <w:szCs w:val="21"/>
                      <w:vertAlign w:val="baseline"/>
                      <w:lang w:val="en-US" w:eastAsia="zh-CN"/>
                    </w:rPr>
                  </w:pPr>
                  <w:r>
                    <w:rPr>
                      <w:rFonts w:hint="default"/>
                      <w:color w:val="auto"/>
                      <w:sz w:val="21"/>
                      <w:szCs w:val="21"/>
                      <w:vertAlign w:val="baseline"/>
                      <w:lang w:val="en-US" w:eastAsia="zh-CN"/>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毒性</w:t>
                  </w:r>
                </w:p>
              </w:tc>
              <w:tc>
                <w:tcPr>
                  <w:tcW w:w="5857" w:type="dxa"/>
                  <w:gridSpan w:val="8"/>
                </w:tcPr>
                <w:p>
                  <w:pPr>
                    <w:spacing w:line="240" w:lineRule="auto"/>
                    <w:jc w:val="left"/>
                    <w:rPr>
                      <w:rFonts w:hint="default"/>
                      <w:color w:val="auto"/>
                      <w:sz w:val="21"/>
                      <w:szCs w:val="21"/>
                      <w:vertAlign w:val="baseline"/>
                      <w:lang w:val="en-US" w:eastAsia="zh-CN"/>
                    </w:rPr>
                  </w:pPr>
                  <w:r>
                    <w:rPr>
                      <w:rFonts w:hint="default"/>
                      <w:color w:val="auto"/>
                      <w:sz w:val="21"/>
                      <w:szCs w:val="21"/>
                      <w:vertAlign w:val="baseline"/>
                      <w:lang w:val="en-US" w:eastAsia="zh-CN"/>
                    </w:rPr>
                    <w:t>LD50：67000mg</w:t>
                  </w:r>
                  <w:r>
                    <w:rPr>
                      <w:rFonts w:hint="default" w:ascii="Calibri" w:hAnsi="Calibri" w:cs="Calibri"/>
                      <w:color w:val="auto"/>
                      <w:sz w:val="21"/>
                      <w:szCs w:val="21"/>
                      <w:vertAlign w:val="baseline"/>
                      <w:lang w:val="en-US" w:eastAsia="zh-CN"/>
                    </w:rPr>
                    <w:t>/</w:t>
                  </w:r>
                  <w:r>
                    <w:rPr>
                      <w:rFonts w:hint="default"/>
                      <w:color w:val="auto"/>
                      <w:sz w:val="21"/>
                      <w:szCs w:val="21"/>
                      <w:vertAlign w:val="baseline"/>
                      <w:lang w:val="en-US" w:eastAsia="zh-CN"/>
                    </w:rPr>
                    <w:t>kg(小鼠经口)；</w:t>
                  </w:r>
                </w:p>
                <w:p>
                  <w:pPr>
                    <w:spacing w:line="240" w:lineRule="auto"/>
                    <w:jc w:val="left"/>
                    <w:rPr>
                      <w:rFonts w:hint="default"/>
                      <w:color w:val="auto"/>
                      <w:sz w:val="21"/>
                      <w:szCs w:val="21"/>
                      <w:vertAlign w:val="baseline"/>
                      <w:lang w:val="en-US" w:eastAsia="zh-CN"/>
                    </w:rPr>
                  </w:pPr>
                  <w:r>
                    <w:rPr>
                      <w:rFonts w:hint="default"/>
                      <w:color w:val="auto"/>
                      <w:sz w:val="21"/>
                      <w:szCs w:val="21"/>
                      <w:vertAlign w:val="baseline"/>
                      <w:lang w:val="en-US" w:eastAsia="zh-CN"/>
                    </w:rPr>
                    <w:t>LC50：103000mg</w:t>
                  </w:r>
                  <w:r>
                    <w:rPr>
                      <w:rFonts w:hint="default" w:ascii="Calibri" w:hAnsi="Calibri" w:cs="Calibri"/>
                      <w:color w:val="auto"/>
                      <w:sz w:val="21"/>
                      <w:szCs w:val="21"/>
                      <w:vertAlign w:val="baseline"/>
                      <w:lang w:val="en-US" w:eastAsia="zh-CN"/>
                    </w:rPr>
                    <w:t>/</w:t>
                  </w:r>
                  <w:r>
                    <w:rPr>
                      <w:rFonts w:hint="default"/>
                      <w:color w:val="auto"/>
                      <w:sz w:val="21"/>
                      <w:szCs w:val="21"/>
                      <w:vertAlign w:val="baseline"/>
                      <w:lang w:val="en-US" w:eastAsia="zh-CN"/>
                    </w:rPr>
                    <w:t>m3，2小时(小鼠吸入)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健康危害</w:t>
                  </w:r>
                </w:p>
              </w:tc>
              <w:tc>
                <w:tcPr>
                  <w:tcW w:w="5857" w:type="dxa"/>
                  <w:gridSpan w:val="8"/>
                </w:tcPr>
                <w:p>
                  <w:pPr>
                    <w:spacing w:line="240" w:lineRule="auto"/>
                    <w:rPr>
                      <w:rFonts w:hint="default"/>
                      <w:color w:val="auto"/>
                      <w:sz w:val="21"/>
                      <w:szCs w:val="21"/>
                      <w:vertAlign w:val="baseline"/>
                      <w:lang w:val="en-US" w:eastAsia="zh-CN"/>
                    </w:rPr>
                  </w:pPr>
                  <w:r>
                    <w:rPr>
                      <w:rFonts w:hint="default"/>
                      <w:color w:val="auto"/>
                      <w:sz w:val="21"/>
                      <w:szCs w:val="21"/>
                      <w:vertAlign w:val="baseline"/>
                      <w:lang w:val="en-US" w:eastAsia="zh-CN"/>
                    </w:rPr>
                    <w:t>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w:t>
                  </w:r>
                </w:p>
                <w:p>
                  <w:pPr>
                    <w:spacing w:line="240" w:lineRule="auto"/>
                    <w:rPr>
                      <w:rFonts w:hint="default"/>
                      <w:color w:val="auto"/>
                      <w:sz w:val="21"/>
                      <w:szCs w:val="21"/>
                      <w:vertAlign w:val="baseline"/>
                      <w:lang w:val="en-US" w:eastAsia="zh-CN"/>
                    </w:rPr>
                  </w:pPr>
                  <w:r>
                    <w:rPr>
                      <w:rFonts w:hint="default"/>
                      <w:color w:val="auto"/>
                      <w:sz w:val="21"/>
                      <w:szCs w:val="21"/>
                      <w:vertAlign w:val="baseline"/>
                      <w:lang w:val="en-US" w:eastAsia="zh-CN"/>
                    </w:rPr>
                    <w:t>慢性中毒：神经衰弱综合症、植物神经功能症状类似精神分裂症等。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急救方法</w:t>
                  </w:r>
                </w:p>
              </w:tc>
              <w:tc>
                <w:tcPr>
                  <w:tcW w:w="5857" w:type="dxa"/>
                  <w:gridSpan w:val="8"/>
                </w:tcPr>
                <w:p>
                  <w:pPr>
                    <w:spacing w:line="240" w:lineRule="auto"/>
                    <w:rPr>
                      <w:rFonts w:hint="default"/>
                      <w:color w:val="auto"/>
                      <w:sz w:val="21"/>
                      <w:szCs w:val="21"/>
                      <w:vertAlign w:val="baseline"/>
                      <w:lang w:val="en-US" w:eastAsia="zh-CN"/>
                    </w:rPr>
                  </w:pPr>
                  <w:r>
                    <w:rPr>
                      <w:rFonts w:hint="default"/>
                      <w:color w:val="auto"/>
                      <w:sz w:val="21"/>
                      <w:szCs w:val="21"/>
                      <w:vertAlign w:val="baseline"/>
                      <w:lang w:val="en-US" w:eastAsia="zh-CN"/>
                    </w:rPr>
                    <w:t>皮肤接触：立即脱去被污染的衣着，用肥皂水和清水彻底冲洗皮肤。就医。眼睛接触：立即提起眼睑，用大量流动清水或生理盐水彻底冲洗至少15分钟。就医。吸入：迅速脱离现场至空气新鲜处。保持呼吸道通畅。如呼吸困难，给输氧。如呼吸停止，立即进行人工呼吸。就医。食入：给饮牛奶或用植物油洗胃和灌肠、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燃烧爆炸危险性</w:t>
                  </w:r>
                </w:p>
              </w:tc>
              <w:tc>
                <w:tcPr>
                  <w:tcW w:w="1512"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燃烧性</w:t>
                  </w:r>
                </w:p>
              </w:tc>
              <w:tc>
                <w:tcPr>
                  <w:tcW w:w="1811" w:type="dxa"/>
                  <w:gridSpan w:val="3"/>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易燃</w:t>
                  </w:r>
                </w:p>
              </w:tc>
              <w:tc>
                <w:tcPr>
                  <w:tcW w:w="1727" w:type="dxa"/>
                  <w:gridSpan w:val="3"/>
                  <w:vAlign w:val="top"/>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燃烧分解物</w:t>
                  </w:r>
                </w:p>
              </w:tc>
              <w:tc>
                <w:tcPr>
                  <w:tcW w:w="2319" w:type="dxa"/>
                  <w:gridSpan w:val="2"/>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闪点(℃)</w:t>
                  </w:r>
                </w:p>
              </w:tc>
              <w:tc>
                <w:tcPr>
                  <w:tcW w:w="1811" w:type="dxa"/>
                  <w:gridSpan w:val="3"/>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-43</w:t>
                  </w:r>
                </w:p>
              </w:tc>
              <w:tc>
                <w:tcPr>
                  <w:tcW w:w="1727" w:type="dxa"/>
                  <w:gridSpan w:val="3"/>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爆炸上限%（v%）</w:t>
                  </w:r>
                </w:p>
              </w:tc>
              <w:tc>
                <w:tcPr>
                  <w:tcW w:w="2319" w:type="dxa"/>
                  <w:gridSpan w:val="2"/>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引燃温度(℃)</w:t>
                  </w:r>
                </w:p>
              </w:tc>
              <w:tc>
                <w:tcPr>
                  <w:tcW w:w="1811" w:type="dxa"/>
                  <w:gridSpan w:val="3"/>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280－456</w:t>
                  </w:r>
                </w:p>
              </w:tc>
              <w:tc>
                <w:tcPr>
                  <w:tcW w:w="1727" w:type="dxa"/>
                  <w:gridSpan w:val="3"/>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爆炸</w:t>
                  </w:r>
                  <w:r>
                    <w:rPr>
                      <w:rFonts w:hint="eastAsia"/>
                      <w:color w:val="auto"/>
                      <w:sz w:val="21"/>
                      <w:szCs w:val="21"/>
                      <w:vertAlign w:val="baseline"/>
                      <w:lang w:val="en-US" w:eastAsia="zh-CN"/>
                    </w:rPr>
                    <w:t>下</w:t>
                  </w:r>
                  <w:r>
                    <w:rPr>
                      <w:rFonts w:hint="default"/>
                      <w:color w:val="auto"/>
                      <w:sz w:val="21"/>
                      <w:szCs w:val="21"/>
                      <w:vertAlign w:val="baseline"/>
                      <w:lang w:val="en-US" w:eastAsia="zh-CN"/>
                    </w:rPr>
                    <w:t>限%（v%）</w:t>
                  </w:r>
                </w:p>
              </w:tc>
              <w:tc>
                <w:tcPr>
                  <w:tcW w:w="2319" w:type="dxa"/>
                  <w:gridSpan w:val="2"/>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eastAsia"/>
                      <w:color w:val="auto"/>
                      <w:sz w:val="21"/>
                      <w:szCs w:val="21"/>
                      <w:vertAlign w:val="baseline"/>
                      <w:lang w:val="en-US" w:eastAsia="zh-CN"/>
                    </w:rPr>
                  </w:pPr>
                </w:p>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危险特性</w:t>
                  </w:r>
                </w:p>
              </w:tc>
              <w:tc>
                <w:tcPr>
                  <w:tcW w:w="5857" w:type="dxa"/>
                  <w:gridSpan w:val="8"/>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极易燃烧。其蒸气与空气可形成爆炸性混合物。遇明火、高热极易燃烧爆炸。与氧化剂能发生强烈反应。其蒸气比空气重，能在较低处扩散到相当远的地方，遇明火会引着回燃。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储运条件与泄漏处理</w:t>
                  </w:r>
                </w:p>
              </w:tc>
              <w:tc>
                <w:tcPr>
                  <w:tcW w:w="5857" w:type="dxa"/>
                  <w:gridSpan w:val="8"/>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储运条件：储存于阴凉、通风的仓间内，远离火种、热源。保持容器密封；应与氧化剂分开存放。储罐应有防火防爆技术措施。禁止使用易产生火花的机械设备和工具。灌装时应注意流速(不越过3m</w:t>
                  </w:r>
                  <w:r>
                    <w:rPr>
                      <w:rFonts w:hint="default" w:ascii="Calibri" w:hAnsi="Calibri" w:cs="Calibri"/>
                      <w:color w:val="auto"/>
                      <w:sz w:val="21"/>
                      <w:szCs w:val="21"/>
                      <w:vertAlign w:val="baseline"/>
                      <w:lang w:val="en-US" w:eastAsia="zh-CN"/>
                    </w:rPr>
                    <w:t>/</w:t>
                  </w:r>
                  <w:r>
                    <w:rPr>
                      <w:rFonts w:hint="default"/>
                      <w:color w:val="auto"/>
                      <w:sz w:val="21"/>
                      <w:szCs w:val="21"/>
                      <w:vertAlign w:val="baseline"/>
                      <w:lang w:val="en-US" w:eastAsia="zh-CN"/>
                    </w:rPr>
                    <w:t>s)，且有接地装置，防止静电积聚。搬运时应轻装轻卸，防止包装和容器损坏。</w:t>
                  </w:r>
                </w:p>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泄漏处理：迅速撤离泄漏污染区人员至安全区，并进行隔离，严格限制出入。切断火源。建议应急处理人员戴自给正压式呼吸器，穿消防防护服。尽可能切断泄漏源。防止进入下水道、排洪沟等限制性空间。小量泄漏：用砂土、蛭石或其它惰性材料吸收。或在保证安全的情况下，就地焚烧。大量泄漏：构筑围堤或挖坑收容；用泡沫覆盖，降低蒸气灾害。用防爆泵转移至槽车或专用收集器内，回收或运至废物处理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灭火方法</w:t>
                  </w:r>
                </w:p>
              </w:tc>
              <w:tc>
                <w:tcPr>
                  <w:tcW w:w="5857" w:type="dxa"/>
                  <w:gridSpan w:val="8"/>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喷水冷却容器，可能的话将容器从火场移至空旷处。灭火剂：泡沫、干粉、二氧化碳。用水灭火无效。</w:t>
                  </w:r>
                </w:p>
              </w:tc>
            </w:tr>
          </w:tbl>
          <w:p>
            <w:pPr>
              <w:ind w:firstLine="480" w:firstLineChars="200"/>
              <w:rPr>
                <w:rFonts w:hint="default"/>
                <w:color w:val="auto"/>
                <w:vertAlign w:val="baseline"/>
                <w:lang w:val="en-US" w:eastAsia="zh-CN"/>
              </w:rPr>
            </w:pPr>
            <w:r>
              <w:rPr>
                <w:rFonts w:hint="default" w:ascii="Times New Roman" w:hAnsi="Times New Roman" w:cs="Times New Roman"/>
                <w:color w:val="auto"/>
                <w:vertAlign w:val="baseline"/>
                <w:lang w:val="en-US" w:eastAsia="zh-CN"/>
              </w:rPr>
              <w:t>②</w:t>
            </w:r>
            <w:r>
              <w:rPr>
                <w:rFonts w:hint="eastAsia"/>
                <w:color w:val="auto"/>
                <w:vertAlign w:val="baseline"/>
                <w:lang w:val="en-US" w:eastAsia="zh-CN"/>
              </w:rPr>
              <w:t>柴</w:t>
            </w:r>
            <w:r>
              <w:rPr>
                <w:rFonts w:hint="default"/>
                <w:color w:val="auto"/>
                <w:vertAlign w:val="baseline"/>
                <w:lang w:val="en-US" w:eastAsia="zh-CN"/>
              </w:rPr>
              <w:t>油</w:t>
            </w:r>
          </w:p>
          <w:p>
            <w:pPr>
              <w:spacing w:line="240" w:lineRule="auto"/>
              <w:ind w:firstLine="482" w:firstLineChars="200"/>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w:instrText>
            </w:r>
            <w:r>
              <w:rPr>
                <w:rFonts w:hint="default"/>
                <w:b/>
                <w:bCs/>
                <w:color w:val="auto"/>
                <w:vertAlign w:val="baseline"/>
                <w:lang w:eastAsia="zh-CN"/>
              </w:rPr>
              <w:fldChar w:fldCharType="separate"/>
            </w:r>
            <w:r>
              <w:rPr>
                <w:rFonts w:hint="default"/>
                <w:b/>
                <w:bCs/>
                <w:color w:val="auto"/>
                <w:vertAlign w:val="baseline"/>
                <w:lang w:eastAsia="zh-CN"/>
              </w:rPr>
              <w:t>17</w:t>
            </w:r>
            <w:r>
              <w:rPr>
                <w:rFonts w:hint="default"/>
                <w:b/>
                <w:bCs/>
                <w:color w:val="auto"/>
                <w:vertAlign w:val="baseline"/>
                <w:lang w:eastAsia="zh-CN"/>
              </w:rPr>
              <w:fldChar w:fldCharType="end"/>
            </w:r>
            <w:r>
              <w:rPr>
                <w:rFonts w:hint="default"/>
                <w:b/>
                <w:bCs/>
                <w:color w:val="auto"/>
                <w:vertAlign w:val="baseline"/>
                <w:lang w:val="en-US" w:eastAsia="zh-CN"/>
              </w:rPr>
              <w:t xml:space="preserve"> </w:t>
            </w:r>
            <w:r>
              <w:rPr>
                <w:rFonts w:hint="eastAsia"/>
                <w:b/>
                <w:bCs/>
                <w:color w:val="auto"/>
                <w:vertAlign w:val="baseline"/>
                <w:lang w:val="en-US" w:eastAsia="zh-CN"/>
              </w:rPr>
              <w:t xml:space="preserve"> 柴</w:t>
            </w:r>
            <w:r>
              <w:rPr>
                <w:rFonts w:hint="default"/>
                <w:b/>
                <w:bCs/>
                <w:color w:val="auto"/>
                <w:vertAlign w:val="baseline"/>
                <w:lang w:val="en-US" w:eastAsia="zh-CN"/>
              </w:rPr>
              <w:t>油的理化性质及危险特性</w:t>
            </w:r>
          </w:p>
          <w:tbl>
            <w:tblPr>
              <w:tblStyle w:val="7"/>
              <w:tblW w:w="78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
              <w:gridCol w:w="1512"/>
              <w:gridCol w:w="838"/>
              <w:gridCol w:w="350"/>
              <w:gridCol w:w="623"/>
              <w:gridCol w:w="677"/>
              <w:gridCol w:w="825"/>
              <w:gridCol w:w="225"/>
              <w:gridCol w:w="1687"/>
              <w:gridCol w:w="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84"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标识</w:t>
                  </w:r>
                </w:p>
              </w:tc>
              <w:tc>
                <w:tcPr>
                  <w:tcW w:w="7369" w:type="dxa"/>
                  <w:gridSpan w:val="9"/>
                </w:tcPr>
                <w:p>
                  <w:pPr>
                    <w:spacing w:line="240" w:lineRule="auto"/>
                    <w:rPr>
                      <w:rFonts w:hint="default"/>
                      <w:color w:val="auto"/>
                      <w:sz w:val="21"/>
                      <w:szCs w:val="21"/>
                      <w:vertAlign w:val="baseline"/>
                      <w:lang w:val="en-US" w:eastAsia="zh-CN"/>
                    </w:rPr>
                  </w:pPr>
                  <w:r>
                    <w:rPr>
                      <w:rFonts w:hint="eastAsia"/>
                      <w:color w:val="auto"/>
                      <w:sz w:val="21"/>
                      <w:szCs w:val="21"/>
                      <w:vertAlign w:val="baseline"/>
                      <w:lang w:val="en-US" w:eastAsia="zh-CN"/>
                    </w:rPr>
                    <w:t>中文名：柴油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84" w:type="dxa"/>
                  <w:vMerge w:val="continue"/>
                  <w:vAlign w:val="center"/>
                </w:tcPr>
                <w:p>
                  <w:pPr>
                    <w:spacing w:line="240" w:lineRule="auto"/>
                  </w:pPr>
                </w:p>
              </w:tc>
              <w:tc>
                <w:tcPr>
                  <w:tcW w:w="7369" w:type="dxa"/>
                  <w:gridSpan w:val="9"/>
                </w:tcPr>
                <w:p>
                  <w:pPr>
                    <w:spacing w:line="240" w:lineRule="auto"/>
                    <w:rPr>
                      <w:rFonts w:hint="eastAsia"/>
                      <w:color w:val="auto"/>
                      <w:sz w:val="21"/>
                      <w:szCs w:val="21"/>
                      <w:vertAlign w:val="baseline"/>
                      <w:lang w:val="en-US" w:eastAsia="zh-CN"/>
                    </w:rPr>
                  </w:pPr>
                  <w:r>
                    <w:rPr>
                      <w:rFonts w:hint="eastAsia"/>
                      <w:color w:val="auto"/>
                      <w:sz w:val="21"/>
                      <w:szCs w:val="21"/>
                      <w:vertAlign w:val="baseline"/>
                      <w:lang w:val="en-US" w:eastAsia="zh-CN"/>
                    </w:rPr>
                    <w:t>英文名：Diesel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484"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理化性质</w:t>
                  </w: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外观与性状</w:t>
                  </w:r>
                </w:p>
              </w:tc>
              <w:tc>
                <w:tcPr>
                  <w:tcW w:w="5857" w:type="dxa"/>
                  <w:gridSpan w:val="8"/>
                </w:tcPr>
                <w:p>
                  <w:pPr>
                    <w:spacing w:line="240" w:lineRule="auto"/>
                    <w:rPr>
                      <w:rFonts w:hint="default"/>
                      <w:color w:val="auto"/>
                      <w:sz w:val="21"/>
                      <w:szCs w:val="21"/>
                      <w:vertAlign w:val="baseline"/>
                      <w:lang w:val="en-US" w:eastAsia="zh-CN"/>
                    </w:rPr>
                  </w:pPr>
                  <w:r>
                    <w:rPr>
                      <w:rFonts w:hint="default"/>
                      <w:color w:val="auto"/>
                      <w:sz w:val="21"/>
                      <w:szCs w:val="21"/>
                      <w:vertAlign w:val="baseline"/>
                      <w:lang w:val="en-US" w:eastAsia="zh-CN"/>
                    </w:rPr>
                    <w:t>稍有粘性的棕色液体。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熔点（℃）</w:t>
                  </w:r>
                </w:p>
              </w:tc>
              <w:tc>
                <w:tcPr>
                  <w:tcW w:w="838"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-29.56</w:t>
                  </w:r>
                </w:p>
              </w:tc>
              <w:tc>
                <w:tcPr>
                  <w:tcW w:w="1650" w:type="dxa"/>
                  <w:gridSpan w:val="3"/>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相对密度(水=1)</w:t>
                  </w:r>
                </w:p>
              </w:tc>
              <w:tc>
                <w:tcPr>
                  <w:tcW w:w="825" w:type="dxa"/>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0.87</w:t>
                  </w:r>
                </w:p>
              </w:tc>
              <w:tc>
                <w:tcPr>
                  <w:tcW w:w="1912" w:type="dxa"/>
                  <w:gridSpan w:val="2"/>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相对密度(空气=1)</w:t>
                  </w:r>
                </w:p>
              </w:tc>
              <w:tc>
                <w:tcPr>
                  <w:tcW w:w="632" w:type="dxa"/>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ascii="Times New Roman" w:hAnsi="Times New Roman"/>
                      <w:spacing w:val="10"/>
                      <w:sz w:val="21"/>
                      <w:szCs w:val="21"/>
                    </w:rPr>
                    <w:t>沸点（℃）</w:t>
                  </w:r>
                </w:p>
              </w:tc>
              <w:tc>
                <w:tcPr>
                  <w:tcW w:w="1188" w:type="dxa"/>
                  <w:gridSpan w:val="2"/>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180-370</w:t>
                  </w:r>
                </w:p>
              </w:tc>
              <w:tc>
                <w:tcPr>
                  <w:tcW w:w="2125" w:type="dxa"/>
                  <w:gridSpan w:val="3"/>
                  <w:vAlign w:val="center"/>
                </w:tcPr>
                <w:p>
                  <w:pPr>
                    <w:spacing w:line="240" w:lineRule="auto"/>
                    <w:jc w:val="center"/>
                    <w:rPr>
                      <w:rFonts w:hint="default"/>
                      <w:color w:val="auto"/>
                      <w:sz w:val="21"/>
                      <w:szCs w:val="21"/>
                      <w:vertAlign w:val="baseline"/>
                      <w:lang w:val="en-US" w:eastAsia="zh-CN"/>
                    </w:rPr>
                  </w:pPr>
                  <w:r>
                    <w:rPr>
                      <w:rFonts w:hint="default"/>
                      <w:color w:val="auto"/>
                      <w:sz w:val="21"/>
                      <w:szCs w:val="21"/>
                      <w:vertAlign w:val="baseline"/>
                      <w:lang w:val="en-US" w:eastAsia="zh-CN"/>
                    </w:rPr>
                    <w:t>饱和蒸气压（kPa）</w:t>
                  </w:r>
                </w:p>
              </w:tc>
              <w:tc>
                <w:tcPr>
                  <w:tcW w:w="2544" w:type="dxa"/>
                  <w:gridSpan w:val="3"/>
                  <w:vAlign w:val="center"/>
                </w:tcPr>
                <w:p>
                  <w:pPr>
                    <w:spacing w:line="240" w:lineRule="auto"/>
                    <w:jc w:val="center"/>
                    <w:rPr>
                      <w:rFonts w:hint="default"/>
                      <w:color w:val="auto"/>
                      <w:sz w:val="21"/>
                      <w:szCs w:val="21"/>
                      <w:vertAlign w:val="baseline"/>
                      <w:lang w:val="en-US" w:eastAsia="zh-CN"/>
                    </w:rPr>
                  </w:pPr>
                  <w:r>
                    <w:rPr>
                      <w:rFonts w:hint="eastAsia" w:ascii="Calibri" w:hAnsi="Calibri" w:cs="Calibri"/>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毒性及健康危害</w:t>
                  </w: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侵入途径</w:t>
                  </w:r>
                </w:p>
              </w:tc>
              <w:tc>
                <w:tcPr>
                  <w:tcW w:w="5857" w:type="dxa"/>
                  <w:gridSpan w:val="8"/>
                </w:tcPr>
                <w:p>
                  <w:pPr>
                    <w:spacing w:line="240" w:lineRule="auto"/>
                    <w:jc w:val="left"/>
                    <w:rPr>
                      <w:rFonts w:hint="default"/>
                      <w:color w:val="auto"/>
                      <w:sz w:val="21"/>
                      <w:szCs w:val="21"/>
                      <w:vertAlign w:val="baseline"/>
                      <w:lang w:val="en-US" w:eastAsia="zh-CN"/>
                    </w:rPr>
                  </w:pPr>
                  <w:r>
                    <w:rPr>
                      <w:rFonts w:hint="default"/>
                      <w:color w:val="auto"/>
                      <w:sz w:val="21"/>
                      <w:szCs w:val="21"/>
                      <w:vertAlign w:val="baseline"/>
                      <w:lang w:val="en-US" w:eastAsia="zh-CN"/>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毒性</w:t>
                  </w:r>
                </w:p>
              </w:tc>
              <w:tc>
                <w:tcPr>
                  <w:tcW w:w="5857" w:type="dxa"/>
                  <w:gridSpan w:val="8"/>
                </w:tcPr>
                <w:p>
                  <w:pPr>
                    <w:spacing w:line="240" w:lineRule="auto"/>
                    <w:jc w:val="left"/>
                    <w:rPr>
                      <w:rFonts w:hint="default"/>
                      <w:color w:val="auto"/>
                      <w:sz w:val="21"/>
                      <w:szCs w:val="21"/>
                      <w:vertAlign w:val="baseline"/>
                      <w:lang w:val="en-US" w:eastAsia="zh-CN"/>
                    </w:rPr>
                  </w:pPr>
                  <w:r>
                    <w:rPr>
                      <w:rFonts w:hint="default"/>
                      <w:color w:val="auto"/>
                      <w:sz w:val="21"/>
                      <w:szCs w:val="21"/>
                      <w:vertAlign w:val="baseline"/>
                      <w:lang w:val="en-US" w:eastAsia="zh-CN"/>
                    </w:rPr>
                    <w:t>LD50：</w:t>
                  </w:r>
                  <w:r>
                    <w:rPr>
                      <w:rFonts w:hint="eastAsia" w:ascii="Calibri" w:hAnsi="Calibri" w:cs="Calibri"/>
                      <w:color w:val="auto"/>
                      <w:sz w:val="21"/>
                      <w:szCs w:val="21"/>
                      <w:vertAlign w:val="baseline"/>
                      <w:lang w:val="en-US" w:eastAsia="zh-CN"/>
                    </w:rPr>
                    <w:t>/</w:t>
                  </w:r>
                </w:p>
                <w:p>
                  <w:pPr>
                    <w:spacing w:line="240" w:lineRule="auto"/>
                    <w:jc w:val="left"/>
                    <w:rPr>
                      <w:rFonts w:hint="default"/>
                      <w:color w:val="auto"/>
                      <w:sz w:val="21"/>
                      <w:szCs w:val="21"/>
                      <w:vertAlign w:val="baseline"/>
                      <w:lang w:val="en-US" w:eastAsia="zh-CN"/>
                    </w:rPr>
                  </w:pPr>
                  <w:r>
                    <w:rPr>
                      <w:rFonts w:hint="default"/>
                      <w:color w:val="auto"/>
                      <w:sz w:val="21"/>
                      <w:szCs w:val="21"/>
                      <w:vertAlign w:val="baseline"/>
                      <w:lang w:val="en-US" w:eastAsia="zh-CN"/>
                    </w:rPr>
                    <w:t>LC50：</w:t>
                  </w:r>
                  <w:r>
                    <w:rPr>
                      <w:rFonts w:hint="eastAsia" w:ascii="Calibri" w:hAnsi="Calibri" w:cs="Calibri"/>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健康危害</w:t>
                  </w:r>
                </w:p>
              </w:tc>
              <w:tc>
                <w:tcPr>
                  <w:tcW w:w="5857" w:type="dxa"/>
                  <w:gridSpan w:val="8"/>
                </w:tcPr>
                <w:p>
                  <w:pPr>
                    <w:spacing w:line="240" w:lineRule="auto"/>
                    <w:rPr>
                      <w:rFonts w:hint="default"/>
                      <w:color w:val="auto"/>
                      <w:sz w:val="21"/>
                      <w:szCs w:val="21"/>
                      <w:vertAlign w:val="baseline"/>
                      <w:lang w:val="en-US" w:eastAsia="zh-CN"/>
                    </w:rPr>
                  </w:pPr>
                  <w:r>
                    <w:rPr>
                      <w:rFonts w:hint="default"/>
                      <w:color w:val="auto"/>
                      <w:sz w:val="21"/>
                      <w:szCs w:val="21"/>
                      <w:vertAlign w:val="baseline"/>
                      <w:lang w:val="en-US" w:eastAsia="zh-CN"/>
                    </w:rPr>
                    <w:t>皮肤接触柴油可引起接触性皮炎、油性座疮。吸入可引起吸入性肺炎。能经胎盘进入胎儿血中。柴油废气可引起眼、鼻刺激症状、头昏及头痛。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急救方法</w:t>
                  </w:r>
                </w:p>
              </w:tc>
              <w:tc>
                <w:tcPr>
                  <w:tcW w:w="5857" w:type="dxa"/>
                  <w:gridSpan w:val="8"/>
                </w:tcPr>
                <w:p>
                  <w:pPr>
                    <w:spacing w:line="240" w:lineRule="auto"/>
                    <w:rPr>
                      <w:rFonts w:hint="default"/>
                      <w:color w:val="auto"/>
                      <w:sz w:val="21"/>
                      <w:szCs w:val="21"/>
                      <w:vertAlign w:val="baseline"/>
                      <w:lang w:val="en-US" w:eastAsia="zh-CN"/>
                    </w:rPr>
                  </w:pPr>
                  <w:r>
                    <w:rPr>
                      <w:rFonts w:hint="default"/>
                      <w:color w:val="auto"/>
                      <w:sz w:val="21"/>
                      <w:szCs w:val="21"/>
                      <w:vertAlign w:val="baseline"/>
                      <w:lang w:val="en-US" w:eastAsia="zh-CN"/>
                    </w:rPr>
                    <w:t>皮肤接触：立即脱去污染的衣着，用肥皂水和清水彻底冲洗皮肤。就医。眼睛接触：立即提起眼睑，用流动清水或生理盐水冲洗。就医。吸入：迅速脱离现场至空气清新处，保持呼吸道畅通。如呼吸困难，给输氧。如呼吸停止，立即进行人工呼吸。就医。食入：尽快彻底洗胃。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restart"/>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燃烧爆炸危险性</w:t>
                  </w:r>
                </w:p>
              </w:tc>
              <w:tc>
                <w:tcPr>
                  <w:tcW w:w="1512"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燃烧性</w:t>
                  </w:r>
                </w:p>
              </w:tc>
              <w:tc>
                <w:tcPr>
                  <w:tcW w:w="1811" w:type="dxa"/>
                  <w:gridSpan w:val="3"/>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可燃</w:t>
                  </w:r>
                </w:p>
              </w:tc>
              <w:tc>
                <w:tcPr>
                  <w:tcW w:w="1727" w:type="dxa"/>
                  <w:gridSpan w:val="3"/>
                  <w:vAlign w:val="top"/>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燃烧分解物</w:t>
                  </w:r>
                </w:p>
              </w:tc>
              <w:tc>
                <w:tcPr>
                  <w:tcW w:w="2319" w:type="dxa"/>
                  <w:gridSpan w:val="2"/>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闪点(℃)</w:t>
                  </w:r>
                </w:p>
              </w:tc>
              <w:tc>
                <w:tcPr>
                  <w:tcW w:w="1811" w:type="dxa"/>
                  <w:gridSpan w:val="3"/>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55</w:t>
                  </w:r>
                </w:p>
              </w:tc>
              <w:tc>
                <w:tcPr>
                  <w:tcW w:w="1727" w:type="dxa"/>
                  <w:gridSpan w:val="3"/>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爆炸上限%（v%）</w:t>
                  </w:r>
                </w:p>
              </w:tc>
              <w:tc>
                <w:tcPr>
                  <w:tcW w:w="2319" w:type="dxa"/>
                  <w:gridSpan w:val="2"/>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引燃温度(℃)</w:t>
                  </w:r>
                </w:p>
              </w:tc>
              <w:tc>
                <w:tcPr>
                  <w:tcW w:w="1811" w:type="dxa"/>
                  <w:gridSpan w:val="3"/>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350</w:t>
                  </w:r>
                  <w:r>
                    <w:rPr>
                      <w:rFonts w:hint="default"/>
                      <w:color w:val="auto"/>
                      <w:sz w:val="21"/>
                      <w:szCs w:val="21"/>
                      <w:vertAlign w:val="baseline"/>
                      <w:lang w:val="en-US" w:eastAsia="zh-CN"/>
                    </w:rPr>
                    <w:t>－</w:t>
                  </w:r>
                  <w:r>
                    <w:rPr>
                      <w:rFonts w:hint="eastAsia"/>
                      <w:color w:val="auto"/>
                      <w:sz w:val="21"/>
                      <w:szCs w:val="21"/>
                      <w:vertAlign w:val="baseline"/>
                      <w:lang w:val="en-US" w:eastAsia="zh-CN"/>
                    </w:rPr>
                    <w:t>380</w:t>
                  </w:r>
                </w:p>
              </w:tc>
              <w:tc>
                <w:tcPr>
                  <w:tcW w:w="1727" w:type="dxa"/>
                  <w:gridSpan w:val="3"/>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爆炸</w:t>
                  </w:r>
                  <w:r>
                    <w:rPr>
                      <w:rFonts w:hint="eastAsia"/>
                      <w:color w:val="auto"/>
                      <w:sz w:val="21"/>
                      <w:szCs w:val="21"/>
                      <w:vertAlign w:val="baseline"/>
                      <w:lang w:val="en-US" w:eastAsia="zh-CN"/>
                    </w:rPr>
                    <w:t>下</w:t>
                  </w:r>
                  <w:r>
                    <w:rPr>
                      <w:rFonts w:hint="default"/>
                      <w:color w:val="auto"/>
                      <w:sz w:val="21"/>
                      <w:szCs w:val="21"/>
                      <w:vertAlign w:val="baseline"/>
                      <w:lang w:val="en-US" w:eastAsia="zh-CN"/>
                    </w:rPr>
                    <w:t>限%（v%）</w:t>
                  </w:r>
                </w:p>
              </w:tc>
              <w:tc>
                <w:tcPr>
                  <w:tcW w:w="2319" w:type="dxa"/>
                  <w:gridSpan w:val="2"/>
                  <w:vAlign w:val="center"/>
                </w:tcPr>
                <w:p>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eastAsia"/>
                      <w:color w:val="auto"/>
                      <w:sz w:val="21"/>
                      <w:szCs w:val="21"/>
                      <w:vertAlign w:val="baseline"/>
                      <w:lang w:val="en-US" w:eastAsia="zh-CN"/>
                    </w:rPr>
                  </w:pPr>
                </w:p>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危险特性</w:t>
                  </w:r>
                </w:p>
              </w:tc>
              <w:tc>
                <w:tcPr>
                  <w:tcW w:w="5857" w:type="dxa"/>
                  <w:gridSpan w:val="8"/>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遇明火、高热或与氧化剂接触有可能引起燃烧爆炸的危险。若遇高热，容器内压增大，有开裂和爆炸的危险。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储运条件与泄漏处理</w:t>
                  </w:r>
                </w:p>
              </w:tc>
              <w:tc>
                <w:tcPr>
                  <w:tcW w:w="5857" w:type="dxa"/>
                  <w:gridSpan w:val="8"/>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泄漏处理：迅速撤离泄漏污染区人员至安全区，并进行隔离，严格限制出入。切断火源。建议应急处理人员戴自给正压式呼吸器，穿一般作业工作服。尽可能切断泄漏源。防止流入下水道、排洪沟等限制性区域。少量泄漏：用活性碳或其它惰性材料吸收。或在保证安全的情况下，就地焚烧。大量泄漏：构筑围堤或挖坑收容。用转移至槽车或专用收集器，回收或运至废物处理场所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dxa"/>
                  <w:vMerge w:val="continue"/>
                  <w:vAlign w:val="center"/>
                </w:tcPr>
                <w:p>
                  <w:pPr>
                    <w:spacing w:line="240" w:lineRule="auto"/>
                    <w:jc w:val="center"/>
                    <w:rPr>
                      <w:rFonts w:hint="default"/>
                      <w:color w:val="auto"/>
                      <w:sz w:val="21"/>
                      <w:szCs w:val="21"/>
                      <w:vertAlign w:val="baseline"/>
                      <w:lang w:val="en-US" w:eastAsia="zh-CN"/>
                    </w:rPr>
                  </w:pPr>
                </w:p>
              </w:tc>
              <w:tc>
                <w:tcPr>
                  <w:tcW w:w="1512" w:type="dxa"/>
                  <w:vAlign w:val="center"/>
                </w:tcPr>
                <w:p>
                  <w:pPr>
                    <w:spacing w:line="240" w:lineRule="auto"/>
                    <w:jc w:val="both"/>
                    <w:rPr>
                      <w:rFonts w:hint="default"/>
                      <w:color w:val="auto"/>
                      <w:sz w:val="21"/>
                      <w:szCs w:val="21"/>
                      <w:vertAlign w:val="baseline"/>
                      <w:lang w:val="en-US" w:eastAsia="zh-CN"/>
                    </w:rPr>
                  </w:pPr>
                  <w:r>
                    <w:rPr>
                      <w:rFonts w:hint="eastAsia"/>
                      <w:color w:val="auto"/>
                      <w:sz w:val="21"/>
                      <w:szCs w:val="21"/>
                      <w:vertAlign w:val="baseline"/>
                      <w:lang w:val="en-US" w:eastAsia="zh-CN"/>
                    </w:rPr>
                    <w:t>灭火方法</w:t>
                  </w:r>
                </w:p>
              </w:tc>
              <w:tc>
                <w:tcPr>
                  <w:tcW w:w="5857" w:type="dxa"/>
                  <w:gridSpan w:val="8"/>
                  <w:vAlign w:val="top"/>
                </w:tcPr>
                <w:p>
                  <w:pPr>
                    <w:spacing w:line="240" w:lineRule="auto"/>
                    <w:jc w:val="both"/>
                    <w:rPr>
                      <w:rFonts w:hint="default"/>
                      <w:color w:val="auto"/>
                      <w:sz w:val="21"/>
                      <w:szCs w:val="21"/>
                      <w:vertAlign w:val="baseline"/>
                      <w:lang w:val="en-US" w:eastAsia="zh-CN"/>
                    </w:rPr>
                  </w:pPr>
                  <w:r>
                    <w:rPr>
                      <w:rFonts w:hint="default"/>
                      <w:color w:val="auto"/>
                      <w:sz w:val="21"/>
                      <w:szCs w:val="21"/>
                      <w:vertAlign w:val="baseline"/>
                      <w:lang w:val="en-US" w:eastAsia="zh-CN"/>
                    </w:rPr>
                    <w:t>喷水冷却容器，可能的话将容器从火场移至空旷处。喷水保持火场容器冷却，直至灭火结束。处在火场中的容器已变色或从安全泄压装置中产生声音，必须马上撤离。采用雾状水、泡沫、干粉、二氧化碳等灭火剂灭火。</w:t>
                  </w:r>
                </w:p>
              </w:tc>
            </w:tr>
          </w:tbl>
          <w:p>
            <w:pPr>
              <w:ind w:firstLine="480" w:firstLineChars="200"/>
              <w:rPr>
                <w:rFonts w:hint="default"/>
                <w:color w:val="auto"/>
                <w:vertAlign w:val="baseline"/>
                <w:lang w:val="en-US" w:eastAsia="zh-CN"/>
              </w:rPr>
            </w:pPr>
            <w:r>
              <w:rPr>
                <w:rFonts w:hint="default"/>
                <w:color w:val="auto"/>
                <w:vertAlign w:val="baseline"/>
                <w:lang w:val="en-US" w:eastAsia="zh-CN"/>
              </w:rPr>
              <w:t>综合考虑本项目各商品的销售量、理化特征、可燃性、爆炸性等指标，确定汽油、柴油为主要危险物。</w:t>
            </w:r>
          </w:p>
          <w:p>
            <w:pPr>
              <w:ind w:firstLine="480" w:firstLineChars="200"/>
              <w:rPr>
                <w:rFonts w:hint="default"/>
                <w:color w:val="auto"/>
                <w:vertAlign w:val="baseline"/>
                <w:lang w:val="en-US" w:eastAsia="zh-CN"/>
              </w:rPr>
            </w:pPr>
            <w:r>
              <w:rPr>
                <w:rFonts w:hint="eastAsia"/>
                <w:color w:val="auto"/>
                <w:vertAlign w:val="baseline"/>
                <w:lang w:val="en-US" w:eastAsia="zh-CN"/>
              </w:rPr>
              <w:t>（2）</w:t>
            </w:r>
            <w:r>
              <w:rPr>
                <w:rFonts w:hint="default"/>
                <w:color w:val="auto"/>
                <w:vertAlign w:val="baseline"/>
                <w:lang w:val="en-US" w:eastAsia="zh-CN"/>
              </w:rPr>
              <w:t>风险识别范围和类型</w:t>
            </w:r>
          </w:p>
          <w:p>
            <w:pPr>
              <w:ind w:firstLine="480" w:firstLineChars="200"/>
              <w:rPr>
                <w:rFonts w:hint="default"/>
                <w:color w:val="auto"/>
                <w:vertAlign w:val="baseline"/>
                <w:lang w:val="en-US" w:eastAsia="zh-CN"/>
              </w:rPr>
            </w:pPr>
            <w:r>
              <w:rPr>
                <w:rFonts w:hint="default"/>
                <w:color w:val="auto"/>
                <w:vertAlign w:val="baseline"/>
                <w:lang w:val="en-US" w:eastAsia="zh-CN"/>
              </w:rPr>
              <w:t>①识别范围</w:t>
            </w:r>
          </w:p>
          <w:p>
            <w:pPr>
              <w:ind w:firstLine="480" w:firstLineChars="200"/>
              <w:rPr>
                <w:rFonts w:hint="default"/>
                <w:color w:val="auto"/>
                <w:vertAlign w:val="baseline"/>
                <w:lang w:val="en-US" w:eastAsia="zh-CN"/>
              </w:rPr>
            </w:pPr>
            <w:r>
              <w:rPr>
                <w:rFonts w:hint="default"/>
                <w:color w:val="auto"/>
                <w:vertAlign w:val="baseline"/>
                <w:lang w:val="en-US" w:eastAsia="zh-CN"/>
              </w:rPr>
              <w:t>拟建项目环境分析识别范围包括生产设施风险识别和涉及的物质风险识别。通过工程分析和同行业类比确定，拟建项目在营运过程中具有发生潜在风险事故的</w:t>
            </w:r>
            <w:r>
              <w:rPr>
                <w:rFonts w:hint="eastAsia"/>
                <w:color w:val="auto"/>
                <w:vertAlign w:val="baseline"/>
                <w:lang w:val="en-US" w:eastAsia="zh-CN"/>
              </w:rPr>
              <w:t>区域</w:t>
            </w:r>
            <w:r>
              <w:rPr>
                <w:rFonts w:hint="default"/>
                <w:color w:val="auto"/>
                <w:vertAlign w:val="baseline"/>
                <w:lang w:val="en-US" w:eastAsia="zh-CN"/>
              </w:rPr>
              <w:t>主要为储罐</w:t>
            </w:r>
            <w:r>
              <w:rPr>
                <w:rFonts w:hint="eastAsia"/>
                <w:color w:val="auto"/>
                <w:vertAlign w:val="baseline"/>
                <w:lang w:val="en-US" w:eastAsia="zh-CN"/>
              </w:rPr>
              <w:t>区</w:t>
            </w:r>
            <w:r>
              <w:rPr>
                <w:rFonts w:hint="default"/>
                <w:color w:val="auto"/>
                <w:vertAlign w:val="baseline"/>
                <w:lang w:val="en-US" w:eastAsia="zh-CN"/>
              </w:rPr>
              <w:t>、输油管道</w:t>
            </w:r>
            <w:r>
              <w:rPr>
                <w:rFonts w:hint="eastAsia"/>
                <w:color w:val="auto"/>
                <w:vertAlign w:val="baseline"/>
                <w:lang w:val="en-US" w:eastAsia="zh-CN"/>
              </w:rPr>
              <w:t>区、加油区和卸油区</w:t>
            </w:r>
            <w:r>
              <w:rPr>
                <w:rFonts w:hint="default"/>
                <w:color w:val="auto"/>
                <w:vertAlign w:val="baseline"/>
                <w:lang w:val="en-US" w:eastAsia="zh-CN"/>
              </w:rPr>
              <w:t>；具有潜在风险的物质主要为汽油</w:t>
            </w:r>
            <w:r>
              <w:rPr>
                <w:rFonts w:hint="eastAsia"/>
                <w:color w:val="auto"/>
                <w:vertAlign w:val="baseline"/>
                <w:lang w:val="en-US" w:eastAsia="zh-CN"/>
              </w:rPr>
              <w:t>和柴油</w:t>
            </w:r>
            <w:r>
              <w:rPr>
                <w:rFonts w:hint="default"/>
                <w:color w:val="auto"/>
                <w:vertAlign w:val="baseline"/>
                <w:lang w:val="en-US" w:eastAsia="zh-CN"/>
              </w:rPr>
              <w:t>。</w:t>
            </w:r>
          </w:p>
          <w:p>
            <w:pPr>
              <w:ind w:firstLine="480" w:firstLineChars="200"/>
              <w:rPr>
                <w:rFonts w:hint="default"/>
                <w:color w:val="auto"/>
                <w:vertAlign w:val="baseline"/>
                <w:lang w:val="en-US" w:eastAsia="zh-CN"/>
              </w:rPr>
            </w:pPr>
            <w:r>
              <w:rPr>
                <w:rFonts w:hint="default"/>
                <w:color w:val="auto"/>
                <w:vertAlign w:val="baseline"/>
                <w:lang w:val="en-US" w:eastAsia="zh-CN"/>
              </w:rPr>
              <w:t>②识别类型</w:t>
            </w:r>
          </w:p>
          <w:p>
            <w:pPr>
              <w:ind w:firstLine="480" w:firstLineChars="200"/>
              <w:rPr>
                <w:rFonts w:hint="default"/>
                <w:color w:val="auto"/>
                <w:vertAlign w:val="baseline"/>
                <w:lang w:val="en-US" w:eastAsia="zh-CN"/>
              </w:rPr>
            </w:pPr>
            <w:r>
              <w:rPr>
                <w:rFonts w:hint="default"/>
                <w:color w:val="auto"/>
                <w:vertAlign w:val="baseline"/>
                <w:lang w:val="en-US" w:eastAsia="zh-CN"/>
              </w:rPr>
              <w:t>根据相关事故资料类比，加油站在营运期间可能发生的风险事故包括以下几个方面：</w:t>
            </w:r>
          </w:p>
          <w:p>
            <w:pPr>
              <w:ind w:firstLine="480" w:firstLineChars="200"/>
              <w:rPr>
                <w:rFonts w:hint="default"/>
                <w:color w:val="auto"/>
                <w:vertAlign w:val="baseline"/>
                <w:lang w:val="en-US" w:eastAsia="zh-CN"/>
              </w:rPr>
            </w:pPr>
            <w:r>
              <w:rPr>
                <w:rFonts w:hint="default"/>
                <w:color w:val="auto"/>
                <w:vertAlign w:val="baseline"/>
                <w:lang w:val="en-US" w:eastAsia="zh-CN"/>
              </w:rPr>
              <w:t>A.泄露</w:t>
            </w:r>
          </w:p>
          <w:p>
            <w:pPr>
              <w:ind w:firstLine="480" w:firstLineChars="200"/>
              <w:rPr>
                <w:rFonts w:hint="default"/>
                <w:color w:val="auto"/>
                <w:vertAlign w:val="baseline"/>
                <w:lang w:val="en-US" w:eastAsia="zh-CN"/>
              </w:rPr>
            </w:pPr>
            <w:r>
              <w:rPr>
                <w:rFonts w:hint="default"/>
                <w:color w:val="auto"/>
                <w:vertAlign w:val="baseline"/>
                <w:lang w:val="en-US" w:eastAsia="zh-CN"/>
              </w:rPr>
              <w:t>在加油站日常生产过程中，由于部件损坏以及操作不当常常会引起油罐油品的溢出和泄漏事故。</w:t>
            </w:r>
          </w:p>
          <w:p>
            <w:pPr>
              <w:ind w:firstLine="480" w:firstLineChars="200"/>
              <w:rPr>
                <w:rFonts w:hint="default"/>
                <w:color w:val="auto"/>
                <w:vertAlign w:val="baseline"/>
                <w:lang w:val="en-US" w:eastAsia="zh-CN"/>
              </w:rPr>
            </w:pPr>
            <w:r>
              <w:rPr>
                <w:rFonts w:hint="default"/>
                <w:color w:val="auto"/>
                <w:vertAlign w:val="baseline"/>
                <w:lang w:val="en-US" w:eastAsia="zh-CN"/>
              </w:rPr>
              <w:t>B.火灾、爆炸事故</w:t>
            </w:r>
          </w:p>
          <w:p>
            <w:pPr>
              <w:ind w:firstLine="480" w:firstLineChars="200"/>
              <w:rPr>
                <w:rFonts w:hint="default"/>
                <w:color w:val="auto"/>
                <w:vertAlign w:val="baseline"/>
                <w:lang w:val="en-US" w:eastAsia="zh-CN"/>
              </w:rPr>
            </w:pPr>
            <w:r>
              <w:rPr>
                <w:rFonts w:hint="default"/>
                <w:color w:val="auto"/>
                <w:vertAlign w:val="baseline"/>
                <w:lang w:val="en-US" w:eastAsia="zh-CN"/>
              </w:rPr>
              <w:t>在泄漏事故发生后，由于汽油粘度较低，流动扩散性较强，如有泄漏很快向四周渗透或扩散，如遇明火将引发火灾事故。汽油燃烧后蒸汽压升高、体积膨胀，若容器罐装过满或储存密闭容器中，会导致油罐膨胀，甚至爆炸引起火灾。</w:t>
            </w:r>
            <w:r>
              <w:rPr>
                <w:rFonts w:hint="eastAsia"/>
                <w:color w:val="auto"/>
                <w:vertAlign w:val="baseline"/>
                <w:lang w:val="en-US" w:eastAsia="zh-CN"/>
              </w:rPr>
              <w:t>柴油遇明火、高热或与氧化剂接触也有可能引起燃烧爆炸的危险。若遇高热，容器内压增大，有开裂和爆炸的危险。</w:t>
            </w:r>
            <w:r>
              <w:rPr>
                <w:rFonts w:hint="default"/>
                <w:color w:val="auto"/>
                <w:vertAlign w:val="baseline"/>
                <w:lang w:val="en-US" w:eastAsia="zh-CN"/>
              </w:rPr>
              <w:t>此外，在加油作业时由于油品输出使罐内形成负压，在罐外燃烧的火焰可能会被吸入储油罐内，也会使罐内回火燃烧发生爆炸。</w:t>
            </w:r>
          </w:p>
          <w:p>
            <w:pPr>
              <w:ind w:firstLine="480" w:firstLineChars="200"/>
              <w:rPr>
                <w:rFonts w:hint="default"/>
                <w:color w:val="auto"/>
                <w:vertAlign w:val="baseline"/>
                <w:lang w:val="en-US" w:eastAsia="zh-CN"/>
              </w:rPr>
            </w:pPr>
            <w:r>
              <w:rPr>
                <w:rFonts w:hint="eastAsia"/>
                <w:color w:val="auto"/>
                <w:vertAlign w:val="baseline"/>
                <w:lang w:val="en-US" w:eastAsia="zh-CN"/>
              </w:rPr>
              <w:t>（3）</w:t>
            </w:r>
            <w:r>
              <w:rPr>
                <w:rFonts w:hint="default"/>
                <w:color w:val="auto"/>
                <w:vertAlign w:val="baseline"/>
                <w:lang w:val="en-US" w:eastAsia="zh-CN"/>
              </w:rPr>
              <w:t>环境风险潜势初判</w:t>
            </w:r>
          </w:p>
          <w:p>
            <w:pPr>
              <w:ind w:firstLine="480" w:firstLineChars="200"/>
              <w:rPr>
                <w:rFonts w:hint="default"/>
                <w:color w:val="auto"/>
                <w:vertAlign w:val="baseline"/>
                <w:lang w:val="en-US" w:eastAsia="zh-CN"/>
              </w:rPr>
            </w:pPr>
            <w:r>
              <w:rPr>
                <w:rFonts w:hint="default"/>
                <w:color w:val="auto"/>
                <w:vertAlign w:val="baseline"/>
                <w:lang w:val="en-US" w:eastAsia="zh-CN"/>
              </w:rPr>
              <w:t>根据《危险化学品重大危险源辩识》（GB18218-2009），重大危险源辨识指标有两种情况：</w:t>
            </w:r>
          </w:p>
          <w:p>
            <w:pPr>
              <w:ind w:firstLine="480" w:firstLineChars="200"/>
              <w:rPr>
                <w:rFonts w:hint="default"/>
                <w:color w:val="auto"/>
                <w:vertAlign w:val="baseline"/>
                <w:lang w:val="en-US" w:eastAsia="zh-CN"/>
              </w:rPr>
            </w:pPr>
            <w:r>
              <w:rPr>
                <w:rFonts w:hint="default"/>
                <w:color w:val="auto"/>
                <w:vertAlign w:val="baseline"/>
                <w:lang w:val="en-US" w:eastAsia="zh-CN"/>
              </w:rPr>
              <w:t>①单元内存在的危险物质为单一品种，则该物质的数量即为单元内危险物质的总量，若等于或超过相应的临界量，则定为重大危险源。</w:t>
            </w:r>
          </w:p>
          <w:p>
            <w:pPr>
              <w:ind w:firstLine="480" w:firstLineChars="200"/>
              <w:rPr>
                <w:rFonts w:hint="default"/>
                <w:color w:val="auto"/>
                <w:vertAlign w:val="baseline"/>
                <w:lang w:val="en-US" w:eastAsia="zh-CN"/>
              </w:rPr>
            </w:pPr>
            <w:r>
              <w:rPr>
                <w:rFonts w:hint="default"/>
                <w:color w:val="auto"/>
                <w:vertAlign w:val="baseline"/>
                <w:lang w:val="en-US" w:eastAsia="zh-CN"/>
              </w:rPr>
              <w:t>②单元内存在的危险物质为多品种时，则按下式计算，若满足下式，则定为重大危险源。</w:t>
            </w:r>
          </w:p>
          <w:p>
            <w:pPr>
              <w:ind w:firstLine="1200" w:firstLineChars="500"/>
              <w:rPr>
                <w:rFonts w:hint="default"/>
                <w:color w:val="auto"/>
                <w:vertAlign w:val="baseline"/>
                <w:lang w:val="en-US" w:eastAsia="zh-CN"/>
              </w:rPr>
            </w:pPr>
            <w:r>
              <w:rPr>
                <w:rFonts w:hint="default"/>
                <w:color w:val="auto"/>
                <w:vertAlign w:val="baseline"/>
                <w:lang w:val="en-US" w:eastAsia="zh-CN"/>
              </w:rPr>
              <w:t>q</w:t>
            </w:r>
            <w:r>
              <w:rPr>
                <w:rFonts w:hint="default"/>
                <w:color w:val="auto"/>
                <w:vertAlign w:val="subscript"/>
                <w:lang w:val="en-US" w:eastAsia="zh-CN"/>
              </w:rPr>
              <w:t>1</w:t>
            </w:r>
            <w:r>
              <w:rPr>
                <w:rFonts w:hint="default" w:ascii="Calibri" w:hAnsi="Calibri" w:cs="Calibri"/>
                <w:color w:val="auto"/>
                <w:vertAlign w:val="baseline"/>
                <w:lang w:val="en-US" w:eastAsia="zh-CN"/>
              </w:rPr>
              <w:t>/</w:t>
            </w:r>
            <w:r>
              <w:rPr>
                <w:rFonts w:hint="default"/>
                <w:color w:val="auto"/>
                <w:vertAlign w:val="baseline"/>
                <w:lang w:val="en-US" w:eastAsia="zh-CN"/>
              </w:rPr>
              <w:t>Q</w:t>
            </w:r>
            <w:r>
              <w:rPr>
                <w:rFonts w:hint="default"/>
                <w:color w:val="auto"/>
                <w:vertAlign w:val="subscript"/>
                <w:lang w:val="en-US" w:eastAsia="zh-CN"/>
              </w:rPr>
              <w:t>1</w:t>
            </w:r>
            <w:r>
              <w:rPr>
                <w:rFonts w:hint="default"/>
                <w:color w:val="auto"/>
                <w:vertAlign w:val="baseline"/>
                <w:lang w:val="en-US" w:eastAsia="zh-CN"/>
              </w:rPr>
              <w:t xml:space="preserve"> + q</w:t>
            </w:r>
            <w:r>
              <w:rPr>
                <w:rFonts w:hint="default"/>
                <w:color w:val="auto"/>
                <w:vertAlign w:val="subscript"/>
                <w:lang w:val="en-US" w:eastAsia="zh-CN"/>
              </w:rPr>
              <w:t>2</w:t>
            </w:r>
            <w:r>
              <w:rPr>
                <w:rFonts w:hint="default" w:ascii="Calibri" w:hAnsi="Calibri" w:cs="Calibri"/>
                <w:color w:val="auto"/>
                <w:vertAlign w:val="baseline"/>
                <w:lang w:val="en-US" w:eastAsia="zh-CN"/>
              </w:rPr>
              <w:t>/</w:t>
            </w:r>
            <w:r>
              <w:rPr>
                <w:rFonts w:hint="default"/>
                <w:color w:val="auto"/>
                <w:vertAlign w:val="baseline"/>
                <w:lang w:val="en-US" w:eastAsia="zh-CN"/>
              </w:rPr>
              <w:t>Q</w:t>
            </w:r>
            <w:r>
              <w:rPr>
                <w:rFonts w:hint="default"/>
                <w:color w:val="auto"/>
                <w:vertAlign w:val="subscript"/>
                <w:lang w:val="en-US" w:eastAsia="zh-CN"/>
              </w:rPr>
              <w:t>2</w:t>
            </w:r>
            <w:r>
              <w:rPr>
                <w:rFonts w:hint="default"/>
                <w:color w:val="auto"/>
                <w:vertAlign w:val="baseline"/>
                <w:lang w:val="en-US" w:eastAsia="zh-CN"/>
              </w:rPr>
              <w:t xml:space="preserve"> + … + q</w:t>
            </w:r>
            <w:r>
              <w:rPr>
                <w:rFonts w:hint="default"/>
                <w:color w:val="auto"/>
                <w:vertAlign w:val="subscript"/>
                <w:lang w:val="en-US" w:eastAsia="zh-CN"/>
              </w:rPr>
              <w:t>n</w:t>
            </w:r>
            <w:r>
              <w:rPr>
                <w:rFonts w:hint="default" w:ascii="Calibri" w:hAnsi="Calibri" w:cs="Calibri"/>
                <w:color w:val="auto"/>
                <w:vertAlign w:val="baseline"/>
                <w:lang w:val="en-US" w:eastAsia="zh-CN"/>
              </w:rPr>
              <w:t>/</w:t>
            </w:r>
            <w:r>
              <w:rPr>
                <w:rFonts w:hint="default"/>
                <w:color w:val="auto"/>
                <w:vertAlign w:val="baseline"/>
                <w:lang w:val="en-US" w:eastAsia="zh-CN"/>
              </w:rPr>
              <w:t>Q</w:t>
            </w:r>
            <w:r>
              <w:rPr>
                <w:rFonts w:hint="default"/>
                <w:color w:val="auto"/>
                <w:vertAlign w:val="subscript"/>
                <w:lang w:val="en-US" w:eastAsia="zh-CN"/>
              </w:rPr>
              <w:t>n</w:t>
            </w:r>
            <w:r>
              <w:rPr>
                <w:rFonts w:hint="default"/>
                <w:color w:val="auto"/>
                <w:vertAlign w:val="baseline"/>
                <w:lang w:val="en-US" w:eastAsia="zh-CN"/>
              </w:rPr>
              <w:t xml:space="preserve"> ≥1</w:t>
            </w:r>
          </w:p>
          <w:p>
            <w:pPr>
              <w:ind w:firstLine="480" w:firstLineChars="200"/>
              <w:rPr>
                <w:rFonts w:hint="default"/>
                <w:color w:val="auto"/>
                <w:vertAlign w:val="baseline"/>
                <w:lang w:val="en-US" w:eastAsia="zh-CN"/>
              </w:rPr>
            </w:pPr>
            <w:r>
              <w:rPr>
                <w:rFonts w:hint="default"/>
                <w:color w:val="auto"/>
                <w:vertAlign w:val="baseline"/>
                <w:lang w:val="en-US" w:eastAsia="zh-CN"/>
              </w:rPr>
              <w:t>式中，q</w:t>
            </w:r>
            <w:r>
              <w:rPr>
                <w:rFonts w:hint="default"/>
                <w:color w:val="auto"/>
                <w:vertAlign w:val="subscript"/>
                <w:lang w:val="en-US" w:eastAsia="zh-CN"/>
              </w:rPr>
              <w:t>1</w:t>
            </w:r>
            <w:r>
              <w:rPr>
                <w:rFonts w:hint="default"/>
                <w:color w:val="auto"/>
                <w:vertAlign w:val="baseline"/>
                <w:lang w:val="en-US" w:eastAsia="zh-CN"/>
              </w:rPr>
              <w:t>，q</w:t>
            </w:r>
            <w:r>
              <w:rPr>
                <w:rFonts w:hint="default"/>
                <w:color w:val="auto"/>
                <w:vertAlign w:val="subscript"/>
                <w:lang w:val="en-US" w:eastAsia="zh-CN"/>
              </w:rPr>
              <w:t>2</w:t>
            </w:r>
            <w:r>
              <w:rPr>
                <w:rFonts w:hint="default"/>
                <w:color w:val="auto"/>
                <w:vertAlign w:val="baseline"/>
                <w:lang w:val="en-US" w:eastAsia="zh-CN"/>
              </w:rPr>
              <w:t>，……，q</w:t>
            </w:r>
            <w:r>
              <w:rPr>
                <w:rFonts w:hint="default"/>
                <w:color w:val="auto"/>
                <w:vertAlign w:val="subscript"/>
                <w:lang w:val="en-US" w:eastAsia="zh-CN"/>
              </w:rPr>
              <w:t>n</w:t>
            </w:r>
            <w:r>
              <w:rPr>
                <w:rFonts w:hint="default"/>
                <w:color w:val="auto"/>
                <w:vertAlign w:val="baseline"/>
                <w:lang w:val="en-US" w:eastAsia="zh-CN"/>
              </w:rPr>
              <w:t xml:space="preserve"> 为每种危险物质实际存在量，t；</w:t>
            </w:r>
          </w:p>
          <w:p>
            <w:pPr>
              <w:ind w:firstLine="480" w:firstLineChars="200"/>
              <w:rPr>
                <w:rFonts w:hint="default"/>
                <w:color w:val="auto"/>
                <w:vertAlign w:val="baseline"/>
                <w:lang w:val="en-US" w:eastAsia="zh-CN"/>
              </w:rPr>
            </w:pPr>
            <w:r>
              <w:rPr>
                <w:rFonts w:hint="default"/>
                <w:color w:val="auto"/>
                <w:vertAlign w:val="baseline"/>
                <w:lang w:val="en-US" w:eastAsia="zh-CN"/>
              </w:rPr>
              <w:t>Q</w:t>
            </w:r>
            <w:r>
              <w:rPr>
                <w:rFonts w:hint="default"/>
                <w:color w:val="auto"/>
                <w:vertAlign w:val="subscript"/>
                <w:lang w:val="en-US" w:eastAsia="zh-CN"/>
              </w:rPr>
              <w:t>1</w:t>
            </w:r>
            <w:r>
              <w:rPr>
                <w:rFonts w:hint="default"/>
                <w:color w:val="auto"/>
                <w:vertAlign w:val="baseline"/>
                <w:lang w:val="en-US" w:eastAsia="zh-CN"/>
              </w:rPr>
              <w:t>，Q</w:t>
            </w:r>
            <w:r>
              <w:rPr>
                <w:rFonts w:hint="default"/>
                <w:color w:val="auto"/>
                <w:vertAlign w:val="subscript"/>
                <w:lang w:val="en-US" w:eastAsia="zh-CN"/>
              </w:rPr>
              <w:t>2</w:t>
            </w:r>
            <w:r>
              <w:rPr>
                <w:rFonts w:hint="default"/>
                <w:color w:val="auto"/>
                <w:vertAlign w:val="baseline"/>
                <w:lang w:val="en-US" w:eastAsia="zh-CN"/>
              </w:rPr>
              <w:t>，……，Q</w:t>
            </w:r>
            <w:r>
              <w:rPr>
                <w:rFonts w:hint="default"/>
                <w:color w:val="auto"/>
                <w:vertAlign w:val="subscript"/>
                <w:lang w:val="en-US" w:eastAsia="zh-CN"/>
              </w:rPr>
              <w:t>n</w:t>
            </w:r>
            <w:r>
              <w:rPr>
                <w:rFonts w:hint="default"/>
                <w:color w:val="auto"/>
                <w:vertAlign w:val="baseline"/>
                <w:lang w:val="en-US" w:eastAsia="zh-CN"/>
              </w:rPr>
              <w:t xml:space="preserve"> 为与各危险物质相对应的生产场所或贮存区的临界量，t。</w:t>
            </w:r>
          </w:p>
          <w:p>
            <w:pPr>
              <w:ind w:firstLine="480" w:firstLineChars="200"/>
              <w:rPr>
                <w:rFonts w:hint="default"/>
                <w:color w:val="auto"/>
                <w:vertAlign w:val="baseline"/>
                <w:lang w:val="en-US" w:eastAsia="zh-CN"/>
              </w:rPr>
            </w:pPr>
            <w:r>
              <w:rPr>
                <w:rFonts w:hint="default"/>
                <w:color w:val="auto"/>
                <w:vertAlign w:val="baseline"/>
                <w:lang w:val="en-US" w:eastAsia="zh-CN"/>
              </w:rPr>
              <w:t>参照《建设项目环境风险评价技术导则》，结合《危险化学品安全管理条例》（国务院令第344号），根据《危险化学品重大危险源辩识》（GB18218-2009）中规定，对照《易制毒化学品管理条例》（国务院令445号），对拟建项目所涉及的危险物质的危险性、储量、易制毒进行识别，并按照《危险化学品重大危险源辩识》（GB18218-2009）进行计算，具体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18</w:t>
            </w:r>
            <w:r>
              <w:rPr>
                <w:rFonts w:hint="default"/>
                <w:color w:val="auto"/>
                <w:vertAlign w:val="baseline"/>
                <w:lang w:eastAsia="zh-CN"/>
              </w:rPr>
              <w:fldChar w:fldCharType="end"/>
            </w:r>
            <w:r>
              <w:rPr>
                <w:rFonts w:hint="default"/>
                <w:color w:val="auto"/>
                <w:vertAlign w:val="baseline"/>
                <w:lang w:val="en-US" w:eastAsia="zh-CN"/>
              </w:rPr>
              <w:t>。</w:t>
            </w:r>
          </w:p>
          <w:p>
            <w:pPr>
              <w:spacing w:line="240" w:lineRule="auto"/>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val="en-US" w:eastAsia="zh-CN"/>
              </w:rPr>
              <w:fldChar w:fldCharType="begin"/>
            </w:r>
            <w:r>
              <w:rPr>
                <w:rFonts w:hint="default"/>
                <w:b/>
                <w:bCs/>
                <w:color w:val="auto"/>
                <w:vertAlign w:val="baseline"/>
                <w:lang w:val="en-US" w:eastAsia="zh-CN"/>
              </w:rPr>
              <w:instrText xml:space="preserve"> SEQ 表4- </w:instrText>
            </w:r>
            <w:r>
              <w:rPr>
                <w:rFonts w:hint="default"/>
                <w:b/>
                <w:bCs/>
                <w:color w:val="auto"/>
                <w:vertAlign w:val="baseline"/>
                <w:lang w:val="en-US" w:eastAsia="zh-CN"/>
              </w:rPr>
              <w:fldChar w:fldCharType="separate"/>
            </w:r>
            <w:r>
              <w:rPr>
                <w:rFonts w:hint="default"/>
                <w:b/>
                <w:bCs/>
                <w:color w:val="auto"/>
                <w:vertAlign w:val="baseline"/>
                <w:lang w:val="en-US" w:eastAsia="zh-CN"/>
              </w:rPr>
              <w:t>18</w:t>
            </w:r>
            <w:r>
              <w:rPr>
                <w:rFonts w:hint="default"/>
                <w:b/>
                <w:bCs/>
                <w:color w:val="auto"/>
                <w:vertAlign w:val="baseline"/>
                <w:lang w:val="en-US" w:eastAsia="zh-CN"/>
              </w:rPr>
              <w:fldChar w:fldCharType="end"/>
            </w:r>
            <w:r>
              <w:rPr>
                <w:rFonts w:hint="default"/>
                <w:b/>
                <w:bCs/>
                <w:color w:val="auto"/>
                <w:vertAlign w:val="baseline"/>
                <w:lang w:val="en-US" w:eastAsia="zh-CN"/>
              </w:rPr>
              <w:t xml:space="preserve">  重大危险源识别表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9"/>
              <w:gridCol w:w="979"/>
              <w:gridCol w:w="980"/>
              <w:gridCol w:w="981"/>
              <w:gridCol w:w="981"/>
              <w:gridCol w:w="796"/>
              <w:gridCol w:w="1075"/>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物料名称</w:t>
                  </w:r>
                </w:p>
              </w:tc>
              <w:tc>
                <w:tcPr>
                  <w:tcW w:w="97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危险性</w:t>
                  </w:r>
                </w:p>
              </w:tc>
              <w:tc>
                <w:tcPr>
                  <w:tcW w:w="980"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临界储量</w:t>
                  </w:r>
                </w:p>
              </w:tc>
              <w:tc>
                <w:tcPr>
                  <w:tcW w:w="981"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实际储量</w:t>
                  </w:r>
                </w:p>
              </w:tc>
              <w:tc>
                <w:tcPr>
                  <w:tcW w:w="98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Q</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q</w:t>
                  </w:r>
                  <w:r>
                    <w:rPr>
                      <w:rFonts w:hint="default" w:ascii="Calibri" w:hAnsi="Calibri" w:eastAsia="宋体" w:cs="Calibri"/>
                      <w:color w:val="auto"/>
                      <w:sz w:val="21"/>
                      <w:szCs w:val="21"/>
                      <w:vertAlign w:val="baseline"/>
                      <w:lang w:val="en-US" w:eastAsia="zh-CN"/>
                    </w:rPr>
                    <w:t>/</w:t>
                  </w:r>
                  <w:r>
                    <w:rPr>
                      <w:rFonts w:hint="eastAsia" w:eastAsia="宋体"/>
                      <w:color w:val="auto"/>
                      <w:sz w:val="21"/>
                      <w:szCs w:val="21"/>
                      <w:vertAlign w:val="baseline"/>
                      <w:lang w:val="en-US" w:eastAsia="zh-CN"/>
                    </w:rPr>
                    <w:t>Q</w:t>
                  </w:r>
                </w:p>
              </w:tc>
              <w:tc>
                <w:tcPr>
                  <w:tcW w:w="796"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ΣQ</w:t>
                  </w:r>
                </w:p>
              </w:tc>
              <w:tc>
                <w:tcPr>
                  <w:tcW w:w="10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是否重大危险源</w:t>
                  </w:r>
                </w:p>
              </w:tc>
              <w:tc>
                <w:tcPr>
                  <w:tcW w:w="107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是否易制毒化学品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汽油</w:t>
                  </w:r>
                </w:p>
              </w:tc>
              <w:tc>
                <w:tcPr>
                  <w:tcW w:w="97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易燃</w:t>
                  </w:r>
                </w:p>
              </w:tc>
              <w:tc>
                <w:tcPr>
                  <w:tcW w:w="98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2500t</w:t>
                  </w:r>
                </w:p>
              </w:tc>
              <w:tc>
                <w:tcPr>
                  <w:tcW w:w="98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82.08 t</w:t>
                  </w:r>
                </w:p>
              </w:tc>
              <w:tc>
                <w:tcPr>
                  <w:tcW w:w="98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0.0328</w:t>
                  </w:r>
                </w:p>
              </w:tc>
              <w:tc>
                <w:tcPr>
                  <w:tcW w:w="796" w:type="dxa"/>
                  <w:vMerge w:val="restart"/>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0</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0449</w:t>
                  </w:r>
                </w:p>
              </w:tc>
              <w:tc>
                <w:tcPr>
                  <w:tcW w:w="10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否</w:t>
                  </w:r>
                </w:p>
              </w:tc>
              <w:tc>
                <w:tcPr>
                  <w:tcW w:w="107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柴油</w:t>
                  </w:r>
                </w:p>
              </w:tc>
              <w:tc>
                <w:tcPr>
                  <w:tcW w:w="97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易燃</w:t>
                  </w:r>
                </w:p>
              </w:tc>
              <w:tc>
                <w:tcPr>
                  <w:tcW w:w="980"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2500t</w:t>
                  </w:r>
                </w:p>
              </w:tc>
              <w:tc>
                <w:tcPr>
                  <w:tcW w:w="98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30.24 t</w:t>
                  </w:r>
                </w:p>
              </w:tc>
              <w:tc>
                <w:tcPr>
                  <w:tcW w:w="981" w:type="dxa"/>
                  <w:vAlign w:val="center"/>
                </w:tcPr>
                <w:p>
                  <w:pPr>
                    <w:spacing w:line="240" w:lineRule="auto"/>
                    <w:jc w:val="center"/>
                    <w:rPr>
                      <w:rFonts w:hint="default"/>
                      <w:color w:val="auto"/>
                      <w:sz w:val="21"/>
                      <w:szCs w:val="21"/>
                      <w:vertAlign w:val="baseline"/>
                      <w:lang w:val="en-US" w:eastAsia="zh-CN"/>
                    </w:rPr>
                  </w:pPr>
                  <w:r>
                    <w:rPr>
                      <w:rFonts w:hint="eastAsia" w:eastAsia="宋体"/>
                      <w:color w:val="auto"/>
                      <w:sz w:val="21"/>
                      <w:szCs w:val="21"/>
                      <w:vertAlign w:val="baseline"/>
                      <w:lang w:val="en-US" w:eastAsia="zh-CN"/>
                    </w:rPr>
                    <w:t>0</w:t>
                  </w:r>
                  <w:r>
                    <w:rPr>
                      <w:rFonts w:hint="default" w:eastAsia="宋体"/>
                      <w:color w:val="auto"/>
                      <w:sz w:val="21"/>
                      <w:szCs w:val="21"/>
                      <w:vertAlign w:val="baseline"/>
                      <w:lang w:val="en-US" w:eastAsia="zh-CN"/>
                    </w:rPr>
                    <w:t>.</w:t>
                  </w:r>
                  <w:r>
                    <w:rPr>
                      <w:rFonts w:hint="eastAsia" w:eastAsia="宋体"/>
                      <w:color w:val="auto"/>
                      <w:sz w:val="21"/>
                      <w:szCs w:val="21"/>
                      <w:vertAlign w:val="baseline"/>
                      <w:lang w:val="en-US" w:eastAsia="zh-CN"/>
                    </w:rPr>
                    <w:t>0121</w:t>
                  </w:r>
                </w:p>
              </w:tc>
              <w:tc>
                <w:tcPr>
                  <w:tcW w:w="796" w:type="dxa"/>
                  <w:vMerge w:val="continue"/>
                  <w:vAlign w:val="center"/>
                </w:tcPr>
                <w:p>
                  <w:pPr>
                    <w:spacing w:line="240" w:lineRule="auto"/>
                    <w:jc w:val="center"/>
                    <w:rPr>
                      <w:rFonts w:hint="default"/>
                      <w:color w:val="auto"/>
                      <w:sz w:val="21"/>
                      <w:szCs w:val="21"/>
                      <w:vertAlign w:val="baseline"/>
                      <w:lang w:val="en-US" w:eastAsia="zh-CN"/>
                    </w:rPr>
                  </w:pPr>
                </w:p>
              </w:tc>
              <w:tc>
                <w:tcPr>
                  <w:tcW w:w="1075"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否</w:t>
                  </w:r>
                </w:p>
              </w:tc>
              <w:tc>
                <w:tcPr>
                  <w:tcW w:w="1072"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否</w:t>
                  </w:r>
                </w:p>
              </w:tc>
            </w:tr>
          </w:tbl>
          <w:p>
            <w:pPr>
              <w:ind w:firstLine="480" w:firstLineChars="200"/>
              <w:rPr>
                <w:rFonts w:hint="default"/>
                <w:color w:val="auto"/>
                <w:vertAlign w:val="baseline"/>
                <w:lang w:val="en-US" w:eastAsia="zh-CN"/>
              </w:rPr>
            </w:pPr>
            <w:r>
              <w:rPr>
                <w:rFonts w:hint="default"/>
                <w:color w:val="auto"/>
                <w:vertAlign w:val="baseline"/>
                <w:lang w:val="en-US" w:eastAsia="zh-CN"/>
              </w:rPr>
              <w:t>由上表可知，本项目 Q＜1，本项目环境风险潜势为Ⅰ级</w:t>
            </w:r>
          </w:p>
          <w:p>
            <w:pPr>
              <w:ind w:firstLine="480" w:firstLineChars="200"/>
              <w:rPr>
                <w:rFonts w:hint="default"/>
                <w:color w:val="auto"/>
                <w:vertAlign w:val="baseline"/>
                <w:lang w:val="en-US" w:eastAsia="zh-CN"/>
              </w:rPr>
            </w:pPr>
            <w:r>
              <w:rPr>
                <w:rFonts w:hint="eastAsia"/>
                <w:color w:val="auto"/>
                <w:vertAlign w:val="baseline"/>
                <w:lang w:val="en-US" w:eastAsia="zh-CN"/>
              </w:rPr>
              <w:t>（4）</w:t>
            </w:r>
            <w:r>
              <w:rPr>
                <w:rFonts w:hint="default"/>
                <w:color w:val="auto"/>
                <w:vertAlign w:val="baseline"/>
                <w:lang w:val="en-US" w:eastAsia="zh-CN"/>
              </w:rPr>
              <w:t>评价工作等级</w:t>
            </w:r>
          </w:p>
          <w:p>
            <w:pPr>
              <w:ind w:firstLine="480" w:firstLineChars="200"/>
              <w:rPr>
                <w:rFonts w:hint="default"/>
                <w:color w:val="auto"/>
                <w:vertAlign w:val="baseline"/>
                <w:lang w:val="en-US" w:eastAsia="zh-CN"/>
              </w:rPr>
            </w:pPr>
            <w:r>
              <w:rPr>
                <w:rFonts w:hint="default"/>
                <w:color w:val="auto"/>
                <w:vertAlign w:val="baseline"/>
                <w:lang w:val="en-US" w:eastAsia="zh-CN"/>
              </w:rPr>
              <w:t>根据《建设项目环境风险评价技术导则》（HJ169-2018），详见表4-</w:t>
            </w:r>
            <w:r>
              <w:rPr>
                <w:rFonts w:hint="default"/>
                <w:color w:val="auto"/>
                <w:vertAlign w:val="baseline"/>
                <w:lang w:eastAsia="zh-CN"/>
              </w:rPr>
              <w:fldChar w:fldCharType="begin"/>
            </w:r>
            <w:r>
              <w:rPr>
                <w:rFonts w:hint="default"/>
                <w:color w:val="auto"/>
                <w:vertAlign w:val="baseline"/>
                <w:lang w:eastAsia="zh-CN"/>
              </w:rPr>
              <w:instrText xml:space="preserve"> SEQ 4- </w:instrText>
            </w:r>
            <w:r>
              <w:rPr>
                <w:rFonts w:hint="default"/>
                <w:color w:val="auto"/>
                <w:vertAlign w:val="baseline"/>
                <w:lang w:eastAsia="zh-CN"/>
              </w:rPr>
              <w:fldChar w:fldCharType="separate"/>
            </w:r>
            <w:r>
              <w:rPr>
                <w:rFonts w:hint="default"/>
                <w:color w:val="auto"/>
                <w:vertAlign w:val="baseline"/>
                <w:lang w:eastAsia="zh-CN"/>
              </w:rPr>
              <w:t>19</w:t>
            </w:r>
            <w:r>
              <w:rPr>
                <w:rFonts w:hint="default"/>
                <w:color w:val="auto"/>
                <w:vertAlign w:val="baseline"/>
                <w:lang w:eastAsia="zh-CN"/>
              </w:rPr>
              <w:fldChar w:fldCharType="end"/>
            </w:r>
            <w:r>
              <w:rPr>
                <w:rFonts w:hint="default"/>
                <w:color w:val="auto"/>
                <w:vertAlign w:val="baseline"/>
                <w:lang w:val="en-US" w:eastAsia="zh-CN"/>
              </w:rPr>
              <w:t>，本次风险评价工作可展开简单分析。</w:t>
            </w:r>
          </w:p>
          <w:p>
            <w:pPr>
              <w:spacing w:line="240" w:lineRule="auto"/>
              <w:jc w:val="center"/>
              <w:rPr>
                <w:rFonts w:hint="default"/>
                <w:b/>
                <w:bCs/>
                <w:sz w:val="24"/>
                <w:szCs w:val="24"/>
                <w:lang w:val="en-US" w:eastAsia="zh-CN"/>
              </w:rPr>
            </w:pPr>
            <w:r>
              <w:rPr>
                <w:rFonts w:hint="default"/>
                <w:b/>
                <w:bCs/>
                <w:sz w:val="24"/>
                <w:szCs w:val="24"/>
                <w:lang w:val="en-US" w:eastAsia="zh-CN"/>
              </w:rPr>
              <w:t>表4-</w:t>
            </w:r>
            <w:r>
              <w:rPr>
                <w:rFonts w:hint="default"/>
                <w:b/>
                <w:bCs/>
                <w:sz w:val="24"/>
                <w:szCs w:val="24"/>
                <w:lang w:eastAsia="zh-CN"/>
              </w:rPr>
              <w:fldChar w:fldCharType="begin"/>
            </w:r>
            <w:r>
              <w:rPr>
                <w:rFonts w:hint="default"/>
                <w:b/>
                <w:bCs/>
                <w:sz w:val="24"/>
                <w:szCs w:val="24"/>
                <w:lang w:eastAsia="zh-CN"/>
              </w:rPr>
              <w:instrText xml:space="preserve"> SEQ 表4- \* MERGEFORMAT </w:instrText>
            </w:r>
            <w:r>
              <w:rPr>
                <w:rFonts w:hint="default"/>
                <w:b/>
                <w:bCs/>
                <w:sz w:val="24"/>
                <w:szCs w:val="24"/>
                <w:lang w:eastAsia="zh-CN"/>
              </w:rPr>
              <w:fldChar w:fldCharType="separate"/>
            </w:r>
            <w:r>
              <w:rPr>
                <w:rFonts w:hint="default"/>
                <w:b/>
                <w:bCs/>
                <w:sz w:val="24"/>
                <w:szCs w:val="24"/>
                <w:lang w:eastAsia="zh-CN"/>
              </w:rPr>
              <w:t>19</w:t>
            </w:r>
            <w:r>
              <w:rPr>
                <w:rFonts w:hint="default"/>
                <w:b/>
                <w:bCs/>
                <w:sz w:val="24"/>
                <w:szCs w:val="24"/>
                <w:lang w:eastAsia="zh-CN"/>
              </w:rPr>
              <w:fldChar w:fldCharType="end"/>
            </w:r>
            <w:r>
              <w:rPr>
                <w:rFonts w:hint="default"/>
                <w:b/>
                <w:bCs/>
                <w:sz w:val="24"/>
                <w:szCs w:val="24"/>
                <w:lang w:val="en-US" w:eastAsia="zh-CN"/>
              </w:rPr>
              <w:t xml:space="preserve"> </w:t>
            </w:r>
            <w:r>
              <w:rPr>
                <w:rFonts w:hint="eastAsia"/>
                <w:b/>
                <w:bCs/>
                <w:sz w:val="24"/>
                <w:szCs w:val="24"/>
                <w:lang w:val="en-US" w:eastAsia="zh-CN"/>
              </w:rPr>
              <w:t xml:space="preserve"> </w:t>
            </w:r>
            <w:r>
              <w:rPr>
                <w:rFonts w:hint="default"/>
                <w:b/>
                <w:bCs/>
                <w:sz w:val="24"/>
                <w:szCs w:val="24"/>
                <w:lang w:val="en-US" w:eastAsia="zh-CN"/>
              </w:rPr>
              <w:t>环境影响风险评价等级表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568"/>
              <w:gridCol w:w="1569"/>
              <w:gridCol w:w="1569"/>
              <w:gridCol w:w="15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环境风险潜势</w:t>
                  </w:r>
                </w:p>
              </w:tc>
              <w:tc>
                <w:tcPr>
                  <w:tcW w:w="1568"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Ⅳ、Ⅳ+</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Ⅲ</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Ⅱ</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评价工作等级</w:t>
                  </w:r>
                </w:p>
              </w:tc>
              <w:tc>
                <w:tcPr>
                  <w:tcW w:w="1568"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一</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二</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三</w:t>
                  </w:r>
                </w:p>
              </w:tc>
              <w:tc>
                <w:tcPr>
                  <w:tcW w:w="1569"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简单分析</w:t>
                  </w:r>
                  <w:r>
                    <w:rPr>
                      <w:rFonts w:hint="eastAsia" w:eastAsia="宋体"/>
                      <w:color w:val="auto"/>
                      <w:sz w:val="21"/>
                      <w:szCs w:val="21"/>
                      <w:vertAlign w:val="superscript"/>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43" w:type="dxa"/>
                  <w:gridSpan w:val="5"/>
                  <w:vAlign w:val="center"/>
                </w:tcPr>
                <w:p>
                  <w:pPr>
                    <w:spacing w:line="240" w:lineRule="auto"/>
                    <w:jc w:val="left"/>
                    <w:rPr>
                      <w:rFonts w:hint="default"/>
                      <w:color w:val="auto"/>
                      <w:sz w:val="21"/>
                      <w:szCs w:val="21"/>
                      <w:vertAlign w:val="baseline"/>
                      <w:lang w:val="en-US" w:eastAsia="zh-CN"/>
                    </w:rPr>
                  </w:pPr>
                  <w:r>
                    <w:rPr>
                      <w:rFonts w:hint="eastAsia"/>
                      <w:color w:val="auto"/>
                      <w:sz w:val="21"/>
                      <w:szCs w:val="21"/>
                      <w:vertAlign w:val="baseline"/>
                      <w:lang w:val="en-US" w:eastAsia="zh-CN"/>
                    </w:rPr>
                    <w:t>备注：</w:t>
                  </w:r>
                  <w:r>
                    <w:rPr>
                      <w:rFonts w:hint="eastAsia" w:eastAsia="宋体"/>
                      <w:color w:val="auto"/>
                      <w:sz w:val="21"/>
                      <w:szCs w:val="21"/>
                      <w:vertAlign w:val="baseline"/>
                      <w:lang w:val="en-US" w:eastAsia="zh-CN"/>
                    </w:rPr>
                    <w:t>a</w:t>
                  </w:r>
                  <w:r>
                    <w:rPr>
                      <w:rFonts w:hint="default" w:eastAsia="宋体"/>
                      <w:color w:val="auto"/>
                      <w:sz w:val="21"/>
                      <w:szCs w:val="21"/>
                      <w:vertAlign w:val="baseline"/>
                      <w:lang w:val="en-US" w:eastAsia="zh-CN"/>
                    </w:rPr>
                    <w:t>是相对于详细评价工作内容而言，在描述危险物质、环境影响途径、环境危害后果、风险防范措施等方面给出定性的说明。</w:t>
                  </w:r>
                </w:p>
              </w:tc>
            </w:tr>
          </w:tbl>
          <w:p>
            <w:pPr>
              <w:ind w:firstLine="480" w:firstLineChars="200"/>
              <w:rPr>
                <w:rFonts w:hint="default"/>
                <w:color w:val="auto"/>
                <w:vertAlign w:val="baseline"/>
                <w:lang w:val="en-US" w:eastAsia="zh-CN"/>
              </w:rPr>
            </w:pPr>
            <w:r>
              <w:rPr>
                <w:rFonts w:hint="eastAsia"/>
                <w:color w:val="auto"/>
                <w:vertAlign w:val="baseline"/>
                <w:lang w:val="en-US" w:eastAsia="zh-CN"/>
              </w:rPr>
              <w:t>（5）</w:t>
            </w:r>
            <w:r>
              <w:rPr>
                <w:rFonts w:hint="default"/>
                <w:color w:val="auto"/>
                <w:vertAlign w:val="baseline"/>
                <w:lang w:val="en-US" w:eastAsia="zh-CN"/>
              </w:rPr>
              <w:t>风险事故分析</w:t>
            </w:r>
          </w:p>
          <w:p>
            <w:pPr>
              <w:ind w:firstLine="480" w:firstLineChars="200"/>
              <w:rPr>
                <w:rFonts w:hint="default"/>
                <w:color w:val="auto"/>
                <w:vertAlign w:val="baseline"/>
                <w:lang w:val="en-US" w:eastAsia="zh-CN"/>
              </w:rPr>
            </w:pPr>
            <w:r>
              <w:rPr>
                <w:rFonts w:hint="default"/>
                <w:color w:val="auto"/>
                <w:vertAlign w:val="baseline"/>
                <w:lang w:val="en-US" w:eastAsia="zh-CN"/>
              </w:rPr>
              <w:t>本</w:t>
            </w:r>
            <w:r>
              <w:rPr>
                <w:rFonts w:hint="eastAsia"/>
                <w:color w:val="auto"/>
                <w:vertAlign w:val="baseline"/>
                <w:lang w:val="en-US" w:eastAsia="zh-CN"/>
              </w:rPr>
              <w:t>项目</w:t>
            </w:r>
            <w:r>
              <w:rPr>
                <w:rFonts w:hint="default"/>
                <w:color w:val="auto"/>
                <w:vertAlign w:val="baseline"/>
                <w:lang w:val="en-US" w:eastAsia="zh-CN"/>
              </w:rPr>
              <w:t xml:space="preserve">的功能主要是对各种油品进行储存及加油，工艺流程包括汽车卸油、储存、发油等。根据工程的特点并调研同类型项目的事故类型，本加油站主要事故类型可以分为火灾与爆炸、溢出与泄漏两大类。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①火灾与爆炸 </w:t>
            </w:r>
          </w:p>
          <w:p>
            <w:pPr>
              <w:ind w:firstLine="480" w:firstLineChars="200"/>
              <w:rPr>
                <w:rFonts w:hint="default"/>
                <w:color w:val="auto"/>
                <w:vertAlign w:val="baseline"/>
                <w:lang w:val="en-US" w:eastAsia="zh-CN"/>
              </w:rPr>
            </w:pPr>
            <w:r>
              <w:rPr>
                <w:rFonts w:hint="default"/>
                <w:color w:val="auto"/>
                <w:vertAlign w:val="baseline"/>
                <w:lang w:val="en-US" w:eastAsia="zh-CN"/>
              </w:rPr>
              <w:t>加油区：加油区为各种机动车辆加油的场所。由于汽车尾气带火星、加油过满溢出、加油机漏油、加油机防爆电气故障等原因，易引发火灾爆炸事故。</w:t>
            </w:r>
          </w:p>
          <w:p>
            <w:pPr>
              <w:ind w:firstLine="480" w:firstLineChars="200"/>
              <w:rPr>
                <w:rFonts w:hint="default"/>
                <w:color w:val="auto"/>
                <w:vertAlign w:val="baseline"/>
                <w:lang w:val="en-US" w:eastAsia="zh-CN"/>
              </w:rPr>
            </w:pPr>
            <w:r>
              <w:rPr>
                <w:rFonts w:hint="default"/>
                <w:color w:val="auto"/>
                <w:vertAlign w:val="baseline"/>
                <w:lang w:val="en-US" w:eastAsia="zh-CN"/>
              </w:rPr>
              <w:t>卸油</w:t>
            </w:r>
            <w:r>
              <w:rPr>
                <w:rFonts w:hint="eastAsia"/>
                <w:color w:val="auto"/>
                <w:vertAlign w:val="baseline"/>
                <w:lang w:val="en-US" w:eastAsia="zh-CN"/>
              </w:rPr>
              <w:t>区</w:t>
            </w:r>
            <w:r>
              <w:rPr>
                <w:rFonts w:hint="default"/>
                <w:color w:val="auto"/>
                <w:vertAlign w:val="baseline"/>
                <w:lang w:val="en-US" w:eastAsia="zh-CN"/>
              </w:rPr>
              <w:t>：卸油车不熄火，送油车静电没有消散，油罐车卸油连通软管导静电性能差；雷雨天往油罐卸油或往汽车车箱加油速度过快，加油操作失误；密闭卸油接口处漏油；对明火源管理不严等，都有可能会导致火灾、爆炸或设备损坏或人身伤亡事故。</w:t>
            </w:r>
          </w:p>
          <w:p>
            <w:pPr>
              <w:ind w:firstLine="480" w:firstLineChars="200"/>
              <w:rPr>
                <w:rFonts w:hint="default"/>
                <w:color w:val="auto"/>
                <w:vertAlign w:val="baseline"/>
                <w:lang w:val="en-US" w:eastAsia="zh-CN"/>
              </w:rPr>
            </w:pPr>
            <w:r>
              <w:rPr>
                <w:rFonts w:hint="default"/>
                <w:color w:val="auto"/>
                <w:vertAlign w:val="baseline"/>
                <w:lang w:val="en-US" w:eastAsia="zh-CN"/>
              </w:rPr>
              <w:t>站</w:t>
            </w:r>
            <w:r>
              <w:rPr>
                <w:rFonts w:hint="eastAsia"/>
                <w:color w:val="auto"/>
                <w:vertAlign w:val="baseline"/>
                <w:lang w:val="en-US" w:eastAsia="zh-CN"/>
              </w:rPr>
              <w:t>辅</w:t>
            </w:r>
            <w:r>
              <w:rPr>
                <w:rFonts w:hint="default"/>
                <w:color w:val="auto"/>
                <w:vertAlign w:val="baseline"/>
                <w:lang w:val="en-US" w:eastAsia="zh-CN"/>
              </w:rPr>
              <w:t>房：遇到明火，值班人员烧水、热饭和随意吸烟、乱扔烟头余烬等，会导致火灾或爆炸。</w:t>
            </w:r>
          </w:p>
          <w:p>
            <w:pPr>
              <w:ind w:firstLine="480" w:firstLineChars="200"/>
              <w:rPr>
                <w:rFonts w:hint="default"/>
                <w:color w:val="auto"/>
                <w:vertAlign w:val="baseline"/>
                <w:lang w:val="en-US" w:eastAsia="zh-CN"/>
              </w:rPr>
            </w:pPr>
            <w:r>
              <w:rPr>
                <w:rFonts w:hint="default"/>
                <w:color w:val="auto"/>
                <w:vertAlign w:val="baseline"/>
                <w:lang w:val="en-US" w:eastAsia="zh-CN"/>
              </w:rPr>
              <w:t>油罐区：在发油时，因为液位下降，罐中气体空间增大，罐内气体压力小于大气压力， 大量空气补充进入罐内，当达到爆炸极限时，遇火就会发生爆炸。同时，油品输出使罐内形成负压，在罐外燃烧的火焰还会被吸入储油罐内，使罐内油蒸气爆炸。</w:t>
            </w:r>
          </w:p>
          <w:p>
            <w:pPr>
              <w:ind w:firstLine="480" w:firstLineChars="200"/>
              <w:rPr>
                <w:rFonts w:hint="eastAsia"/>
                <w:color w:val="auto"/>
                <w:vertAlign w:val="baseline"/>
                <w:lang w:val="en-US" w:eastAsia="zh-CN"/>
              </w:rPr>
            </w:pPr>
            <w:r>
              <w:rPr>
                <w:rFonts w:hint="eastAsia"/>
                <w:color w:val="auto"/>
                <w:vertAlign w:val="baseline"/>
                <w:lang w:val="en-US" w:eastAsia="zh-CN"/>
              </w:rPr>
              <w:t>充电区：充电时若产生电火花，同时汽油、柴油泄漏到附近可能会导致火灾和爆炸事故。</w:t>
            </w:r>
          </w:p>
          <w:p>
            <w:pPr>
              <w:ind w:firstLine="480" w:firstLineChars="200"/>
              <w:rPr>
                <w:rFonts w:hint="default"/>
                <w:color w:val="FF0000"/>
                <w:vertAlign w:val="baseline"/>
                <w:lang w:val="en-US" w:eastAsia="zh-CN"/>
              </w:rPr>
            </w:pPr>
            <w:r>
              <w:rPr>
                <w:rFonts w:hint="default"/>
                <w:color w:val="auto"/>
                <w:vertAlign w:val="baseline"/>
                <w:lang w:val="en-US" w:eastAsia="zh-CN"/>
              </w:rPr>
              <w:t>即风险功能单元划分储罐区、加油区、卸油</w:t>
            </w:r>
            <w:r>
              <w:rPr>
                <w:rFonts w:hint="eastAsia"/>
                <w:color w:val="auto"/>
                <w:vertAlign w:val="baseline"/>
                <w:lang w:val="en-US" w:eastAsia="zh-CN"/>
              </w:rPr>
              <w:t>区</w:t>
            </w:r>
            <w:r>
              <w:rPr>
                <w:rFonts w:hint="default"/>
                <w:color w:val="auto"/>
                <w:vertAlign w:val="baseline"/>
                <w:lang w:val="en-US" w:eastAsia="zh-CN"/>
              </w:rPr>
              <w:t>、站</w:t>
            </w:r>
            <w:r>
              <w:rPr>
                <w:rFonts w:hint="eastAsia"/>
                <w:color w:val="auto"/>
                <w:vertAlign w:val="baseline"/>
                <w:lang w:val="en-US" w:eastAsia="zh-CN"/>
              </w:rPr>
              <w:t>辅</w:t>
            </w:r>
            <w:r>
              <w:rPr>
                <w:rFonts w:hint="default"/>
                <w:color w:val="auto"/>
                <w:vertAlign w:val="baseline"/>
                <w:lang w:val="en-US" w:eastAsia="zh-CN"/>
              </w:rPr>
              <w:t>房</w:t>
            </w:r>
            <w:r>
              <w:rPr>
                <w:rFonts w:hint="eastAsia"/>
                <w:color w:val="auto"/>
                <w:vertAlign w:val="baseline"/>
                <w:lang w:val="en-US" w:eastAsia="zh-CN"/>
              </w:rPr>
              <w:t>和充电区</w:t>
            </w:r>
            <w:r>
              <w:rPr>
                <w:rFonts w:hint="default"/>
                <w:color w:val="auto"/>
                <w:vertAlign w:val="baseline"/>
                <w:lang w:val="en-US" w:eastAsia="zh-CN"/>
              </w:rPr>
              <w:t>。</w:t>
            </w:r>
          </w:p>
          <w:p>
            <w:pPr>
              <w:ind w:firstLine="480" w:firstLineChars="200"/>
              <w:rPr>
                <w:rFonts w:hint="default"/>
                <w:color w:val="auto"/>
                <w:vertAlign w:val="baseline"/>
                <w:lang w:val="en-US" w:eastAsia="zh-CN"/>
              </w:rPr>
            </w:pPr>
            <w:r>
              <w:rPr>
                <w:rFonts w:hint="default"/>
                <w:color w:val="auto"/>
                <w:vertAlign w:val="baseline"/>
                <w:lang w:val="en-US" w:eastAsia="zh-CN"/>
              </w:rPr>
              <w:t>加油站若要发生火灾及爆炸，必须具备下列条件：a.油类泄漏或油气蒸发；b.有足够的空气助燃；c.油气必须与空气混和，并达到一定的浓度；d.现场有明火；只有以上四个条件同时具备时，才可能发生火灾和爆炸。根据全国统计，储罐火灾及爆炸事故发生的概率远远低于 3.1×10</w:t>
            </w:r>
            <w:r>
              <w:rPr>
                <w:rFonts w:hint="default"/>
                <w:color w:val="auto"/>
                <w:vertAlign w:val="superscript"/>
                <w:lang w:val="en-US" w:eastAsia="zh-CN"/>
              </w:rPr>
              <w:t>-5</w:t>
            </w:r>
            <w:r>
              <w:rPr>
                <w:rFonts w:hint="default"/>
                <w:color w:val="auto"/>
                <w:vertAlign w:val="baseline"/>
                <w:lang w:val="en-US" w:eastAsia="zh-CN"/>
              </w:rPr>
              <w:t>次</w:t>
            </w:r>
            <w:r>
              <w:rPr>
                <w:rFonts w:hint="default" w:ascii="Calibri" w:hAnsi="Calibri" w:cs="Calibri"/>
                <w:color w:val="auto"/>
                <w:vertAlign w:val="baseline"/>
                <w:lang w:val="en-US" w:eastAsia="zh-CN"/>
              </w:rPr>
              <w:t>/</w:t>
            </w:r>
            <w:r>
              <w:rPr>
                <w:rFonts w:hint="default"/>
                <w:color w:val="auto"/>
                <w:vertAlign w:val="baseline"/>
                <w:lang w:val="en-US" w:eastAsia="zh-CN"/>
              </w:rPr>
              <w:t xml:space="preserve">年。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该事故出现的频率较低，但其危害性较大，一旦出现瞬间即可完成，并且很难进行补救和应急，其后果十分严重。本加油站采用卧式油罐埋地设置，根据《汽车加油加气加氢站技术标准》（GB50156-2021），采用卧式油罐埋地设置比较安全。从国内外的有关调查资料统计来看，油罐埋地设置，发生火灾的几率很小，即使油罐发生着火，也容易扑救。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②油罐溢出、泄漏 </w:t>
            </w:r>
          </w:p>
          <w:p>
            <w:pPr>
              <w:ind w:firstLine="480" w:firstLineChars="200"/>
              <w:rPr>
                <w:rFonts w:hint="default"/>
                <w:color w:val="auto"/>
                <w:vertAlign w:val="baseline"/>
                <w:lang w:val="en-US" w:eastAsia="zh-CN"/>
              </w:rPr>
            </w:pPr>
            <w:r>
              <w:rPr>
                <w:rFonts w:hint="eastAsia"/>
                <w:color w:val="auto"/>
                <w:vertAlign w:val="baseline"/>
                <w:lang w:val="en-US" w:eastAsia="zh-CN"/>
              </w:rPr>
              <w:t>油罐区、输油管线区及加油和卸油区</w:t>
            </w:r>
            <w:r>
              <w:rPr>
                <w:rFonts w:hint="default"/>
                <w:color w:val="auto"/>
                <w:vertAlign w:val="baseline"/>
                <w:lang w:val="en-US" w:eastAsia="zh-CN"/>
              </w:rPr>
              <w:t>的泄漏、溢出问题</w:t>
            </w:r>
            <w:r>
              <w:rPr>
                <w:rFonts w:hint="eastAsia"/>
                <w:color w:val="auto"/>
                <w:vertAlign w:val="baseline"/>
                <w:lang w:val="en-US" w:eastAsia="zh-CN"/>
              </w:rPr>
              <w:t>较易发生，</w:t>
            </w:r>
            <w:r>
              <w:rPr>
                <w:rFonts w:hint="default"/>
                <w:color w:val="auto"/>
                <w:vertAlign w:val="baseline"/>
                <w:lang w:val="en-US" w:eastAsia="zh-CN"/>
              </w:rPr>
              <w:t>不能轻视。</w:t>
            </w:r>
            <w:r>
              <w:rPr>
                <w:rFonts w:hint="eastAsia"/>
                <w:color w:val="auto"/>
                <w:vertAlign w:val="baseline"/>
                <w:lang w:val="en-US" w:eastAsia="zh-CN"/>
              </w:rPr>
              <w:t>其中，</w:t>
            </w:r>
            <w:r>
              <w:rPr>
                <w:rFonts w:hint="default"/>
                <w:color w:val="auto"/>
                <w:vertAlign w:val="baseline"/>
                <w:lang w:val="en-US" w:eastAsia="zh-CN"/>
              </w:rPr>
              <w:t>油罐的泄漏和溢出</w:t>
            </w:r>
            <w:r>
              <w:rPr>
                <w:rFonts w:hint="eastAsia"/>
                <w:color w:val="auto"/>
                <w:vertAlign w:val="baseline"/>
                <w:lang w:val="en-US" w:eastAsia="zh-CN"/>
              </w:rPr>
              <w:t>尤其需要注意。</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根据统计，储油罐可能发生溢出的原因如下：a.油罐计量仪表失灵，致使油罐加油过程中灌满溢出；b.在为储罐加油过程中，由于存在气障气阻，致使油类溢出；c.在加油过程中，由于接口不同，衔接不严密，致使油类溢出。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可能发生油罐泄漏的原因如下：a.输油管道腐蚀致使油类泄漏；b.由于施工而破坏输油管道；c.在收发油过程中，由于操作失误，致使油类泄漏；d.各个管道接口不严，致使跑、冒、滴、漏现象的发生。 </w:t>
            </w:r>
          </w:p>
          <w:p>
            <w:pPr>
              <w:ind w:firstLine="480" w:firstLineChars="200"/>
              <w:rPr>
                <w:rFonts w:hint="default"/>
                <w:color w:val="auto"/>
                <w:vertAlign w:val="baseline"/>
                <w:lang w:val="en-US" w:eastAsia="zh-CN"/>
              </w:rPr>
            </w:pPr>
            <w:r>
              <w:rPr>
                <w:rFonts w:hint="default"/>
                <w:color w:val="auto"/>
                <w:vertAlign w:val="baseline"/>
                <w:lang w:val="en-US" w:eastAsia="zh-CN"/>
              </w:rPr>
              <w:t>该类事故的发生频率相对第一类事故要高一些，其发生带有明显的随机性和偶然性。这类事故的出现对环境的影响将会持续一定的时间，带来的后果也较为严重。本项目各输油管道</w:t>
            </w:r>
            <w:r>
              <w:rPr>
                <w:rFonts w:hint="eastAsia"/>
                <w:color w:val="auto"/>
                <w:vertAlign w:val="baseline"/>
                <w:lang w:val="en-US" w:eastAsia="zh-CN"/>
              </w:rPr>
              <w:t>区、油罐区、加油区和卸油区</w:t>
            </w:r>
            <w:r>
              <w:rPr>
                <w:rFonts w:hint="default"/>
                <w:color w:val="auto"/>
                <w:vertAlign w:val="baseline"/>
                <w:lang w:val="en-US" w:eastAsia="zh-CN"/>
              </w:rPr>
              <w:t>都按照有关规范进行了设计与施工，并采取了有效的检测渗漏的设施，只要加强管理，按照行业操作规范作业，产生该类事故的几率也很小。</w:t>
            </w:r>
          </w:p>
          <w:p>
            <w:pPr>
              <w:ind w:firstLine="480" w:firstLineChars="200"/>
              <w:rPr>
                <w:rFonts w:hint="default"/>
                <w:color w:val="auto"/>
                <w:vertAlign w:val="baseline"/>
                <w:lang w:val="en-US" w:eastAsia="zh-CN"/>
              </w:rPr>
            </w:pPr>
            <w:r>
              <w:rPr>
                <w:rFonts w:hint="eastAsia"/>
                <w:color w:val="auto"/>
                <w:vertAlign w:val="baseline"/>
                <w:lang w:val="en-US" w:eastAsia="zh-CN"/>
              </w:rPr>
              <w:t>（6）</w:t>
            </w:r>
            <w:r>
              <w:rPr>
                <w:rFonts w:hint="default"/>
                <w:color w:val="auto"/>
                <w:vertAlign w:val="baseline"/>
                <w:lang w:val="en-US" w:eastAsia="zh-CN"/>
              </w:rPr>
              <w:t>事故发生对环境的影响</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根据“事故分类分析”可知，“I 石油(即汽油类)只要储存在埋地罐内，就没有发生火灾的可能性”。因此本环评将主要就第二类事故对环境的影响进行阐述。 </w:t>
            </w:r>
          </w:p>
          <w:p>
            <w:pPr>
              <w:ind w:firstLine="480" w:firstLineChars="200"/>
              <w:rPr>
                <w:rFonts w:hint="default"/>
                <w:color w:val="auto"/>
                <w:vertAlign w:val="baseline"/>
                <w:lang w:val="en-US" w:eastAsia="zh-CN"/>
              </w:rPr>
            </w:pPr>
            <w:r>
              <w:rPr>
                <w:rFonts w:hint="default"/>
                <w:color w:val="auto"/>
                <w:vertAlign w:val="baseline"/>
                <w:lang w:val="en-US" w:eastAsia="zh-CN"/>
              </w:rPr>
              <w:t>①对地表水的污染</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泄漏或渗漏的成品油一旦进入地表河流，将造成地表河流的污染，影响范围小到几公里大到几十公里。污染首先将造成地表河流的景观破坏，产生严重的刺鼻气味；其次，由于有机烃类物质难溶于水，大部分上浮在水层表面，形成一层油膜使空气与水隔离，造成水中溶解氧浓度降低，逐渐形成死水，致使水中生物死亡；再次，成品油的主要成分是 C4～C9 的烃类、芳烃类、醇酮类以及卤代烃类有机物，一旦进入水环境，由于可生化性较差，造成被污染水体长时间得不到净化，完全恢复则需十几年、甚至几十年的时间。 </w:t>
            </w:r>
          </w:p>
          <w:p>
            <w:pPr>
              <w:ind w:firstLine="480" w:firstLineChars="200"/>
              <w:rPr>
                <w:rFonts w:hint="default"/>
                <w:color w:val="auto"/>
                <w:vertAlign w:val="baseline"/>
                <w:lang w:val="en-US" w:eastAsia="zh-CN"/>
              </w:rPr>
            </w:pPr>
            <w:r>
              <w:rPr>
                <w:rFonts w:hint="default"/>
                <w:color w:val="auto"/>
                <w:vertAlign w:val="baseline"/>
                <w:lang w:val="en-US" w:eastAsia="zh-CN"/>
              </w:rPr>
              <w:t>本项目库容较小，油罐区容积为160m</w:t>
            </w:r>
            <w:r>
              <w:rPr>
                <w:rFonts w:hint="default"/>
                <w:color w:val="auto"/>
                <w:vertAlign w:val="superscript"/>
                <w:lang w:val="en-US" w:eastAsia="zh-CN"/>
              </w:rPr>
              <w:t>3</w:t>
            </w:r>
            <w:r>
              <w:rPr>
                <w:rFonts w:hint="default"/>
                <w:color w:val="auto"/>
                <w:vertAlign w:val="baseline"/>
                <w:lang w:val="en-US" w:eastAsia="zh-CN"/>
              </w:rPr>
              <w:t xml:space="preserve">，且为埋地式油罐，设有储油罐罐基及防渗层。因此当加油站一旦发生渗漏与溢出事故时，油品将积聚在油罐区，基本不会溢出油罐区，也不会进入地表水体。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②对大气环境的污染 </w:t>
            </w:r>
          </w:p>
          <w:p>
            <w:pPr>
              <w:ind w:firstLine="480" w:firstLineChars="200"/>
              <w:rPr>
                <w:rFonts w:hint="default"/>
                <w:color w:val="auto"/>
                <w:vertAlign w:val="baseline"/>
                <w:lang w:val="en-US" w:eastAsia="zh-CN"/>
              </w:rPr>
            </w:pPr>
            <w:r>
              <w:rPr>
                <w:rFonts w:hint="default"/>
                <w:color w:val="auto"/>
                <w:vertAlign w:val="baseline"/>
                <w:lang w:val="en-US" w:eastAsia="zh-CN"/>
              </w:rPr>
              <w:t xml:space="preserve">根据国内外的研究，对于突发性的事故溢油，油品溢出后在地面呈不规则的面源分布，油品的挥发速度重要影响因素为油品蒸汽压、现场风速、油品溢出面积、油品蒸汽分子平均重度。 </w:t>
            </w:r>
          </w:p>
          <w:p>
            <w:pPr>
              <w:ind w:firstLine="480" w:firstLineChars="200"/>
              <w:rPr>
                <w:rFonts w:hint="default"/>
                <w:color w:val="auto"/>
                <w:vertAlign w:val="baseline"/>
                <w:lang w:val="en-US" w:eastAsia="zh-CN"/>
              </w:rPr>
            </w:pPr>
            <w:r>
              <w:rPr>
                <w:rFonts w:hint="default"/>
                <w:color w:val="auto"/>
                <w:vertAlign w:val="baseline"/>
                <w:lang w:val="en-US" w:eastAsia="zh-CN"/>
              </w:rPr>
              <w:t>本项目采用地埋式储油罐工艺，加油站一旦发生渗漏与溢出事故时，由于本项目采取了防渗漏检查孔等渗漏溢出检测设施，因此可及时发现储油罐渗漏，油品渗漏量较小，再由于受储油罐罐基及防渗层的保护，渗漏出的成品油将积聚在储油区。储油区表面采用了混凝土硬化，较为密闭，油品将主要通过储油区通气管及人孔井非密封处挥发，不会造成大面积的扩散，对大气环境影响较小。</w:t>
            </w:r>
          </w:p>
          <w:p>
            <w:pPr>
              <w:ind w:firstLine="480" w:firstLineChars="200"/>
              <w:rPr>
                <w:rFonts w:hint="eastAsia"/>
                <w:color w:val="auto"/>
                <w:vertAlign w:val="baseline"/>
                <w:lang w:val="en-US" w:eastAsia="zh-CN"/>
              </w:rPr>
            </w:pPr>
            <w:r>
              <w:rPr>
                <w:rFonts w:hint="default"/>
                <w:color w:val="auto"/>
                <w:vertAlign w:val="baseline"/>
                <w:lang w:val="en-US" w:eastAsia="zh-CN"/>
              </w:rPr>
              <w:fldChar w:fldCharType="begin"/>
            </w:r>
            <w:r>
              <w:rPr>
                <w:rFonts w:hint="default"/>
                <w:color w:val="auto"/>
                <w:vertAlign w:val="baseline"/>
                <w:lang w:val="en-US" w:eastAsia="zh-CN"/>
              </w:rPr>
              <w:instrText xml:space="preserve"> = 3 \* GB3 \* MERGEFORMAT </w:instrText>
            </w:r>
            <w:r>
              <w:rPr>
                <w:rFonts w:hint="default"/>
                <w:color w:val="auto"/>
                <w:vertAlign w:val="baseline"/>
                <w:lang w:val="en-US" w:eastAsia="zh-CN"/>
              </w:rPr>
              <w:fldChar w:fldCharType="separate"/>
            </w:r>
            <w:r>
              <w:rPr>
                <w:color w:val="auto"/>
              </w:rPr>
              <w:t>③</w:t>
            </w:r>
            <w:r>
              <w:rPr>
                <w:rFonts w:hint="default"/>
                <w:color w:val="auto"/>
                <w:vertAlign w:val="baseline"/>
                <w:lang w:val="en-US" w:eastAsia="zh-CN"/>
              </w:rPr>
              <w:fldChar w:fldCharType="end"/>
            </w:r>
            <w:r>
              <w:rPr>
                <w:rFonts w:hint="eastAsia"/>
                <w:color w:val="auto"/>
                <w:vertAlign w:val="baseline"/>
                <w:lang w:val="en-US" w:eastAsia="zh-CN"/>
              </w:rPr>
              <w:t>对地下水、土壤的污染</w:t>
            </w:r>
          </w:p>
          <w:p>
            <w:pPr>
              <w:ind w:firstLine="480" w:firstLineChars="200"/>
              <w:rPr>
                <w:rFonts w:hint="default"/>
                <w:color w:val="auto"/>
                <w:vertAlign w:val="baseline"/>
                <w:lang w:val="en-US" w:eastAsia="zh-CN"/>
              </w:rPr>
            </w:pPr>
            <w:r>
              <w:rPr>
                <w:rFonts w:hint="default"/>
                <w:color w:val="auto"/>
                <w:vertAlign w:val="baseline"/>
                <w:lang w:val="en-US" w:eastAsia="zh-CN"/>
              </w:rPr>
              <w:t>储油罐和输油管线泄漏及加油</w:t>
            </w:r>
            <w:r>
              <w:rPr>
                <w:rFonts w:hint="eastAsia"/>
                <w:color w:val="auto"/>
                <w:vertAlign w:val="baseline"/>
                <w:lang w:val="en-US" w:eastAsia="zh-CN"/>
              </w:rPr>
              <w:t>卸油</w:t>
            </w:r>
            <w:r>
              <w:rPr>
                <w:rFonts w:hint="default"/>
                <w:color w:val="auto"/>
                <w:vertAlign w:val="baseline"/>
                <w:lang w:val="en-US" w:eastAsia="zh-CN"/>
              </w:rPr>
              <w:t>泄漏或渗漏，会对地下水</w:t>
            </w:r>
            <w:r>
              <w:rPr>
                <w:rFonts w:hint="eastAsia"/>
                <w:color w:val="auto"/>
                <w:vertAlign w:val="baseline"/>
                <w:lang w:val="en-US" w:eastAsia="zh-CN"/>
              </w:rPr>
              <w:t>及</w:t>
            </w:r>
            <w:r>
              <w:rPr>
                <w:rFonts w:hint="default"/>
                <w:color w:val="auto"/>
                <w:vertAlign w:val="baseline"/>
                <w:lang w:val="en-US" w:eastAsia="zh-CN"/>
              </w:rPr>
              <w:t>土壤造成污染。这种渗漏穿过土壤层，使土壤吸附了大量的燃料油，造成植物生物死亡；还会随着地表水的下渗补充给地下水，造成地下水污染，使地下水产生严重异味，并具有较强的致畸致癌性，致使地下水无法饮用。尽管污染源可能得到及时控制，但地下含水层的自净将是一个长期的过程，得到完全恢复需几十年甚至上百年的时间。油料渗漏对地下水造成的影响比较严重。</w:t>
            </w:r>
          </w:p>
          <w:p>
            <w:pPr>
              <w:ind w:firstLine="480" w:firstLineChars="200"/>
              <w:rPr>
                <w:rFonts w:hint="default"/>
                <w:color w:val="auto"/>
                <w:vertAlign w:val="baseline"/>
                <w:lang w:val="en-US" w:eastAsia="zh-CN"/>
              </w:rPr>
            </w:pPr>
            <w:r>
              <w:rPr>
                <w:rFonts w:hint="default"/>
                <w:color w:val="auto"/>
                <w:vertAlign w:val="baseline"/>
                <w:lang w:val="en-US" w:eastAsia="zh-CN"/>
              </w:rPr>
              <w:t>储油罐和输油管线泄漏及加油</w:t>
            </w:r>
            <w:r>
              <w:rPr>
                <w:rFonts w:hint="eastAsia"/>
                <w:color w:val="auto"/>
                <w:vertAlign w:val="baseline"/>
                <w:lang w:val="en-US" w:eastAsia="zh-CN"/>
              </w:rPr>
              <w:t>卸油</w:t>
            </w:r>
            <w:r>
              <w:rPr>
                <w:rFonts w:hint="default"/>
                <w:color w:val="auto"/>
                <w:vertAlign w:val="baseline"/>
                <w:lang w:val="en-US" w:eastAsia="zh-CN"/>
              </w:rPr>
              <w:t>泄漏可能发生的主要原因有以下两点：一是自然灾害，如地震、洪水；二是操作失误或是违章操作及人为因素造成。</w:t>
            </w:r>
          </w:p>
          <w:p>
            <w:pPr>
              <w:ind w:firstLine="480" w:firstLineChars="200"/>
              <w:rPr>
                <w:rFonts w:hint="default"/>
                <w:color w:val="auto"/>
                <w:vertAlign w:val="baseline"/>
                <w:lang w:val="en-US" w:eastAsia="zh-CN"/>
              </w:rPr>
            </w:pPr>
            <w:r>
              <w:rPr>
                <w:rFonts w:hint="default"/>
                <w:color w:val="auto"/>
                <w:vertAlign w:val="baseline"/>
                <w:lang w:val="en-US" w:eastAsia="zh-CN"/>
              </w:rPr>
              <w:t>地震和洪水属自然灾害，有其不可抗拒和难以避免的一面，但是在选址、设计、施工过程中应给予充分重视，采取较大的抗震结构保险系数，增加油罐区各设备的抗震能力。</w:t>
            </w:r>
          </w:p>
          <w:p>
            <w:pPr>
              <w:ind w:firstLine="480" w:firstLineChars="200"/>
              <w:rPr>
                <w:rFonts w:hint="default"/>
                <w:color w:val="auto"/>
                <w:vertAlign w:val="baseline"/>
                <w:lang w:val="en-US" w:eastAsia="zh-CN"/>
              </w:rPr>
            </w:pPr>
            <w:r>
              <w:rPr>
                <w:rFonts w:hint="default"/>
                <w:color w:val="auto"/>
                <w:vertAlign w:val="baseline"/>
                <w:lang w:val="en-US" w:eastAsia="zh-CN"/>
              </w:rPr>
              <w:t>人员因素造成储油罐泄漏或是外溢的因素主要有储油罐的年久失修，储油罐及输油管线腐蚀，致使成品油渗漏；管道连接不好或由于地面下沉，造成管道接口不严，致使泄漏或渗漏现象发生；油罐区附近施工致使油罐或输油管线破坏，造成油品泄漏；加油时或成品油运输罐卸料时操作失误或违规操作，致使成品油泄漏。</w:t>
            </w:r>
          </w:p>
          <w:p>
            <w:pPr>
              <w:ind w:firstLine="480" w:firstLineChars="200"/>
              <w:rPr>
                <w:rFonts w:hint="default"/>
                <w:color w:val="auto"/>
                <w:vertAlign w:val="baseline"/>
                <w:lang w:val="en-US" w:eastAsia="zh-CN"/>
              </w:rPr>
            </w:pPr>
            <w:r>
              <w:rPr>
                <w:rFonts w:hint="default"/>
                <w:color w:val="auto"/>
                <w:vertAlign w:val="baseline"/>
                <w:lang w:val="en-US" w:eastAsia="zh-CN"/>
              </w:rPr>
              <w:t>综上两种可能造成成品油泄漏或渗漏的原因，导致的对地下水</w:t>
            </w:r>
            <w:r>
              <w:rPr>
                <w:rFonts w:hint="eastAsia"/>
                <w:color w:val="auto"/>
                <w:vertAlign w:val="baseline"/>
                <w:lang w:val="en-US" w:eastAsia="zh-CN"/>
              </w:rPr>
              <w:t>和土壤</w:t>
            </w:r>
            <w:r>
              <w:rPr>
                <w:rFonts w:hint="default"/>
                <w:color w:val="auto"/>
                <w:vertAlign w:val="baseline"/>
                <w:lang w:val="en-US" w:eastAsia="zh-CN"/>
              </w:rPr>
              <w:t>的污染。因此油罐区</w:t>
            </w:r>
            <w:r>
              <w:rPr>
                <w:rFonts w:hint="eastAsia"/>
                <w:color w:val="auto"/>
                <w:vertAlign w:val="baseline"/>
                <w:lang w:val="en-US" w:eastAsia="zh-CN"/>
              </w:rPr>
              <w:t>、加油区、卸油区</w:t>
            </w:r>
            <w:r>
              <w:rPr>
                <w:rFonts w:hint="default"/>
                <w:color w:val="auto"/>
                <w:vertAlign w:val="baseline"/>
                <w:lang w:val="en-US" w:eastAsia="zh-CN"/>
              </w:rPr>
              <w:t>及工艺管道区采取严格的防渗措施，确保发生事故时油品不发生渗漏，确保地下水环境和土壤环境的安全。</w:t>
            </w:r>
            <w:r>
              <w:rPr>
                <w:rFonts w:hint="eastAsia"/>
                <w:color w:val="auto"/>
                <w:vertAlign w:val="baseline"/>
                <w:lang w:val="en-US" w:eastAsia="zh-CN"/>
              </w:rPr>
              <w:t>同时本项目于油罐区东北侧设置了地下水监控井</w:t>
            </w:r>
            <w:r>
              <w:rPr>
                <w:rFonts w:hint="default"/>
                <w:color w:val="auto"/>
                <w:vertAlign w:val="baseline"/>
                <w:lang w:val="en-US" w:eastAsia="zh-CN"/>
              </w:rPr>
              <w:t>，一旦油品泄漏进地下水，能通过地下水监控井及时发现并采取防范措施。</w:t>
            </w:r>
          </w:p>
          <w:p>
            <w:pPr>
              <w:ind w:firstLine="480" w:firstLineChars="200"/>
              <w:rPr>
                <w:rFonts w:hint="default"/>
                <w:color w:val="auto"/>
                <w:vertAlign w:val="baseline"/>
                <w:lang w:val="en-US" w:eastAsia="zh-CN"/>
              </w:rPr>
            </w:pPr>
            <w:r>
              <w:rPr>
                <w:rFonts w:hint="eastAsia"/>
                <w:color w:val="auto"/>
                <w:vertAlign w:val="baseline"/>
                <w:lang w:val="en-US" w:eastAsia="zh-CN"/>
              </w:rPr>
              <w:t>（7）</w:t>
            </w:r>
            <w:r>
              <w:rPr>
                <w:rFonts w:hint="default"/>
                <w:color w:val="auto"/>
                <w:vertAlign w:val="baseline"/>
                <w:lang w:val="en-US" w:eastAsia="zh-CN"/>
              </w:rPr>
              <w:t>风险防范措施</w:t>
            </w:r>
          </w:p>
          <w:p>
            <w:pPr>
              <w:ind w:firstLine="480" w:firstLineChars="200"/>
              <w:rPr>
                <w:rFonts w:hint="default"/>
                <w:color w:val="auto"/>
                <w:vertAlign w:val="baseline"/>
                <w:lang w:val="en-US" w:eastAsia="zh-CN"/>
              </w:rPr>
            </w:pPr>
            <w:r>
              <w:rPr>
                <w:rFonts w:hint="default"/>
                <w:color w:val="auto"/>
                <w:vertAlign w:val="baseline"/>
                <w:lang w:val="en-US" w:eastAsia="zh-CN"/>
              </w:rPr>
              <w:t>①泄漏风险防范措施</w:t>
            </w:r>
          </w:p>
          <w:p>
            <w:pPr>
              <w:ind w:firstLine="480" w:firstLineChars="200"/>
              <w:rPr>
                <w:rFonts w:hint="default"/>
                <w:color w:val="auto"/>
                <w:vertAlign w:val="baseline"/>
                <w:lang w:val="en-US" w:eastAsia="zh-CN"/>
              </w:rPr>
            </w:pPr>
            <w:r>
              <w:rPr>
                <w:rFonts w:hint="default"/>
                <w:color w:val="auto"/>
                <w:vertAlign w:val="baseline"/>
                <w:lang w:val="en-US" w:eastAsia="zh-CN"/>
              </w:rPr>
              <w:t>Ⅰ.储油罐设带有高液位报警功能的液位计，避免卸油时计量失误使罐内液位过高造成冒油。</w:t>
            </w:r>
          </w:p>
          <w:p>
            <w:pPr>
              <w:ind w:firstLine="480" w:firstLineChars="200"/>
              <w:rPr>
                <w:rFonts w:hint="default"/>
                <w:color w:val="auto"/>
                <w:vertAlign w:val="baseline"/>
                <w:lang w:val="en-US" w:eastAsia="zh-CN"/>
              </w:rPr>
            </w:pPr>
            <w:r>
              <w:rPr>
                <w:rFonts w:hint="default"/>
                <w:color w:val="auto"/>
                <w:vertAlign w:val="baseline"/>
                <w:lang w:val="en-US" w:eastAsia="zh-CN"/>
              </w:rPr>
              <w:t>Ⅱ.定期对油品储存、输送、零售环节的设备、管道、阀门、法兰盘等进行检修、维护和保养，同时将油罐区输油管道埋于地下。</w:t>
            </w:r>
          </w:p>
          <w:p>
            <w:pPr>
              <w:ind w:firstLine="480" w:firstLineChars="200"/>
              <w:rPr>
                <w:rFonts w:hint="default"/>
                <w:color w:val="auto"/>
                <w:vertAlign w:val="baseline"/>
                <w:lang w:val="en-US" w:eastAsia="zh-CN"/>
              </w:rPr>
            </w:pPr>
            <w:r>
              <w:rPr>
                <w:rFonts w:hint="default"/>
                <w:color w:val="auto"/>
                <w:vertAlign w:val="baseline"/>
                <w:lang w:val="en-US" w:eastAsia="zh-CN"/>
              </w:rPr>
              <w:t>Ⅲ.加油站配备有灭火毯、灭火沙子、手提式干粉灭火器、推车式干粉灭火器、二氧化碳灭火器、医用急救包等，对每个工作人员进行消防培训、加油站内设立禁止吸烟、禁止打有机的警示牌，严格禁止站内明火、电焊、电割，加油软管设拉断截止阀；加强设备、管道的检修维护；加强员工的安全技术培训，提高安全防范意识。</w:t>
            </w:r>
          </w:p>
          <w:p>
            <w:pPr>
              <w:ind w:firstLine="480" w:firstLineChars="200"/>
              <w:rPr>
                <w:rFonts w:hint="default"/>
                <w:color w:val="auto"/>
                <w:vertAlign w:val="baseline"/>
                <w:lang w:val="en-US" w:eastAsia="zh-CN"/>
              </w:rPr>
            </w:pPr>
            <w:r>
              <w:rPr>
                <w:rFonts w:hint="default"/>
                <w:color w:val="auto"/>
                <w:vertAlign w:val="baseline"/>
                <w:lang w:val="en-US" w:eastAsia="zh-CN"/>
              </w:rPr>
              <w:t>Ⅳ.埋地油罐基底采用防渗混凝土处理，底板采用外防水，面层细石混凝土，防水层用改性沥青防水卷材，结构层采用钢筋砼结构；油罐顶部及周边均采用粘土夯实，油罐区四周修有围堤，为砖混结构，做有防渗处理，主要是防止油品泄漏时，有足够容积的围堤收集泄漏的油品。</w:t>
            </w:r>
          </w:p>
          <w:p>
            <w:pPr>
              <w:ind w:firstLine="480" w:firstLineChars="200"/>
              <w:rPr>
                <w:rFonts w:hint="default"/>
                <w:color w:val="auto"/>
                <w:vertAlign w:val="baseline"/>
                <w:lang w:val="en-US" w:eastAsia="zh-CN"/>
              </w:rPr>
            </w:pPr>
            <w:r>
              <w:rPr>
                <w:rFonts w:hint="default"/>
                <w:color w:val="auto"/>
                <w:vertAlign w:val="baseline"/>
                <w:lang w:val="en-US" w:eastAsia="zh-CN"/>
              </w:rPr>
              <w:t>②火灾事故风险防范措施</w:t>
            </w:r>
          </w:p>
          <w:p>
            <w:pPr>
              <w:ind w:firstLine="480" w:firstLineChars="200"/>
              <w:rPr>
                <w:rFonts w:hint="default"/>
                <w:color w:val="auto"/>
                <w:vertAlign w:val="baseline"/>
                <w:lang w:val="en-US" w:eastAsia="zh-CN"/>
              </w:rPr>
            </w:pPr>
            <w:r>
              <w:rPr>
                <w:rFonts w:hint="default"/>
                <w:color w:val="auto"/>
                <w:vertAlign w:val="baseline"/>
                <w:lang w:val="en-US" w:eastAsia="zh-CN"/>
              </w:rPr>
              <w:t>Ⅰ.建立、完善安全管理制度</w:t>
            </w:r>
          </w:p>
          <w:p>
            <w:pPr>
              <w:ind w:firstLine="480" w:firstLineChars="200"/>
              <w:rPr>
                <w:rFonts w:hint="default"/>
                <w:color w:val="auto"/>
                <w:vertAlign w:val="baseline"/>
                <w:lang w:val="en-US" w:eastAsia="zh-CN"/>
              </w:rPr>
            </w:pPr>
            <w:r>
              <w:rPr>
                <w:rFonts w:hint="default"/>
                <w:color w:val="auto"/>
                <w:vertAlign w:val="baseline"/>
                <w:lang w:val="en-US" w:eastAsia="zh-CN"/>
              </w:rPr>
              <w:t>严格按照《汽车加油加气加氢站技术标准》（GB50156-2021）的规定进行工程建设情况的自查、整改和验收，并制定和执行相应的消防管理、安全防火培训、用火用电安全管理、灭火器材维护使用、岗位消防安全等一系列安全制度，并严格遵守执行。</w:t>
            </w:r>
          </w:p>
          <w:p>
            <w:pPr>
              <w:ind w:firstLine="480" w:firstLineChars="200"/>
              <w:rPr>
                <w:rFonts w:hint="default"/>
                <w:color w:val="auto"/>
                <w:vertAlign w:val="baseline"/>
                <w:lang w:val="en-US" w:eastAsia="zh-CN"/>
              </w:rPr>
            </w:pPr>
            <w:r>
              <w:rPr>
                <w:rFonts w:hint="default"/>
                <w:color w:val="auto"/>
                <w:vertAlign w:val="baseline"/>
                <w:lang w:val="en-US" w:eastAsia="zh-CN"/>
              </w:rPr>
              <w:t>Ⅱ.改进设备、工艺</w:t>
            </w:r>
          </w:p>
          <w:p>
            <w:pPr>
              <w:ind w:firstLine="480" w:firstLineChars="200"/>
              <w:rPr>
                <w:rFonts w:hint="default"/>
                <w:color w:val="auto"/>
                <w:vertAlign w:val="baseline"/>
                <w:lang w:val="en-US" w:eastAsia="zh-CN"/>
              </w:rPr>
            </w:pPr>
            <w:r>
              <w:rPr>
                <w:rFonts w:hint="default"/>
                <w:color w:val="auto"/>
                <w:vertAlign w:val="baseline"/>
                <w:lang w:val="en-US" w:eastAsia="zh-CN"/>
              </w:rPr>
              <w:t>A.加油站内的电气设备严格按照防爆区划分配置，防爆区内电气设备和仪表均选用防爆型产品。</w:t>
            </w:r>
          </w:p>
          <w:p>
            <w:pPr>
              <w:ind w:firstLine="480" w:firstLineChars="200"/>
              <w:rPr>
                <w:rFonts w:hint="default"/>
                <w:color w:val="auto"/>
                <w:vertAlign w:val="baseline"/>
                <w:lang w:val="en-US" w:eastAsia="zh-CN"/>
              </w:rPr>
            </w:pPr>
            <w:r>
              <w:rPr>
                <w:rFonts w:hint="default"/>
                <w:color w:val="auto"/>
                <w:vertAlign w:val="baseline"/>
                <w:lang w:val="en-US" w:eastAsia="zh-CN"/>
              </w:rPr>
              <w:t>B.加油站内汽油加油枪采取油气回收装置进行油气回收处理，处理后的油品外售。</w:t>
            </w:r>
          </w:p>
          <w:p>
            <w:pPr>
              <w:ind w:firstLine="480" w:firstLineChars="200"/>
              <w:rPr>
                <w:rFonts w:hint="default"/>
                <w:color w:val="auto"/>
                <w:vertAlign w:val="baseline"/>
                <w:lang w:val="en-US" w:eastAsia="zh-CN"/>
              </w:rPr>
            </w:pPr>
            <w:r>
              <w:rPr>
                <w:rFonts w:hint="default"/>
                <w:color w:val="auto"/>
                <w:vertAlign w:val="baseline"/>
                <w:lang w:val="en-US" w:eastAsia="zh-CN"/>
              </w:rPr>
              <w:t>C.采用全密封式卸油法和加油技术。在油罐车、储油罐、加油枪上安装气相管，那么作业时被挤出的油蒸气就会通过气相管回流到油罐车或油罐中，避免油罐中的油蒸气从呼吸管及油箱口中压出，最大限度防止油气散逸污染和产生聚积的可能。</w:t>
            </w:r>
          </w:p>
          <w:p>
            <w:pPr>
              <w:ind w:firstLine="480" w:firstLineChars="200"/>
              <w:rPr>
                <w:rFonts w:hint="default"/>
                <w:color w:val="auto"/>
                <w:vertAlign w:val="baseline"/>
                <w:lang w:val="en-US" w:eastAsia="zh-CN"/>
              </w:rPr>
            </w:pPr>
            <w:r>
              <w:rPr>
                <w:rFonts w:hint="default"/>
                <w:color w:val="auto"/>
                <w:vertAlign w:val="baseline"/>
                <w:lang w:val="en-US" w:eastAsia="zh-CN"/>
              </w:rPr>
              <w:t>D.加油站内须设置水封井，其作用是防止站外明火窜入站内后引燃明渠内积聚的油气物质。水封井高度不应小于0.25m，还应设沉泥段，沉泥段高度不小于0.25m。</w:t>
            </w:r>
          </w:p>
          <w:p>
            <w:pPr>
              <w:ind w:firstLine="480" w:firstLineChars="200"/>
              <w:rPr>
                <w:rFonts w:hint="default"/>
                <w:color w:val="auto"/>
                <w:vertAlign w:val="baseline"/>
                <w:lang w:val="en-US" w:eastAsia="zh-CN"/>
              </w:rPr>
            </w:pPr>
            <w:r>
              <w:rPr>
                <w:rFonts w:hint="default"/>
                <w:color w:val="auto"/>
                <w:vertAlign w:val="baseline"/>
                <w:lang w:val="en-US" w:eastAsia="zh-CN"/>
              </w:rPr>
              <w:t>Ⅲ.做好防雷工作</w:t>
            </w:r>
          </w:p>
          <w:p>
            <w:pPr>
              <w:ind w:firstLine="480" w:firstLineChars="200"/>
              <w:rPr>
                <w:rFonts w:hint="default"/>
                <w:color w:val="auto"/>
                <w:vertAlign w:val="baseline"/>
                <w:lang w:val="en-US" w:eastAsia="zh-CN"/>
              </w:rPr>
            </w:pPr>
            <w:r>
              <w:rPr>
                <w:rFonts w:hint="default"/>
                <w:color w:val="auto"/>
                <w:vertAlign w:val="baseline"/>
                <w:lang w:val="en-US" w:eastAsia="zh-CN"/>
              </w:rPr>
              <w:t>按《汽车加油加气加氢站技术标准》（GB50156-2021）规定，加油站油罐及其金属附件应进行可靠的防雷接地，接地点不得少于两处。接地线与接地体的连接处要用焊接，接地线与被接地设备的连接要设断接卡，并用双螺栓连接，埋地部分均用焊接。另外，在雷雨天应该停止卸油和发油作业。</w:t>
            </w:r>
          </w:p>
          <w:p>
            <w:pPr>
              <w:ind w:firstLine="480" w:firstLineChars="200"/>
              <w:rPr>
                <w:rFonts w:hint="default"/>
                <w:color w:val="auto"/>
                <w:vertAlign w:val="baseline"/>
                <w:lang w:val="en-US" w:eastAsia="zh-CN"/>
              </w:rPr>
            </w:pPr>
            <w:r>
              <w:rPr>
                <w:rFonts w:hint="default"/>
                <w:color w:val="auto"/>
                <w:vertAlign w:val="baseline"/>
                <w:lang w:val="en-US" w:eastAsia="zh-CN"/>
              </w:rPr>
              <w:t>Ⅳ.加强设备管理</w:t>
            </w:r>
          </w:p>
          <w:p>
            <w:pPr>
              <w:ind w:firstLine="480" w:firstLineChars="200"/>
              <w:rPr>
                <w:rFonts w:hint="default"/>
                <w:color w:val="auto"/>
                <w:vertAlign w:val="baseline"/>
                <w:lang w:val="en-US" w:eastAsia="zh-CN"/>
              </w:rPr>
            </w:pPr>
            <w:r>
              <w:rPr>
                <w:rFonts w:hint="default"/>
                <w:color w:val="auto"/>
                <w:vertAlign w:val="baseline"/>
                <w:lang w:val="en-US" w:eastAsia="zh-CN"/>
              </w:rPr>
              <w:t>加油站的储油设备和发油设备无时不在和油品打交道，一旦设备出现跑、冒、滴、漏等现象，将直接威胁加油站的安全。所以对它们进行定期的检测和加强日常养护十分必要。另外，电气设备的使用不当也是加油站发生火灾的一个重要原因，所以加油站应严格照章办事，不可私拉、乱接电线，不可适应不防爆的开关、插座等电器设备。</w:t>
            </w:r>
          </w:p>
          <w:p>
            <w:pPr>
              <w:ind w:firstLine="480" w:firstLineChars="200"/>
              <w:rPr>
                <w:rFonts w:hint="default"/>
                <w:color w:val="auto"/>
                <w:vertAlign w:val="baseline"/>
                <w:lang w:val="en-US" w:eastAsia="zh-CN"/>
              </w:rPr>
            </w:pPr>
            <w:r>
              <w:rPr>
                <w:rFonts w:hint="default"/>
                <w:color w:val="auto"/>
                <w:vertAlign w:val="baseline"/>
                <w:lang w:val="en-US" w:eastAsia="zh-CN"/>
              </w:rPr>
              <w:t>Ⅴ.消除静电危害</w:t>
            </w:r>
          </w:p>
          <w:p>
            <w:pPr>
              <w:ind w:firstLine="480" w:firstLineChars="200"/>
              <w:rPr>
                <w:rFonts w:hint="default"/>
                <w:color w:val="auto"/>
                <w:vertAlign w:val="baseline"/>
                <w:lang w:val="en-US" w:eastAsia="zh-CN"/>
              </w:rPr>
            </w:pPr>
            <w:r>
              <w:rPr>
                <w:rFonts w:hint="default"/>
                <w:color w:val="auto"/>
                <w:vertAlign w:val="baseline"/>
                <w:lang w:val="en-US" w:eastAsia="zh-CN"/>
              </w:rPr>
              <w:t>油品在运输、装卸、加注时极易产生静电，处理不当即发生放电，引发爆炸事故。所以在接卸油品时，应按规定接地并稳油15min以上方可对油罐车进行计量；在卸油后也应稳油15min以上才可对储油罐进行计量；不得采取喷溅式卸油，提倡自流油品；尽量避免带泵作业。另外，禁止用加油枪直接向塑料容器内加注油品；工作人员应穿防静电工作服。</w:t>
            </w:r>
          </w:p>
          <w:p>
            <w:pPr>
              <w:ind w:firstLine="480" w:firstLineChars="200"/>
              <w:rPr>
                <w:rFonts w:hint="default"/>
                <w:color w:val="auto"/>
                <w:vertAlign w:val="baseline"/>
                <w:lang w:val="en-US" w:eastAsia="zh-CN"/>
              </w:rPr>
            </w:pPr>
            <w:r>
              <w:rPr>
                <w:rFonts w:hint="default"/>
                <w:color w:val="auto"/>
                <w:vertAlign w:val="baseline"/>
                <w:lang w:val="en-US" w:eastAsia="zh-CN"/>
              </w:rPr>
              <w:t>Ⅵ.加强作业现场的安全管理</w:t>
            </w:r>
          </w:p>
          <w:p>
            <w:pPr>
              <w:ind w:firstLine="480" w:firstLineChars="200"/>
              <w:rPr>
                <w:rFonts w:hint="default"/>
                <w:color w:val="auto"/>
                <w:vertAlign w:val="baseline"/>
                <w:lang w:val="en-US" w:eastAsia="zh-CN"/>
              </w:rPr>
            </w:pPr>
            <w:r>
              <w:rPr>
                <w:rFonts w:hint="default"/>
                <w:color w:val="auto"/>
                <w:vertAlign w:val="baseline"/>
                <w:lang w:val="en-US" w:eastAsia="zh-CN"/>
              </w:rPr>
              <w:t>很多火灾的出现都是由于对作业现场的监管不力造成的。如对外来施工人员的安全教育流于形式，外来施工人员在加油站内吸烟，不按规定用电、用火等均有可能造成加油站的火灾。</w:t>
            </w:r>
          </w:p>
          <w:p>
            <w:pPr>
              <w:ind w:firstLine="480" w:firstLineChars="200"/>
              <w:rPr>
                <w:rFonts w:hint="default"/>
                <w:color w:val="auto"/>
                <w:vertAlign w:val="baseline"/>
                <w:lang w:val="en-US" w:eastAsia="zh-CN"/>
              </w:rPr>
            </w:pPr>
            <w:r>
              <w:rPr>
                <w:rFonts w:hint="default"/>
                <w:color w:val="auto"/>
                <w:vertAlign w:val="baseline"/>
                <w:lang w:val="en-US" w:eastAsia="zh-CN"/>
              </w:rPr>
              <w:t>Ⅶ.设立安全标识、规范安全操作</w:t>
            </w:r>
          </w:p>
          <w:p>
            <w:pPr>
              <w:ind w:firstLine="480" w:firstLineChars="200"/>
              <w:rPr>
                <w:rFonts w:hint="default"/>
                <w:color w:val="auto"/>
                <w:vertAlign w:val="baseline"/>
                <w:lang w:val="en-US" w:eastAsia="zh-CN"/>
              </w:rPr>
            </w:pPr>
            <w:r>
              <w:rPr>
                <w:rFonts w:hint="default"/>
                <w:color w:val="auto"/>
                <w:vertAlign w:val="baseline"/>
                <w:lang w:val="en-US" w:eastAsia="zh-CN"/>
              </w:rPr>
              <w:t>A.在公路接近加油站前设置减速带和减速标志等防范措施。</w:t>
            </w:r>
          </w:p>
          <w:p>
            <w:pPr>
              <w:ind w:firstLine="480" w:firstLineChars="200"/>
              <w:rPr>
                <w:rFonts w:hint="default"/>
                <w:color w:val="auto"/>
                <w:vertAlign w:val="baseline"/>
                <w:lang w:val="en-US" w:eastAsia="zh-CN"/>
              </w:rPr>
            </w:pPr>
            <w:r>
              <w:rPr>
                <w:rFonts w:hint="default"/>
                <w:color w:val="auto"/>
                <w:vertAlign w:val="baseline"/>
                <w:lang w:val="en-US" w:eastAsia="zh-CN"/>
              </w:rPr>
              <w:t>B.在油罐区、加油作业区等生产现场设置事故照明、安全疏散指示标志，加油站进出口处及油罐区必须设立“严禁烟火”和“禁止使用手机”等有关警告牌。</w:t>
            </w:r>
          </w:p>
          <w:p>
            <w:pPr>
              <w:ind w:firstLine="480" w:firstLineChars="200"/>
              <w:rPr>
                <w:rFonts w:hint="default"/>
                <w:color w:val="auto"/>
                <w:vertAlign w:val="baseline"/>
                <w:lang w:val="en-US" w:eastAsia="zh-CN"/>
              </w:rPr>
            </w:pPr>
            <w:r>
              <w:rPr>
                <w:rFonts w:hint="default"/>
                <w:color w:val="auto"/>
                <w:vertAlign w:val="baseline"/>
                <w:lang w:val="en-US" w:eastAsia="zh-CN"/>
              </w:rPr>
              <w:t>C.在操作和维修设备时，应采用防爆工具；动火作业前，设备、管线必须清理、置换彻底，并进行气体分析。动火期间，安全监护人员应到现场监督。动火人员应按动火审批的具体要求作业，动火完毕，监护人员和动火人员应共同检查和清理现场。电气设备检修，应清除电气设备内的尘土及异物，严禁带点作业。</w:t>
            </w:r>
          </w:p>
          <w:p>
            <w:pPr>
              <w:ind w:firstLine="480" w:firstLineChars="200"/>
              <w:rPr>
                <w:rFonts w:hint="default"/>
                <w:color w:val="auto"/>
                <w:vertAlign w:val="baseline"/>
                <w:lang w:val="en-US" w:eastAsia="zh-CN"/>
              </w:rPr>
            </w:pPr>
            <w:r>
              <w:rPr>
                <w:rFonts w:hint="default"/>
                <w:color w:val="auto"/>
                <w:vertAlign w:val="baseline"/>
                <w:lang w:val="en-US" w:eastAsia="zh-CN"/>
              </w:rPr>
              <w:t>Ⅷ.灭火设施</w:t>
            </w:r>
          </w:p>
          <w:p>
            <w:pPr>
              <w:ind w:firstLine="480" w:firstLineChars="200"/>
              <w:rPr>
                <w:rFonts w:hint="default"/>
                <w:color w:val="auto"/>
                <w:vertAlign w:val="baseline"/>
                <w:lang w:val="en-US" w:eastAsia="zh-CN"/>
              </w:rPr>
            </w:pPr>
            <w:r>
              <w:rPr>
                <w:rFonts w:hint="default"/>
                <w:color w:val="auto"/>
                <w:vertAlign w:val="baseline"/>
                <w:lang w:val="en-US" w:eastAsia="zh-CN"/>
              </w:rPr>
              <w:t>加油站内应按照规范要求备足灭火器材及消防灭火沙等用品。消防器材要做到“三保证”，即一保证数量充足，二保证种类齐全，三保证使用有效。</w:t>
            </w:r>
          </w:p>
          <w:p>
            <w:pPr>
              <w:ind w:firstLine="480" w:firstLineChars="200"/>
              <w:rPr>
                <w:rFonts w:hint="default"/>
                <w:color w:val="auto"/>
                <w:vertAlign w:val="baseline"/>
                <w:lang w:val="en-US" w:eastAsia="zh-CN"/>
              </w:rPr>
            </w:pPr>
            <w:r>
              <w:rPr>
                <w:rFonts w:hint="default"/>
                <w:color w:val="auto"/>
                <w:vertAlign w:val="baseline"/>
                <w:lang w:val="en-US" w:eastAsia="zh-CN"/>
              </w:rPr>
              <w:t>Ⅸ.加强日常防火巡查</w:t>
            </w:r>
          </w:p>
          <w:p>
            <w:pPr>
              <w:ind w:firstLine="480" w:firstLineChars="200"/>
              <w:rPr>
                <w:rFonts w:hint="default"/>
                <w:color w:val="auto"/>
                <w:vertAlign w:val="baseline"/>
                <w:lang w:val="en-US" w:eastAsia="zh-CN"/>
              </w:rPr>
            </w:pPr>
            <w:r>
              <w:rPr>
                <w:rFonts w:hint="default"/>
                <w:color w:val="auto"/>
                <w:vertAlign w:val="baseline"/>
                <w:lang w:val="en-US" w:eastAsia="zh-CN"/>
              </w:rPr>
              <w:t>每天对站内电气设备、照明设施，油罐区的油罐口、量油口、卸油口、阀门、人孔等油罐附进以及卸、输油管线、防雷防静电接地接线状况等巡查不少于2次，并做好记录，一经发现油品渗漏等问题要即使报告和处理。对设备渗漏要立即采取修复措施，严禁“带病”运行。</w:t>
            </w:r>
          </w:p>
          <w:p>
            <w:pPr>
              <w:ind w:firstLine="480" w:firstLineChars="200"/>
              <w:rPr>
                <w:rFonts w:hint="default"/>
                <w:color w:val="auto"/>
                <w:vertAlign w:val="baseline"/>
                <w:lang w:val="en-US" w:eastAsia="zh-CN"/>
              </w:rPr>
            </w:pPr>
            <w:r>
              <w:rPr>
                <w:rFonts w:hint="default"/>
                <w:color w:val="auto"/>
                <w:vertAlign w:val="baseline"/>
                <w:lang w:val="en-US" w:eastAsia="zh-CN"/>
              </w:rPr>
              <w:t>Ⅹ.加大培训力度，提高员工素质，增加安全意识</w:t>
            </w:r>
          </w:p>
          <w:p>
            <w:pPr>
              <w:rPr>
                <w:rFonts w:hint="default"/>
                <w:color w:val="auto"/>
                <w:vertAlign w:val="baseline"/>
                <w:lang w:val="en-US" w:eastAsia="zh-CN"/>
              </w:rPr>
            </w:pPr>
            <w:r>
              <w:rPr>
                <w:rFonts w:hint="default"/>
                <w:color w:val="auto"/>
                <w:vertAlign w:val="baseline"/>
                <w:lang w:val="en-US" w:eastAsia="zh-CN"/>
              </w:rPr>
              <w:t>高素质的员工对待安全的问题时能充分发挥主观能动性，为企业的发展提供保障。所以，应该注重对员工的培训和学习，开展安全教育和消防演练，使员工连接油品易燃、易爆、易挥发、易产生静电、有毒等基本特性，了解油品火灾的特点，熟练掌握各种消防器材的使用方法和基本灭火技能，牢固树立“安全第一、预防为主”的意识，自觉遵守规章制度，从而避免由于人为因素而引发的火灾。加油站风险防范措施汇总表见表4-</w:t>
            </w:r>
            <w:r>
              <w:rPr>
                <w:rFonts w:hint="default"/>
                <w:color w:val="auto"/>
                <w:vertAlign w:val="baseline"/>
                <w:lang w:eastAsia="zh-CN"/>
              </w:rPr>
              <w:fldChar w:fldCharType="begin"/>
            </w:r>
            <w:r>
              <w:rPr>
                <w:rFonts w:hint="default"/>
                <w:color w:val="auto"/>
                <w:vertAlign w:val="baseline"/>
                <w:lang w:eastAsia="zh-CN"/>
              </w:rPr>
              <w:instrText xml:space="preserve"> SEQ 4- \* MERGEFORMAT </w:instrText>
            </w:r>
            <w:r>
              <w:rPr>
                <w:rFonts w:hint="default"/>
                <w:color w:val="auto"/>
                <w:vertAlign w:val="baseline"/>
                <w:lang w:eastAsia="zh-CN"/>
              </w:rPr>
              <w:fldChar w:fldCharType="separate"/>
            </w:r>
            <w:r>
              <w:rPr>
                <w:rFonts w:hint="default"/>
                <w:color w:val="auto"/>
                <w:vertAlign w:val="baseline"/>
                <w:lang w:eastAsia="zh-CN"/>
              </w:rPr>
              <w:t>20</w:t>
            </w:r>
            <w:r>
              <w:rPr>
                <w:rFonts w:hint="default"/>
                <w:color w:val="auto"/>
                <w:vertAlign w:val="baseline"/>
                <w:lang w:eastAsia="zh-CN"/>
              </w:rPr>
              <w:fldChar w:fldCharType="end"/>
            </w:r>
            <w:r>
              <w:rPr>
                <w:rFonts w:hint="default"/>
                <w:color w:val="auto"/>
                <w:vertAlign w:val="baseline"/>
                <w:lang w:val="en-US" w:eastAsia="zh-CN"/>
              </w:rPr>
              <w:t>。</w:t>
            </w:r>
          </w:p>
          <w:p>
            <w:pPr>
              <w:spacing w:line="240" w:lineRule="auto"/>
              <w:jc w:val="center"/>
              <w:rPr>
                <w:rFonts w:hint="default"/>
                <w:b/>
                <w:bCs/>
                <w:color w:val="auto"/>
                <w:vertAlign w:val="baseline"/>
                <w:lang w:val="en-US" w:eastAsia="zh-CN"/>
              </w:rPr>
            </w:pPr>
          </w:p>
          <w:p>
            <w:pPr>
              <w:spacing w:line="240" w:lineRule="auto"/>
              <w:jc w:val="center"/>
              <w:rPr>
                <w:rFonts w:hint="default"/>
                <w:b/>
                <w:bCs/>
                <w:color w:val="auto"/>
                <w:vertAlign w:val="baseline"/>
                <w:lang w:val="en-US" w:eastAsia="zh-CN"/>
              </w:rPr>
            </w:pPr>
          </w:p>
          <w:p>
            <w:pPr>
              <w:spacing w:line="240" w:lineRule="auto"/>
              <w:jc w:val="center"/>
              <w:rPr>
                <w:rFonts w:hint="default"/>
                <w:b/>
                <w:bCs/>
                <w:color w:val="auto"/>
                <w:vertAlign w:val="baseline"/>
                <w:lang w:val="en-US" w:eastAsia="zh-CN"/>
              </w:rPr>
            </w:pPr>
            <w:r>
              <w:rPr>
                <w:rFonts w:hint="default"/>
                <w:b/>
                <w:bCs/>
                <w:color w:val="auto"/>
                <w:vertAlign w:val="baseline"/>
                <w:lang w:val="en-US" w:eastAsia="zh-CN"/>
              </w:rPr>
              <w:t>表4-</w:t>
            </w:r>
            <w:r>
              <w:rPr>
                <w:rFonts w:hint="default"/>
                <w:b/>
                <w:bCs/>
                <w:color w:val="auto"/>
                <w:vertAlign w:val="baseline"/>
                <w:lang w:eastAsia="zh-CN"/>
              </w:rPr>
              <w:fldChar w:fldCharType="begin"/>
            </w:r>
            <w:r>
              <w:rPr>
                <w:rFonts w:hint="default"/>
                <w:b/>
                <w:bCs/>
                <w:color w:val="auto"/>
                <w:vertAlign w:val="baseline"/>
                <w:lang w:eastAsia="zh-CN"/>
              </w:rPr>
              <w:instrText xml:space="preserve"> SEQ 表4- \* MERGEFORMAT </w:instrText>
            </w:r>
            <w:r>
              <w:rPr>
                <w:rFonts w:hint="default"/>
                <w:b/>
                <w:bCs/>
                <w:color w:val="auto"/>
                <w:vertAlign w:val="baseline"/>
                <w:lang w:eastAsia="zh-CN"/>
              </w:rPr>
              <w:fldChar w:fldCharType="separate"/>
            </w:r>
            <w:r>
              <w:rPr>
                <w:rFonts w:hint="default"/>
                <w:b/>
                <w:bCs/>
                <w:color w:val="auto"/>
                <w:vertAlign w:val="baseline"/>
                <w:lang w:eastAsia="zh-CN"/>
              </w:rPr>
              <w:t>20</w:t>
            </w:r>
            <w:r>
              <w:rPr>
                <w:rFonts w:hint="default"/>
                <w:b/>
                <w:bCs/>
                <w:color w:val="auto"/>
                <w:vertAlign w:val="baseline"/>
                <w:lang w:eastAsia="zh-CN"/>
              </w:rPr>
              <w:fldChar w:fldCharType="end"/>
            </w:r>
            <w:r>
              <w:rPr>
                <w:rFonts w:hint="eastAsia"/>
                <w:b/>
                <w:bCs/>
                <w:color w:val="auto"/>
                <w:vertAlign w:val="baseline"/>
                <w:lang w:val="en-US" w:eastAsia="zh-CN"/>
              </w:rPr>
              <w:t xml:space="preserve">  </w:t>
            </w:r>
            <w:r>
              <w:rPr>
                <w:rFonts w:hint="default"/>
                <w:b/>
                <w:bCs/>
                <w:color w:val="auto"/>
                <w:vertAlign w:val="baseline"/>
                <w:lang w:val="en-US" w:eastAsia="zh-CN"/>
              </w:rPr>
              <w:t>风险防范措施汇总表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5038"/>
              <w:gridCol w:w="1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1"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名称</w:t>
                  </w:r>
                </w:p>
              </w:tc>
              <w:tc>
                <w:tcPr>
                  <w:tcW w:w="5038"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防范措施</w:t>
                  </w:r>
                </w:p>
              </w:tc>
              <w:tc>
                <w:tcPr>
                  <w:tcW w:w="1734"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1"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风险防范措施汇总</w:t>
                  </w:r>
                </w:p>
              </w:tc>
              <w:tc>
                <w:tcPr>
                  <w:tcW w:w="5038" w:type="dxa"/>
                  <w:vAlign w:val="center"/>
                </w:tcPr>
                <w:p>
                  <w:pPr>
                    <w:spacing w:line="240" w:lineRule="auto"/>
                    <w:ind w:firstLine="420" w:firstLineChars="200"/>
                    <w:jc w:val="both"/>
                    <w:rPr>
                      <w:rFonts w:hint="default"/>
                      <w:color w:val="auto"/>
                      <w:sz w:val="21"/>
                      <w:szCs w:val="21"/>
                      <w:vertAlign w:val="baseline"/>
                      <w:lang w:val="en-US" w:eastAsia="zh-CN"/>
                    </w:rPr>
                  </w:pPr>
                  <w:r>
                    <w:rPr>
                      <w:rFonts w:hint="default" w:eastAsia="宋体"/>
                      <w:color w:val="auto"/>
                      <w:sz w:val="21"/>
                      <w:szCs w:val="21"/>
                      <w:vertAlign w:val="baseline"/>
                      <w:lang w:val="en-US" w:eastAsia="zh-CN"/>
                    </w:rPr>
                    <w:t>加油站配备有灭火毯、灭火沙、手提式干粉灭火器、</w:t>
                  </w:r>
                  <w:r>
                    <w:rPr>
                      <w:rFonts w:hint="eastAsia" w:eastAsia="宋体"/>
                      <w:color w:val="auto"/>
                      <w:sz w:val="21"/>
                      <w:szCs w:val="21"/>
                      <w:vertAlign w:val="baseline"/>
                      <w:lang w:val="en-US" w:eastAsia="zh-CN"/>
                    </w:rPr>
                    <w:t>推车</w:t>
                  </w:r>
                  <w:r>
                    <w:rPr>
                      <w:rFonts w:hint="default" w:eastAsia="宋体"/>
                      <w:color w:val="auto"/>
                      <w:sz w:val="21"/>
                      <w:szCs w:val="21"/>
                      <w:vertAlign w:val="baseline"/>
                      <w:lang w:val="en-US" w:eastAsia="zh-CN"/>
                    </w:rPr>
                    <w:t>式干粉灭火器</w:t>
                  </w:r>
                  <w:r>
                    <w:rPr>
                      <w:rFonts w:hint="eastAsia" w:eastAsia="宋体"/>
                      <w:color w:val="auto"/>
                      <w:sz w:val="21"/>
                      <w:szCs w:val="21"/>
                      <w:vertAlign w:val="baseline"/>
                      <w:lang w:val="en-US" w:eastAsia="zh-CN"/>
                    </w:rPr>
                    <w:t>、二氧化碳灭火器</w:t>
                  </w:r>
                  <w:r>
                    <w:rPr>
                      <w:rFonts w:hint="default" w:eastAsia="宋体"/>
                      <w:color w:val="auto"/>
                      <w:sz w:val="21"/>
                      <w:szCs w:val="21"/>
                      <w:vertAlign w:val="baseline"/>
                      <w:lang w:val="en-US" w:eastAsia="zh-CN"/>
                    </w:rPr>
                    <w:t>、医用急救包等，对每个工作人员进行消防培训、埋地油罐基底采用防渗混凝土处理，油罐顶部及周边均采用粘土夯实，油罐区四周修建围堤，加油站内设立禁止吸烟、禁止打</w:t>
                  </w:r>
                  <w:r>
                    <w:rPr>
                      <w:rFonts w:hint="eastAsia"/>
                      <w:color w:val="auto"/>
                      <w:sz w:val="21"/>
                      <w:szCs w:val="21"/>
                      <w:vertAlign w:val="baseline"/>
                      <w:lang w:val="en-US" w:eastAsia="zh-CN"/>
                    </w:rPr>
                    <w:t>手</w:t>
                  </w:r>
                  <w:r>
                    <w:rPr>
                      <w:rFonts w:hint="default" w:eastAsia="宋体"/>
                      <w:color w:val="auto"/>
                      <w:sz w:val="21"/>
                      <w:szCs w:val="21"/>
                      <w:vertAlign w:val="baseline"/>
                      <w:lang w:val="en-US" w:eastAsia="zh-CN"/>
                    </w:rPr>
                    <w:t>机的警示牌，严格禁止站内明火、电焊、电割，加油软管设拉断截止阀；加强员工的安全技术培训，提高安全防范意识。</w:t>
                  </w:r>
                </w:p>
              </w:tc>
              <w:tc>
                <w:tcPr>
                  <w:tcW w:w="1734" w:type="dxa"/>
                  <w:vAlign w:val="center"/>
                </w:tcPr>
                <w:p>
                  <w:pPr>
                    <w:spacing w:line="240" w:lineRule="auto"/>
                    <w:jc w:val="center"/>
                    <w:rPr>
                      <w:rFonts w:hint="default"/>
                      <w:color w:val="auto"/>
                      <w:sz w:val="21"/>
                      <w:szCs w:val="21"/>
                      <w:vertAlign w:val="baseline"/>
                      <w:lang w:val="en-US" w:eastAsia="zh-CN"/>
                    </w:rPr>
                  </w:pPr>
                  <w:r>
                    <w:rPr>
                      <w:rFonts w:hint="default" w:eastAsia="宋体"/>
                      <w:color w:val="auto"/>
                      <w:sz w:val="21"/>
                      <w:szCs w:val="21"/>
                      <w:vertAlign w:val="baseline"/>
                      <w:lang w:val="en-US" w:eastAsia="zh-CN"/>
                    </w:rPr>
                    <w:t>尽量减少风险事故的发生和降低事故的损失</w:t>
                  </w:r>
                </w:p>
              </w:tc>
            </w:tr>
          </w:tbl>
          <w:p>
            <w:pPr>
              <w:rPr>
                <w:rFonts w:hint="default"/>
                <w:color w:val="auto"/>
                <w:vertAlign w:val="baseline"/>
                <w:lang w:val="en-US" w:eastAsia="zh-CN"/>
              </w:rPr>
            </w:pPr>
            <w:r>
              <w:rPr>
                <w:rFonts w:hint="eastAsia"/>
                <w:color w:val="auto"/>
                <w:vertAlign w:val="baseline"/>
                <w:lang w:val="en-US" w:eastAsia="zh-CN"/>
              </w:rPr>
              <w:t>（8）</w:t>
            </w:r>
            <w:r>
              <w:rPr>
                <w:rFonts w:hint="default"/>
                <w:color w:val="auto"/>
                <w:vertAlign w:val="baseline"/>
                <w:lang w:val="en-US" w:eastAsia="zh-CN"/>
              </w:rPr>
              <w:t>风险评价结论</w:t>
            </w:r>
          </w:p>
          <w:p>
            <w:pPr>
              <w:ind w:firstLine="480" w:firstLineChars="200"/>
              <w:rPr>
                <w:rFonts w:hint="default"/>
                <w:color w:val="auto"/>
                <w:vertAlign w:val="baseline"/>
                <w:lang w:val="en-US" w:eastAsia="zh-CN"/>
              </w:rPr>
            </w:pPr>
            <w:r>
              <w:rPr>
                <w:rFonts w:hint="default"/>
                <w:color w:val="auto"/>
                <w:vertAlign w:val="baseline"/>
                <w:lang w:val="en-US" w:eastAsia="zh-CN"/>
              </w:rPr>
              <w:t>拟建项目主要危险物质为汽油和柴油，在油品突发泄漏的情况下加油站存在污染环境空气、地表水、</w:t>
            </w:r>
            <w:r>
              <w:rPr>
                <w:rFonts w:hint="eastAsia"/>
                <w:color w:val="auto"/>
                <w:vertAlign w:val="baseline"/>
                <w:lang w:val="en-US" w:eastAsia="zh-CN"/>
              </w:rPr>
              <w:t>地下水、</w:t>
            </w:r>
            <w:r>
              <w:rPr>
                <w:rFonts w:hint="default"/>
                <w:color w:val="auto"/>
                <w:vertAlign w:val="baseline"/>
                <w:lang w:val="en-US" w:eastAsia="zh-CN"/>
              </w:rPr>
              <w:t>土壤、危害周围人群健康以及发生火灾爆炸事故的潜在风险，但发生的概率极小。尽管本项目发生风险事故的可能性小，但仍然应对此引起高度重视。</w:t>
            </w:r>
          </w:p>
          <w:p>
            <w:pPr>
              <w:rPr>
                <w:rFonts w:hint="default"/>
                <w:color w:val="auto"/>
                <w:vertAlign w:val="baseline"/>
                <w:lang w:val="en-US" w:eastAsia="zh-CN"/>
              </w:rPr>
            </w:pPr>
          </w:p>
        </w:tc>
      </w:tr>
    </w:tbl>
    <w:p>
      <w:pPr>
        <w:rPr>
          <w:rFonts w:hint="default"/>
          <w:color w:val="auto"/>
          <w:lang w:val="en-US" w:eastAsia="zh-CN"/>
        </w:rPr>
      </w:pPr>
      <w:r>
        <w:rPr>
          <w:rFonts w:hint="default"/>
          <w:color w:val="auto"/>
          <w:lang w:val="en-US" w:eastAsia="zh-CN"/>
        </w:rPr>
        <w:br w:type="page"/>
      </w:r>
    </w:p>
    <w:p>
      <w:pPr>
        <w:pStyle w:val="4"/>
        <w:bidi w:val="0"/>
        <w:outlineLvl w:val="0"/>
        <w:rPr>
          <w:rFonts w:hint="eastAsia"/>
          <w:lang w:val="en-US" w:eastAsia="zh-CN"/>
        </w:rPr>
      </w:pPr>
      <w:bookmarkStart w:id="15" w:name="_Toc8824"/>
      <w:r>
        <w:rPr>
          <w:rFonts w:hint="eastAsia"/>
          <w:lang w:val="en-US" w:eastAsia="zh-CN"/>
        </w:rPr>
        <w:t>五、环境保护措施监督检查清单</w:t>
      </w:r>
      <w:bookmarkEnd w:id="15"/>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1675"/>
        <w:gridCol w:w="1487"/>
        <w:gridCol w:w="1854"/>
        <w:gridCol w:w="2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2" w:hRule="atLeast"/>
          <w:jc w:val="center"/>
        </w:trPr>
        <w:tc>
          <w:tcPr>
            <w:tcW w:w="1225" w:type="dxa"/>
            <w:vAlign w:val="center"/>
          </w:tcPr>
          <w:p>
            <w:pPr>
              <w:widowControl w:val="0"/>
              <w:numPr>
                <w:ilvl w:val="0"/>
                <w:numId w:val="0"/>
              </w:numPr>
              <w:spacing w:after="120" w:afterLines="0" w:afterAutospacing="0" w:line="360" w:lineRule="auto"/>
              <w:jc w:val="center"/>
              <w:rPr>
                <w:rFonts w:hint="eastAsia"/>
                <w:sz w:val="24"/>
                <w:szCs w:val="24"/>
                <w:lang w:val="en-US" w:eastAsia="zh-CN"/>
              </w:rPr>
            </w:pPr>
            <w:r>
              <w:rPr>
                <w:sz w:val="24"/>
                <w:szCs w:val="24"/>
              </w:rPr>
              <mc:AlternateContent>
                <mc:Choice Requires="wps">
                  <w:drawing>
                    <wp:anchor distT="0" distB="0" distL="114300" distR="114300" simplePos="0" relativeHeight="251664384" behindDoc="0" locked="0" layoutInCell="1" allowOverlap="1">
                      <wp:simplePos x="0" y="0"/>
                      <wp:positionH relativeFrom="column">
                        <wp:posOffset>-21590</wp:posOffset>
                      </wp:positionH>
                      <wp:positionV relativeFrom="paragraph">
                        <wp:posOffset>18415</wp:posOffset>
                      </wp:positionV>
                      <wp:extent cx="706755" cy="1029970"/>
                      <wp:effectExtent l="3810" t="2540" r="13335" b="15240"/>
                      <wp:wrapNone/>
                      <wp:docPr id="145" name="直接连接符 145"/>
                      <wp:cNvGraphicFramePr/>
                      <a:graphic xmlns:a="http://schemas.openxmlformats.org/drawingml/2006/main">
                        <a:graphicData uri="http://schemas.microsoft.com/office/word/2010/wordprocessingShape">
                          <wps:wsp>
                            <wps:cNvCnPr/>
                            <wps:spPr>
                              <a:xfrm>
                                <a:off x="1082040" y="1319530"/>
                                <a:ext cx="706755" cy="10299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7pt;margin-top:1.45pt;height:81.1pt;width:55.65pt;z-index:251664384;mso-width-relative:page;mso-height-relative:page;" filled="f" stroked="t" coordsize="21600,21600" o:gfxdata="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PfkkLWAAAACAEAAA8AAAAAAAAAAQAgAAAAIgAAAGRycy9kb3ducmV2LnhtbFBLAQIU&#10;ABQAAAAIAIdO4kBnCX0Q9QEAAMYDAAAOAAAAAAAAAAEAIAAAACUBAABkcnMvZTJvRG9jLnhtbFBL&#10;BQYAAAAABgAGAFkBAACMBQAAAAA=&#10;">
                      <v:fill on="f" focussize="0,0"/>
                      <v:stroke weight="0.5pt" color="#000000 [3213]" miterlimit="8" joinstyle="miter"/>
                      <v:imagedata o:title=""/>
                      <o:lock v:ext="edit" aspectratio="f"/>
                    </v:line>
                  </w:pict>
                </mc:Fallback>
              </mc:AlternateContent>
            </w:r>
            <w:r>
              <w:rPr>
                <w:rFonts w:hint="eastAsia"/>
                <w:sz w:val="24"/>
                <w:szCs w:val="24"/>
                <w:lang w:val="en-US" w:eastAsia="zh-CN"/>
              </w:rPr>
              <w:t xml:space="preserve">  内容           </w:t>
            </w:r>
          </w:p>
          <w:p>
            <w:pPr>
              <w:rPr>
                <w:rFonts w:hint="eastAsia"/>
                <w:sz w:val="24"/>
                <w:szCs w:val="24"/>
                <w:vertAlign w:val="baseline"/>
                <w:lang w:val="en-US" w:eastAsia="zh-CN"/>
              </w:rPr>
            </w:pPr>
          </w:p>
          <w:p>
            <w:pPr>
              <w:rPr>
                <w:rFonts w:hint="default"/>
                <w:sz w:val="24"/>
                <w:szCs w:val="24"/>
                <w:lang w:val="en-US" w:eastAsia="zh-CN"/>
              </w:rPr>
            </w:pPr>
            <w:r>
              <w:rPr>
                <w:rFonts w:hint="eastAsia"/>
                <w:sz w:val="24"/>
                <w:szCs w:val="24"/>
                <w:vertAlign w:val="baseline"/>
                <w:lang w:val="en-US" w:eastAsia="zh-CN"/>
              </w:rPr>
              <w:t>要素</w:t>
            </w:r>
          </w:p>
        </w:tc>
        <w:tc>
          <w:tcPr>
            <w:tcW w:w="167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排放口(编号、</w:t>
            </w:r>
          </w:p>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名称)</w:t>
            </w:r>
            <w:r>
              <w:rPr>
                <w:rFonts w:hint="eastAsia" w:ascii="Calibri" w:hAnsi="Calibri" w:cs="Calibri"/>
                <w:sz w:val="24"/>
                <w:szCs w:val="24"/>
                <w:vertAlign w:val="baseline"/>
                <w:lang w:val="en-US" w:eastAsia="zh-CN"/>
              </w:rPr>
              <w:t>/</w:t>
            </w:r>
            <w:r>
              <w:rPr>
                <w:rFonts w:hint="eastAsia"/>
                <w:sz w:val="24"/>
                <w:szCs w:val="24"/>
                <w:vertAlign w:val="baseline"/>
                <w:lang w:val="en-US" w:eastAsia="zh-CN"/>
              </w:rPr>
              <w:t>污染源</w:t>
            </w:r>
          </w:p>
        </w:tc>
        <w:tc>
          <w:tcPr>
            <w:tcW w:w="1487"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污染物项目</w:t>
            </w:r>
          </w:p>
        </w:tc>
        <w:tc>
          <w:tcPr>
            <w:tcW w:w="1854"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环境保护措施</w:t>
            </w:r>
          </w:p>
        </w:tc>
        <w:tc>
          <w:tcPr>
            <w:tcW w:w="2281"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5" w:hRule="atLeast"/>
          <w:jc w:val="center"/>
        </w:trPr>
        <w:tc>
          <w:tcPr>
            <w:tcW w:w="1225" w:type="dxa"/>
            <w:vMerge w:val="restart"/>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大气环境</w:t>
            </w:r>
          </w:p>
        </w:tc>
        <w:tc>
          <w:tcPr>
            <w:tcW w:w="167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加油机作业、储油罐大小呼吸等</w:t>
            </w:r>
          </w:p>
        </w:tc>
        <w:tc>
          <w:tcPr>
            <w:tcW w:w="1487"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非甲烷总烃</w:t>
            </w:r>
          </w:p>
        </w:tc>
        <w:tc>
          <w:tcPr>
            <w:tcW w:w="1854"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地埋式储油罐，采用自封式加油枪及密闭卸油等方式，设置汽油油气回收系统</w:t>
            </w:r>
          </w:p>
        </w:tc>
        <w:tc>
          <w:tcPr>
            <w:tcW w:w="2281"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满足《加油站大气污染物排放标准》(GB20952-2020)中相应限值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3" w:hRule="atLeast"/>
          <w:jc w:val="center"/>
        </w:trPr>
        <w:tc>
          <w:tcPr>
            <w:tcW w:w="1225" w:type="dxa"/>
            <w:vMerge w:val="continue"/>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p>
        </w:tc>
        <w:tc>
          <w:tcPr>
            <w:tcW w:w="167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发电机烟气</w:t>
            </w:r>
          </w:p>
        </w:tc>
        <w:tc>
          <w:tcPr>
            <w:tcW w:w="1487"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SO</w:t>
            </w:r>
            <w:r>
              <w:rPr>
                <w:rFonts w:hint="eastAsia"/>
                <w:sz w:val="24"/>
                <w:szCs w:val="24"/>
                <w:vertAlign w:val="subscript"/>
                <w:lang w:val="en-US" w:eastAsia="zh-CN"/>
              </w:rPr>
              <w:t>2</w:t>
            </w:r>
            <w:r>
              <w:rPr>
                <w:rFonts w:hint="eastAsia"/>
                <w:sz w:val="24"/>
                <w:szCs w:val="24"/>
                <w:vertAlign w:val="baseline"/>
                <w:lang w:val="en-US" w:eastAsia="zh-CN"/>
              </w:rPr>
              <w:t>、NO</w:t>
            </w:r>
            <w:r>
              <w:rPr>
                <w:rFonts w:hint="eastAsia"/>
                <w:sz w:val="24"/>
                <w:szCs w:val="24"/>
                <w:vertAlign w:val="subscript"/>
                <w:lang w:val="en-US" w:eastAsia="zh-CN"/>
              </w:rPr>
              <w:t>x</w:t>
            </w:r>
            <w:r>
              <w:rPr>
                <w:rFonts w:hint="eastAsia"/>
                <w:sz w:val="24"/>
                <w:szCs w:val="24"/>
                <w:vertAlign w:val="baseline"/>
                <w:lang w:val="en-US" w:eastAsia="zh-CN"/>
              </w:rPr>
              <w:t>、烟尘</w:t>
            </w:r>
          </w:p>
        </w:tc>
        <w:tc>
          <w:tcPr>
            <w:tcW w:w="1854"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加强通风</w:t>
            </w:r>
          </w:p>
        </w:tc>
        <w:tc>
          <w:tcPr>
            <w:tcW w:w="2281"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满足《大气污染物综合排放标准》（GB16297-1996）中浓度限值要求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25" w:type="dxa"/>
            <w:vMerge w:val="restart"/>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地表水环境</w:t>
            </w:r>
          </w:p>
        </w:tc>
        <w:tc>
          <w:tcPr>
            <w:tcW w:w="1675" w:type="dxa"/>
            <w:vAlign w:val="center"/>
          </w:tcPr>
          <w:p>
            <w:pPr>
              <w:widowControl w:val="0"/>
              <w:numPr>
                <w:ilvl w:val="0"/>
                <w:numId w:val="0"/>
              </w:numPr>
              <w:spacing w:after="120" w:afterLines="0" w:afterAutospacing="0" w:line="360" w:lineRule="auto"/>
              <w:ind w:left="0" w:leftChars="0" w:firstLine="0" w:firstLineChars="0"/>
              <w:jc w:val="center"/>
              <w:rPr>
                <w:rFonts w:hint="eastAsia"/>
                <w:sz w:val="24"/>
                <w:szCs w:val="24"/>
                <w:vertAlign w:val="baseline"/>
                <w:lang w:val="en-US" w:eastAsia="zh-CN"/>
              </w:rPr>
            </w:pPr>
            <w:r>
              <w:rPr>
                <w:rFonts w:hint="eastAsia" w:eastAsia="宋体"/>
                <w:sz w:val="24"/>
                <w:szCs w:val="24"/>
                <w:vertAlign w:val="baseline"/>
                <w:lang w:val="en-US" w:eastAsia="zh-CN"/>
              </w:rPr>
              <w:t>生活和公厕污水</w:t>
            </w:r>
          </w:p>
        </w:tc>
        <w:tc>
          <w:tcPr>
            <w:tcW w:w="1487" w:type="dxa"/>
            <w:vAlign w:val="center"/>
          </w:tcPr>
          <w:p>
            <w:pPr>
              <w:widowControl w:val="0"/>
              <w:numPr>
                <w:ilvl w:val="0"/>
                <w:numId w:val="0"/>
              </w:numPr>
              <w:spacing w:after="120" w:afterLines="0" w:afterAutospacing="0" w:line="360" w:lineRule="auto"/>
              <w:ind w:left="0" w:leftChars="0" w:firstLine="0" w:firstLineChars="0"/>
              <w:jc w:val="center"/>
              <w:rPr>
                <w:rFonts w:hint="eastAsia"/>
                <w:sz w:val="24"/>
                <w:szCs w:val="24"/>
                <w:vertAlign w:val="baseline"/>
                <w:lang w:val="en-US" w:eastAsia="zh-CN"/>
              </w:rPr>
            </w:pPr>
            <w:r>
              <w:rPr>
                <w:rFonts w:hint="eastAsia" w:eastAsia="宋体"/>
                <w:sz w:val="24"/>
                <w:szCs w:val="24"/>
                <w:vertAlign w:val="baseline"/>
                <w:lang w:val="en-US" w:eastAsia="zh-CN"/>
              </w:rPr>
              <w:t>SS、COD、BOD</w:t>
            </w:r>
            <w:r>
              <w:rPr>
                <w:rFonts w:hint="eastAsia" w:eastAsia="宋体"/>
                <w:sz w:val="24"/>
                <w:szCs w:val="24"/>
                <w:vertAlign w:val="subscript"/>
                <w:lang w:val="en-US" w:eastAsia="zh-CN"/>
              </w:rPr>
              <w:t>5</w:t>
            </w:r>
            <w:r>
              <w:rPr>
                <w:rFonts w:hint="eastAsia" w:eastAsia="宋体"/>
                <w:sz w:val="24"/>
                <w:szCs w:val="24"/>
                <w:vertAlign w:val="baseline"/>
                <w:lang w:val="en-US" w:eastAsia="zh-CN"/>
              </w:rPr>
              <w:t>、NH</w:t>
            </w:r>
            <w:r>
              <w:rPr>
                <w:rFonts w:hint="eastAsia" w:eastAsia="宋体"/>
                <w:sz w:val="24"/>
                <w:szCs w:val="24"/>
                <w:vertAlign w:val="subscript"/>
                <w:lang w:val="en-US" w:eastAsia="zh-CN"/>
              </w:rPr>
              <w:t>3</w:t>
            </w:r>
            <w:r>
              <w:rPr>
                <w:rFonts w:hint="eastAsia" w:eastAsia="宋体"/>
                <w:sz w:val="24"/>
                <w:szCs w:val="24"/>
                <w:vertAlign w:val="baseline"/>
                <w:lang w:val="en-US" w:eastAsia="zh-CN"/>
              </w:rPr>
              <w:t>-N等</w:t>
            </w:r>
          </w:p>
        </w:tc>
        <w:tc>
          <w:tcPr>
            <w:tcW w:w="1854" w:type="dxa"/>
            <w:vAlign w:val="center"/>
          </w:tcPr>
          <w:p>
            <w:pPr>
              <w:widowControl w:val="0"/>
              <w:numPr>
                <w:ilvl w:val="0"/>
                <w:numId w:val="0"/>
              </w:numPr>
              <w:spacing w:after="120" w:afterLines="0" w:afterAutospacing="0" w:line="360" w:lineRule="auto"/>
              <w:ind w:left="0" w:leftChars="0" w:firstLine="0" w:firstLineChars="0"/>
              <w:jc w:val="center"/>
              <w:rPr>
                <w:rFonts w:hint="eastAsia"/>
                <w:sz w:val="24"/>
                <w:szCs w:val="24"/>
                <w:vertAlign w:val="baseline"/>
                <w:lang w:val="en-US" w:eastAsia="zh-CN"/>
              </w:rPr>
            </w:pPr>
            <w:r>
              <w:rPr>
                <w:rFonts w:hint="eastAsia" w:eastAsia="宋体"/>
                <w:sz w:val="24"/>
                <w:szCs w:val="24"/>
                <w:vertAlign w:val="baseline"/>
                <w:lang w:val="en-US" w:eastAsia="zh-CN"/>
              </w:rPr>
              <w:t>经化粪池处理后通过市政污水管网</w:t>
            </w:r>
            <w:r>
              <w:rPr>
                <w:rFonts w:hint="eastAsia"/>
                <w:sz w:val="24"/>
                <w:szCs w:val="24"/>
                <w:vertAlign w:val="baseline"/>
                <w:lang w:val="en-US" w:eastAsia="zh-CN"/>
              </w:rPr>
              <w:t>引</w:t>
            </w:r>
            <w:r>
              <w:rPr>
                <w:rFonts w:hint="eastAsia" w:eastAsia="宋体"/>
                <w:sz w:val="24"/>
                <w:szCs w:val="24"/>
                <w:vertAlign w:val="baseline"/>
                <w:lang w:val="en-US" w:eastAsia="zh-CN"/>
              </w:rPr>
              <w:t>送至松木污水处理厂处理后达标排放</w:t>
            </w:r>
          </w:p>
        </w:tc>
        <w:tc>
          <w:tcPr>
            <w:tcW w:w="2281" w:type="dxa"/>
            <w:vMerge w:val="restart"/>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《污水综合排放标准》（GB8978-1996）表4中的三级标准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5" w:type="dxa"/>
            <w:vMerge w:val="continue"/>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p>
        </w:tc>
        <w:tc>
          <w:tcPr>
            <w:tcW w:w="1675" w:type="dxa"/>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r>
              <w:rPr>
                <w:rFonts w:hint="eastAsia" w:eastAsia="宋体"/>
                <w:color w:val="auto"/>
                <w:sz w:val="24"/>
                <w:szCs w:val="24"/>
                <w:vertAlign w:val="baseline"/>
                <w:lang w:val="en-US" w:eastAsia="zh-CN"/>
              </w:rPr>
              <w:t>地面冲洗废水</w:t>
            </w:r>
          </w:p>
        </w:tc>
        <w:tc>
          <w:tcPr>
            <w:tcW w:w="1487" w:type="dxa"/>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r>
              <w:rPr>
                <w:rFonts w:hint="eastAsia" w:eastAsia="宋体"/>
                <w:color w:val="auto"/>
                <w:sz w:val="24"/>
                <w:szCs w:val="24"/>
                <w:vertAlign w:val="baseline"/>
                <w:lang w:val="en-US" w:eastAsia="zh-CN"/>
              </w:rPr>
              <w:t>SS、石油类</w:t>
            </w:r>
          </w:p>
        </w:tc>
        <w:tc>
          <w:tcPr>
            <w:tcW w:w="1854" w:type="dxa"/>
            <w:vMerge w:val="restart"/>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r>
              <w:rPr>
                <w:rFonts w:hint="eastAsia" w:eastAsia="宋体"/>
                <w:color w:val="auto"/>
                <w:sz w:val="24"/>
                <w:szCs w:val="24"/>
                <w:vertAlign w:val="baseline"/>
                <w:lang w:val="en-US" w:eastAsia="zh-CN"/>
              </w:rPr>
              <w:t>经隔油池处理后通过市政污水管网</w:t>
            </w:r>
            <w:r>
              <w:rPr>
                <w:rFonts w:hint="eastAsia"/>
                <w:color w:val="auto"/>
                <w:sz w:val="24"/>
                <w:szCs w:val="24"/>
                <w:vertAlign w:val="baseline"/>
                <w:lang w:val="en-US" w:eastAsia="zh-CN"/>
              </w:rPr>
              <w:t>引</w:t>
            </w:r>
            <w:r>
              <w:rPr>
                <w:rFonts w:hint="eastAsia" w:eastAsia="宋体"/>
                <w:color w:val="auto"/>
                <w:sz w:val="24"/>
                <w:szCs w:val="24"/>
                <w:vertAlign w:val="baseline"/>
                <w:lang w:val="en-US" w:eastAsia="zh-CN"/>
              </w:rPr>
              <w:t>送至松木污水处理厂处理后达标排放</w:t>
            </w:r>
          </w:p>
        </w:tc>
        <w:tc>
          <w:tcPr>
            <w:tcW w:w="2281" w:type="dxa"/>
            <w:vMerge w:val="continue"/>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1" w:hRule="atLeast"/>
          <w:jc w:val="center"/>
        </w:trPr>
        <w:tc>
          <w:tcPr>
            <w:tcW w:w="1225" w:type="dxa"/>
            <w:vMerge w:val="continue"/>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p>
        </w:tc>
        <w:tc>
          <w:tcPr>
            <w:tcW w:w="1675" w:type="dxa"/>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r>
              <w:rPr>
                <w:rFonts w:hint="eastAsia" w:eastAsia="宋体"/>
                <w:color w:val="auto"/>
                <w:sz w:val="24"/>
                <w:szCs w:val="24"/>
                <w:vertAlign w:val="baseline"/>
                <w:lang w:val="en-US" w:eastAsia="zh-CN"/>
              </w:rPr>
              <w:t>洗车废水</w:t>
            </w:r>
          </w:p>
        </w:tc>
        <w:tc>
          <w:tcPr>
            <w:tcW w:w="1487" w:type="dxa"/>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r>
              <w:rPr>
                <w:rFonts w:hint="eastAsia" w:eastAsia="宋体"/>
                <w:color w:val="auto"/>
                <w:sz w:val="24"/>
                <w:szCs w:val="24"/>
                <w:vertAlign w:val="baseline"/>
                <w:lang w:val="en-US" w:eastAsia="zh-CN"/>
              </w:rPr>
              <w:t>BOD</w:t>
            </w:r>
            <w:r>
              <w:rPr>
                <w:rFonts w:hint="eastAsia" w:eastAsia="宋体"/>
                <w:color w:val="auto"/>
                <w:sz w:val="24"/>
                <w:szCs w:val="24"/>
                <w:vertAlign w:val="subscript"/>
                <w:lang w:val="en-US" w:eastAsia="zh-CN"/>
              </w:rPr>
              <w:t>5</w:t>
            </w:r>
            <w:r>
              <w:rPr>
                <w:rFonts w:hint="eastAsia" w:eastAsia="宋体"/>
                <w:color w:val="auto"/>
                <w:sz w:val="24"/>
                <w:szCs w:val="24"/>
                <w:vertAlign w:val="baseline"/>
                <w:lang w:val="en-US" w:eastAsia="zh-CN"/>
              </w:rPr>
              <w:t>、</w:t>
            </w:r>
            <w:r>
              <w:rPr>
                <w:rFonts w:hint="eastAsia"/>
                <w:color w:val="auto"/>
                <w:sz w:val="24"/>
                <w:szCs w:val="24"/>
                <w:vertAlign w:val="baseline"/>
                <w:lang w:val="en-US" w:eastAsia="zh-CN"/>
              </w:rPr>
              <w:t>LAS</w:t>
            </w:r>
            <w:r>
              <w:rPr>
                <w:rFonts w:hint="eastAsia" w:eastAsia="宋体"/>
                <w:color w:val="auto"/>
                <w:sz w:val="24"/>
                <w:szCs w:val="24"/>
                <w:vertAlign w:val="baseline"/>
                <w:lang w:val="en-US" w:eastAsia="zh-CN"/>
              </w:rPr>
              <w:t>等</w:t>
            </w:r>
          </w:p>
        </w:tc>
        <w:tc>
          <w:tcPr>
            <w:tcW w:w="1854" w:type="dxa"/>
            <w:vMerge w:val="continue"/>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p>
        </w:tc>
        <w:tc>
          <w:tcPr>
            <w:tcW w:w="2281" w:type="dxa"/>
            <w:vMerge w:val="continue"/>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2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声环境</w:t>
            </w:r>
          </w:p>
        </w:tc>
        <w:tc>
          <w:tcPr>
            <w:tcW w:w="1675" w:type="dxa"/>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r>
              <w:rPr>
                <w:rFonts w:hint="eastAsia" w:eastAsia="宋体"/>
                <w:color w:val="auto"/>
                <w:sz w:val="24"/>
                <w:szCs w:val="24"/>
                <w:vertAlign w:val="baseline"/>
                <w:lang w:val="en-US" w:eastAsia="zh-CN"/>
              </w:rPr>
              <w:t>加油机</w:t>
            </w:r>
            <w:r>
              <w:rPr>
                <w:rFonts w:hint="eastAsia"/>
                <w:color w:val="auto"/>
                <w:sz w:val="24"/>
                <w:szCs w:val="24"/>
                <w:vertAlign w:val="baseline"/>
                <w:lang w:val="en-US" w:eastAsia="zh-CN"/>
              </w:rPr>
              <w:t>、来往车辆、发电机、洗车机</w:t>
            </w:r>
            <w:r>
              <w:rPr>
                <w:rFonts w:hint="eastAsia" w:eastAsia="宋体"/>
                <w:color w:val="auto"/>
                <w:sz w:val="24"/>
                <w:szCs w:val="24"/>
                <w:vertAlign w:val="baseline"/>
                <w:lang w:val="en-US" w:eastAsia="zh-CN"/>
              </w:rPr>
              <w:t>等</w:t>
            </w:r>
          </w:p>
        </w:tc>
        <w:tc>
          <w:tcPr>
            <w:tcW w:w="1487" w:type="dxa"/>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r>
              <w:rPr>
                <w:rFonts w:hint="eastAsia" w:eastAsia="宋体"/>
                <w:color w:val="auto"/>
                <w:sz w:val="24"/>
                <w:szCs w:val="24"/>
                <w:vertAlign w:val="baseline"/>
                <w:lang w:val="en-US" w:eastAsia="zh-CN"/>
              </w:rPr>
              <w:t>噪声</w:t>
            </w:r>
          </w:p>
        </w:tc>
        <w:tc>
          <w:tcPr>
            <w:tcW w:w="1854" w:type="dxa"/>
            <w:vAlign w:val="center"/>
          </w:tcPr>
          <w:p>
            <w:pPr>
              <w:widowControl w:val="0"/>
              <w:numPr>
                <w:ilvl w:val="0"/>
                <w:numId w:val="0"/>
              </w:numPr>
              <w:spacing w:after="120" w:afterLines="0" w:afterAutospacing="0" w:line="360" w:lineRule="auto"/>
              <w:ind w:left="0" w:leftChars="0" w:firstLine="0" w:firstLineChars="0"/>
              <w:jc w:val="center"/>
              <w:rPr>
                <w:rFonts w:hint="eastAsia"/>
                <w:color w:val="auto"/>
                <w:sz w:val="24"/>
                <w:szCs w:val="24"/>
                <w:vertAlign w:val="baseline"/>
                <w:lang w:val="en-US" w:eastAsia="zh-CN"/>
              </w:rPr>
            </w:pPr>
            <w:r>
              <w:rPr>
                <w:rFonts w:hint="eastAsia" w:eastAsia="宋体"/>
                <w:color w:val="auto"/>
                <w:sz w:val="24"/>
                <w:szCs w:val="24"/>
                <w:vertAlign w:val="baseline"/>
                <w:lang w:val="en-US" w:eastAsia="zh-CN"/>
              </w:rPr>
              <w:t>减震、隔音、距离衰减等</w:t>
            </w:r>
          </w:p>
        </w:tc>
        <w:tc>
          <w:tcPr>
            <w:tcW w:w="2281"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《工业企业厂界环境噪声排放标准》（GB12348-2008）2、4类标准限值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2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电磁辐射</w:t>
            </w:r>
          </w:p>
        </w:tc>
        <w:tc>
          <w:tcPr>
            <w:tcW w:w="7297" w:type="dxa"/>
            <w:gridSpan w:val="4"/>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本项目不涉及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2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固体废物</w:t>
            </w:r>
          </w:p>
        </w:tc>
        <w:tc>
          <w:tcPr>
            <w:tcW w:w="7297" w:type="dxa"/>
            <w:gridSpan w:val="4"/>
            <w:vAlign w:val="center"/>
          </w:tcPr>
          <w:p>
            <w:pPr>
              <w:bidi w:val="0"/>
              <w:rPr>
                <w:rFonts w:hint="eastAsia"/>
                <w:color w:val="auto"/>
                <w:lang w:val="en-US" w:eastAsia="zh-CN"/>
              </w:rPr>
            </w:pPr>
            <w:r>
              <w:rPr>
                <w:rFonts w:hint="eastAsia"/>
                <w:color w:val="auto"/>
                <w:lang w:val="en-US" w:eastAsia="zh-CN"/>
              </w:rPr>
              <w:t>1.油罐底泥和废活性炭由专业人士定期清理（更换）后带走，委托有资质单位处置；</w:t>
            </w:r>
          </w:p>
          <w:p>
            <w:pPr>
              <w:bidi w:val="0"/>
              <w:rPr>
                <w:rFonts w:hint="default"/>
                <w:color w:val="auto"/>
                <w:lang w:val="en-US" w:eastAsia="zh-CN"/>
              </w:rPr>
            </w:pPr>
            <w:r>
              <w:rPr>
                <w:rFonts w:hint="eastAsia"/>
                <w:color w:val="auto"/>
                <w:lang w:val="en-US" w:eastAsia="zh-CN"/>
              </w:rPr>
              <w:t>2.隔油池废油泥和含油废抹布手套分别暂存于危废暂存箱，定期委托有资质单位处置；</w:t>
            </w:r>
          </w:p>
          <w:p>
            <w:pPr>
              <w:bidi w:val="0"/>
              <w:rPr>
                <w:rFonts w:hint="eastAsia"/>
                <w:color w:val="auto"/>
                <w:szCs w:val="24"/>
                <w:vertAlign w:val="baseline"/>
                <w:lang w:val="en-US" w:eastAsia="zh-CN"/>
              </w:rPr>
            </w:pPr>
            <w:r>
              <w:rPr>
                <w:rFonts w:hint="eastAsia"/>
                <w:color w:val="auto"/>
                <w:lang w:val="en-US" w:eastAsia="zh-CN"/>
              </w:rPr>
              <w:t>3.生活垃圾交由环卫部门清理。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2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土壤及地下水污染防治措施</w:t>
            </w:r>
          </w:p>
        </w:tc>
        <w:tc>
          <w:tcPr>
            <w:tcW w:w="7297" w:type="dxa"/>
            <w:gridSpan w:val="4"/>
            <w:vAlign w:val="center"/>
          </w:tcPr>
          <w:p>
            <w:pPr>
              <w:widowControl w:val="0"/>
              <w:numPr>
                <w:ilvl w:val="0"/>
                <w:numId w:val="3"/>
              </w:numPr>
              <w:spacing w:after="120" w:afterLines="0" w:afterAutospacing="0" w:line="360" w:lineRule="auto"/>
              <w:jc w:val="left"/>
              <w:rPr>
                <w:rFonts w:hint="eastAsia"/>
                <w:color w:val="auto"/>
                <w:sz w:val="24"/>
                <w:szCs w:val="24"/>
                <w:vertAlign w:val="baseline"/>
                <w:lang w:val="en-US" w:eastAsia="zh-CN"/>
              </w:rPr>
            </w:pPr>
            <w:r>
              <w:rPr>
                <w:rFonts w:hint="eastAsia"/>
                <w:color w:val="auto"/>
                <w:sz w:val="24"/>
                <w:szCs w:val="24"/>
                <w:vertAlign w:val="baseline"/>
                <w:lang w:val="en-US" w:eastAsia="zh-CN"/>
              </w:rPr>
              <w:t>场区按照设计要求进行地面硬化、防渗，包括针对加油区、卸油区、油罐区、输油管线区及其他可能产生漏油的地方采取地面硬化等分区防渗措施，从而不易发生下渗、污染地下水体的现象。</w:t>
            </w:r>
          </w:p>
          <w:p>
            <w:pPr>
              <w:widowControl w:val="0"/>
              <w:numPr>
                <w:ilvl w:val="0"/>
                <w:numId w:val="3"/>
              </w:numPr>
              <w:spacing w:after="120" w:afterLines="0" w:afterAutospacing="0" w:line="360" w:lineRule="auto"/>
              <w:jc w:val="left"/>
              <w:rPr>
                <w:rFonts w:hint="eastAsia"/>
                <w:color w:val="auto"/>
                <w:sz w:val="24"/>
                <w:szCs w:val="24"/>
                <w:vertAlign w:val="baseline"/>
                <w:lang w:val="en-US" w:eastAsia="zh-CN"/>
              </w:rPr>
            </w:pPr>
            <w:r>
              <w:rPr>
                <w:rFonts w:hint="eastAsia"/>
                <w:color w:val="auto"/>
                <w:sz w:val="24"/>
                <w:szCs w:val="24"/>
                <w:vertAlign w:val="baseline"/>
                <w:lang w:val="en-US" w:eastAsia="zh-CN"/>
              </w:rPr>
              <w:t>项目储罐采用埋地SF双层油罐，内层罐是由钢制成，外层罐由玻璃钢制成起到防腐的作用，保证了泄漏物不会直接渗漏污染土壤和水源。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2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生态保护措施</w:t>
            </w:r>
          </w:p>
        </w:tc>
        <w:tc>
          <w:tcPr>
            <w:tcW w:w="7297" w:type="dxa"/>
            <w:gridSpan w:val="4"/>
            <w:vAlign w:val="center"/>
          </w:tcPr>
          <w:p>
            <w:pPr>
              <w:widowControl w:val="0"/>
              <w:numPr>
                <w:ilvl w:val="0"/>
                <w:numId w:val="4"/>
              </w:numPr>
              <w:spacing w:after="120" w:afterLines="0" w:afterAutospacing="0" w:line="360" w:lineRule="auto"/>
              <w:jc w:val="left"/>
              <w:rPr>
                <w:rFonts w:hint="eastAsia"/>
                <w:sz w:val="24"/>
                <w:szCs w:val="24"/>
                <w:vertAlign w:val="baseline"/>
                <w:lang w:val="en-US" w:eastAsia="zh-CN"/>
              </w:rPr>
            </w:pPr>
            <w:r>
              <w:rPr>
                <w:rFonts w:hint="eastAsia"/>
                <w:sz w:val="24"/>
                <w:szCs w:val="24"/>
                <w:vertAlign w:val="baseline"/>
                <w:lang w:val="en-US" w:eastAsia="zh-CN"/>
              </w:rPr>
              <w:t>建设单位在绿化上做好相关工作，在站区周围的空地进行有效的绿化，根据不同地段的要求，合理搭配各种植物，充分发挥植物净化、防尘、隔噪的作用。</w:t>
            </w:r>
          </w:p>
          <w:p>
            <w:pPr>
              <w:widowControl w:val="0"/>
              <w:numPr>
                <w:ilvl w:val="0"/>
                <w:numId w:val="4"/>
              </w:numPr>
              <w:spacing w:after="120" w:afterLines="0" w:afterAutospacing="0" w:line="360" w:lineRule="auto"/>
              <w:jc w:val="left"/>
              <w:rPr>
                <w:rFonts w:hint="eastAsia"/>
                <w:sz w:val="24"/>
                <w:szCs w:val="24"/>
                <w:vertAlign w:val="baseline"/>
                <w:lang w:val="en-US" w:eastAsia="zh-CN"/>
              </w:rPr>
            </w:pPr>
            <w:r>
              <w:rPr>
                <w:rFonts w:hint="eastAsia"/>
                <w:sz w:val="24"/>
                <w:szCs w:val="24"/>
                <w:vertAlign w:val="baseline"/>
                <w:lang w:val="en-US" w:eastAsia="zh-CN"/>
              </w:rPr>
              <w:t>建筑场地内除主体建筑外，可布置为草坪、绿植等，营造出美丽整洁的环境。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2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环境风险</w:t>
            </w:r>
          </w:p>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防范措施</w:t>
            </w:r>
          </w:p>
        </w:tc>
        <w:tc>
          <w:tcPr>
            <w:tcW w:w="7297" w:type="dxa"/>
            <w:gridSpan w:val="4"/>
            <w:vAlign w:val="center"/>
          </w:tcPr>
          <w:p>
            <w:pPr>
              <w:widowControl w:val="0"/>
              <w:numPr>
                <w:ilvl w:val="0"/>
                <w:numId w:val="0"/>
              </w:numPr>
              <w:spacing w:after="120" w:afterLines="0" w:afterAutospacing="0" w:line="360" w:lineRule="auto"/>
              <w:jc w:val="left"/>
              <w:rPr>
                <w:rFonts w:hint="eastAsia"/>
                <w:sz w:val="24"/>
                <w:szCs w:val="24"/>
                <w:vertAlign w:val="baseline"/>
                <w:lang w:val="en-US" w:eastAsia="zh-CN"/>
              </w:rPr>
            </w:pPr>
            <w:r>
              <w:rPr>
                <w:rFonts w:hint="eastAsia"/>
                <w:sz w:val="24"/>
                <w:szCs w:val="24"/>
                <w:vertAlign w:val="baseline"/>
                <w:lang w:val="en-US" w:eastAsia="zh-CN"/>
              </w:rPr>
              <w:t>储油罐、输送管道等存在事故泄漏、着火或爆炸等环境风险。因此：1.严格执行防火、防爆、防雷击、防毒害等各项要求；</w:t>
            </w:r>
          </w:p>
          <w:p>
            <w:pPr>
              <w:widowControl w:val="0"/>
              <w:numPr>
                <w:ilvl w:val="0"/>
                <w:numId w:val="0"/>
              </w:numPr>
              <w:spacing w:after="120" w:afterLines="0" w:afterAutospacing="0" w:line="360" w:lineRule="auto"/>
              <w:ind w:leftChars="0"/>
              <w:jc w:val="left"/>
              <w:rPr>
                <w:rFonts w:hint="eastAsia"/>
                <w:sz w:val="24"/>
                <w:szCs w:val="24"/>
                <w:vertAlign w:val="baseline"/>
                <w:lang w:val="en-US" w:eastAsia="zh-CN"/>
              </w:rPr>
            </w:pPr>
            <w:r>
              <w:rPr>
                <w:rFonts w:hint="eastAsia"/>
                <w:sz w:val="24"/>
                <w:szCs w:val="24"/>
                <w:vertAlign w:val="baseline"/>
                <w:lang w:val="en-US" w:eastAsia="zh-CN"/>
              </w:rPr>
              <w:t>2.建立健全安全、环境管理体系及高效的安全生产机构，一旦发生事故，要做到快速、高效、安全处置；</w:t>
            </w:r>
          </w:p>
          <w:p>
            <w:pPr>
              <w:widowControl w:val="0"/>
              <w:numPr>
                <w:ilvl w:val="0"/>
                <w:numId w:val="0"/>
              </w:numPr>
              <w:spacing w:after="120" w:afterLines="0" w:afterAutospacing="0" w:line="360" w:lineRule="auto"/>
              <w:ind w:leftChars="0"/>
              <w:jc w:val="left"/>
              <w:rPr>
                <w:rFonts w:hint="eastAsia"/>
                <w:sz w:val="24"/>
                <w:szCs w:val="24"/>
                <w:vertAlign w:val="baseline"/>
                <w:lang w:val="en-US" w:eastAsia="zh-CN"/>
              </w:rPr>
            </w:pPr>
            <w:r>
              <w:rPr>
                <w:rFonts w:hint="eastAsia"/>
                <w:sz w:val="24"/>
                <w:szCs w:val="24"/>
                <w:vertAlign w:val="baseline"/>
                <w:lang w:val="en-US" w:eastAsia="zh-CN"/>
              </w:rPr>
              <w:t>3.加油站内的电气设备严格按照防爆区划分配置；在储存油罐和加油站入口处设立警告牌(严禁烟火)；</w:t>
            </w:r>
          </w:p>
          <w:p>
            <w:pPr>
              <w:widowControl w:val="0"/>
              <w:numPr>
                <w:ilvl w:val="0"/>
                <w:numId w:val="0"/>
              </w:numPr>
              <w:spacing w:after="120" w:afterLines="0" w:afterAutospacing="0" w:line="360" w:lineRule="auto"/>
              <w:ind w:leftChars="0"/>
              <w:jc w:val="left"/>
              <w:rPr>
                <w:rFonts w:hint="eastAsia"/>
                <w:sz w:val="24"/>
                <w:szCs w:val="24"/>
                <w:vertAlign w:val="baseline"/>
                <w:lang w:val="en-US" w:eastAsia="zh-CN"/>
              </w:rPr>
            </w:pPr>
            <w:r>
              <w:rPr>
                <w:rFonts w:hint="eastAsia"/>
                <w:sz w:val="24"/>
                <w:szCs w:val="24"/>
                <w:vertAlign w:val="baseline"/>
                <w:lang w:val="en-US" w:eastAsia="zh-CN"/>
              </w:rPr>
              <w:t>4.在加油站设立严禁打手机的警告牌；按照设计图的要求，注意避雷针的安全防护措施等；</w:t>
            </w:r>
          </w:p>
          <w:p>
            <w:pPr>
              <w:widowControl w:val="0"/>
              <w:numPr>
                <w:ilvl w:val="0"/>
                <w:numId w:val="0"/>
              </w:numPr>
              <w:spacing w:after="120" w:afterLines="0" w:afterAutospacing="0" w:line="360" w:lineRule="auto"/>
              <w:ind w:leftChars="0"/>
              <w:jc w:val="left"/>
              <w:rPr>
                <w:rFonts w:hint="eastAsia"/>
                <w:sz w:val="24"/>
                <w:szCs w:val="24"/>
                <w:vertAlign w:val="baseline"/>
                <w:lang w:val="en-US" w:eastAsia="zh-CN"/>
              </w:rPr>
            </w:pPr>
            <w:r>
              <w:rPr>
                <w:rFonts w:hint="eastAsia"/>
                <w:sz w:val="24"/>
                <w:szCs w:val="24"/>
                <w:vertAlign w:val="baseline"/>
                <w:lang w:val="en-US" w:eastAsia="zh-CN"/>
              </w:rPr>
              <w:t>5.制定突发环境事件应急预案并定期演练和培训。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25" w:type="dxa"/>
            <w:vAlign w:val="center"/>
          </w:tcPr>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其他环境</w:t>
            </w:r>
          </w:p>
          <w:p>
            <w:pPr>
              <w:widowControl w:val="0"/>
              <w:numPr>
                <w:ilvl w:val="0"/>
                <w:numId w:val="0"/>
              </w:numPr>
              <w:spacing w:after="120" w:afterLines="0" w:afterAutospacing="0" w:line="360" w:lineRule="auto"/>
              <w:jc w:val="center"/>
              <w:rPr>
                <w:rFonts w:hint="eastAsia"/>
                <w:sz w:val="24"/>
                <w:szCs w:val="24"/>
                <w:vertAlign w:val="baseline"/>
                <w:lang w:val="en-US" w:eastAsia="zh-CN"/>
              </w:rPr>
            </w:pPr>
            <w:r>
              <w:rPr>
                <w:rFonts w:hint="eastAsia"/>
                <w:sz w:val="24"/>
                <w:szCs w:val="24"/>
                <w:vertAlign w:val="baseline"/>
                <w:lang w:val="en-US" w:eastAsia="zh-CN"/>
              </w:rPr>
              <w:t>管理要求</w:t>
            </w:r>
          </w:p>
        </w:tc>
        <w:tc>
          <w:tcPr>
            <w:tcW w:w="7297" w:type="dxa"/>
            <w:gridSpan w:val="4"/>
            <w:vAlign w:val="center"/>
          </w:tcPr>
          <w:p>
            <w:pPr>
              <w:widowControl w:val="0"/>
              <w:numPr>
                <w:ilvl w:val="0"/>
                <w:numId w:val="0"/>
              </w:numPr>
              <w:spacing w:after="120" w:afterLines="0" w:afterAutospacing="0" w:line="360" w:lineRule="auto"/>
              <w:jc w:val="left"/>
              <w:rPr>
                <w:rFonts w:hint="eastAsia"/>
                <w:sz w:val="24"/>
                <w:szCs w:val="24"/>
                <w:vertAlign w:val="baseline"/>
                <w:lang w:val="en-US" w:eastAsia="zh-CN"/>
              </w:rPr>
            </w:pPr>
            <w:r>
              <w:rPr>
                <w:rFonts w:hint="eastAsia"/>
                <w:sz w:val="24"/>
                <w:szCs w:val="24"/>
                <w:vertAlign w:val="baseline"/>
                <w:lang w:val="en-US" w:eastAsia="zh-CN"/>
              </w:rPr>
              <w:t>1.项目应按生态环境部门的要求加强对企业的环境管理，要建立健全企业的环保监督、管理制度。</w:t>
            </w:r>
          </w:p>
          <w:p>
            <w:pPr>
              <w:widowControl w:val="0"/>
              <w:numPr>
                <w:ilvl w:val="0"/>
                <w:numId w:val="0"/>
              </w:numPr>
              <w:spacing w:after="120" w:afterLines="0" w:afterAutospacing="0" w:line="360" w:lineRule="auto"/>
              <w:jc w:val="left"/>
              <w:rPr>
                <w:rFonts w:hint="eastAsia"/>
                <w:sz w:val="24"/>
                <w:szCs w:val="24"/>
                <w:vertAlign w:val="baseline"/>
                <w:lang w:val="en-US" w:eastAsia="zh-CN"/>
              </w:rPr>
            </w:pPr>
            <w:r>
              <w:rPr>
                <w:rFonts w:hint="eastAsia"/>
                <w:sz w:val="24"/>
                <w:szCs w:val="24"/>
                <w:vertAlign w:val="baseline"/>
                <w:lang w:val="en-US" w:eastAsia="zh-CN"/>
              </w:rPr>
              <w:t>2.环保管理制度：排污定期报告制度，要定期向当地环保部门报告污染治理设施运行情况、污染物排放情况以及污染事故、污染纠纷情况。</w:t>
            </w:r>
          </w:p>
          <w:p>
            <w:pPr>
              <w:widowControl w:val="0"/>
              <w:numPr>
                <w:ilvl w:val="0"/>
                <w:numId w:val="0"/>
              </w:numPr>
              <w:spacing w:after="120" w:afterLines="0" w:afterAutospacing="0" w:line="360" w:lineRule="auto"/>
              <w:jc w:val="left"/>
              <w:rPr>
                <w:rFonts w:hint="eastAsia"/>
                <w:sz w:val="24"/>
                <w:szCs w:val="24"/>
                <w:vertAlign w:val="baseline"/>
                <w:lang w:val="en-US" w:eastAsia="zh-CN"/>
              </w:rPr>
            </w:pPr>
            <w:r>
              <w:rPr>
                <w:rFonts w:hint="eastAsia"/>
                <w:sz w:val="24"/>
                <w:szCs w:val="24"/>
                <w:vertAlign w:val="baseline"/>
                <w:lang w:val="en-US" w:eastAsia="zh-CN"/>
              </w:rPr>
              <w:t>3.环境管理措施：企业应有负责人分管站内的环保工作，设立环保专门机构，配备专职人员负责具体工作，以保证各项污染防治设施的正常运行。经常对站内劳动人员进行环境保护的教育和管理，使每一员工都有环保意识及危害意识，自觉节约用水、用电。对固体废弃物能自觉纳入相应的收集系统内，不乱排、乱倒。</w:t>
            </w:r>
          </w:p>
        </w:tc>
      </w:tr>
    </w:tbl>
    <w:p>
      <w:pPr>
        <w:rPr>
          <w:rFonts w:hint="default"/>
          <w:lang w:val="en-US" w:eastAsia="zh-CN"/>
        </w:rPr>
      </w:pPr>
      <w:r>
        <w:rPr>
          <w:rFonts w:hint="default"/>
          <w:lang w:val="en-US" w:eastAsia="zh-CN"/>
        </w:rPr>
        <w:br w:type="page"/>
      </w:r>
    </w:p>
    <w:p>
      <w:pPr>
        <w:pStyle w:val="4"/>
        <w:bidi w:val="0"/>
        <w:outlineLvl w:val="0"/>
        <w:rPr>
          <w:rFonts w:hint="eastAsia"/>
          <w:lang w:val="en-US" w:eastAsia="zh-CN"/>
        </w:rPr>
      </w:pPr>
      <w:bookmarkStart w:id="16" w:name="_Toc20209"/>
      <w:r>
        <w:rPr>
          <w:rFonts w:hint="eastAsia"/>
          <w:lang w:val="en-US" w:eastAsia="zh-CN"/>
        </w:rPr>
        <w:t>六、结论</w:t>
      </w:r>
      <w:bookmarkEnd w:id="16"/>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after="0" w:line="360" w:lineRule="auto"/>
              <w:ind w:left="0" w:leftChars="0" w:firstLine="480" w:firstLineChars="200"/>
              <w:rPr>
                <w:rFonts w:hint="default"/>
                <w:lang w:val="en-US" w:eastAsia="zh-CN"/>
              </w:rPr>
            </w:pPr>
            <w:r>
              <w:rPr>
                <w:rFonts w:hint="default"/>
                <w:sz w:val="24"/>
                <w:szCs w:val="24"/>
                <w:lang w:val="en-US" w:eastAsia="zh-CN"/>
              </w:rPr>
              <w:t>经综合分析，衡阳市泰达能源发展有限公司衡阳市新竹加油站建设项目符合国家相关产业政策，符合地方总体规划要求，选址可行，总平面布置合理。在采取本报告表提出的各项环保措施与对策，落实环保“三同时”制度前提下，该项目产生的污染物经可做到达标排放，对环境影响较小，固废得到妥善处置，噪声不会出现扰民现象，项目区域环境质量基本可达功能区要求，从环境保护角度分析，该项目的建设是可行的。</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ind w:left="0" w:leftChars="0" w:firstLine="0" w:firstLineChars="0"/>
              <w:rPr>
                <w:rFonts w:hint="default"/>
                <w:lang w:val="en-US" w:eastAsia="zh-CN"/>
              </w:rPr>
            </w:pPr>
          </w:p>
        </w:tc>
      </w:tr>
    </w:tbl>
    <w:p>
      <w:pPr>
        <w:rPr>
          <w:rFonts w:hint="default"/>
          <w:lang w:val="en-US" w:eastAsia="zh-CN"/>
        </w:rPr>
        <w:sectPr>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default"/>
          <w:lang w:val="en-US" w:eastAsia="zh-CN"/>
        </w:rPr>
        <w:br w:type="page"/>
      </w:r>
    </w:p>
    <w:p>
      <w:pPr>
        <w:pStyle w:val="4"/>
        <w:bidi w:val="0"/>
        <w:jc w:val="both"/>
        <w:rPr>
          <w:rFonts w:ascii="Times New Roman" w:hAnsi="Times New Roman"/>
          <w:snapToGrid w:val="0"/>
          <w:szCs w:val="28"/>
        </w:rPr>
      </w:pPr>
      <w:bookmarkStart w:id="17" w:name="_Toc16333"/>
      <w:r>
        <w:t>附表</w:t>
      </w:r>
      <w:bookmarkEnd w:id="17"/>
    </w:p>
    <w:p>
      <w:pPr>
        <w:pStyle w:val="10"/>
        <w:bidi w:val="0"/>
        <w:rPr>
          <w:sz w:val="30"/>
          <w:szCs w:val="30"/>
        </w:rPr>
      </w:pPr>
      <w:r>
        <w:rPr>
          <w:sz w:val="30"/>
          <w:szCs w:val="30"/>
        </w:rPr>
        <w:t>建设项目污染物排放量汇总表</w:t>
      </w:r>
    </w:p>
    <w:tbl>
      <w:tblPr>
        <w:tblStyle w:val="6"/>
        <w:tblW w:w="139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1631"/>
        <w:gridCol w:w="1701"/>
        <w:gridCol w:w="1276"/>
        <w:gridCol w:w="1701"/>
        <w:gridCol w:w="1559"/>
        <w:gridCol w:w="1643"/>
        <w:gridCol w:w="2000"/>
        <w:gridCol w:w="10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374" w:type="dxa"/>
            <w:tcBorders>
              <w:top w:val="single" w:color="auto" w:sz="8" w:space="0"/>
              <w:bottom w:val="single" w:color="auto" w:sz="4" w:space="0"/>
              <w:tl2br w:val="single" w:color="auto" w:sz="4" w:space="0"/>
            </w:tcBorders>
            <w:noWrap w:val="0"/>
            <w:tcMar>
              <w:left w:w="28" w:type="dxa"/>
              <w:right w:w="28" w:type="dxa"/>
            </w:tcMar>
            <w:vAlign w:val="center"/>
          </w:tcPr>
          <w:p>
            <w:pPr>
              <w:pStyle w:val="9"/>
              <w:spacing w:beforeLines="0" w:afterLines="0" w:line="240" w:lineRule="auto"/>
              <w:jc w:val="right"/>
              <w:rPr>
                <w:rFonts w:ascii="Times New Roman"/>
                <w:snapToGrid w:val="0"/>
                <w:spacing w:val="-6"/>
                <w:kern w:val="21"/>
                <w:sz w:val="24"/>
                <w:szCs w:val="24"/>
              </w:rPr>
            </w:pPr>
            <w:r>
              <w:rPr>
                <w:rFonts w:ascii="Times New Roman"/>
                <w:snapToGrid w:val="0"/>
                <w:spacing w:val="-6"/>
                <w:kern w:val="21"/>
                <w:sz w:val="24"/>
                <w:szCs w:val="24"/>
              </w:rPr>
              <w:t>项目</w:t>
            </w:r>
          </w:p>
          <w:p>
            <w:pPr>
              <w:pStyle w:val="9"/>
              <w:spacing w:beforeLines="0" w:afterLines="0" w:line="240" w:lineRule="auto"/>
              <w:jc w:val="left"/>
              <w:rPr>
                <w:rFonts w:ascii="Times New Roman"/>
                <w:snapToGrid w:val="0"/>
                <w:spacing w:val="-6"/>
                <w:kern w:val="21"/>
                <w:sz w:val="24"/>
                <w:szCs w:val="24"/>
              </w:rPr>
            </w:pPr>
            <w:r>
              <w:rPr>
                <w:rFonts w:ascii="Times New Roman"/>
                <w:snapToGrid w:val="0"/>
                <w:spacing w:val="-6"/>
                <w:kern w:val="21"/>
                <w:sz w:val="24"/>
                <w:szCs w:val="24"/>
              </w:rPr>
              <w:t>分类</w:t>
            </w:r>
          </w:p>
        </w:tc>
        <w:tc>
          <w:tcPr>
            <w:tcW w:w="1631" w:type="dxa"/>
            <w:tcBorders>
              <w:top w:val="single" w:color="auto" w:sz="8" w:space="0"/>
              <w:bottom w:val="single" w:color="auto" w:sz="4" w:space="0"/>
            </w:tcBorders>
            <w:noWrap w:val="0"/>
            <w:tcMar>
              <w:left w:w="28" w:type="dxa"/>
              <w:right w:w="28" w:type="dxa"/>
            </w:tcMar>
            <w:vAlign w:val="center"/>
          </w:tcPr>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污染物名称</w:t>
            </w:r>
          </w:p>
        </w:tc>
        <w:tc>
          <w:tcPr>
            <w:tcW w:w="1701" w:type="dxa"/>
            <w:tcBorders>
              <w:top w:val="single" w:color="auto" w:sz="8" w:space="0"/>
              <w:bottom w:val="single" w:color="auto" w:sz="4" w:space="0"/>
            </w:tcBorders>
            <w:noWrap w:val="0"/>
            <w:tcMar>
              <w:left w:w="28" w:type="dxa"/>
              <w:right w:w="28" w:type="dxa"/>
            </w:tcMar>
            <w:vAlign w:val="center"/>
          </w:tcPr>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现有工程</w:t>
            </w:r>
          </w:p>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排放量（固体废物产生量）</w:t>
            </w: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1 \* GB3 \* MERGEFORMAT </w:instrText>
            </w:r>
            <w:r>
              <w:rPr>
                <w:rFonts w:ascii="Times New Roman"/>
                <w:snapToGrid w:val="0"/>
                <w:spacing w:val="-6"/>
                <w:kern w:val="21"/>
                <w:sz w:val="24"/>
                <w:szCs w:val="24"/>
              </w:rPr>
              <w:fldChar w:fldCharType="separate"/>
            </w:r>
            <w:r>
              <w:rPr>
                <w:rFonts w:ascii="Times New Roman"/>
                <w:kern w:val="2"/>
                <w:sz w:val="24"/>
                <w:szCs w:val="24"/>
              </w:rPr>
              <w:t>①</w:t>
            </w:r>
            <w:r>
              <w:rPr>
                <w:rFonts w:ascii="Times New Roman"/>
                <w:snapToGrid w:val="0"/>
                <w:spacing w:val="-6"/>
                <w:kern w:val="21"/>
                <w:sz w:val="24"/>
                <w:szCs w:val="24"/>
              </w:rPr>
              <w:fldChar w:fldCharType="end"/>
            </w:r>
          </w:p>
        </w:tc>
        <w:tc>
          <w:tcPr>
            <w:tcW w:w="1276" w:type="dxa"/>
            <w:tcBorders>
              <w:top w:val="single" w:color="auto" w:sz="8" w:space="0"/>
              <w:bottom w:val="single" w:color="auto" w:sz="4" w:space="0"/>
            </w:tcBorders>
            <w:noWrap w:val="0"/>
            <w:tcMar>
              <w:left w:w="28" w:type="dxa"/>
              <w:right w:w="28" w:type="dxa"/>
            </w:tcMar>
            <w:vAlign w:val="center"/>
          </w:tcPr>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现有工程</w:t>
            </w:r>
          </w:p>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许可排放量</w:t>
            </w:r>
          </w:p>
          <w:p>
            <w:pPr>
              <w:pStyle w:val="9"/>
              <w:spacing w:beforeLines="0" w:afterLines="0"/>
              <w:rPr>
                <w:rFonts w:ascii="Times New Roman"/>
                <w:snapToGrid w:val="0"/>
                <w:spacing w:val="-6"/>
                <w:kern w:val="21"/>
                <w:sz w:val="24"/>
                <w:szCs w:val="24"/>
              </w:rPr>
            </w:pP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2 \* GB3 \* MERGEFORMAT </w:instrText>
            </w:r>
            <w:r>
              <w:rPr>
                <w:rFonts w:ascii="Times New Roman"/>
                <w:snapToGrid w:val="0"/>
                <w:spacing w:val="-6"/>
                <w:kern w:val="21"/>
                <w:sz w:val="24"/>
                <w:szCs w:val="24"/>
              </w:rPr>
              <w:fldChar w:fldCharType="separate"/>
            </w:r>
            <w:r>
              <w:rPr>
                <w:rFonts w:ascii="Times New Roman"/>
                <w:snapToGrid w:val="0"/>
                <w:spacing w:val="-6"/>
                <w:kern w:val="21"/>
                <w:sz w:val="24"/>
                <w:szCs w:val="24"/>
              </w:rPr>
              <w:t>②</w:t>
            </w:r>
            <w:r>
              <w:rPr>
                <w:rFonts w:ascii="Times New Roman"/>
                <w:snapToGrid w:val="0"/>
                <w:spacing w:val="-6"/>
                <w:kern w:val="21"/>
                <w:sz w:val="24"/>
                <w:szCs w:val="24"/>
              </w:rPr>
              <w:fldChar w:fldCharType="end"/>
            </w:r>
          </w:p>
        </w:tc>
        <w:tc>
          <w:tcPr>
            <w:tcW w:w="1701" w:type="dxa"/>
            <w:tcBorders>
              <w:top w:val="single" w:color="auto" w:sz="8" w:space="0"/>
              <w:bottom w:val="single" w:color="auto" w:sz="4" w:space="0"/>
            </w:tcBorders>
            <w:noWrap w:val="0"/>
            <w:tcMar>
              <w:left w:w="28" w:type="dxa"/>
              <w:right w:w="28" w:type="dxa"/>
            </w:tcMar>
            <w:vAlign w:val="center"/>
          </w:tcPr>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在建工程</w:t>
            </w:r>
          </w:p>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排放量（固体废物产生量）</w:t>
            </w: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3 \* GB3 \* MERGEFORMAT </w:instrText>
            </w:r>
            <w:r>
              <w:rPr>
                <w:rFonts w:ascii="Times New Roman"/>
                <w:snapToGrid w:val="0"/>
                <w:spacing w:val="-6"/>
                <w:kern w:val="21"/>
                <w:sz w:val="24"/>
                <w:szCs w:val="24"/>
              </w:rPr>
              <w:fldChar w:fldCharType="separate"/>
            </w:r>
            <w:r>
              <w:rPr>
                <w:rFonts w:ascii="Times New Roman"/>
                <w:kern w:val="2"/>
                <w:sz w:val="24"/>
                <w:szCs w:val="24"/>
              </w:rPr>
              <w:t>③</w:t>
            </w:r>
            <w:r>
              <w:rPr>
                <w:rFonts w:ascii="Times New Roman"/>
                <w:snapToGrid w:val="0"/>
                <w:spacing w:val="-6"/>
                <w:kern w:val="21"/>
                <w:sz w:val="24"/>
                <w:szCs w:val="24"/>
              </w:rPr>
              <w:fldChar w:fldCharType="end"/>
            </w:r>
          </w:p>
        </w:tc>
        <w:tc>
          <w:tcPr>
            <w:tcW w:w="1559" w:type="dxa"/>
            <w:tcBorders>
              <w:top w:val="single" w:color="auto" w:sz="8" w:space="0"/>
              <w:bottom w:val="single" w:color="auto" w:sz="4" w:space="0"/>
            </w:tcBorders>
            <w:noWrap w:val="0"/>
            <w:tcMar>
              <w:left w:w="28" w:type="dxa"/>
              <w:right w:w="28" w:type="dxa"/>
            </w:tcMar>
            <w:vAlign w:val="center"/>
          </w:tcPr>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本项目</w:t>
            </w:r>
          </w:p>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排放量（固体废物产生量）</w:t>
            </w: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4 \* GB3 \* MERGEFORMAT </w:instrText>
            </w:r>
            <w:r>
              <w:rPr>
                <w:rFonts w:ascii="Times New Roman"/>
                <w:snapToGrid w:val="0"/>
                <w:spacing w:val="-6"/>
                <w:kern w:val="21"/>
                <w:sz w:val="24"/>
                <w:szCs w:val="24"/>
              </w:rPr>
              <w:fldChar w:fldCharType="separate"/>
            </w:r>
            <w:r>
              <w:rPr>
                <w:rFonts w:ascii="Times New Roman"/>
                <w:kern w:val="2"/>
                <w:sz w:val="24"/>
                <w:szCs w:val="24"/>
              </w:rPr>
              <w:t>④</w:t>
            </w:r>
            <w:r>
              <w:rPr>
                <w:rFonts w:ascii="Times New Roman"/>
                <w:snapToGrid w:val="0"/>
                <w:spacing w:val="-6"/>
                <w:kern w:val="21"/>
                <w:sz w:val="24"/>
                <w:szCs w:val="24"/>
              </w:rPr>
              <w:fldChar w:fldCharType="end"/>
            </w:r>
          </w:p>
        </w:tc>
        <w:tc>
          <w:tcPr>
            <w:tcW w:w="1643" w:type="dxa"/>
            <w:tcBorders>
              <w:top w:val="single" w:color="auto" w:sz="8" w:space="0"/>
              <w:bottom w:val="single" w:color="auto" w:sz="4" w:space="0"/>
            </w:tcBorders>
            <w:noWrap w:val="0"/>
            <w:tcMar>
              <w:left w:w="28" w:type="dxa"/>
              <w:right w:w="28" w:type="dxa"/>
            </w:tcMar>
            <w:vAlign w:val="center"/>
          </w:tcPr>
          <w:p>
            <w:pPr>
              <w:pStyle w:val="9"/>
              <w:spacing w:beforeLines="0" w:afterLines="0" w:line="240" w:lineRule="auto"/>
              <w:rPr>
                <w:rFonts w:ascii="Times New Roman"/>
                <w:snapToGrid w:val="0"/>
                <w:spacing w:val="-16"/>
                <w:kern w:val="21"/>
                <w:sz w:val="24"/>
                <w:szCs w:val="24"/>
              </w:rPr>
            </w:pPr>
            <w:r>
              <w:rPr>
                <w:rFonts w:ascii="Times New Roman"/>
                <w:snapToGrid w:val="0"/>
                <w:spacing w:val="-16"/>
                <w:kern w:val="21"/>
                <w:sz w:val="24"/>
                <w:szCs w:val="24"/>
              </w:rPr>
              <w:t>以新带老削减量</w:t>
            </w:r>
          </w:p>
          <w:p>
            <w:pPr>
              <w:pStyle w:val="9"/>
              <w:spacing w:beforeLines="0" w:afterLines="0" w:line="240" w:lineRule="auto"/>
              <w:rPr>
                <w:rFonts w:ascii="Times New Roman"/>
                <w:snapToGrid w:val="0"/>
                <w:spacing w:val="-16"/>
                <w:kern w:val="21"/>
                <w:sz w:val="24"/>
                <w:szCs w:val="24"/>
              </w:rPr>
            </w:pPr>
            <w:r>
              <w:rPr>
                <w:rFonts w:ascii="Times New Roman"/>
                <w:snapToGrid w:val="0"/>
                <w:spacing w:val="-16"/>
                <w:kern w:val="21"/>
                <w:sz w:val="24"/>
                <w:szCs w:val="24"/>
              </w:rPr>
              <w:t>（新建项目不填）</w:t>
            </w:r>
            <w:r>
              <w:rPr>
                <w:rFonts w:ascii="Times New Roman"/>
                <w:snapToGrid w:val="0"/>
                <w:spacing w:val="-16"/>
                <w:kern w:val="21"/>
                <w:sz w:val="24"/>
                <w:szCs w:val="24"/>
              </w:rPr>
              <w:fldChar w:fldCharType="begin"/>
            </w:r>
            <w:r>
              <w:rPr>
                <w:rFonts w:ascii="Times New Roman"/>
                <w:snapToGrid w:val="0"/>
                <w:spacing w:val="-16"/>
                <w:kern w:val="21"/>
                <w:sz w:val="24"/>
                <w:szCs w:val="24"/>
              </w:rPr>
              <w:instrText xml:space="preserve"> = 5 \* GB3 \* MERGEFORMAT </w:instrText>
            </w:r>
            <w:r>
              <w:rPr>
                <w:rFonts w:ascii="Times New Roman"/>
                <w:snapToGrid w:val="0"/>
                <w:spacing w:val="-16"/>
                <w:kern w:val="21"/>
                <w:sz w:val="24"/>
                <w:szCs w:val="24"/>
              </w:rPr>
              <w:fldChar w:fldCharType="separate"/>
            </w:r>
            <w:r>
              <w:rPr>
                <w:rFonts w:ascii="Times New Roman"/>
                <w:kern w:val="2"/>
                <w:sz w:val="24"/>
                <w:szCs w:val="24"/>
              </w:rPr>
              <w:t>⑤</w:t>
            </w:r>
            <w:r>
              <w:rPr>
                <w:rFonts w:ascii="Times New Roman"/>
                <w:snapToGrid w:val="0"/>
                <w:spacing w:val="-16"/>
                <w:kern w:val="21"/>
                <w:sz w:val="24"/>
                <w:szCs w:val="24"/>
              </w:rPr>
              <w:fldChar w:fldCharType="end"/>
            </w:r>
          </w:p>
        </w:tc>
        <w:tc>
          <w:tcPr>
            <w:tcW w:w="2000" w:type="dxa"/>
            <w:tcBorders>
              <w:top w:val="single" w:color="auto" w:sz="8" w:space="0"/>
              <w:bottom w:val="single" w:color="auto" w:sz="4" w:space="0"/>
            </w:tcBorders>
            <w:noWrap w:val="0"/>
            <w:tcMar>
              <w:left w:w="28" w:type="dxa"/>
              <w:right w:w="28" w:type="dxa"/>
            </w:tcMar>
            <w:vAlign w:val="center"/>
          </w:tcPr>
          <w:p>
            <w:pPr>
              <w:pStyle w:val="9"/>
              <w:spacing w:beforeLines="0" w:afterLines="0" w:line="240" w:lineRule="auto"/>
              <w:rPr>
                <w:rFonts w:ascii="Times New Roman"/>
                <w:snapToGrid w:val="0"/>
                <w:spacing w:val="-16"/>
                <w:kern w:val="21"/>
                <w:sz w:val="24"/>
                <w:szCs w:val="24"/>
              </w:rPr>
            </w:pPr>
            <w:r>
              <w:rPr>
                <w:rFonts w:ascii="Times New Roman"/>
                <w:snapToGrid w:val="0"/>
                <w:spacing w:val="-16"/>
                <w:kern w:val="21"/>
                <w:sz w:val="24"/>
                <w:szCs w:val="24"/>
              </w:rPr>
              <w:t>本项目建成后</w:t>
            </w:r>
          </w:p>
          <w:p>
            <w:pPr>
              <w:pStyle w:val="9"/>
              <w:spacing w:beforeLines="0" w:afterLines="0" w:line="240" w:lineRule="auto"/>
              <w:rPr>
                <w:rFonts w:ascii="Times New Roman"/>
                <w:snapToGrid w:val="0"/>
                <w:spacing w:val="-16"/>
                <w:kern w:val="21"/>
                <w:sz w:val="24"/>
                <w:szCs w:val="24"/>
              </w:rPr>
            </w:pPr>
            <w:r>
              <w:rPr>
                <w:rFonts w:ascii="Times New Roman"/>
                <w:snapToGrid w:val="0"/>
                <w:spacing w:val="-16"/>
                <w:kern w:val="21"/>
                <w:sz w:val="24"/>
                <w:szCs w:val="24"/>
              </w:rPr>
              <w:t>全厂排放量（固体废物产生量）</w:t>
            </w:r>
            <w:r>
              <w:rPr>
                <w:rFonts w:ascii="Times New Roman"/>
                <w:snapToGrid w:val="0"/>
                <w:spacing w:val="-16"/>
                <w:kern w:val="21"/>
                <w:sz w:val="24"/>
                <w:szCs w:val="24"/>
              </w:rPr>
              <w:fldChar w:fldCharType="begin"/>
            </w:r>
            <w:r>
              <w:rPr>
                <w:rFonts w:ascii="Times New Roman"/>
                <w:snapToGrid w:val="0"/>
                <w:spacing w:val="-16"/>
                <w:kern w:val="21"/>
                <w:sz w:val="24"/>
                <w:szCs w:val="24"/>
              </w:rPr>
              <w:instrText xml:space="preserve"> = 6 \* GB3 \* MERGEFORMAT </w:instrText>
            </w:r>
            <w:r>
              <w:rPr>
                <w:rFonts w:ascii="Times New Roman"/>
                <w:snapToGrid w:val="0"/>
                <w:spacing w:val="-16"/>
                <w:kern w:val="21"/>
                <w:sz w:val="24"/>
                <w:szCs w:val="24"/>
              </w:rPr>
              <w:fldChar w:fldCharType="separate"/>
            </w:r>
            <w:r>
              <w:rPr>
                <w:rFonts w:ascii="Times New Roman"/>
                <w:kern w:val="2"/>
                <w:sz w:val="24"/>
                <w:szCs w:val="24"/>
              </w:rPr>
              <w:t>⑥</w:t>
            </w:r>
            <w:r>
              <w:rPr>
                <w:rFonts w:ascii="Times New Roman"/>
                <w:snapToGrid w:val="0"/>
                <w:spacing w:val="-16"/>
                <w:kern w:val="21"/>
                <w:sz w:val="24"/>
                <w:szCs w:val="24"/>
              </w:rPr>
              <w:fldChar w:fldCharType="end"/>
            </w:r>
          </w:p>
        </w:tc>
        <w:tc>
          <w:tcPr>
            <w:tcW w:w="1067" w:type="dxa"/>
            <w:tcBorders>
              <w:top w:val="single" w:color="auto" w:sz="8" w:space="0"/>
              <w:bottom w:val="single" w:color="auto" w:sz="4" w:space="0"/>
            </w:tcBorders>
            <w:noWrap w:val="0"/>
            <w:tcMar>
              <w:left w:w="28" w:type="dxa"/>
              <w:right w:w="28" w:type="dxa"/>
            </w:tcMar>
            <w:vAlign w:val="center"/>
          </w:tcPr>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t>变化量</w:t>
            </w:r>
          </w:p>
          <w:p>
            <w:pPr>
              <w:pStyle w:val="9"/>
              <w:spacing w:beforeLines="0" w:afterLines="0" w:line="240" w:lineRule="auto"/>
              <w:rPr>
                <w:rFonts w:ascii="Times New Roman"/>
                <w:snapToGrid w:val="0"/>
                <w:spacing w:val="-6"/>
                <w:kern w:val="21"/>
                <w:sz w:val="24"/>
                <w:szCs w:val="24"/>
              </w:rPr>
            </w:pP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7 \* GB3 \* MERGEFORMAT </w:instrText>
            </w:r>
            <w:r>
              <w:rPr>
                <w:rFonts w:ascii="Times New Roman"/>
                <w:snapToGrid w:val="0"/>
                <w:spacing w:val="-6"/>
                <w:kern w:val="21"/>
                <w:sz w:val="24"/>
                <w:szCs w:val="24"/>
              </w:rPr>
              <w:fldChar w:fldCharType="separate"/>
            </w:r>
            <w:r>
              <w:rPr>
                <w:rFonts w:ascii="Times New Roman"/>
                <w:kern w:val="2"/>
                <w:sz w:val="24"/>
                <w:szCs w:val="24"/>
              </w:rPr>
              <w:t>⑦</w:t>
            </w:r>
            <w:r>
              <w:rPr>
                <w:rFonts w:ascii="Times New Roman"/>
                <w:snapToGrid w:val="0"/>
                <w:spacing w:val="-6"/>
                <w:kern w:val="21"/>
                <w:sz w:val="24"/>
                <w:szCs w:val="24"/>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1374" w:type="dxa"/>
            <w:tcBorders>
              <w:top w:val="single" w:color="auto" w:sz="4" w:space="0"/>
              <w:bottom w:val="single" w:color="auto" w:sz="4" w:space="0"/>
            </w:tcBorders>
            <w:noWrap w:val="0"/>
            <w:vAlign w:val="center"/>
          </w:tcPr>
          <w:p>
            <w:pPr>
              <w:pStyle w:val="9"/>
              <w:spacing w:beforeLines="0" w:afterLines="0" w:line="240" w:lineRule="auto"/>
              <w:rPr>
                <w:rFonts w:ascii="Times New Roman"/>
                <w:snapToGrid w:val="0"/>
                <w:kern w:val="21"/>
                <w:sz w:val="24"/>
                <w:szCs w:val="24"/>
              </w:rPr>
            </w:pPr>
            <w:r>
              <w:rPr>
                <w:rFonts w:ascii="Times New Roman"/>
                <w:snapToGrid w:val="0"/>
                <w:kern w:val="21"/>
                <w:sz w:val="24"/>
                <w:szCs w:val="24"/>
              </w:rPr>
              <w:t>废气</w:t>
            </w:r>
          </w:p>
        </w:tc>
        <w:tc>
          <w:tcPr>
            <w:tcW w:w="1631" w:type="dxa"/>
            <w:tcBorders>
              <w:top w:val="single" w:color="auto" w:sz="4" w:space="0"/>
              <w:bottom w:val="single" w:color="auto" w:sz="4" w:space="0"/>
            </w:tcBorders>
            <w:noWrap w:val="0"/>
            <w:vAlign w:val="center"/>
          </w:tcPr>
          <w:p>
            <w:pPr>
              <w:pStyle w:val="9"/>
              <w:spacing w:beforeLines="0" w:afterLines="0" w:line="240" w:lineRule="auto"/>
              <w:rPr>
                <w:rFonts w:ascii="Times New Roman"/>
                <w:snapToGrid w:val="0"/>
                <w:kern w:val="21"/>
                <w:sz w:val="24"/>
                <w:szCs w:val="24"/>
              </w:rPr>
            </w:pPr>
            <w:r>
              <w:rPr>
                <w:rFonts w:ascii="Times New Roman"/>
                <w:sz w:val="24"/>
                <w:szCs w:val="24"/>
              </w:rPr>
              <w:t>非甲烷总烃</w:t>
            </w:r>
            <w:r>
              <w:rPr>
                <w:rFonts w:hint="eastAsia" w:ascii="Times New Roman"/>
                <w:sz w:val="24"/>
                <w:szCs w:val="24"/>
                <w:lang w:eastAsia="zh-CN"/>
              </w:rPr>
              <w:t>（</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000000" w:themeColor="text1"/>
                <w:kern w:val="21"/>
                <w:sz w:val="24"/>
                <w:szCs w:val="24"/>
                <w:lang w:val="en-US" w:eastAsia="zh-CN"/>
                <w14:textFill>
                  <w14:solidFill>
                    <w14:schemeClr w14:val="tx1"/>
                  </w14:solidFill>
                </w14:textFill>
              </w:rPr>
            </w:pPr>
            <w:r>
              <w:rPr>
                <w:rFonts w:hint="eastAsia"/>
                <w:snapToGrid w:val="0"/>
                <w:color w:val="000000" w:themeColor="text1"/>
                <w:kern w:val="21"/>
                <w:sz w:val="24"/>
                <w:szCs w:val="24"/>
                <w:lang w:val="en-US" w:eastAsia="zh-CN"/>
                <w14:textFill>
                  <w14:solidFill>
                    <w14:schemeClr w14:val="tx1"/>
                  </w14:solidFill>
                </w14:textFill>
              </w:rPr>
              <w:t>0.5997</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000000" w:themeColor="text1"/>
                <w:kern w:val="21"/>
                <w:sz w:val="24"/>
                <w:szCs w:val="24"/>
                <w:lang w:val="en-US" w:eastAsia="zh-CN"/>
                <w14:textFill>
                  <w14:solidFill>
                    <w14:schemeClr w14:val="tx1"/>
                  </w14:solidFill>
                </w14:textFill>
              </w:rPr>
            </w:pPr>
            <w:r>
              <w:rPr>
                <w:rFonts w:hint="eastAsia" w:ascii="Calibri" w:hAnsi="Calibri" w:cs="Calibri"/>
                <w:snapToGrid w:val="0"/>
                <w:color w:val="000000" w:themeColor="text1"/>
                <w:kern w:val="21"/>
                <w:sz w:val="24"/>
                <w:szCs w:val="24"/>
                <w:lang w:val="en-US" w:eastAsia="zh-CN"/>
                <w14:textFill>
                  <w14:solidFill>
                    <w14:schemeClr w14:val="tx1"/>
                  </w14:solidFill>
                </w14:textFill>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000000" w:themeColor="text1"/>
                <w:kern w:val="21"/>
                <w:sz w:val="24"/>
                <w:szCs w:val="24"/>
                <w:lang w:val="en-US" w:eastAsia="zh-CN"/>
                <w14:textFill>
                  <w14:solidFill>
                    <w14:schemeClr w14:val="tx1"/>
                  </w14:solidFill>
                </w14:textFill>
              </w:rPr>
            </w:pPr>
            <w:r>
              <w:rPr>
                <w:rFonts w:hint="eastAsia"/>
                <w:snapToGrid w:val="0"/>
                <w:color w:val="000000" w:themeColor="text1"/>
                <w:kern w:val="21"/>
                <w:sz w:val="24"/>
                <w:szCs w:val="24"/>
                <w:lang w:val="en-US" w:eastAsia="zh-CN"/>
                <w14:textFill>
                  <w14:solidFill>
                    <w14:schemeClr w14:val="tx1"/>
                  </w14:solidFill>
                </w14:textFill>
              </w:rPr>
              <w:t>0.5997</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snapToGrid w:val="0"/>
                <w:color w:val="000000" w:themeColor="text1"/>
                <w:kern w:val="21"/>
                <w:sz w:val="24"/>
                <w:szCs w:val="24"/>
                <w:lang w:val="en-US"/>
                <w14:textFill>
                  <w14:solidFill>
                    <w14:schemeClr w14:val="tx1"/>
                  </w14:solidFill>
                </w14:textFill>
              </w:rPr>
            </w:pPr>
            <w:r>
              <w:rPr>
                <w:rFonts w:hint="eastAsia" w:ascii="Times New Roman"/>
                <w:snapToGrid w:val="0"/>
                <w:color w:val="000000" w:themeColor="text1"/>
                <w:kern w:val="21"/>
                <w:sz w:val="24"/>
                <w:szCs w:val="24"/>
                <w:lang w:val="en-US" w:eastAsia="zh-CN"/>
                <w14:textFill>
                  <w14:solidFill>
                    <w14:schemeClr w14:val="tx1"/>
                  </w14:solidFill>
                </w14:textFill>
              </w:rPr>
              <w:t>+</w:t>
            </w:r>
            <w:r>
              <w:rPr>
                <w:rFonts w:hint="eastAsia"/>
                <w:snapToGrid w:val="0"/>
                <w:color w:val="000000" w:themeColor="text1"/>
                <w:kern w:val="21"/>
                <w:sz w:val="24"/>
                <w:szCs w:val="24"/>
                <w:lang w:val="en-US" w:eastAsia="zh-CN"/>
                <w14:textFill>
                  <w14:solidFill>
                    <w14:schemeClr w14:val="tx1"/>
                  </w14:solidFill>
                </w14:textFill>
              </w:rPr>
              <w:t>0.5997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374" w:type="dxa"/>
            <w:vMerge w:val="restart"/>
            <w:tcBorders>
              <w:top w:val="single" w:color="auto" w:sz="4" w:space="0"/>
            </w:tcBorders>
            <w:noWrap w:val="0"/>
            <w:vAlign w:val="center"/>
          </w:tcPr>
          <w:p>
            <w:pPr>
              <w:pStyle w:val="9"/>
              <w:spacing w:beforeLines="0" w:afterLines="0" w:line="240" w:lineRule="auto"/>
              <w:rPr>
                <w:rFonts w:ascii="Times New Roman"/>
                <w:snapToGrid w:val="0"/>
                <w:kern w:val="21"/>
                <w:sz w:val="24"/>
                <w:szCs w:val="24"/>
              </w:rPr>
            </w:pPr>
            <w:r>
              <w:rPr>
                <w:rFonts w:ascii="Times New Roman"/>
                <w:snapToGrid w:val="0"/>
                <w:kern w:val="21"/>
                <w:sz w:val="24"/>
                <w:szCs w:val="24"/>
              </w:rPr>
              <w:t>废水</w:t>
            </w: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eastAsia="zh-CN"/>
              </w:rPr>
            </w:pPr>
            <w:r>
              <w:rPr>
                <w:rFonts w:hint="eastAsia" w:ascii="Times New Roman" w:hAnsi="Times New Roman"/>
                <w:sz w:val="24"/>
                <w:szCs w:val="24"/>
                <w:lang w:eastAsia="zh-CN"/>
              </w:rPr>
              <w:t>COD</w:t>
            </w:r>
            <w:r>
              <w:rPr>
                <w:rFonts w:hint="eastAsia" w:ascii="Times New Roman" w:hAnsi="Times New Roman"/>
                <w:sz w:val="24"/>
                <w:szCs w:val="24"/>
                <w:vertAlign w:val="subscript"/>
                <w:lang w:eastAsia="zh-CN"/>
              </w:rPr>
              <w:t>cr</w:t>
            </w:r>
            <w:r>
              <w:rPr>
                <w:rFonts w:hint="eastAsia" w:ascii="Times New Roman"/>
                <w:sz w:val="24"/>
                <w:szCs w:val="24"/>
                <w:lang w:eastAsia="zh-CN"/>
              </w:rPr>
              <w:t>（</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2185</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2185</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ascii="Times New Roman"/>
                <w:snapToGrid w:val="0"/>
                <w:color w:val="auto"/>
                <w:kern w:val="21"/>
                <w:sz w:val="24"/>
                <w:szCs w:val="24"/>
              </w:rPr>
            </w:pPr>
            <w:r>
              <w:rPr>
                <w:rFonts w:hint="eastAsia" w:ascii="Times New Roman"/>
                <w:snapToGrid w:val="0"/>
                <w:color w:val="auto"/>
                <w:kern w:val="21"/>
                <w:sz w:val="24"/>
                <w:szCs w:val="24"/>
                <w:lang w:val="en-US" w:eastAsia="zh-CN"/>
              </w:rPr>
              <w:t>+</w:t>
            </w: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2185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374" w:type="dxa"/>
            <w:vMerge w:val="continue"/>
            <w:noWrap w:val="0"/>
            <w:vAlign w:val="center"/>
          </w:tcPr>
          <w:p>
            <w:pPr>
              <w:pStyle w:val="9"/>
              <w:spacing w:beforeLines="0" w:afterLines="0" w:line="240" w:lineRule="auto"/>
              <w:rPr>
                <w:rFonts w:ascii="Times New Roman"/>
                <w:snapToGrid w:val="0"/>
                <w:kern w:val="21"/>
                <w:sz w:val="24"/>
                <w:szCs w:val="24"/>
              </w:rPr>
            </w:pP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eastAsia="zh-CN"/>
              </w:rPr>
            </w:pPr>
            <w:r>
              <w:rPr>
                <w:rFonts w:hint="eastAsia" w:ascii="Times New Roman" w:hAnsi="Times New Roman"/>
                <w:sz w:val="24"/>
                <w:szCs w:val="24"/>
                <w:lang w:eastAsia="zh-CN"/>
              </w:rPr>
              <w:t>BOD</w:t>
            </w:r>
            <w:r>
              <w:rPr>
                <w:rFonts w:hint="eastAsia" w:ascii="Times New Roman" w:hAnsi="Times New Roman"/>
                <w:sz w:val="24"/>
                <w:szCs w:val="24"/>
                <w:vertAlign w:val="subscript"/>
                <w:lang w:eastAsia="zh-CN"/>
              </w:rPr>
              <w:t>5</w:t>
            </w:r>
            <w:r>
              <w:rPr>
                <w:rFonts w:hint="eastAsia" w:ascii="Times New Roman"/>
                <w:sz w:val="24"/>
                <w:szCs w:val="24"/>
                <w:lang w:eastAsia="zh-CN"/>
              </w:rPr>
              <w:t>（</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1489</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1489</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snapToGrid w:val="0"/>
                <w:color w:val="auto"/>
                <w:kern w:val="21"/>
                <w:sz w:val="24"/>
                <w:szCs w:val="24"/>
                <w:lang w:val="en-US"/>
              </w:rPr>
            </w:pPr>
            <w:r>
              <w:rPr>
                <w:rFonts w:hint="eastAsia" w:ascii="Times New Roman"/>
                <w:snapToGrid w:val="0"/>
                <w:color w:val="auto"/>
                <w:kern w:val="21"/>
                <w:sz w:val="24"/>
                <w:szCs w:val="24"/>
                <w:lang w:val="en-US" w:eastAsia="zh-CN"/>
              </w:rPr>
              <w:t>+</w:t>
            </w: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1489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374" w:type="dxa"/>
            <w:vMerge w:val="continue"/>
            <w:noWrap w:val="0"/>
            <w:vAlign w:val="center"/>
          </w:tcPr>
          <w:p>
            <w:pPr>
              <w:pStyle w:val="9"/>
              <w:spacing w:beforeLines="0" w:afterLines="0" w:line="240" w:lineRule="auto"/>
              <w:rPr>
                <w:rFonts w:ascii="Times New Roman"/>
                <w:snapToGrid w:val="0"/>
                <w:kern w:val="21"/>
                <w:sz w:val="24"/>
                <w:szCs w:val="24"/>
              </w:rPr>
            </w:pP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eastAsia="zh-CN"/>
              </w:rPr>
            </w:pPr>
            <w:r>
              <w:rPr>
                <w:rFonts w:hint="eastAsia" w:ascii="Times New Roman" w:hAnsi="Times New Roman"/>
                <w:sz w:val="24"/>
                <w:szCs w:val="24"/>
                <w:lang w:eastAsia="zh-CN"/>
              </w:rPr>
              <w:t>SS</w:t>
            </w:r>
            <w:r>
              <w:rPr>
                <w:rFonts w:hint="eastAsia" w:ascii="Times New Roman"/>
                <w:sz w:val="24"/>
                <w:szCs w:val="24"/>
                <w:lang w:eastAsia="zh-CN"/>
              </w:rPr>
              <w:t>（</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1008</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1008</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snapToGrid w:val="0"/>
                <w:color w:val="auto"/>
                <w:kern w:val="21"/>
                <w:sz w:val="24"/>
                <w:szCs w:val="24"/>
                <w:lang w:val="en-US"/>
              </w:rPr>
            </w:pPr>
            <w:r>
              <w:rPr>
                <w:rFonts w:hint="eastAsia" w:ascii="Times New Roman"/>
                <w:snapToGrid w:val="0"/>
                <w:color w:val="auto"/>
                <w:kern w:val="21"/>
                <w:sz w:val="24"/>
                <w:szCs w:val="24"/>
                <w:lang w:val="en-US" w:eastAsia="zh-CN"/>
              </w:rPr>
              <w:t>+</w:t>
            </w: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snapToGrid w:val="0"/>
                <w:color w:val="auto"/>
                <w:kern w:val="21"/>
                <w:sz w:val="24"/>
                <w:szCs w:val="24"/>
                <w:lang w:val="en-US" w:eastAsia="zh-CN"/>
              </w:rPr>
              <w:t>1008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374" w:type="dxa"/>
            <w:vMerge w:val="continue"/>
            <w:tcBorders>
              <w:bottom w:val="single" w:color="auto" w:sz="4" w:space="0"/>
            </w:tcBorders>
            <w:noWrap w:val="0"/>
            <w:vAlign w:val="center"/>
          </w:tcPr>
          <w:p>
            <w:pPr>
              <w:pStyle w:val="9"/>
              <w:spacing w:beforeLines="0" w:afterLines="0" w:line="240" w:lineRule="auto"/>
              <w:rPr>
                <w:rFonts w:ascii="Times New Roman"/>
                <w:snapToGrid w:val="0"/>
                <w:kern w:val="21"/>
                <w:sz w:val="24"/>
                <w:szCs w:val="24"/>
              </w:rPr>
            </w:pP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eastAsia="zh-CN"/>
              </w:rPr>
            </w:pPr>
            <w:r>
              <w:rPr>
                <w:rFonts w:hint="eastAsia" w:ascii="Times New Roman" w:hAnsi="Times New Roman"/>
                <w:sz w:val="24"/>
                <w:szCs w:val="24"/>
                <w:lang w:eastAsia="zh-CN"/>
              </w:rPr>
              <w:t>NH</w:t>
            </w:r>
            <w:r>
              <w:rPr>
                <w:rFonts w:hint="eastAsia" w:ascii="Times New Roman" w:hAnsi="Times New Roman"/>
                <w:sz w:val="24"/>
                <w:szCs w:val="24"/>
                <w:vertAlign w:val="subscript"/>
                <w:lang w:eastAsia="zh-CN"/>
              </w:rPr>
              <w:t>3</w:t>
            </w:r>
            <w:r>
              <w:rPr>
                <w:rFonts w:ascii="Times New Roman"/>
                <w:sz w:val="24"/>
                <w:szCs w:val="24"/>
              </w:rPr>
              <w:t>-</w:t>
            </w:r>
            <w:r>
              <w:rPr>
                <w:rFonts w:hint="eastAsia" w:ascii="Times New Roman" w:hAnsi="Times New Roman"/>
                <w:sz w:val="24"/>
                <w:szCs w:val="24"/>
                <w:lang w:eastAsia="zh-CN"/>
              </w:rPr>
              <w:t>N</w:t>
            </w:r>
            <w:r>
              <w:rPr>
                <w:rFonts w:hint="eastAsia" w:ascii="Times New Roman"/>
                <w:sz w:val="24"/>
                <w:szCs w:val="24"/>
                <w:lang w:eastAsia="zh-CN"/>
              </w:rPr>
              <w:t>（</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kern w:val="21"/>
                <w:sz w:val="24"/>
                <w:szCs w:val="24"/>
                <w:lang w:val="en-US" w:eastAsia="zh-CN"/>
              </w:rPr>
            </w:pPr>
            <w:r>
              <w:rPr>
                <w:rFonts w:hint="eastAsia" w:ascii="Calibri" w:hAnsi="Calibri" w:cs="Calibri"/>
                <w:snapToGrid w:val="0"/>
                <w:kern w:val="21"/>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ascii="Times New Roman" w:hAnsi="Times New Roman"/>
                <w:snapToGrid w:val="0"/>
                <w:color w:val="auto"/>
                <w:kern w:val="21"/>
                <w:sz w:val="24"/>
                <w:szCs w:val="24"/>
                <w:lang w:eastAsia="zh-CN"/>
              </w:rPr>
              <w:t>0</w:t>
            </w:r>
            <w:r>
              <w:rPr>
                <w:rFonts w:hint="eastAsia" w:ascii="Times New Roman"/>
                <w:snapToGrid w:val="0"/>
                <w:color w:val="auto"/>
                <w:kern w:val="21"/>
                <w:sz w:val="24"/>
                <w:szCs w:val="24"/>
                <w:lang w:val="en-US" w:eastAsia="zh-CN"/>
              </w:rPr>
              <w:t>218</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ascii="Times New Roman" w:hAnsi="Times New Roman"/>
                <w:snapToGrid w:val="0"/>
                <w:color w:val="auto"/>
                <w:kern w:val="21"/>
                <w:sz w:val="24"/>
                <w:szCs w:val="24"/>
                <w:lang w:eastAsia="zh-CN"/>
              </w:rPr>
              <w:t>0</w:t>
            </w:r>
            <w:r>
              <w:rPr>
                <w:rFonts w:hint="eastAsia" w:ascii="Times New Roman"/>
                <w:snapToGrid w:val="0"/>
                <w:color w:val="auto"/>
                <w:kern w:val="21"/>
                <w:sz w:val="24"/>
                <w:szCs w:val="24"/>
                <w:lang w:val="en-US" w:eastAsia="zh-CN"/>
              </w:rPr>
              <w:t>218</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eastAsia="宋体"/>
                <w:snapToGrid w:val="0"/>
                <w:color w:val="auto"/>
                <w:kern w:val="21"/>
                <w:sz w:val="24"/>
                <w:szCs w:val="24"/>
                <w:lang w:val="en-US" w:eastAsia="zh-CN"/>
              </w:rPr>
            </w:pPr>
            <w:r>
              <w:rPr>
                <w:rFonts w:hint="eastAsia" w:ascii="Times New Roman"/>
                <w:snapToGrid w:val="0"/>
                <w:color w:val="auto"/>
                <w:kern w:val="21"/>
                <w:sz w:val="24"/>
                <w:szCs w:val="24"/>
                <w:lang w:val="en-US" w:eastAsia="zh-CN"/>
              </w:rPr>
              <w:t>+</w:t>
            </w:r>
            <w:r>
              <w:rPr>
                <w:rFonts w:hint="eastAsia" w:ascii="Times New Roman" w:hAnsi="Times New Roman"/>
                <w:snapToGrid w:val="0"/>
                <w:color w:val="auto"/>
                <w:kern w:val="21"/>
                <w:sz w:val="24"/>
                <w:szCs w:val="24"/>
                <w:lang w:eastAsia="zh-CN"/>
              </w:rPr>
              <w:t>0</w:t>
            </w:r>
            <w:r>
              <w:rPr>
                <w:rFonts w:ascii="Times New Roman"/>
                <w:snapToGrid w:val="0"/>
                <w:color w:val="auto"/>
                <w:kern w:val="21"/>
                <w:sz w:val="24"/>
                <w:szCs w:val="24"/>
              </w:rPr>
              <w:t>.</w:t>
            </w:r>
            <w:r>
              <w:rPr>
                <w:rFonts w:hint="eastAsia" w:ascii="Times New Roman" w:hAnsi="Times New Roman"/>
                <w:snapToGrid w:val="0"/>
                <w:color w:val="auto"/>
                <w:kern w:val="21"/>
                <w:sz w:val="24"/>
                <w:szCs w:val="24"/>
                <w:lang w:eastAsia="zh-CN"/>
              </w:rPr>
              <w:t>0</w:t>
            </w:r>
            <w:r>
              <w:rPr>
                <w:rFonts w:hint="eastAsia" w:ascii="Times New Roman"/>
                <w:snapToGrid w:val="0"/>
                <w:color w:val="auto"/>
                <w:kern w:val="21"/>
                <w:sz w:val="24"/>
                <w:szCs w:val="24"/>
                <w:lang w:val="en-US" w:eastAsia="zh-CN"/>
              </w:rPr>
              <w:t>218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374" w:type="dxa"/>
            <w:vMerge w:val="continue"/>
            <w:tcBorders>
              <w:bottom w:val="single" w:color="auto" w:sz="4" w:space="0"/>
            </w:tcBorders>
            <w:noWrap w:val="0"/>
            <w:vAlign w:val="center"/>
          </w:tcPr>
          <w:p>
            <w:pPr>
              <w:pStyle w:val="9"/>
              <w:spacing w:beforeLines="0" w:afterLines="0" w:line="240" w:lineRule="auto"/>
            </w:pP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hAnsi="Times New Roman"/>
                <w:sz w:val="24"/>
                <w:szCs w:val="24"/>
                <w:lang w:eastAsia="zh-CN"/>
              </w:rPr>
            </w:pPr>
            <w:r>
              <w:rPr>
                <w:rFonts w:hint="eastAsia" w:ascii="Times New Roman"/>
                <w:sz w:val="24"/>
                <w:szCs w:val="24"/>
                <w:lang w:eastAsia="zh-CN"/>
              </w:rPr>
              <w:t>石油类（</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sz w:val="24"/>
                <w:szCs w:val="24"/>
                <w:lang w:val="en-US" w:eastAsia="zh-CN"/>
              </w:rPr>
            </w:pPr>
            <w:r>
              <w:rPr>
                <w:rFonts w:hint="eastAsia" w:ascii="Calibri" w:hAnsi="Calibri" w:cs="Calibri"/>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sz w:val="24"/>
                <w:szCs w:val="24"/>
                <w:lang w:val="en-US" w:eastAsia="zh-CN"/>
              </w:rPr>
            </w:pPr>
            <w:r>
              <w:rPr>
                <w:rFonts w:hint="eastAsia" w:ascii="Calibri" w:hAnsi="Calibri" w:cs="Calibri"/>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sz w:val="24"/>
                <w:szCs w:val="24"/>
                <w:lang w:val="en-US" w:eastAsia="zh-CN"/>
              </w:rPr>
            </w:pPr>
            <w:r>
              <w:rPr>
                <w:rFonts w:hint="eastAsia" w:ascii="Calibri" w:hAnsi="Calibri" w:cs="Calibri"/>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color w:val="auto"/>
                <w:sz w:val="24"/>
                <w:szCs w:val="24"/>
                <w:lang w:val="en-US" w:eastAsia="zh-CN"/>
              </w:rPr>
            </w:pPr>
            <w:r>
              <w:rPr>
                <w:rFonts w:hint="eastAsia" w:ascii="Times New Roman"/>
                <w:color w:val="auto"/>
                <w:sz w:val="24"/>
                <w:szCs w:val="24"/>
                <w:lang w:val="en-US" w:eastAsia="zh-CN"/>
              </w:rPr>
              <w:t>0.0</w:t>
            </w:r>
            <w:r>
              <w:rPr>
                <w:rFonts w:hint="eastAsia"/>
                <w:color w:val="auto"/>
                <w:sz w:val="24"/>
                <w:szCs w:val="24"/>
                <w:lang w:val="en-US" w:eastAsia="zh-CN"/>
              </w:rPr>
              <w:t>003</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color w:val="auto"/>
                <w:sz w:val="24"/>
                <w:szCs w:val="24"/>
                <w:lang w:val="en-US" w:eastAsia="zh-CN"/>
              </w:rPr>
            </w:pPr>
            <w:r>
              <w:rPr>
                <w:rFonts w:hint="eastAsia" w:ascii="Calibri" w:hAnsi="Calibri" w:cs="Calibri"/>
                <w:color w:val="auto"/>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color w:val="auto"/>
                <w:sz w:val="24"/>
                <w:szCs w:val="24"/>
                <w:lang w:val="en-US" w:eastAsia="zh-CN"/>
              </w:rPr>
            </w:pPr>
            <w:r>
              <w:rPr>
                <w:rFonts w:hint="eastAsia" w:ascii="Times New Roman"/>
                <w:color w:val="auto"/>
                <w:sz w:val="24"/>
                <w:szCs w:val="24"/>
                <w:lang w:val="en-US" w:eastAsia="zh-CN"/>
              </w:rPr>
              <w:t>0.0</w:t>
            </w:r>
            <w:r>
              <w:rPr>
                <w:rFonts w:hint="eastAsia"/>
                <w:color w:val="auto"/>
                <w:sz w:val="24"/>
                <w:szCs w:val="24"/>
                <w:lang w:val="en-US" w:eastAsia="zh-CN"/>
              </w:rPr>
              <w:t>003</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color w:val="auto"/>
                <w:sz w:val="24"/>
                <w:szCs w:val="24"/>
                <w:lang w:val="en-US" w:eastAsia="zh-CN"/>
              </w:rPr>
            </w:pPr>
            <w:r>
              <w:rPr>
                <w:rFonts w:hint="eastAsia" w:ascii="Times New Roman"/>
                <w:snapToGrid w:val="0"/>
                <w:color w:val="auto"/>
                <w:kern w:val="21"/>
                <w:sz w:val="24"/>
                <w:szCs w:val="24"/>
                <w:lang w:val="en-US" w:eastAsia="zh-CN"/>
              </w:rPr>
              <w:t>+</w:t>
            </w:r>
            <w:r>
              <w:rPr>
                <w:rFonts w:hint="eastAsia" w:ascii="Times New Roman"/>
                <w:color w:val="auto"/>
                <w:sz w:val="24"/>
                <w:szCs w:val="24"/>
                <w:lang w:val="en-US" w:eastAsia="zh-CN"/>
              </w:rPr>
              <w:t>0.0</w:t>
            </w:r>
            <w:r>
              <w:rPr>
                <w:rFonts w:hint="eastAsia"/>
                <w:color w:val="auto"/>
                <w:sz w:val="24"/>
                <w:szCs w:val="24"/>
                <w:lang w:val="en-US" w:eastAsia="zh-CN"/>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374" w:type="dxa"/>
            <w:vMerge w:val="continue"/>
            <w:tcBorders>
              <w:bottom w:val="single" w:color="auto" w:sz="4" w:space="0"/>
            </w:tcBorders>
            <w:noWrap w:val="0"/>
            <w:vAlign w:val="center"/>
          </w:tcPr>
          <w:p>
            <w:pPr>
              <w:pStyle w:val="9"/>
              <w:spacing w:beforeLines="0" w:afterLines="0" w:line="240" w:lineRule="auto"/>
            </w:pP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color w:val="auto"/>
                <w:sz w:val="24"/>
                <w:szCs w:val="24"/>
                <w:lang w:val="en-US" w:eastAsia="zh-CN"/>
              </w:rPr>
            </w:pPr>
            <w:r>
              <w:rPr>
                <w:rFonts w:hint="eastAsia"/>
                <w:color w:val="auto"/>
                <w:sz w:val="24"/>
                <w:szCs w:val="24"/>
                <w:lang w:val="en-US" w:eastAsia="zh-CN"/>
              </w:rPr>
              <w:t>LAS</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color w:val="auto"/>
                <w:sz w:val="24"/>
                <w:szCs w:val="24"/>
                <w:lang w:val="en-US" w:eastAsia="zh-CN"/>
              </w:rPr>
            </w:pPr>
            <w:r>
              <w:rPr>
                <w:rFonts w:hint="eastAsia" w:ascii="Calibri" w:hAnsi="Calibri" w:cs="Calibri"/>
                <w:color w:val="auto"/>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color w:val="auto"/>
                <w:sz w:val="24"/>
                <w:szCs w:val="24"/>
                <w:lang w:val="en-US" w:eastAsia="zh-CN"/>
              </w:rPr>
            </w:pPr>
            <w:r>
              <w:rPr>
                <w:rFonts w:hint="eastAsia" w:ascii="Calibri" w:hAnsi="Calibri" w:cs="Calibri"/>
                <w:color w:val="auto"/>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color w:val="auto"/>
                <w:sz w:val="24"/>
                <w:szCs w:val="24"/>
                <w:lang w:val="en-US" w:eastAsia="zh-CN"/>
              </w:rPr>
            </w:pPr>
            <w:r>
              <w:rPr>
                <w:rFonts w:hint="eastAsia" w:ascii="Calibri" w:hAnsi="Calibri" w:cs="Calibri"/>
                <w:color w:val="auto"/>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color w:val="auto"/>
                <w:sz w:val="24"/>
                <w:szCs w:val="24"/>
                <w:lang w:val="en-US" w:eastAsia="zh-CN"/>
              </w:rPr>
            </w:pPr>
            <w:r>
              <w:rPr>
                <w:rFonts w:hint="eastAsia"/>
                <w:color w:val="auto"/>
                <w:sz w:val="24"/>
                <w:szCs w:val="24"/>
                <w:lang w:val="en-US" w:eastAsia="zh-CN"/>
              </w:rPr>
              <w:t>0.0001</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color w:val="auto"/>
                <w:sz w:val="24"/>
                <w:szCs w:val="24"/>
                <w:lang w:val="en-US" w:eastAsia="zh-CN"/>
              </w:rPr>
            </w:pPr>
            <w:r>
              <w:rPr>
                <w:rFonts w:hint="eastAsia" w:ascii="Calibri" w:hAnsi="Calibri" w:cs="Calibri"/>
                <w:color w:val="auto"/>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color w:val="auto"/>
                <w:sz w:val="24"/>
                <w:szCs w:val="24"/>
                <w:lang w:eastAsia="zh-CN"/>
              </w:rPr>
            </w:pPr>
            <w:r>
              <w:rPr>
                <w:rFonts w:hint="eastAsia"/>
                <w:color w:val="auto"/>
                <w:sz w:val="24"/>
                <w:szCs w:val="24"/>
                <w:lang w:val="en-US" w:eastAsia="zh-CN"/>
              </w:rPr>
              <w:t>0.0001</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color w:val="auto"/>
                <w:sz w:val="24"/>
                <w:szCs w:val="24"/>
                <w:lang w:val="en-US" w:eastAsia="zh-CN"/>
              </w:rPr>
            </w:pPr>
            <w:r>
              <w:rPr>
                <w:rFonts w:hint="eastAsia"/>
                <w:color w:val="auto"/>
                <w:sz w:val="24"/>
                <w:szCs w:val="24"/>
                <w:lang w:val="en-US" w:eastAsia="zh-CN"/>
              </w:rPr>
              <w:t>+0.0001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374" w:type="dxa"/>
            <w:vMerge w:val="restart"/>
            <w:noWrap w:val="0"/>
            <w:vAlign w:val="center"/>
          </w:tcPr>
          <w:p>
            <w:pPr>
              <w:pStyle w:val="9"/>
              <w:spacing w:beforeLines="0" w:afterLines="0" w:line="240" w:lineRule="auto"/>
              <w:rPr>
                <w:rFonts w:hint="eastAsia" w:ascii="Times New Roman" w:eastAsia="宋体"/>
                <w:snapToGrid w:val="0"/>
                <w:kern w:val="21"/>
                <w:sz w:val="24"/>
                <w:szCs w:val="24"/>
                <w:lang w:eastAsia="zh-CN"/>
              </w:rPr>
            </w:pPr>
            <w:r>
              <w:rPr>
                <w:rFonts w:hint="eastAsia" w:ascii="Times New Roman"/>
                <w:snapToGrid w:val="0"/>
                <w:kern w:val="21"/>
                <w:sz w:val="24"/>
                <w:szCs w:val="24"/>
                <w:lang w:val="en-US" w:eastAsia="zh-CN"/>
              </w:rPr>
              <w:t>危险废物</w:t>
            </w:r>
          </w:p>
        </w:tc>
        <w:tc>
          <w:tcPr>
            <w:tcW w:w="1631" w:type="dxa"/>
            <w:tcBorders>
              <w:top w:val="single" w:color="auto" w:sz="4" w:space="0"/>
              <w:bottom w:val="single" w:color="auto" w:sz="4" w:space="0"/>
            </w:tcBorders>
            <w:noWrap w:val="0"/>
            <w:vAlign w:val="center"/>
          </w:tcPr>
          <w:p>
            <w:pPr>
              <w:adjustRightInd w:val="0"/>
              <w:snapToGrid w:val="0"/>
              <w:spacing w:line="240" w:lineRule="auto"/>
              <w:ind w:firstLine="0"/>
              <w:jc w:val="center"/>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油</w:t>
            </w:r>
            <w:r>
              <w:rPr>
                <w:rFonts w:hint="eastAsia" w:cs="Times New Roman"/>
                <w:snapToGrid w:val="0"/>
                <w:color w:val="auto"/>
                <w:kern w:val="21"/>
                <w:sz w:val="24"/>
                <w:szCs w:val="24"/>
                <w:lang w:val="en-US" w:eastAsia="zh-CN"/>
              </w:rPr>
              <w:t>罐</w:t>
            </w:r>
            <w:r>
              <w:rPr>
                <w:rFonts w:hint="eastAsia" w:ascii="Times New Roman" w:hAnsi="Times New Roman" w:eastAsia="宋体" w:cs="Times New Roman"/>
                <w:snapToGrid w:val="0"/>
                <w:color w:val="auto"/>
                <w:kern w:val="21"/>
                <w:sz w:val="24"/>
                <w:szCs w:val="24"/>
                <w:lang w:val="en-US" w:eastAsia="zh-CN"/>
              </w:rPr>
              <w:t>底泥</w:t>
            </w:r>
            <w:r>
              <w:rPr>
                <w:rFonts w:hint="eastAsia" w:ascii="Times New Roman"/>
                <w:color w:val="auto"/>
                <w:sz w:val="24"/>
                <w:szCs w:val="24"/>
                <w:lang w:eastAsia="zh-CN"/>
              </w:rPr>
              <w:t>（</w:t>
            </w:r>
            <w:r>
              <w:rPr>
                <w:rFonts w:hint="eastAsia" w:ascii="Times New Roman" w:hAnsi="Times New Roman"/>
                <w:snapToGrid w:val="0"/>
                <w:color w:val="auto"/>
                <w:kern w:val="21"/>
                <w:sz w:val="24"/>
                <w:szCs w:val="24"/>
                <w:lang w:eastAsia="zh-CN"/>
              </w:rPr>
              <w:t>t</w:t>
            </w:r>
            <w:r>
              <w:rPr>
                <w:rFonts w:ascii="Calibri" w:hAnsi="Calibri" w:cs="Calibri"/>
                <w:snapToGrid w:val="0"/>
                <w:color w:val="auto"/>
                <w:kern w:val="21"/>
                <w:sz w:val="24"/>
                <w:szCs w:val="24"/>
              </w:rPr>
              <w:t>/</w:t>
            </w:r>
            <w:r>
              <w:rPr>
                <w:rFonts w:hint="eastAsia" w:ascii="Times New Roman" w:hAnsi="Times New Roman"/>
                <w:snapToGrid w:val="0"/>
                <w:color w:val="auto"/>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559" w:type="dxa"/>
            <w:tcBorders>
              <w:top w:val="single" w:color="auto" w:sz="4" w:space="0"/>
              <w:bottom w:val="single" w:color="auto" w:sz="4" w:space="0"/>
            </w:tcBorders>
            <w:noWrap w:val="0"/>
            <w:vAlign w:val="center"/>
          </w:tcPr>
          <w:p>
            <w:pPr>
              <w:adjustRightInd w:val="0"/>
              <w:snapToGrid w:val="0"/>
              <w:spacing w:line="240" w:lineRule="auto"/>
              <w:ind w:firstLine="0"/>
              <w:jc w:val="center"/>
              <w:rPr>
                <w:rFonts w:hint="eastAsia" w:ascii="Times New Roman" w:hAnsi="Times New Roman" w:eastAsia="宋体" w:cs="Times New Roman"/>
                <w:snapToGrid w:val="0"/>
                <w:color w:val="auto"/>
                <w:kern w:val="21"/>
                <w:sz w:val="24"/>
                <w:szCs w:val="24"/>
                <w:lang w:eastAsia="zh-CN"/>
              </w:rPr>
            </w:pPr>
            <w:r>
              <w:rPr>
                <w:rFonts w:hint="eastAsia" w:ascii="Times New Roman" w:hAnsi="Times New Roman" w:eastAsia="宋体" w:cs="Times New Roman"/>
                <w:color w:val="auto"/>
                <w:sz w:val="24"/>
                <w:szCs w:val="24"/>
                <w:lang w:eastAsia="zh-CN"/>
              </w:rPr>
              <w:t>1</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2</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2000" w:type="dxa"/>
            <w:tcBorders>
              <w:top w:val="single" w:color="auto" w:sz="4" w:space="0"/>
              <w:bottom w:val="single" w:color="auto" w:sz="4" w:space="0"/>
            </w:tcBorders>
            <w:noWrap w:val="0"/>
            <w:vAlign w:val="center"/>
          </w:tcPr>
          <w:p>
            <w:pPr>
              <w:adjustRightInd w:val="0"/>
              <w:snapToGrid w:val="0"/>
              <w:spacing w:line="240" w:lineRule="auto"/>
              <w:ind w:firstLine="0"/>
              <w:jc w:val="center"/>
              <w:rPr>
                <w:rFonts w:hint="eastAsia" w:ascii="Times New Roman" w:hAnsi="Times New Roman" w:eastAsia="宋体" w:cs="Times New Roman"/>
                <w:snapToGrid w:val="0"/>
                <w:color w:val="auto"/>
                <w:kern w:val="21"/>
                <w:sz w:val="24"/>
                <w:szCs w:val="24"/>
                <w:lang w:eastAsia="zh-CN"/>
              </w:rPr>
            </w:pPr>
            <w:r>
              <w:rPr>
                <w:rFonts w:hint="eastAsia" w:ascii="Times New Roman" w:hAnsi="Times New Roman" w:eastAsia="宋体" w:cs="Times New Roman"/>
                <w:color w:val="auto"/>
                <w:sz w:val="24"/>
                <w:szCs w:val="24"/>
                <w:lang w:eastAsia="zh-CN"/>
              </w:rPr>
              <w:t>1</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2</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eastAsia="zh-CN"/>
              </w:rPr>
            </w:pPr>
            <w:r>
              <w:rPr>
                <w:rFonts w:hint="eastAsia" w:ascii="Times New Roman"/>
                <w:snapToGrid w:val="0"/>
                <w:color w:val="auto"/>
                <w:kern w:val="21"/>
                <w:sz w:val="24"/>
                <w:szCs w:val="24"/>
                <w:lang w:val="en-US" w:eastAsia="zh-CN"/>
              </w:rPr>
              <w:t>+</w:t>
            </w:r>
            <w:r>
              <w:rPr>
                <w:rFonts w:hint="eastAsia" w:ascii="Times New Roman" w:hAnsi="Times New Roman" w:eastAsia="宋体" w:cs="Times New Roman"/>
                <w:color w:val="auto"/>
                <w:sz w:val="24"/>
                <w:szCs w:val="24"/>
                <w:lang w:eastAsia="zh-CN"/>
              </w:rPr>
              <w:t>1</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374" w:type="dxa"/>
            <w:vMerge w:val="continue"/>
            <w:noWrap w:val="0"/>
            <w:vAlign w:val="center"/>
          </w:tcPr>
          <w:p>
            <w:pPr>
              <w:pStyle w:val="9"/>
              <w:spacing w:beforeLines="0" w:afterLines="0" w:line="240" w:lineRule="auto"/>
            </w:pP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废活性炭</w:t>
            </w:r>
            <w:r>
              <w:rPr>
                <w:rFonts w:hint="eastAsia" w:ascii="Times New Roman"/>
                <w:color w:val="auto"/>
                <w:sz w:val="24"/>
                <w:szCs w:val="24"/>
                <w:lang w:eastAsia="zh-CN"/>
              </w:rPr>
              <w:t>（</w:t>
            </w:r>
            <w:r>
              <w:rPr>
                <w:rFonts w:hint="eastAsia" w:ascii="Times New Roman" w:hAnsi="Times New Roman"/>
                <w:snapToGrid w:val="0"/>
                <w:color w:val="auto"/>
                <w:kern w:val="21"/>
                <w:sz w:val="24"/>
                <w:szCs w:val="24"/>
                <w:lang w:eastAsia="zh-CN"/>
              </w:rPr>
              <w:t>t</w:t>
            </w:r>
            <w:r>
              <w:rPr>
                <w:rFonts w:ascii="Calibri" w:hAnsi="Calibri" w:cs="Calibri"/>
                <w:snapToGrid w:val="0"/>
                <w:color w:val="auto"/>
                <w:kern w:val="21"/>
                <w:sz w:val="24"/>
                <w:szCs w:val="24"/>
              </w:rPr>
              <w:t>/</w:t>
            </w:r>
            <w:r>
              <w:rPr>
                <w:rFonts w:hint="eastAsia" w:ascii="Times New Roman" w:hAnsi="Times New Roman"/>
                <w:snapToGrid w:val="0"/>
                <w:color w:val="auto"/>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hAnsi="Times New Roman" w:eastAsia="宋体" w:cs="Times New Roman"/>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hAnsi="Times New Roman" w:eastAsia="宋体" w:cs="Times New Roman"/>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hAnsi="Times New Roman" w:eastAsia="宋体" w:cs="Times New Roman"/>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1</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hAnsi="Times New Roman" w:eastAsia="宋体" w:cs="Times New Roman"/>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hAnsi="Times New Roman" w:eastAsia="宋体" w:cs="Times New Roman"/>
                <w:snapToGrid w:val="0"/>
                <w:color w:val="auto"/>
                <w:kern w:val="21"/>
                <w:sz w:val="24"/>
                <w:szCs w:val="24"/>
                <w:lang w:val="en-US" w:eastAsia="zh-CN"/>
              </w:rPr>
            </w:pPr>
            <w:r>
              <w:rPr>
                <w:rFonts w:hint="eastAsia" w:ascii="Calibri" w:hAnsi="Calibri"/>
                <w:snapToGrid w:val="0"/>
                <w:color w:val="auto"/>
                <w:kern w:val="21"/>
                <w:sz w:val="24"/>
                <w:szCs w:val="24"/>
                <w:lang w:val="en-US" w:eastAsia="zh-CN"/>
              </w:rPr>
              <w:t>1</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snapToGrid w:val="0"/>
                <w:color w:val="auto"/>
                <w:kern w:val="21"/>
                <w:sz w:val="24"/>
                <w:szCs w:val="24"/>
                <w:lang w:val="en-US" w:eastAsia="zh-CN"/>
              </w:rPr>
            </w:pPr>
            <w:r>
              <w:rPr>
                <w:rFonts w:hint="eastAsia" w:ascii="Calibri" w:hAnsi="Calibri"/>
                <w:snapToGrid w:val="0"/>
                <w:color w:val="auto"/>
                <w:kern w:val="21"/>
                <w:sz w:val="24"/>
                <w:szCs w:val="24"/>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374" w:type="dxa"/>
            <w:vMerge w:val="continue"/>
            <w:noWrap w:val="0"/>
            <w:vAlign w:val="center"/>
          </w:tcPr>
          <w:p>
            <w:pPr>
              <w:pStyle w:val="9"/>
              <w:spacing w:beforeLines="0" w:afterLines="0" w:line="240" w:lineRule="auto"/>
              <w:rPr>
                <w:rFonts w:ascii="Times New Roman"/>
                <w:snapToGrid w:val="0"/>
                <w:kern w:val="21"/>
                <w:sz w:val="24"/>
                <w:szCs w:val="24"/>
              </w:rPr>
            </w:pPr>
          </w:p>
        </w:tc>
        <w:tc>
          <w:tcPr>
            <w:tcW w:w="1631" w:type="dxa"/>
            <w:tcBorders>
              <w:top w:val="single" w:color="auto" w:sz="4" w:space="0"/>
              <w:bottom w:val="single" w:color="auto" w:sz="4" w:space="0"/>
            </w:tcBorders>
            <w:noWrap w:val="0"/>
            <w:vAlign w:val="center"/>
          </w:tcPr>
          <w:p>
            <w:pPr>
              <w:adjustRightInd w:val="0"/>
              <w:snapToGrid w:val="0"/>
              <w:spacing w:line="240" w:lineRule="auto"/>
              <w:ind w:firstLine="0"/>
              <w:jc w:val="center"/>
              <w:rPr>
                <w:rFonts w:hint="default" w:ascii="Times New Roman" w:hAnsi="Times New Roman" w:eastAsia="宋体" w:cs="Times New Roman"/>
                <w:snapToGrid w:val="0"/>
                <w:kern w:val="21"/>
                <w:sz w:val="24"/>
                <w:szCs w:val="24"/>
                <w:lang w:val="en-US" w:eastAsia="zh-CN"/>
              </w:rPr>
            </w:pPr>
            <w:r>
              <w:rPr>
                <w:rFonts w:hint="eastAsia" w:ascii="Times New Roman" w:hAnsi="Times New Roman" w:eastAsia="宋体" w:cs="Times New Roman"/>
                <w:bCs/>
                <w:sz w:val="24"/>
                <w:szCs w:val="24"/>
                <w:lang w:val="en-US" w:eastAsia="zh-CN"/>
              </w:rPr>
              <w:t>隔油池废油泥</w:t>
            </w:r>
            <w:r>
              <w:rPr>
                <w:rFonts w:hint="eastAsia" w:ascii="Times New Roman"/>
                <w:sz w:val="24"/>
                <w:szCs w:val="24"/>
                <w:lang w:eastAsia="zh-CN"/>
              </w:rPr>
              <w:t>（</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1559" w:type="dxa"/>
            <w:tcBorders>
              <w:top w:val="single" w:color="auto" w:sz="4" w:space="0"/>
              <w:bottom w:val="single" w:color="auto" w:sz="4" w:space="0"/>
            </w:tcBorders>
            <w:noWrap w:val="0"/>
            <w:vAlign w:val="center"/>
          </w:tcPr>
          <w:p>
            <w:pPr>
              <w:adjustRightInd w:val="0"/>
              <w:snapToGrid w:val="0"/>
              <w:spacing w:line="240" w:lineRule="auto"/>
              <w:ind w:firstLine="0"/>
              <w:jc w:val="center"/>
              <w:rPr>
                <w:rFonts w:hint="eastAsia" w:ascii="Times New Roman" w:hAnsi="Times New Roman" w:eastAsia="宋体" w:cs="Times New Roman"/>
                <w:snapToGrid w:val="0"/>
                <w:color w:val="auto"/>
                <w:kern w:val="21"/>
                <w:sz w:val="24"/>
                <w:szCs w:val="24"/>
                <w:lang w:eastAsia="zh-CN"/>
              </w:rPr>
            </w:pPr>
            <w:r>
              <w:rPr>
                <w:rFonts w:hint="eastAsia" w:ascii="Times New Roman" w:hAnsi="Times New Roman" w:eastAsia="宋体" w:cs="Times New Roman"/>
                <w:color w:val="auto"/>
                <w:sz w:val="24"/>
                <w:szCs w:val="24"/>
                <w:lang w:val="en-US" w:eastAsia="zh-CN"/>
              </w:rPr>
              <w:t>0.02</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eastAsia="宋体"/>
                <w:snapToGrid w:val="0"/>
                <w:color w:val="auto"/>
                <w:kern w:val="21"/>
                <w:sz w:val="24"/>
                <w:szCs w:val="24"/>
                <w:lang w:val="en-US" w:eastAsia="zh-CN"/>
              </w:rPr>
            </w:pPr>
            <w:r>
              <w:rPr>
                <w:rFonts w:hint="eastAsia" w:ascii="Calibri" w:hAnsi="Calibri" w:cs="Calibri"/>
                <w:snapToGrid w:val="0"/>
                <w:color w:val="auto"/>
                <w:kern w:val="21"/>
                <w:sz w:val="24"/>
                <w:szCs w:val="24"/>
                <w:lang w:val="en-US" w:eastAsia="zh-CN"/>
              </w:rPr>
              <w:t>/</w:t>
            </w:r>
          </w:p>
        </w:tc>
        <w:tc>
          <w:tcPr>
            <w:tcW w:w="2000" w:type="dxa"/>
            <w:tcBorders>
              <w:top w:val="single" w:color="auto" w:sz="4" w:space="0"/>
              <w:bottom w:val="single" w:color="auto" w:sz="4" w:space="0"/>
            </w:tcBorders>
            <w:noWrap w:val="0"/>
            <w:vAlign w:val="center"/>
          </w:tcPr>
          <w:p>
            <w:pPr>
              <w:adjustRightInd w:val="0"/>
              <w:snapToGrid w:val="0"/>
              <w:spacing w:line="240" w:lineRule="auto"/>
              <w:ind w:firstLine="0"/>
              <w:jc w:val="center"/>
              <w:rPr>
                <w:rFonts w:hint="eastAsia" w:ascii="Times New Roman" w:hAnsi="Times New Roman" w:eastAsia="宋体" w:cs="Times New Roman"/>
                <w:snapToGrid w:val="0"/>
                <w:color w:val="auto"/>
                <w:kern w:val="21"/>
                <w:sz w:val="24"/>
                <w:szCs w:val="24"/>
                <w:lang w:eastAsia="zh-CN"/>
              </w:rPr>
            </w:pPr>
            <w:r>
              <w:rPr>
                <w:rFonts w:hint="eastAsia" w:ascii="Times New Roman" w:hAnsi="Times New Roman" w:eastAsia="宋体" w:cs="Times New Roman"/>
                <w:color w:val="auto"/>
                <w:sz w:val="24"/>
                <w:szCs w:val="24"/>
                <w:lang w:val="en-US" w:eastAsia="zh-CN"/>
              </w:rPr>
              <w:t>0.02</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snapToGrid w:val="0"/>
                <w:color w:val="auto"/>
                <w:kern w:val="21"/>
                <w:sz w:val="24"/>
                <w:szCs w:val="24"/>
                <w:lang w:val="en-US"/>
              </w:rPr>
            </w:pPr>
            <w:r>
              <w:rPr>
                <w:rFonts w:hint="eastAsia" w:ascii="Times New Roman"/>
                <w:snapToGrid w:val="0"/>
                <w:color w:val="auto"/>
                <w:kern w:val="21"/>
                <w:sz w:val="24"/>
                <w:szCs w:val="24"/>
                <w:lang w:val="en-US" w:eastAsia="zh-CN"/>
              </w:rPr>
              <w:t>+</w:t>
            </w:r>
            <w:r>
              <w:rPr>
                <w:rFonts w:hint="eastAsia" w:ascii="Times New Roman" w:hAnsi="Times New Roman"/>
                <w:snapToGrid w:val="0"/>
                <w:color w:val="auto"/>
                <w:kern w:val="21"/>
                <w:sz w:val="24"/>
                <w:szCs w:val="24"/>
                <w:lang w:val="en-US" w:eastAsia="zh-CN"/>
              </w:rPr>
              <w:t>0</w:t>
            </w:r>
            <w:r>
              <w:rPr>
                <w:rFonts w:hint="eastAsia" w:ascii="Times New Roman"/>
                <w:snapToGrid w:val="0"/>
                <w:color w:val="auto"/>
                <w:kern w:val="21"/>
                <w:sz w:val="24"/>
                <w:szCs w:val="24"/>
                <w:lang w:val="en-US" w:eastAsia="zh-CN"/>
              </w:rPr>
              <w:t>.</w:t>
            </w:r>
            <w:r>
              <w:rPr>
                <w:rFonts w:hint="eastAsia" w:ascii="Times New Roman" w:hAnsi="Times New Roman"/>
                <w:snapToGrid w:val="0"/>
                <w:color w:val="auto"/>
                <w:kern w:val="21"/>
                <w:sz w:val="24"/>
                <w:szCs w:val="24"/>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74" w:type="dxa"/>
            <w:vMerge w:val="continue"/>
            <w:noWrap w:val="0"/>
            <w:vAlign w:val="center"/>
          </w:tcPr>
          <w:p>
            <w:pPr>
              <w:pStyle w:val="9"/>
              <w:spacing w:beforeLines="0" w:afterLines="0" w:line="240" w:lineRule="auto"/>
            </w:pP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sz w:val="24"/>
                <w:szCs w:val="24"/>
                <w:lang w:val="en-US" w:eastAsia="zh-CN"/>
              </w:rPr>
            </w:pPr>
            <w:r>
              <w:rPr>
                <w:rFonts w:hint="eastAsia" w:cs="Times New Roman"/>
                <w:bCs/>
                <w:sz w:val="24"/>
                <w:szCs w:val="24"/>
                <w:lang w:val="en-US" w:eastAsia="zh-CN"/>
              </w:rPr>
              <w:t>含油废抹布、手套</w:t>
            </w:r>
            <w:r>
              <w:rPr>
                <w:rFonts w:hint="eastAsia" w:ascii="Times New Roman"/>
                <w:sz w:val="24"/>
                <w:szCs w:val="24"/>
                <w:lang w:eastAsia="zh-CN"/>
              </w:rPr>
              <w:t>（</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color w:val="auto"/>
                <w:sz w:val="24"/>
                <w:szCs w:val="24"/>
                <w:lang w:val="en-US" w:eastAsia="zh-CN"/>
              </w:rPr>
            </w:pPr>
            <w:r>
              <w:rPr>
                <w:rFonts w:hint="eastAsia" w:ascii="Calibri" w:hAnsi="Calibri" w:cs="Calibri"/>
                <w:bCs/>
                <w:color w:val="auto"/>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color w:val="auto"/>
                <w:sz w:val="24"/>
                <w:szCs w:val="24"/>
                <w:lang w:val="en-US" w:eastAsia="zh-CN"/>
              </w:rPr>
            </w:pPr>
            <w:r>
              <w:rPr>
                <w:rFonts w:hint="eastAsia" w:ascii="Calibri" w:hAnsi="Calibri" w:cs="Calibri"/>
                <w:bCs/>
                <w:color w:val="auto"/>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color w:val="auto"/>
                <w:sz w:val="24"/>
                <w:szCs w:val="24"/>
                <w:lang w:val="en-US" w:eastAsia="zh-CN"/>
              </w:rPr>
            </w:pPr>
            <w:r>
              <w:rPr>
                <w:rFonts w:hint="eastAsia" w:ascii="Calibri" w:hAnsi="Calibri" w:cs="Calibri"/>
                <w:bCs/>
                <w:color w:val="auto"/>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color w:val="auto"/>
                <w:sz w:val="24"/>
                <w:szCs w:val="24"/>
                <w:lang w:eastAsia="zh-CN"/>
              </w:rPr>
              <w:t>0</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1</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color w:val="auto"/>
                <w:sz w:val="24"/>
                <w:szCs w:val="24"/>
                <w:lang w:val="en-US" w:eastAsia="zh-CN"/>
              </w:rPr>
            </w:pPr>
            <w:r>
              <w:rPr>
                <w:rFonts w:hint="eastAsia" w:ascii="Calibri" w:hAnsi="Calibri" w:cs="Calibri"/>
                <w:bCs/>
                <w:color w:val="auto"/>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color w:val="auto"/>
                <w:sz w:val="24"/>
                <w:szCs w:val="24"/>
                <w:lang w:val="en-US" w:eastAsia="zh-CN"/>
              </w:rPr>
              <w:t>0.1</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color w:val="auto"/>
                <w:sz w:val="24"/>
                <w:szCs w:val="24"/>
                <w:lang w:val="en-US" w:eastAsia="zh-CN"/>
              </w:rPr>
            </w:pPr>
            <w:r>
              <w:rPr>
                <w:rFonts w:hint="eastAsia" w:ascii="Times New Roman"/>
                <w:snapToGrid w:val="0"/>
                <w:color w:val="auto"/>
                <w:kern w:val="21"/>
                <w:sz w:val="24"/>
                <w:szCs w:val="24"/>
                <w:lang w:val="en-US" w:eastAsia="zh-CN"/>
              </w:rPr>
              <w:t>+</w:t>
            </w:r>
            <w:r>
              <w:rPr>
                <w:rFonts w:hint="eastAsia" w:ascii="Times New Roman" w:hAnsi="Times New Roman"/>
                <w:snapToGrid w:val="0"/>
                <w:color w:val="auto"/>
                <w:kern w:val="21"/>
                <w:sz w:val="24"/>
                <w:szCs w:val="24"/>
                <w:lang w:val="en-US" w:eastAsia="zh-CN"/>
              </w:rPr>
              <w:t>0</w:t>
            </w:r>
            <w:r>
              <w:rPr>
                <w:rFonts w:hint="eastAsia" w:ascii="Times New Roman"/>
                <w:snapToGrid w:val="0"/>
                <w:color w:val="auto"/>
                <w:kern w:val="21"/>
                <w:sz w:val="24"/>
                <w:szCs w:val="24"/>
                <w:lang w:val="en-US" w:eastAsia="zh-CN"/>
              </w:rPr>
              <w:t>.</w:t>
            </w:r>
            <w:r>
              <w:rPr>
                <w:rFonts w:hint="eastAsia" w:ascii="Times New Roman" w:hAnsi="Times New Roman"/>
                <w:snapToGrid w:val="0"/>
                <w:color w:val="auto"/>
                <w:kern w:val="21"/>
                <w:sz w:val="24"/>
                <w:szCs w:val="24"/>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74" w:type="dxa"/>
            <w:noWrap w:val="0"/>
            <w:vAlign w:val="center"/>
          </w:tcPr>
          <w:p>
            <w:pPr>
              <w:pStyle w:val="9"/>
              <w:spacing w:beforeLines="0" w:afterLines="0" w:line="240" w:lineRule="auto"/>
            </w:pPr>
            <w:r>
              <w:rPr>
                <w:rFonts w:hint="eastAsia" w:ascii="Times New Roman" w:hAnsi="Times New Roman" w:eastAsia="宋体" w:cs="Times New Roman"/>
                <w:bCs/>
                <w:sz w:val="24"/>
                <w:szCs w:val="24"/>
                <w:lang w:val="en-US" w:eastAsia="zh-CN"/>
              </w:rPr>
              <w:t>生活垃圾</w:t>
            </w:r>
          </w:p>
        </w:tc>
        <w:tc>
          <w:tcPr>
            <w:tcW w:w="163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生活垃圾</w:t>
            </w:r>
            <w:r>
              <w:rPr>
                <w:rFonts w:hint="eastAsia" w:ascii="Times New Roman"/>
                <w:sz w:val="24"/>
                <w:szCs w:val="24"/>
                <w:lang w:eastAsia="zh-CN"/>
              </w:rPr>
              <w:t>（</w:t>
            </w:r>
            <w:r>
              <w:rPr>
                <w:rFonts w:hint="eastAsia" w:ascii="Times New Roman" w:hAnsi="Times New Roman"/>
                <w:snapToGrid w:val="0"/>
                <w:kern w:val="21"/>
                <w:sz w:val="24"/>
                <w:szCs w:val="24"/>
                <w:lang w:eastAsia="zh-CN"/>
              </w:rPr>
              <w:t>t</w:t>
            </w:r>
            <w:r>
              <w:rPr>
                <w:rFonts w:ascii="Calibri" w:hAnsi="Calibri" w:cs="Calibri"/>
                <w:snapToGrid w:val="0"/>
                <w:kern w:val="21"/>
                <w:sz w:val="24"/>
                <w:szCs w:val="24"/>
              </w:rPr>
              <w:t>/</w:t>
            </w:r>
            <w:r>
              <w:rPr>
                <w:rFonts w:hint="eastAsia" w:ascii="Times New Roman" w:hAnsi="Times New Roman"/>
                <w:snapToGrid w:val="0"/>
                <w:kern w:val="21"/>
                <w:sz w:val="24"/>
                <w:szCs w:val="24"/>
                <w:lang w:eastAsia="zh-CN"/>
              </w:rPr>
              <w:t>a）</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sz w:val="24"/>
                <w:szCs w:val="24"/>
                <w:lang w:val="en-US" w:eastAsia="zh-CN"/>
              </w:rPr>
            </w:pPr>
            <w:r>
              <w:rPr>
                <w:rFonts w:hint="eastAsia" w:ascii="Calibri" w:hAnsi="Calibri" w:cs="Calibri"/>
                <w:bCs/>
                <w:sz w:val="24"/>
                <w:szCs w:val="24"/>
                <w:lang w:val="en-US" w:eastAsia="zh-CN"/>
              </w:rPr>
              <w:t>/</w:t>
            </w:r>
          </w:p>
        </w:tc>
        <w:tc>
          <w:tcPr>
            <w:tcW w:w="1276"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sz w:val="24"/>
                <w:szCs w:val="24"/>
                <w:lang w:val="en-US" w:eastAsia="zh-CN"/>
              </w:rPr>
            </w:pPr>
            <w:r>
              <w:rPr>
                <w:rFonts w:hint="eastAsia" w:ascii="Calibri" w:hAnsi="Calibri" w:cs="Calibri"/>
                <w:bCs/>
                <w:sz w:val="24"/>
                <w:szCs w:val="24"/>
                <w:lang w:val="en-US" w:eastAsia="zh-CN"/>
              </w:rPr>
              <w:t>/</w:t>
            </w:r>
          </w:p>
        </w:tc>
        <w:tc>
          <w:tcPr>
            <w:tcW w:w="1701"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sz w:val="24"/>
                <w:szCs w:val="24"/>
                <w:lang w:val="en-US" w:eastAsia="zh-CN"/>
              </w:rPr>
            </w:pPr>
            <w:r>
              <w:rPr>
                <w:rFonts w:hint="eastAsia" w:ascii="Calibri" w:hAnsi="Calibri" w:cs="Calibri"/>
                <w:bCs/>
                <w:sz w:val="24"/>
                <w:szCs w:val="24"/>
                <w:lang w:val="en-US" w:eastAsia="zh-CN"/>
              </w:rPr>
              <w:t>/</w:t>
            </w:r>
          </w:p>
        </w:tc>
        <w:tc>
          <w:tcPr>
            <w:tcW w:w="1559"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sz w:val="24"/>
                <w:szCs w:val="24"/>
                <w:lang w:val="en-US" w:eastAsia="zh-CN"/>
              </w:rPr>
            </w:pPr>
            <w:r>
              <w:rPr>
                <w:rFonts w:hint="eastAsia" w:ascii="Times New Roman" w:cs="Times New Roman"/>
                <w:sz w:val="24"/>
                <w:szCs w:val="24"/>
                <w:lang w:val="en-US" w:eastAsia="zh-CN"/>
              </w:rPr>
              <w:t>11.68</w:t>
            </w:r>
          </w:p>
        </w:tc>
        <w:tc>
          <w:tcPr>
            <w:tcW w:w="1643"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bCs/>
                <w:sz w:val="24"/>
                <w:szCs w:val="24"/>
                <w:lang w:val="en-US" w:eastAsia="zh-CN"/>
              </w:rPr>
            </w:pPr>
            <w:r>
              <w:rPr>
                <w:rFonts w:hint="eastAsia" w:ascii="Calibri" w:hAnsi="Calibri" w:cs="Calibri"/>
                <w:bCs/>
                <w:sz w:val="24"/>
                <w:szCs w:val="24"/>
                <w:lang w:val="en-US" w:eastAsia="zh-CN"/>
              </w:rPr>
              <w:t>/</w:t>
            </w:r>
          </w:p>
        </w:tc>
        <w:tc>
          <w:tcPr>
            <w:tcW w:w="2000"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hAnsi="Times New Roman" w:eastAsia="宋体" w:cs="Times New Roman"/>
                <w:sz w:val="24"/>
                <w:szCs w:val="24"/>
                <w:lang w:val="en-US" w:eastAsia="zh-CN"/>
              </w:rPr>
            </w:pPr>
            <w:r>
              <w:rPr>
                <w:rFonts w:hint="eastAsia" w:ascii="Times New Roman" w:cs="Times New Roman"/>
                <w:sz w:val="24"/>
                <w:szCs w:val="24"/>
                <w:lang w:val="en-US" w:eastAsia="zh-CN"/>
              </w:rPr>
              <w:t>11.68</w:t>
            </w:r>
          </w:p>
        </w:tc>
        <w:tc>
          <w:tcPr>
            <w:tcW w:w="1067" w:type="dxa"/>
            <w:tcBorders>
              <w:top w:val="single" w:color="auto" w:sz="4" w:space="0"/>
              <w:bottom w:val="single" w:color="auto" w:sz="4" w:space="0"/>
            </w:tcBorders>
            <w:noWrap w:val="0"/>
            <w:vAlign w:val="center"/>
          </w:tcPr>
          <w:p>
            <w:pPr>
              <w:pStyle w:val="9"/>
              <w:spacing w:beforeLines="0" w:afterLines="0" w:line="240" w:lineRule="auto"/>
              <w:rPr>
                <w:rFonts w:hint="default" w:ascii="Times New Roman"/>
                <w:snapToGrid w:val="0"/>
                <w:kern w:val="21"/>
                <w:sz w:val="24"/>
                <w:szCs w:val="24"/>
                <w:lang w:val="en-US" w:eastAsia="zh-CN"/>
              </w:rPr>
            </w:pPr>
            <w:r>
              <w:rPr>
                <w:rFonts w:hint="eastAsia" w:ascii="Times New Roman"/>
                <w:snapToGrid w:val="0"/>
                <w:kern w:val="21"/>
                <w:sz w:val="24"/>
                <w:szCs w:val="24"/>
                <w:lang w:val="en-US" w:eastAsia="zh-CN"/>
              </w:rPr>
              <w:t>+</w:t>
            </w:r>
            <w:r>
              <w:rPr>
                <w:rFonts w:hint="eastAsia" w:ascii="Times New Roman" w:hAnsi="Times New Roman"/>
                <w:snapToGrid w:val="0"/>
                <w:kern w:val="21"/>
                <w:sz w:val="24"/>
                <w:szCs w:val="24"/>
                <w:lang w:val="en-US" w:eastAsia="zh-CN"/>
              </w:rPr>
              <w:t>11.68</w:t>
            </w:r>
          </w:p>
        </w:tc>
      </w:tr>
    </w:tbl>
    <w:p>
      <w:pPr>
        <w:bidi w:val="0"/>
      </w:pPr>
      <w:r>
        <w:t>注：</w:t>
      </w:r>
      <w:r>
        <w:fldChar w:fldCharType="begin"/>
      </w:r>
      <w:r>
        <w:instrText xml:space="preserve"> = 6 \* GB3 \* MERGEFORMAT </w:instrText>
      </w:r>
      <w:r>
        <w:fldChar w:fldCharType="separate"/>
      </w:r>
      <w:r>
        <w:t>⑥</w:t>
      </w:r>
      <w:r>
        <w:fldChar w:fldCharType="end"/>
      </w:r>
      <w:r>
        <w:t>=</w:t>
      </w:r>
      <w:r>
        <w:fldChar w:fldCharType="begin"/>
      </w:r>
      <w:r>
        <w:instrText xml:space="preserve"> = 1 \* GB3 \* MERGEFORMAT </w:instrText>
      </w:r>
      <w:r>
        <w:fldChar w:fldCharType="separate"/>
      </w:r>
      <w:r>
        <w:t>①</w:t>
      </w:r>
      <w:r>
        <w:fldChar w:fldCharType="end"/>
      </w:r>
      <w:r>
        <w:t>+</w:t>
      </w:r>
      <w:r>
        <w:fldChar w:fldCharType="begin"/>
      </w:r>
      <w:r>
        <w:instrText xml:space="preserve"> = 3 \* GB3 \* MERGEFORMAT </w:instrText>
      </w:r>
      <w:r>
        <w:fldChar w:fldCharType="separate"/>
      </w:r>
      <w:r>
        <w:t>③</w:t>
      </w:r>
      <w:r>
        <w:fldChar w:fldCharType="end"/>
      </w:r>
      <w:r>
        <w:t>+</w:t>
      </w:r>
      <w:r>
        <w:fldChar w:fldCharType="begin"/>
      </w:r>
      <w:r>
        <w:instrText xml:space="preserve"> = 4 \* GB3 \* MERGEFORMAT </w:instrText>
      </w:r>
      <w:r>
        <w:fldChar w:fldCharType="separate"/>
      </w:r>
      <w:r>
        <w:t>④</w:t>
      </w:r>
      <w:r>
        <w:fldChar w:fldCharType="end"/>
      </w:r>
      <w:r>
        <w:t>-</w:t>
      </w:r>
      <w:r>
        <w:fldChar w:fldCharType="begin"/>
      </w:r>
      <w:r>
        <w:instrText xml:space="preserve"> = 5 \* GB3 \* MERGEFORMAT </w:instrText>
      </w:r>
      <w:r>
        <w:fldChar w:fldCharType="separate"/>
      </w:r>
      <w:r>
        <w:t>⑤</w:t>
      </w:r>
      <w:r>
        <w:fldChar w:fldCharType="end"/>
      </w:r>
      <w:r>
        <w:t>；</w:t>
      </w:r>
      <w:r>
        <w:fldChar w:fldCharType="begin"/>
      </w:r>
      <w:r>
        <w:instrText xml:space="preserve"> = 7 \* GB3 \* MERGEFORMAT </w:instrText>
      </w:r>
      <w:r>
        <w:fldChar w:fldCharType="separate"/>
      </w:r>
      <w:r>
        <w:t>⑦</w:t>
      </w:r>
      <w:r>
        <w:fldChar w:fldCharType="end"/>
      </w:r>
      <w:r>
        <w:t>=</w:t>
      </w:r>
      <w:r>
        <w:fldChar w:fldCharType="begin"/>
      </w:r>
      <w:r>
        <w:instrText xml:space="preserve"> = 6 \* GB3 \* MERGEFORMAT </w:instrText>
      </w:r>
      <w:r>
        <w:fldChar w:fldCharType="separate"/>
      </w:r>
      <w:r>
        <w:t>⑥</w:t>
      </w:r>
      <w:r>
        <w:fldChar w:fldCharType="end"/>
      </w:r>
      <w:r>
        <w:t>-</w:t>
      </w:r>
      <w:r>
        <w:fldChar w:fldCharType="begin"/>
      </w:r>
      <w:r>
        <w:instrText xml:space="preserve"> = 1 \* GB3 \* MERGEFORMAT </w:instrText>
      </w:r>
      <w:r>
        <w:fldChar w:fldCharType="separate"/>
      </w:r>
      <w:r>
        <w:t>①</w:t>
      </w:r>
      <w:r>
        <w:fldChar w:fldCharType="end"/>
      </w:r>
    </w:p>
    <w:p>
      <w:pPr>
        <w:adjustRightInd w:val="0"/>
        <w:snapToGrid w:val="0"/>
        <w:spacing w:before="842" w:beforeLines="270" w:beforeAutospacing="0" w:after="842" w:afterLines="270" w:afterAutospacing="0"/>
        <w:jc w:val="center"/>
        <w:outlineLvl w:val="9"/>
        <w:rPr>
          <w:rFonts w:hint="eastAsia" w:ascii="Times New Roman" w:hAnsi="Times New Roman" w:eastAsia="宋体"/>
          <w:snapToGrid w:val="0"/>
          <w:szCs w:val="24"/>
          <w:lang w:eastAsia="zh-CN"/>
        </w:rPr>
        <w:sectPr>
          <w:footerReference r:id="rId9" w:type="default"/>
          <w:pgSz w:w="16838" w:h="11906" w:orient="landscape"/>
          <w:pgMar w:top="1440" w:right="1800" w:bottom="1440" w:left="1800" w:header="851" w:footer="680" w:gutter="0"/>
          <w:pgBorders>
            <w:top w:val="none" w:sz="0" w:space="0"/>
            <w:left w:val="none" w:sz="0" w:space="0"/>
            <w:bottom w:val="none" w:sz="0" w:space="0"/>
            <w:right w:val="none" w:sz="0" w:space="0"/>
          </w:pgBorders>
          <w:pgNumType w:fmt="decimal"/>
          <w:cols w:space="720" w:num="1"/>
          <w:docGrid w:type="lines" w:linePitch="312" w:charSpace="0"/>
        </w:sectPr>
      </w:pPr>
    </w:p>
    <w:p>
      <w:pPr>
        <w:pStyle w:val="5"/>
        <w:bidi w:val="0"/>
        <w:outlineLvl w:val="0"/>
        <w:rPr>
          <w:rFonts w:hint="default"/>
          <w:lang w:val="en-US" w:eastAsia="zh-CN"/>
        </w:rPr>
      </w:pPr>
      <w:bookmarkStart w:id="18" w:name="_Toc12822"/>
      <w:r>
        <w:rPr>
          <w:rFonts w:hint="eastAsia"/>
          <w:lang w:val="en-US" w:eastAsia="zh-CN"/>
        </w:rPr>
        <w:t>附图1 建设项目地理位置图</w:t>
      </w:r>
      <w:bookmarkEnd w:id="18"/>
    </w:p>
    <w:p>
      <w:pPr>
        <w:ind w:left="0" w:leftChars="0" w:firstLine="0" w:firstLineChars="0"/>
        <w:jc w:val="center"/>
        <w:rPr>
          <w:rFonts w:hint="eastAsia" w:ascii="宋体" w:hAnsi="宋体" w:eastAsia="宋体" w:cs="宋体"/>
          <w:b/>
          <w:bCs/>
          <w:sz w:val="24"/>
          <w:szCs w:val="24"/>
          <w:lang w:val="en-US" w:eastAsia="zh-CN"/>
        </w:rPr>
      </w:pPr>
      <w:r>
        <w:rPr>
          <w:sz w:val="21"/>
        </w:rPr>
        <mc:AlternateContent>
          <mc:Choice Requires="wps">
            <w:drawing>
              <wp:anchor distT="0" distB="0" distL="114300" distR="114300" simplePos="0" relativeHeight="251667456" behindDoc="0" locked="0" layoutInCell="1" allowOverlap="1">
                <wp:simplePos x="0" y="0"/>
                <wp:positionH relativeFrom="column">
                  <wp:posOffset>4488180</wp:posOffset>
                </wp:positionH>
                <wp:positionV relativeFrom="paragraph">
                  <wp:posOffset>1062990</wp:posOffset>
                </wp:positionV>
                <wp:extent cx="1391920" cy="499745"/>
                <wp:effectExtent l="38100" t="38100" r="55880" b="52705"/>
                <wp:wrapNone/>
                <wp:docPr id="150" name="文本框 150"/>
                <wp:cNvGraphicFramePr/>
                <a:graphic xmlns:a="http://schemas.openxmlformats.org/drawingml/2006/main">
                  <a:graphicData uri="http://schemas.microsoft.com/office/word/2010/wordprocessingShape">
                    <wps:wsp>
                      <wps:cNvSpPr txBox="1"/>
                      <wps:spPr>
                        <a:xfrm>
                          <a:off x="0" y="0"/>
                          <a:ext cx="1391920" cy="499745"/>
                        </a:xfrm>
                        <a:prstGeom prst="rect">
                          <a:avLst/>
                        </a:prstGeom>
                        <a:solidFill>
                          <a:srgbClr val="FFFFFF"/>
                        </a:solidFill>
                        <a:ln w="76200" cap="flat" cmpd="sng">
                          <a:solidFill>
                            <a:srgbClr val="C0504D"/>
                          </a:solidFill>
                          <a:prstDash val="solid"/>
                          <a:miter/>
                          <a:headEnd type="none" w="med" len="med"/>
                          <a:tailEnd type="none" w="med" len="med"/>
                        </a:ln>
                      </wps:spPr>
                      <wps:txbx>
                        <w:txbxContent>
                          <w:p>
                            <w:pPr>
                              <w:jc w:val="center"/>
                              <w:rPr>
                                <w:rFonts w:hint="default" w:eastAsia="宋体"/>
                                <w:b/>
                                <w:bCs/>
                                <w:sz w:val="32"/>
                                <w:szCs w:val="32"/>
                                <w:lang w:val="en-US" w:eastAsia="zh-CN"/>
                              </w:rPr>
                            </w:pPr>
                            <w:r>
                              <w:rPr>
                                <w:rFonts w:hint="eastAsia"/>
                                <w:b/>
                                <w:bCs/>
                                <w:sz w:val="32"/>
                                <w:szCs w:val="32"/>
                                <w:lang w:val="en-US" w:eastAsia="zh-CN"/>
                              </w:rPr>
                              <w:t>本项目位置</w:t>
                            </w:r>
                          </w:p>
                        </w:txbxContent>
                      </wps:txbx>
                      <wps:bodyPr upright="1"/>
                    </wps:wsp>
                  </a:graphicData>
                </a:graphic>
              </wp:anchor>
            </w:drawing>
          </mc:Choice>
          <mc:Fallback>
            <w:pict>
              <v:shape id="_x0000_s1026" o:spid="_x0000_s1026" o:spt="202" type="#_x0000_t202" style="position:absolute;left:0pt;margin-left:353.4pt;margin-top:83.7pt;height:39.35pt;width:109.6pt;z-index:251667456;mso-width-relative:page;mso-height-relative:page;" fillcolor="#FFFFFF" filled="t" stroked="t" coordsize="21600,21600" o:gfxdata="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5Y+22AAAAAsBAAAPAAAAAAAAAAEA&#10;IAAAACIAAABkcnMvZG93bnJldi54bWxQSwECFAAUAAAACACHTuJA6bYVWw8CAAA7BAAADgAAAAAA&#10;AAABACAAAAAnAQAAZHJzL2Uyb0RvYy54bWxQSwUGAAAAAAYABgBZAQAAqAUAAAAA&#10;">
                <v:fill on="t" focussize="0,0"/>
                <v:stroke weight="6pt" color="#C0504D" joinstyle="miter"/>
                <v:imagedata o:title=""/>
                <o:lock v:ext="edit" aspectratio="f"/>
                <v:textbox>
                  <w:txbxContent>
                    <w:p>
                      <w:pPr>
                        <w:jc w:val="center"/>
                        <w:rPr>
                          <w:rFonts w:hint="default" w:eastAsia="宋体"/>
                          <w:b/>
                          <w:bCs/>
                          <w:sz w:val="32"/>
                          <w:szCs w:val="32"/>
                          <w:lang w:val="en-US" w:eastAsia="zh-CN"/>
                        </w:rPr>
                      </w:pPr>
                      <w:r>
                        <w:rPr>
                          <w:rFonts w:hint="eastAsia"/>
                          <w:b/>
                          <w:bCs/>
                          <w:sz w:val="32"/>
                          <w:szCs w:val="32"/>
                          <w:lang w:val="en-US" w:eastAsia="zh-CN"/>
                        </w:rPr>
                        <w:t>本项目位置</w:t>
                      </w: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3737610</wp:posOffset>
                </wp:positionH>
                <wp:positionV relativeFrom="paragraph">
                  <wp:posOffset>1356360</wp:posOffset>
                </wp:positionV>
                <wp:extent cx="709295" cy="254000"/>
                <wp:effectExtent l="6350" t="17780" r="8255" b="33020"/>
                <wp:wrapNone/>
                <wp:docPr id="149" name="直接连接符 149"/>
                <wp:cNvGraphicFramePr/>
                <a:graphic xmlns:a="http://schemas.openxmlformats.org/drawingml/2006/main">
                  <a:graphicData uri="http://schemas.microsoft.com/office/word/2010/wordprocessingShape">
                    <wps:wsp>
                      <wps:cNvCnPr/>
                      <wps:spPr>
                        <a:xfrm flipV="1">
                          <a:off x="0" y="0"/>
                          <a:ext cx="709295" cy="254000"/>
                        </a:xfrm>
                        <a:prstGeom prst="line">
                          <a:avLst/>
                        </a:prstGeom>
                        <a:ln w="38100" cap="flat" cmpd="sng">
                          <a:solidFill>
                            <a:srgbClr val="C0504D"/>
                          </a:solidFill>
                          <a:prstDash val="solid"/>
                          <a:headEnd type="none" w="med" len="med"/>
                          <a:tailEnd type="none" w="med" len="med"/>
                        </a:ln>
                      </wps:spPr>
                      <wps:bodyPr upright="1"/>
                    </wps:wsp>
                  </a:graphicData>
                </a:graphic>
              </wp:anchor>
            </w:drawing>
          </mc:Choice>
          <mc:Fallback>
            <w:pict>
              <v:line id="_x0000_s1026" o:spid="_x0000_s1026" o:spt="20" style="position:absolute;left:0pt;flip:y;margin-left:294.3pt;margin-top:106.8pt;height:20pt;width:55.85pt;z-index:251668480;mso-width-relative:page;mso-height-relative:page;" filled="f" stroked="t" coordsize="21600,21600" o:gfxdata="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VB4NjZAAAACwEAAA8AAAAAAAAAAQAgAAAAIgAA&#10;AGRycy9kb3ducmV2LnhtbFBLAQIUABQAAAAIAIdO4kDuz/c5BwIAAPcDAAAOAAAAAAAAAAEAIAAA&#10;ACgBAABkcnMvZTJvRG9jLnhtbFBLBQYAAAAABgAGAFkBAAChBQAAAAA=&#10;">
                <v:fill on="f" focussize="0,0"/>
                <v:stroke weight="3pt" color="#C0504D" joinstyle="round"/>
                <v:imagedata o:title=""/>
                <o:lock v:ext="edit" aspectratio="f"/>
              </v:lin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7657465</wp:posOffset>
                </wp:positionH>
                <wp:positionV relativeFrom="paragraph">
                  <wp:posOffset>2540</wp:posOffset>
                </wp:positionV>
                <wp:extent cx="753110" cy="824865"/>
                <wp:effectExtent l="0" t="0" r="8890" b="13335"/>
                <wp:wrapNone/>
                <wp:docPr id="148" name="矩形 148" descr="风玫瑰图"/>
                <wp:cNvGraphicFramePr/>
                <a:graphic xmlns:a="http://schemas.openxmlformats.org/drawingml/2006/main">
                  <a:graphicData uri="http://schemas.microsoft.com/office/word/2010/wordprocessingShape">
                    <wps:wsp>
                      <wps:cNvSpPr/>
                      <wps:spPr>
                        <a:xfrm>
                          <a:off x="0" y="0"/>
                          <a:ext cx="753110" cy="824865"/>
                        </a:xfrm>
                        <a:prstGeom prst="rect">
                          <a:avLst/>
                        </a:prstGeom>
                        <a:blipFill rotWithShape="0">
                          <a:blip r:embed="rId25"/>
                          <a:stretch>
                            <a:fillRect/>
                          </a:stretch>
                        </a:blipFill>
                        <a:ln>
                          <a:noFill/>
                        </a:ln>
                      </wps:spPr>
                      <wps:txbx>
                        <w:txbxContent>
                          <w:p/>
                        </w:txbxContent>
                      </wps:txbx>
                      <wps:bodyPr upright="1"/>
                    </wps:wsp>
                  </a:graphicData>
                </a:graphic>
              </wp:anchor>
            </w:drawing>
          </mc:Choice>
          <mc:Fallback>
            <w:pict>
              <v:rect id="_x0000_s1026" o:spid="_x0000_s1026" o:spt="1" alt="风玫瑰图" style="position:absolute;left:0pt;margin-left:602.95pt;margin-top:0.2pt;height:64.95pt;width:59.3pt;z-index:251666432;mso-width-relative:page;mso-height-relative:page;" filled="t" stroked="f" coordsize="21600,21600" o:gfxdata="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Q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39/QD19fUA7OzsAPz8/AD///8AAAAAAAAAAAAA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39/cA5OTkANTU1ADf398A6urq&#10;APz8/AAKCgoAHh4eABAQEAAGBgYABAQEAAEBAQABAQE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A////APf39wD7+/sA3d3dAK6urgC0tLQA&#10;6enpAO/v7wD9/f0AMDAwAFFRUQAoKCgADg4OAAsLCwABAQE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AAAAAPj4+ADHx8cA4eHhAMbGxgC9&#10;vb0A5ubmAPz8/AACAgIAFBQUAFtbWwApKSkADQ0NAAoKCgAEBAQ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j4+AC+vr4AmZmZANfX&#10;1wDu7u4A8/PzAP39/QAAAAAADw8PAFlZWQBBQUEACQkJAAkJCQAJCQkAAQEBAAEBAQ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39AO3t7QCzs7MAp6en&#10;AM7OzgD09PQA/f39AP///wAAAAAADw8PAERERABdXV0ADQ0NAAMDAwAJCQkAAgIC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n5AOHh4QC2trYA&#10;rKysANPT0wD09PQA////AAAAAAALCwsAEhISACIiIgBaWloAICAgAPHx8QALCwsACAgIAAICAg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9fUA8vLyAOPj4wC5&#10;ubkAtLS0ANXV1QD29vYAAAAAAAAAAAAGBgYAKysrAD8/PwAlJSUAMzMzAPj4+AAFBQUACQkJAAMD&#10;AwAAAAAAAQEB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j4AO7u&#10;7gDg4OAAzMzMANra2gD29vYAAAAAAAAAAAAAAAAABAQEABsbGwA4ODgANTU1AA4ODgD29vYABQUF&#10;AAQEBAAAAAAAAQEB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np6QDJyckA19fXAOXl5QD5+fkAAAAAAAAAAAABAQEAAQEBABcXFwAjIyMAGhoaABEREQACAgIA&#10;////AAQEBAACAgI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X19QDJyckAmZmZAODg4ADx8fEA+vr6AAAAAAAAAAAAERERAAsLCwA+Pj4ASEhIACoqKgAH&#10;BwcA8/PzAAUFBQAICAgABAQE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7+/gDd3d0Azs7OAN/f3wDs7OwAAAAAAAAAAAAAAAAAAAAAACkpKQAjIyMAQUFBACoq&#10;KgAKCgoA9/f3AOrq6gAbGxsACAgIAAAAAAABAQE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AAAAAAAAAAAAP7+/gD7+/sA+fn5APv7+wD+/v4AAAAAAAAAAAAAAAAAAAAAAAQEBAAHBwcACAgI&#10;AAcHBwADAwMA////AP///wD///8AAQEBAAEBAQ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gD6+voA/f39AP39/QC/v78Ap6enANDQ0ADp6ekA9PT0AAAAAAAAAAAAAgICABUVFQBgYGAA&#10;VlZWABgYGAAMDAwA+fn5ANnZ2QABAQEAHBwcAAoKCg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A////AP///wD9/f0A8/PzAObm5gDl5eUA9vb2AAAAAAAAAAAAAAAAAAAAAAAD&#10;AwMAExMTABYWFgAVFRUAAwMDAPn5+QD6+voAAgICAAQEBAACAgI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QEBAAUFBQD///8A4ODgANra2gDi4uIA+Pj4AAYGBgAQEBAADQ0NAAICAgABAQEAAAAAAAAA&#10;AAAAAAAAAAAAAAAAAAD+/v4A+fn5APv7+wADAwMABwcHAB4eHgAmJiYAERERAAICAgABAQEAAAAA&#10;AAAAAAAAAAAAAAAAAPr6+gD5+fkA////AAEBAQABAQE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CAgIABAQEAPf39wDR0dEA9vb2ADIyMgAKCgoADg4OABAQEAAJCQkA+/v7&#10;APr6+gAAAAAAAAAAAAAAAAAAAAAA/Pz8APDw8AD39/cAHx8fACEhIQArKysAFBQUAAQEBAABAQEA&#10;AAAAAAAAAAAAAAAAAAAAAP39/QD9/f0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gICAAoKCgD6+voAuLi4AOLi4gBBQUEAGBgYABsbGwAjIyMA&#10;GxsbAPHx8QDp6ekAAAAAAAEBAQD///8A/f39APPz8wDd3d0A+fn5AEdHRwBHR0cAHx8fAB0dHQAF&#10;BQUAAAAAAAAAAAAAAAAA////AAAAAAD29vYA/Pz8AAYGBgABAQE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QEBAAICAgANDQ0AEhISAPT09ADn5+cA2NjYAPDw8AAR&#10;EREAJiYmAC0tLQAaGhoAAQEBAAAAAAAAAAAA/v7+APf39wDt7e0A4+PjABoaGgBJSUkAPDw8ACQk&#10;JAAICAgAAAAAAP7+/gD9/f0A/f39AP39/QDz8/MA6enpAPv7+wAJCQkAAwMD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BAQEAEhISACIiIgDGxsYA5eXlALGx&#10;sQAXFxcANDQ0ACkpKQD5+fkABwcHANTU1AD///8AAAAAAPr6+gDv7+8A5ubmAOrq6gArKysAOTk5&#10;AA0NDQABAQEAAAAAAP7+/gD5+fkA9vb2APv7+wD+/v4A0dHRAPj4+AArKysABAQEAAEBAQ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gICAA0NDQAXFxcAAgIC&#10;APT09ADJyckADAwMAAUFBQArKysADAwMAPDw8AC7u7sA+fn5AAICAgDv7+8A6urqAM7OzgDh4eEA&#10;LCwsAA0NDQABAQEAAQEBAPr6+gDj4+MAwcHBALm5uQDk5OQAAQEBABQUFABXV1cAExMTAAYGBgAB&#10;AQE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CAgIA&#10;AwMDAAEBAQD///8A+fn5APX19QD5+fkABAQEAAcHBwAEBAQAAwMDAAICAgAAAAAA/v7+APr6+gD4&#10;+PgA/Pz8AAEBAQACAgIAAAAAAAAAAAD///8A/Pz8APT09ADs7OwA6enpAAICAgAHBwcAAAAAAAMD&#10;Aw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B&#10;AQEACgoKABQUFAAEBAQAAgICAPf39wDZ2dkAx8fHABwcHAAdHR0AGBgYACIiIgDs7OwAAwMDAPHx&#10;8QDg4OAA19fXAPPz8wADAwMA+vr6APr6+gDt7e0Azs7OAMLCwgDPz88A5eXlAPj4+AAEBAQALCws&#10;ACcnJwAJCQkAAQEB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QEBAAwMDAAcHBwAFBQUAP///wD09PQA5OTkAMDAwAAUFBQAOjo6AAICAgA4ODgA29vb&#10;AAMDAwDq6uoA1tbWAN3d3QAbGxsA/Pz8ALq6ugDf398A5OTkAM/PzwDZ2dkA/v7+ACMjIwAUFBQA&#10;BAQEAD09PQAhISEABgYG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QEBAAAAAAAEBAQA/Pz8ANHR0QDV1dUA&#10;8/PzAAcHBwAREREAAgICAP39/QASEhIAISEhAP///wC+vr4AqqqqABAQEABNTU0AKysrAAMDAw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D+/v4A8PDwANDQ0AC7&#10;u7sA2dnZACAgIAAuLi4ACgoKAOrq6gDi4uIA3d3dAAoKCgAkJCQA19fXAMzMzAAFBQUAJiYmAOrq&#10;6gAWFhYACAgI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Pf3&#10;9wDj4+MA4uLiAPT09AAREREAOzs7ACkpKQAKCgoA8vLyANLS0gDS0tIAAgICABISEgD8/PwA9fX1&#10;AOPj4wDi4uIA9/f3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EBAQACAgIAAgICAAMDAwAGBgYAExMTACcnJwAbGxsABgYGAPn5+QDq6uoA5ubmAPPz8wACAgIA&#10;AgICAAAAAADy8vIA7u7uAPv7+w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gICAAYGBgAJCQkACQkJAAoKCgALCwsABwcHAAEBAQD9/f0A+fn5APb29gD3&#10;9/cAAAAAAAUFBQABAQEA+vr6APb29gD8/Pw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QEBAAoKCgAZGRkAJSUlAPDw8AAkJCQAHx8fAP39/QAFBQUA+vr6AOzs&#10;7AAICAgA3t7eAAICAgAYGBgA6urqAOzs7ADg4OAA8/PzAP7+/gACAgI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EBAQAKCgoAKSkpAPv7+wD09PQALy8vAA0NDQAHBwcAAgIC&#10;AP///wD8/PwA7+/vAN/f3wBOTk4ABQUFALGxsQD6+voA5ubmAOfn5wAdHR0ACgoK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BQUFABoaGgAHBwcAAQEBABUVFQABAQEA&#10;AQEBAAAAAAAAAAAAAAAAAPf39wDo6OgACgoKAFZWVgApKSkAx8fHAPPz8wDj4+MAKysrAAoKCg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UFBQATExMABQUFAPv7+wAK&#10;CgoAAQEBAAAAAAAAAAAAAAAAAAAAAAD8/PwA7+/vAPv7+wAuLi4AIyMjABgYGADAwMAA6+vrAPLy&#10;8gAVFRU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DAwMABwcHAAQE&#10;BAD19fUA/f39AAAAAAAAAAAAAAAAAAAAAAAAAAAA/v7+APn5+QD8/PwADAwMAAsLCwA4ODgA/Pz8&#10;AO/v7wD39/cA+/v7AAUFBQ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ICAgD+/v4A/Pz8AP39/QD///8AAAAAAAAAAAAAAAAAAAAAAAAAAAD+/v4A/v7+AAEBAQABAQEA&#10;FRUVAB0dHQD7+/sA/v7+AP7+/g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EBAQAAAAAAAgICAAMDAwABAQEA/v7+AP7+/gD///8AAAAAAAAAAAAAAAAAAAAAAAAAAAAA&#10;AAAAAAAAAAEBAQAVFRUA/Pz8AAoKCgD///8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QEBAAMDAwAFBQUAAgICAP39/QD+/v4AAAAAAAAAAAAAAAAAAAAAAAAA&#10;AAAAAAAAAAAAAAAAAAABAQEAHBwcABEREQD8/Pw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BAQEAAQEBAAAAAAD///8AAAAAAAAAAAAAAAAAAAAA&#10;AAAAAAAAAAAAAAAAAP///wD///8AAQEBAAICAgADAwMAAQEB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QEBAAICAgAAAAAA/f39AP39/QD///8A&#10;AAAAAAAAAAAAAAAAAAAAAP///wD///8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QEBAAEBAQABAQEAAAAAAP39/QD/&#10;//8AAAAAAAAAAAAAAAAAAAAAAP7+/gD29vYA+Pj4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BAQEAAQEBAAAA&#10;AAAAAAAAAAAAAAAAAAAAAAAAAAAAAAAAAAAAAAAA////AP///w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BAQEABgYG&#10;AAsLCwACAgIA9fX1APj4+AD+/v4AAAAAAAAAAAAAAAAA/f39AO7u7gDw8P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gICAAgICAAMDAwAAgICAPT09AD4+PgA////AAAAAAAAAAAAAAAAAPr6+gDg4OAA5OTkAP7+/gD/&#10;//8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DAwMABgYGAAEBAQD6+voA/Pz8AP///wAAAAAAAAAAAAAAAAD6+voA2dnZANra&#10;2gD4+PgA+/v7AP39/QD+/v4AAgICAAICAg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BAQEAAAAAAAAAAAAAAAAAAAAAAAAAAAAAAAAAAAAAAP7+&#10;/gD8/PwA/v7+AP///w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EBAQAGBgYADg4OAAUFBQD6+voA/f39AAAAAAAAAAAAAAAA&#10;AAAAAAD39/cA+vr6AODg4ADj4+MADQ0NAAUFBQ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BwcHABAQEAAGBgYA+fn5APz8/AAAAAAA&#10;AAAAAAAAAAAAAAAA/f39APr6+gDj4+MA3t7eAPX19Q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ICAgAFBQUAAgICAP39/QD/&#10;//8AAAAAAAAAAAAAAAAAAAAAAAAAAAAAAAAA4+PjANnZ2QDz8/M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EBAQABAQEAAQEBAAYG&#10;BgAKCgoABAQEAAAAAAAAAAAAAAAAAAAAAAAAAAAAAAAAAOvr6wDQ0NAA1NTUAPHx8Q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HBwcADAwMAAQEBAAAAAAAAAAAAAAAAAAAAAAAAAAAAAAAAAD6+voA39/fANfX1wDx8fE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EBAQABAQEAAgIC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gIC&#10;AAMDAwABAQE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BdbK/pAAAGYk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sgEyU/8MIw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">
                <v:fill type="frame" on="t" o:title="风玫瑰图" focussize="0,0" recolor="t" r:id="rId25"/>
                <v:stroke on="f"/>
                <v:imagedata o:title=""/>
                <o:lock v:ext="edit" aspectratio="f"/>
                <v:textbox>
                  <w:txbxContent>
                    <w:p/>
                  </w:txbxContent>
                </v:textbox>
              </v:rect>
            </w:pict>
          </mc:Fallback>
        </mc:AlternateContent>
      </w:r>
      <w:r>
        <w:rPr>
          <w:rFonts w:hint="eastAsia" w:ascii="宋体" w:hAnsi="宋体" w:eastAsia="宋体" w:cs="宋体"/>
          <w:b/>
          <w:bCs/>
          <w:sz w:val="24"/>
          <w:szCs w:val="24"/>
          <w:lang w:val="en-US" w:eastAsia="zh-CN"/>
        </w:rPr>
        <w:drawing>
          <wp:inline distT="0" distB="0" distL="114300" distR="114300">
            <wp:extent cx="7906385" cy="5022850"/>
            <wp:effectExtent l="0" t="0" r="18415" b="6350"/>
            <wp:docPr id="52" name="图片 52" descr="建设项目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建设项目地理位置图"/>
                    <pic:cNvPicPr>
                      <a:picLocks noChangeAspect="1"/>
                    </pic:cNvPicPr>
                  </pic:nvPicPr>
                  <pic:blipFill>
                    <a:blip r:embed="rId26"/>
                    <a:stretch>
                      <a:fillRect/>
                    </a:stretch>
                  </pic:blipFill>
                  <pic:spPr>
                    <a:xfrm>
                      <a:off x="0" y="0"/>
                      <a:ext cx="7906385" cy="5022850"/>
                    </a:xfrm>
                    <a:prstGeom prst="rect">
                      <a:avLst/>
                    </a:prstGeom>
                  </pic:spPr>
                </pic:pic>
              </a:graphicData>
            </a:graphic>
          </wp:inline>
        </w:drawing>
      </w:r>
    </w:p>
    <w:p>
      <w:pPr>
        <w:pStyle w:val="5"/>
        <w:bidi w:val="0"/>
        <w:outlineLvl w:val="0"/>
        <w:rPr>
          <w:rFonts w:hint="default"/>
          <w:lang w:val="en-US" w:eastAsia="zh-CN"/>
        </w:rPr>
      </w:pPr>
      <w:bookmarkStart w:id="19" w:name="_Toc21907"/>
      <w:r>
        <w:rPr>
          <w:rFonts w:hint="default"/>
          <w:lang w:val="en-US" w:eastAsia="zh-CN"/>
        </w:rPr>
        <w:t>附图2 项目平面布置图</w:t>
      </w:r>
      <w:bookmarkEnd w:id="19"/>
    </w:p>
    <w:p>
      <w:pPr>
        <w:ind w:left="0" w:leftChars="0" w:firstLine="0" w:firstLineChars="0"/>
        <w:jc w:val="center"/>
        <w:rPr>
          <w:rFonts w:hint="default"/>
          <w:lang w:val="en-US" w:eastAsia="zh-CN"/>
        </w:rPr>
      </w:pPr>
      <w:r>
        <w:rPr>
          <w:rFonts w:hint="default"/>
          <w:lang w:val="en-US" w:eastAsia="zh-CN"/>
        </w:rPr>
        <w:drawing>
          <wp:inline distT="0" distB="0" distL="114300" distR="114300">
            <wp:extent cx="7216140" cy="4985385"/>
            <wp:effectExtent l="0" t="0" r="3810" b="5715"/>
            <wp:docPr id="9" name="图片 9" descr="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平面布置图"/>
                    <pic:cNvPicPr>
                      <a:picLocks noChangeAspect="1"/>
                    </pic:cNvPicPr>
                  </pic:nvPicPr>
                  <pic:blipFill>
                    <a:blip r:embed="rId27"/>
                    <a:stretch>
                      <a:fillRect/>
                    </a:stretch>
                  </pic:blipFill>
                  <pic:spPr>
                    <a:xfrm>
                      <a:off x="0" y="0"/>
                      <a:ext cx="7216140" cy="4985385"/>
                    </a:xfrm>
                    <a:prstGeom prst="rect">
                      <a:avLst/>
                    </a:prstGeom>
                  </pic:spPr>
                </pic:pic>
              </a:graphicData>
            </a:graphic>
          </wp:inline>
        </w:drawing>
      </w:r>
    </w:p>
    <w:p>
      <w:pPr>
        <w:pStyle w:val="5"/>
        <w:bidi w:val="0"/>
        <w:outlineLvl w:val="0"/>
        <w:rPr>
          <w:rFonts w:hint="default"/>
          <w:lang w:val="en-US" w:eastAsia="zh-CN"/>
        </w:rPr>
      </w:pPr>
      <w:bookmarkStart w:id="20" w:name="_Toc24900"/>
      <w:r>
        <w:rPr>
          <w:rFonts w:hint="eastAsia"/>
          <w:lang w:val="en-US" w:eastAsia="zh-CN"/>
        </w:rPr>
        <w:t>附图3 环境保护目标分布图</w:t>
      </w:r>
      <w:bookmarkEnd w:id="20"/>
    </w:p>
    <w:p>
      <w:pPr>
        <w:bidi w:val="0"/>
        <w:jc w:val="center"/>
        <w:rPr>
          <w:rFonts w:hint="eastAsia" w:ascii="宋体" w:hAnsi="宋体" w:eastAsia="宋体" w:cs="宋体"/>
          <w:b/>
          <w:bCs/>
          <w:sz w:val="24"/>
          <w:szCs w:val="24"/>
          <w:lang w:val="en-US" w:eastAsia="zh-CN"/>
        </w:rPr>
      </w:pPr>
      <w:r>
        <w:rPr>
          <w:sz w:val="21"/>
        </w:rPr>
        <mc:AlternateContent>
          <mc:Choice Requires="wps">
            <w:drawing>
              <wp:anchor distT="0" distB="0" distL="114300" distR="114300" simplePos="0" relativeHeight="251684864" behindDoc="0" locked="0" layoutInCell="1" allowOverlap="1">
                <wp:simplePos x="0" y="0"/>
                <wp:positionH relativeFrom="column">
                  <wp:posOffset>455930</wp:posOffset>
                </wp:positionH>
                <wp:positionV relativeFrom="paragraph">
                  <wp:posOffset>4575810</wp:posOffset>
                </wp:positionV>
                <wp:extent cx="737870" cy="385445"/>
                <wp:effectExtent l="0" t="0" r="5080" b="14605"/>
                <wp:wrapNone/>
                <wp:docPr id="14" name="文本框 14"/>
                <wp:cNvGraphicFramePr/>
                <a:graphic xmlns:a="http://schemas.openxmlformats.org/drawingml/2006/main">
                  <a:graphicData uri="http://schemas.microsoft.com/office/word/2010/wordprocessingShape">
                    <wps:wsp>
                      <wps:cNvSpPr txBox="1"/>
                      <wps:spPr>
                        <a:xfrm>
                          <a:off x="1370330" y="5832475"/>
                          <a:ext cx="737870" cy="385445"/>
                        </a:xfrm>
                        <a:prstGeom prst="rect">
                          <a:avLst/>
                        </a:prstGeom>
                        <a:blipFill rotWithShape="1">
                          <a:blip r:embed="rId28"/>
                          <a:stretch>
                            <a:fillRect/>
                          </a:stretch>
                        </a:blip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pt;margin-top:360.3pt;height:30.35pt;width:58.1pt;z-index:251684864;mso-width-relative:page;mso-height-relative:page;" filled="t" stroked="f" coordsize="21600,21600" o:gfxdata="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">
                <v:fill type="frame" on="t" focussize="0,0" recolor="t" rotate="t" r:id="rId28"/>
                <v:stroke on="f" weight="0.5pt"/>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5363845</wp:posOffset>
                </wp:positionH>
                <wp:positionV relativeFrom="paragraph">
                  <wp:posOffset>2418080</wp:posOffset>
                </wp:positionV>
                <wp:extent cx="3206115" cy="2597785"/>
                <wp:effectExtent l="13970" t="13970" r="18415" b="17145"/>
                <wp:wrapNone/>
                <wp:docPr id="162" name="文本框 162"/>
                <wp:cNvGraphicFramePr/>
                <a:graphic xmlns:a="http://schemas.openxmlformats.org/drawingml/2006/main">
                  <a:graphicData uri="http://schemas.microsoft.com/office/word/2010/wordprocessingShape">
                    <wps:wsp>
                      <wps:cNvSpPr txBox="1"/>
                      <wps:spPr>
                        <a:xfrm>
                          <a:off x="0" y="0"/>
                          <a:ext cx="3206115" cy="2597785"/>
                        </a:xfrm>
                        <a:prstGeom prst="rect">
                          <a:avLst/>
                        </a:prstGeom>
                        <a:solidFill>
                          <a:srgbClr val="FFFFFF"/>
                        </a:solidFill>
                        <a:ln w="2857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环境保护目标一览表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719"/>
                              <w:gridCol w:w="1097"/>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kern w:val="2"/>
                                      <w:sz w:val="18"/>
                                      <w:szCs w:val="18"/>
                                      <w:u w:val="none" w:color="auto"/>
                                      <w:lang w:val="en-US" w:eastAsia="zh-CN" w:bidi="ar-SA"/>
                                    </w:rPr>
                                    <w:t>编号</w:t>
                                  </w:r>
                                </w:p>
                              </w:tc>
                              <w:tc>
                                <w:tcPr>
                                  <w:tcW w:w="1719" w:type="dxa"/>
                                  <w:noWrap w:val="0"/>
                                  <w:vAlign w:val="center"/>
                                </w:tcPr>
                                <w:p>
                                  <w:pPr>
                                    <w:keepNext w:val="0"/>
                                    <w:keepLines w:val="0"/>
                                    <w:pageBreakBefore w:val="0"/>
                                    <w:tabs>
                                      <w:tab w:val="left" w:pos="1021"/>
                                    </w:tabs>
                                    <w:kinsoku/>
                                    <w:wordWrap/>
                                    <w:overflowPunct/>
                                    <w:topLinePunct w:val="0"/>
                                    <w:bidi w:val="0"/>
                                    <w:adjustRightInd w:val="0"/>
                                    <w:snapToGrid w:val="0"/>
                                    <w:spacing w:before="0" w:beforeAutospacing="0" w:after="0" w:line="240" w:lineRule="auto"/>
                                    <w:ind w:right="113" w:rightChars="0"/>
                                    <w:jc w:val="center"/>
                                    <w:textAlignment w:val="auto"/>
                                    <w:rPr>
                                      <w:rFonts w:hint="eastAsia" w:ascii="宋体" w:hAnsi="宋体" w:eastAsia="宋体" w:cs="宋体"/>
                                      <w:sz w:val="18"/>
                                      <w:szCs w:val="18"/>
                                      <w:vertAlign w:val="baseline"/>
                                    </w:rPr>
                                  </w:pPr>
                                  <w:r>
                                    <w:rPr>
                                      <w:rFonts w:hint="eastAsia" w:ascii="宋体" w:hAnsi="宋体" w:eastAsia="宋体" w:cs="宋体"/>
                                      <w:b w:val="0"/>
                                      <w:bCs/>
                                      <w:snapToGrid w:val="0"/>
                                      <w:color w:val="auto"/>
                                      <w:sz w:val="18"/>
                                      <w:szCs w:val="18"/>
                                      <w:u w:val="none" w:color="auto"/>
                                    </w:rPr>
                                    <w:t>保护目标</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rPr>
                                    <w:t>规模、功能</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与</w:t>
                                  </w:r>
                                  <w:r>
                                    <w:rPr>
                                      <w:rFonts w:hint="eastAsia" w:ascii="宋体" w:hAnsi="宋体" w:eastAsia="宋体" w:cs="宋体"/>
                                      <w:b w:val="0"/>
                                      <w:bCs/>
                                      <w:color w:val="auto"/>
                                      <w:sz w:val="18"/>
                                      <w:szCs w:val="18"/>
                                      <w:u w:val="none" w:color="auto"/>
                                    </w:rPr>
                                    <w:t>厂界方位及距离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H1</w:t>
                                  </w:r>
                                </w:p>
                              </w:tc>
                              <w:tc>
                                <w:tcPr>
                                  <w:tcW w:w="1719" w:type="dxa"/>
                                  <w:noWrap w:val="0"/>
                                  <w:vAlign w:val="center"/>
                                </w:tcPr>
                                <w:p>
                                  <w:pPr>
                                    <w:pStyle w:val="10"/>
                                    <w:keepNext w:val="0"/>
                                    <w:keepLines w:val="0"/>
                                    <w:pageBreakBefore w:val="0"/>
                                    <w:widowControl/>
                                    <w:kinsoku/>
                                    <w:wordWrap/>
                                    <w:overflowPunct/>
                                    <w:topLinePunct w:val="0"/>
                                    <w:autoSpaceDE/>
                                    <w:autoSpaceDN/>
                                    <w:bidi w:val="0"/>
                                    <w:adjustRightInd w:val="0"/>
                                    <w:snapToGrid w:val="0"/>
                                    <w:spacing w:beforeAutospacing="0" w:line="240" w:lineRule="auto"/>
                                    <w:ind w:firstLine="0" w:firstLineChars="0"/>
                                    <w:jc w:val="center"/>
                                    <w:textAlignment w:val="auto"/>
                                    <w:outlineLvl w:val="9"/>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松木塘安置房</w:t>
                                  </w:r>
                                  <w:r>
                                    <w:rPr>
                                      <w:rFonts w:hint="eastAsia" w:ascii="Times New Roman" w:hAnsi="Times New Roman" w:eastAsia="宋体" w:cs="宋体"/>
                                      <w:b w:val="0"/>
                                      <w:bCs/>
                                      <w:color w:val="auto"/>
                                      <w:sz w:val="18"/>
                                      <w:szCs w:val="18"/>
                                      <w:u w:val="none" w:color="auto"/>
                                      <w:lang w:val="en-US" w:eastAsia="zh-CN"/>
                                    </w:rPr>
                                    <w:t>1</w:t>
                                  </w:r>
                                </w:p>
                              </w:tc>
                              <w:tc>
                                <w:tcPr>
                                  <w:tcW w:w="1097" w:type="dxa"/>
                                  <w:noWrap w:val="0"/>
                                  <w:vAlign w:val="center"/>
                                </w:tcPr>
                                <w:p>
                                  <w:pPr>
                                    <w:pStyle w:val="10"/>
                                    <w:keepNext w:val="0"/>
                                    <w:keepLines w:val="0"/>
                                    <w:pageBreakBefore w:val="0"/>
                                    <w:widowControl/>
                                    <w:kinsoku/>
                                    <w:wordWrap/>
                                    <w:overflowPunct/>
                                    <w:topLinePunct w:val="0"/>
                                    <w:autoSpaceDE/>
                                    <w:autoSpaceDN/>
                                    <w:bidi w:val="0"/>
                                    <w:adjustRightInd w:val="0"/>
                                    <w:snapToGrid w:val="0"/>
                                    <w:spacing w:beforeAutospacing="0" w:line="240" w:lineRule="auto"/>
                                    <w:ind w:firstLine="0" w:firstLineChars="0"/>
                                    <w:jc w:val="center"/>
                                    <w:textAlignment w:val="auto"/>
                                    <w:outlineLvl w:val="9"/>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20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S</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H2</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松木塘安置房</w:t>
                                  </w:r>
                                  <w:r>
                                    <w:rPr>
                                      <w:rFonts w:hint="eastAsia" w:ascii="Times New Roman" w:hAnsi="Times New Roman" w:eastAsia="宋体" w:cs="宋体"/>
                                      <w:b w:val="0"/>
                                      <w:bCs/>
                                      <w:color w:val="auto"/>
                                      <w:sz w:val="18"/>
                                      <w:szCs w:val="18"/>
                                      <w:u w:val="none" w:color="auto"/>
                                      <w:lang w:val="en-US" w:eastAsia="zh-CN"/>
                                    </w:rPr>
                                    <w:t>2</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sz w:val="18"/>
                                      <w:szCs w:val="18"/>
                                      <w:lang w:val="en-US" w:eastAsia="zh-CN"/>
                                    </w:rPr>
                                    <w:t>约</w:t>
                                  </w:r>
                                  <w:r>
                                    <w:rPr>
                                      <w:rFonts w:hint="eastAsia" w:ascii="Times New Roman" w:hAnsi="Times New Roman" w:eastAsia="宋体" w:cs="宋体"/>
                                      <w:b w:val="0"/>
                                      <w:bCs/>
                                      <w:sz w:val="18"/>
                                      <w:szCs w:val="18"/>
                                      <w:lang w:val="en-US" w:eastAsia="zh-CN"/>
                                    </w:rPr>
                                    <w:t>50</w:t>
                                  </w:r>
                                  <w:r>
                                    <w:rPr>
                                      <w:rFonts w:hint="eastAsia" w:ascii="宋体" w:hAnsi="宋体" w:eastAsia="宋体" w:cs="宋体"/>
                                      <w:b w:val="0"/>
                                      <w:bCs/>
                                      <w:sz w:val="18"/>
                                      <w:szCs w:val="18"/>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sz w:val="18"/>
                                      <w:szCs w:val="18"/>
                                      <w:lang w:val="en-US" w:eastAsia="zh-CN"/>
                                    </w:rPr>
                                    <w:t>S</w:t>
                                  </w:r>
                                  <w:r>
                                    <w:rPr>
                                      <w:rFonts w:hint="eastAsia" w:ascii="宋体" w:hAnsi="宋体" w:eastAsia="宋体" w:cs="宋体"/>
                                      <w:b w:val="0"/>
                                      <w:bCs/>
                                      <w:sz w:val="18"/>
                                      <w:szCs w:val="18"/>
                                      <w:lang w:val="en-US" w:eastAsia="zh-CN"/>
                                    </w:rPr>
                                    <w:t>,</w:t>
                                  </w:r>
                                  <w:r>
                                    <w:rPr>
                                      <w:rFonts w:hint="eastAsia" w:ascii="Times New Roman" w:hAnsi="Times New Roman" w:eastAsia="宋体" w:cs="宋体"/>
                                      <w:b w:val="0"/>
                                      <w:bCs/>
                                      <w:color w:val="auto"/>
                                      <w:sz w:val="18"/>
                                      <w:szCs w:val="18"/>
                                      <w:u w:val="none" w:color="auto"/>
                                      <w:lang w:val="en-US" w:eastAsia="zh-CN"/>
                                    </w:rPr>
                                    <w:t>60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H3</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宋体" w:hAnsi="宋体" w:eastAsia="宋体" w:cs="宋体"/>
                                      <w:sz w:val="18"/>
                                      <w:szCs w:val="18"/>
                                      <w:vertAlign w:val="baseline"/>
                                      <w:lang w:val="en-US"/>
                                    </w:rPr>
                                  </w:pPr>
                                  <w:r>
                                    <w:rPr>
                                      <w:rFonts w:hint="eastAsia" w:ascii="宋体" w:hAnsi="宋体" w:eastAsia="宋体" w:cs="宋体"/>
                                      <w:b w:val="0"/>
                                      <w:bCs/>
                                      <w:color w:val="auto"/>
                                      <w:sz w:val="18"/>
                                      <w:szCs w:val="18"/>
                                      <w:u w:val="none" w:color="auto"/>
                                      <w:lang w:val="en-US" w:eastAsia="zh-CN"/>
                                    </w:rPr>
                                    <w:t>松木</w:t>
                                  </w:r>
                                  <w:r>
                                    <w:rPr>
                                      <w:rFonts w:hint="eastAsia" w:ascii="宋体" w:hAnsi="宋体" w:cs="宋体"/>
                                      <w:b w:val="0"/>
                                      <w:bCs/>
                                      <w:color w:val="auto"/>
                                      <w:sz w:val="18"/>
                                      <w:szCs w:val="18"/>
                                      <w:u w:val="none" w:color="auto"/>
                                      <w:lang w:val="en-US" w:eastAsia="zh-CN"/>
                                    </w:rPr>
                                    <w:t>村</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200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120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400m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H4</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cs="宋体"/>
                                      <w:b w:val="0"/>
                                      <w:bCs/>
                                      <w:color w:val="auto"/>
                                      <w:sz w:val="18"/>
                                      <w:szCs w:val="18"/>
                                      <w:u w:val="none" w:color="auto"/>
                                      <w:lang w:val="en-US" w:eastAsia="zh-CN"/>
                                    </w:rPr>
                                    <w:t>散</w:t>
                                  </w:r>
                                  <w:r>
                                    <w:rPr>
                                      <w:rFonts w:hint="eastAsia" w:ascii="宋体" w:hAnsi="宋体" w:eastAsia="宋体" w:cs="宋体"/>
                                      <w:b w:val="0"/>
                                      <w:bCs/>
                                      <w:color w:val="auto"/>
                                      <w:sz w:val="18"/>
                                      <w:szCs w:val="18"/>
                                      <w:u w:val="none" w:color="auto"/>
                                      <w:lang w:val="en-US" w:eastAsia="zh-CN"/>
                                    </w:rPr>
                                    <w:t>居民点</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cs="宋体"/>
                                      <w:b w:val="0"/>
                                      <w:bCs/>
                                      <w:color w:val="auto"/>
                                      <w:sz w:val="18"/>
                                      <w:szCs w:val="18"/>
                                      <w:u w:val="none" w:color="auto"/>
                                      <w:lang w:val="en-US" w:eastAsia="zh-CN"/>
                                    </w:rPr>
                                    <w:t>2</w:t>
                                  </w:r>
                                  <w:r>
                                    <w:rPr>
                                      <w:rFonts w:hint="eastAsia" w:ascii="Times New Roman" w:hAnsi="Times New Roman" w:eastAsia="宋体" w:cs="宋体"/>
                                      <w:b w:val="0"/>
                                      <w:bCs/>
                                      <w:color w:val="auto"/>
                                      <w:sz w:val="18"/>
                                      <w:szCs w:val="18"/>
                                      <w:u w:val="none" w:color="auto"/>
                                      <w:lang w:val="en-US" w:eastAsia="zh-CN"/>
                                    </w:rPr>
                                    <w:t>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210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H5</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金源小学</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200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410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H6</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左家垅居民点</w:t>
                                  </w:r>
                                  <w:r>
                                    <w:rPr>
                                      <w:rFonts w:hint="eastAsia" w:ascii="Times New Roman" w:hAnsi="Times New Roman" w:eastAsia="宋体" w:cs="宋体"/>
                                      <w:b w:val="0"/>
                                      <w:bCs/>
                                      <w:color w:val="auto"/>
                                      <w:sz w:val="18"/>
                                      <w:szCs w:val="18"/>
                                      <w:u w:val="none" w:color="auto"/>
                                      <w:lang w:val="en-US" w:eastAsia="zh-CN"/>
                                    </w:rPr>
                                    <w:t>1</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15</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360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H7</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左家垅居民点</w:t>
                                  </w:r>
                                  <w:r>
                                    <w:rPr>
                                      <w:rFonts w:hint="eastAsia" w:ascii="Times New Roman" w:hAnsi="Times New Roman" w:eastAsia="宋体" w:cs="宋体"/>
                                      <w:b w:val="0"/>
                                      <w:bCs/>
                                      <w:color w:val="auto"/>
                                      <w:sz w:val="18"/>
                                      <w:szCs w:val="18"/>
                                      <w:u w:val="none" w:color="auto"/>
                                      <w:lang w:val="en-US" w:eastAsia="zh-CN"/>
                                    </w:rPr>
                                    <w:t>2</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60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350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450m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H8</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松木派出所</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15</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310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340m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H9</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花旗幼儿园</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50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WS</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240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280m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689" w:type="dxa"/>
                                  <w:tcBorders>
                                    <w:left w:val="nil"/>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H10</w:t>
                                  </w:r>
                                </w:p>
                              </w:tc>
                              <w:tc>
                                <w:tcPr>
                                  <w:tcW w:w="1719" w:type="dxa"/>
                                  <w:tcBorders>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湖南工商职业学院</w:t>
                                  </w:r>
                                </w:p>
                              </w:tc>
                              <w:tc>
                                <w:tcPr>
                                  <w:tcW w:w="1097" w:type="dxa"/>
                                  <w:tcBorders>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5000</w:t>
                                  </w:r>
                                  <w:r>
                                    <w:rPr>
                                      <w:rFonts w:hint="eastAsia" w:ascii="宋体" w:hAnsi="宋体" w:eastAsia="宋体" w:cs="宋体"/>
                                      <w:b w:val="0"/>
                                      <w:bCs/>
                                      <w:color w:val="auto"/>
                                      <w:sz w:val="18"/>
                                      <w:szCs w:val="18"/>
                                      <w:u w:val="none" w:color="auto"/>
                                      <w:lang w:val="en-US" w:eastAsia="zh-CN"/>
                                    </w:rPr>
                                    <w:t>人</w:t>
                                  </w:r>
                                </w:p>
                              </w:tc>
                              <w:tc>
                                <w:tcPr>
                                  <w:tcW w:w="1427" w:type="dxa"/>
                                  <w:tcBorders>
                                    <w:bottom w:val="nil"/>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WS</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250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689" w:type="dxa"/>
                                  <w:tcBorders>
                                    <w:left w:val="nil"/>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Times New Roman" w:hAnsi="Times New Roman" w:eastAsia="宋体" w:cs="宋体"/>
                                      <w:b w:val="0"/>
                                      <w:bCs/>
                                      <w:color w:val="auto"/>
                                      <w:kern w:val="2"/>
                                      <w:sz w:val="18"/>
                                      <w:szCs w:val="18"/>
                                      <w:u w:val="none" w:color="auto"/>
                                      <w:lang w:val="en-US" w:eastAsia="zh-CN" w:bidi="ar-SA"/>
                                    </w:rPr>
                                  </w:pPr>
                                  <w:r>
                                    <w:rPr>
                                      <w:rFonts w:hint="eastAsia" w:cs="宋体"/>
                                      <w:b w:val="0"/>
                                      <w:bCs/>
                                      <w:color w:val="auto"/>
                                      <w:kern w:val="2"/>
                                      <w:sz w:val="18"/>
                                      <w:szCs w:val="18"/>
                                      <w:u w:val="none" w:color="auto"/>
                                      <w:lang w:val="en-US" w:eastAsia="zh-CN" w:bidi="ar-SA"/>
                                    </w:rPr>
                                    <w:t>H11</w:t>
                                  </w:r>
                                </w:p>
                              </w:tc>
                              <w:tc>
                                <w:tcPr>
                                  <w:tcW w:w="1719" w:type="dxa"/>
                                  <w:tcBorders>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Times New Roman" w:hAnsi="Times New Roman" w:eastAsia="宋体" w:cs="宋体"/>
                                      <w:b w:val="0"/>
                                      <w:bCs/>
                                      <w:color w:val="auto"/>
                                      <w:kern w:val="2"/>
                                      <w:sz w:val="18"/>
                                      <w:szCs w:val="18"/>
                                      <w:u w:val="none" w:color="auto"/>
                                      <w:lang w:val="en-US" w:eastAsia="zh-CN" w:bidi="ar-SA"/>
                                    </w:rPr>
                                  </w:pPr>
                                  <w:r>
                                    <w:rPr>
                                      <w:rFonts w:hint="eastAsia" w:cs="宋体"/>
                                      <w:b w:val="0"/>
                                      <w:bCs/>
                                      <w:color w:val="auto"/>
                                      <w:kern w:val="2"/>
                                      <w:sz w:val="18"/>
                                      <w:szCs w:val="18"/>
                                      <w:u w:val="none" w:color="auto"/>
                                      <w:lang w:val="en-US" w:eastAsia="zh-CN" w:bidi="ar-SA"/>
                                    </w:rPr>
                                    <w:t>松木小学</w:t>
                                  </w:r>
                                </w:p>
                              </w:tc>
                              <w:tc>
                                <w:tcPr>
                                  <w:tcW w:w="1097" w:type="dxa"/>
                                  <w:tcBorders>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Times New Roman" w:hAnsi="Times New Roman" w:eastAsia="宋体" w:cs="宋体"/>
                                      <w:b w:val="0"/>
                                      <w:bCs/>
                                      <w:color w:val="auto"/>
                                      <w:kern w:val="2"/>
                                      <w:sz w:val="18"/>
                                      <w:szCs w:val="18"/>
                                      <w:u w:val="none" w:color="auto"/>
                                      <w:lang w:val="en-US" w:eastAsia="zh-CN" w:bidi="ar-SA"/>
                                    </w:rPr>
                                  </w:pPr>
                                  <w:r>
                                    <w:rPr>
                                      <w:rFonts w:hint="eastAsia" w:cs="宋体"/>
                                      <w:b w:val="0"/>
                                      <w:bCs/>
                                      <w:color w:val="auto"/>
                                      <w:kern w:val="2"/>
                                      <w:sz w:val="18"/>
                                      <w:szCs w:val="18"/>
                                      <w:u w:val="none" w:color="auto"/>
                                      <w:lang w:val="en-US" w:eastAsia="zh-CN" w:bidi="ar-SA"/>
                                    </w:rPr>
                                    <w:t>约200人</w:t>
                                  </w:r>
                                </w:p>
                              </w:tc>
                              <w:tc>
                                <w:tcPr>
                                  <w:tcW w:w="1427" w:type="dxa"/>
                                  <w:tcBorders>
                                    <w:bottom w:val="nil"/>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Times New Roman" w:hAnsi="Times New Roman" w:eastAsia="宋体" w:cs="宋体"/>
                                      <w:b w:val="0"/>
                                      <w:bCs/>
                                      <w:color w:val="auto"/>
                                      <w:kern w:val="2"/>
                                      <w:sz w:val="18"/>
                                      <w:szCs w:val="18"/>
                                      <w:u w:val="none" w:color="auto"/>
                                      <w:lang w:val="en-US" w:eastAsia="zh-CN" w:bidi="ar-SA"/>
                                    </w:rPr>
                                  </w:pPr>
                                  <w:r>
                                    <w:rPr>
                                      <w:rFonts w:hint="eastAsia" w:cs="宋体"/>
                                      <w:b w:val="0"/>
                                      <w:bCs/>
                                      <w:color w:val="auto"/>
                                      <w:kern w:val="2"/>
                                      <w:sz w:val="18"/>
                                      <w:szCs w:val="18"/>
                                      <w:u w:val="none" w:color="auto"/>
                                      <w:lang w:val="en-US" w:eastAsia="zh-CN" w:bidi="ar-SA"/>
                                    </w:rPr>
                                    <w:t>W，</w:t>
                                  </w:r>
                                  <w:r>
                                    <w:rPr>
                                      <w:rFonts w:hint="eastAsia" w:cs="宋体"/>
                                      <w:b w:val="0"/>
                                      <w:bCs/>
                                      <w:color w:val="auto"/>
                                      <w:sz w:val="18"/>
                                      <w:szCs w:val="18"/>
                                      <w:u w:val="none" w:color="auto"/>
                                      <w:lang w:val="en-US" w:eastAsia="zh-CN"/>
                                    </w:rPr>
                                    <w:t>38</w:t>
                                  </w:r>
                                  <w:r>
                                    <w:rPr>
                                      <w:rFonts w:hint="eastAsia" w:ascii="Times New Roman" w:hAnsi="Times New Roman" w:eastAsia="宋体" w:cs="宋体"/>
                                      <w:b w:val="0"/>
                                      <w:bCs/>
                                      <w:color w:val="auto"/>
                                      <w:sz w:val="18"/>
                                      <w:szCs w:val="18"/>
                                      <w:u w:val="none" w:color="auto"/>
                                      <w:lang w:val="en-US" w:eastAsia="zh-CN"/>
                                    </w:rPr>
                                    <w:t>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500m</w:t>
                                  </w:r>
                                </w:p>
                              </w:tc>
                            </w:tr>
                          </w:tbl>
                          <w:p>
                            <w:pPr>
                              <w:rPr>
                                <w:rFonts w:hint="default"/>
                                <w:lang w:val="en-US" w:eastAsia="zh-CN"/>
                              </w:rPr>
                            </w:pPr>
                          </w:p>
                        </w:txbxContent>
                      </wps:txbx>
                      <wps:bodyPr upright="1"/>
                    </wps:wsp>
                  </a:graphicData>
                </a:graphic>
              </wp:anchor>
            </w:drawing>
          </mc:Choice>
          <mc:Fallback>
            <w:pict>
              <v:shape id="_x0000_s1026" o:spid="_x0000_s1026" o:spt="202" type="#_x0000_t202" style="position:absolute;left:0pt;margin-left:422.35pt;margin-top:190.4pt;height:204.55pt;width:252.45pt;z-index:251683840;mso-width-relative:page;mso-height-relative:page;" fillcolor="#FFFFFF" filled="t" stroked="t" coordsize="21600,21600" o:gfxdata="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Jbl99sAAAAMAQAADwAAAAAAAAAB&#10;ACAAAAAiAAAAZHJzL2Rvd25yZXYueG1sUEsBAhQAFAAAAAgAh07iQHX3AhUNAgAAPAQAAA4AAAAA&#10;AAAAAQAgAAAAKgEAAGRycy9lMm9Eb2MueG1sUEsFBgAAAAAGAAYAWQEAAKkFAAAAAA==&#10;">
                <v:fill on="t" focussize="0,0"/>
                <v:stroke weight="2.25pt" color="#000000" joinstyle="miter"/>
                <v:imagedata o:title=""/>
                <o:lock v:ext="edit" aspectratio="f"/>
                <v:textbox>
                  <w:txbxContent>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环境保护目标一览表</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719"/>
                        <w:gridCol w:w="1097"/>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kern w:val="2"/>
                                <w:sz w:val="18"/>
                                <w:szCs w:val="18"/>
                                <w:u w:val="none" w:color="auto"/>
                                <w:lang w:val="en-US" w:eastAsia="zh-CN" w:bidi="ar-SA"/>
                              </w:rPr>
                              <w:t>编号</w:t>
                            </w:r>
                          </w:p>
                        </w:tc>
                        <w:tc>
                          <w:tcPr>
                            <w:tcW w:w="1719" w:type="dxa"/>
                            <w:noWrap w:val="0"/>
                            <w:vAlign w:val="center"/>
                          </w:tcPr>
                          <w:p>
                            <w:pPr>
                              <w:keepNext w:val="0"/>
                              <w:keepLines w:val="0"/>
                              <w:pageBreakBefore w:val="0"/>
                              <w:tabs>
                                <w:tab w:val="left" w:pos="1021"/>
                              </w:tabs>
                              <w:kinsoku/>
                              <w:wordWrap/>
                              <w:overflowPunct/>
                              <w:topLinePunct w:val="0"/>
                              <w:bidi w:val="0"/>
                              <w:adjustRightInd w:val="0"/>
                              <w:snapToGrid w:val="0"/>
                              <w:spacing w:before="0" w:beforeAutospacing="0" w:after="0" w:line="240" w:lineRule="auto"/>
                              <w:ind w:right="113" w:rightChars="0"/>
                              <w:jc w:val="center"/>
                              <w:textAlignment w:val="auto"/>
                              <w:rPr>
                                <w:rFonts w:hint="eastAsia" w:ascii="宋体" w:hAnsi="宋体" w:eastAsia="宋体" w:cs="宋体"/>
                                <w:sz w:val="18"/>
                                <w:szCs w:val="18"/>
                                <w:vertAlign w:val="baseline"/>
                              </w:rPr>
                            </w:pPr>
                            <w:r>
                              <w:rPr>
                                <w:rFonts w:hint="eastAsia" w:ascii="宋体" w:hAnsi="宋体" w:eastAsia="宋体" w:cs="宋体"/>
                                <w:b w:val="0"/>
                                <w:bCs/>
                                <w:snapToGrid w:val="0"/>
                                <w:color w:val="auto"/>
                                <w:sz w:val="18"/>
                                <w:szCs w:val="18"/>
                                <w:u w:val="none" w:color="auto"/>
                              </w:rPr>
                              <w:t>保护目标</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rPr>
                              <w:t>规模、功能</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与</w:t>
                            </w:r>
                            <w:r>
                              <w:rPr>
                                <w:rFonts w:hint="eastAsia" w:ascii="宋体" w:hAnsi="宋体" w:eastAsia="宋体" w:cs="宋体"/>
                                <w:b w:val="0"/>
                                <w:bCs/>
                                <w:color w:val="auto"/>
                                <w:sz w:val="18"/>
                                <w:szCs w:val="18"/>
                                <w:u w:val="none" w:color="auto"/>
                              </w:rPr>
                              <w:t>厂界方位及距离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H1</w:t>
                            </w:r>
                          </w:p>
                        </w:tc>
                        <w:tc>
                          <w:tcPr>
                            <w:tcW w:w="1719" w:type="dxa"/>
                            <w:noWrap w:val="0"/>
                            <w:vAlign w:val="center"/>
                          </w:tcPr>
                          <w:p>
                            <w:pPr>
                              <w:pStyle w:val="10"/>
                              <w:keepNext w:val="0"/>
                              <w:keepLines w:val="0"/>
                              <w:pageBreakBefore w:val="0"/>
                              <w:widowControl/>
                              <w:kinsoku/>
                              <w:wordWrap/>
                              <w:overflowPunct/>
                              <w:topLinePunct w:val="0"/>
                              <w:autoSpaceDE/>
                              <w:autoSpaceDN/>
                              <w:bidi w:val="0"/>
                              <w:adjustRightInd w:val="0"/>
                              <w:snapToGrid w:val="0"/>
                              <w:spacing w:beforeAutospacing="0" w:line="240" w:lineRule="auto"/>
                              <w:ind w:firstLine="0" w:firstLineChars="0"/>
                              <w:jc w:val="center"/>
                              <w:textAlignment w:val="auto"/>
                              <w:outlineLvl w:val="9"/>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松木塘安置房</w:t>
                            </w:r>
                            <w:r>
                              <w:rPr>
                                <w:rFonts w:hint="eastAsia" w:ascii="Times New Roman" w:hAnsi="Times New Roman" w:eastAsia="宋体" w:cs="宋体"/>
                                <w:b w:val="0"/>
                                <w:bCs/>
                                <w:color w:val="auto"/>
                                <w:sz w:val="18"/>
                                <w:szCs w:val="18"/>
                                <w:u w:val="none" w:color="auto"/>
                                <w:lang w:val="en-US" w:eastAsia="zh-CN"/>
                              </w:rPr>
                              <w:t>1</w:t>
                            </w:r>
                          </w:p>
                        </w:tc>
                        <w:tc>
                          <w:tcPr>
                            <w:tcW w:w="1097" w:type="dxa"/>
                            <w:noWrap w:val="0"/>
                            <w:vAlign w:val="center"/>
                          </w:tcPr>
                          <w:p>
                            <w:pPr>
                              <w:pStyle w:val="10"/>
                              <w:keepNext w:val="0"/>
                              <w:keepLines w:val="0"/>
                              <w:pageBreakBefore w:val="0"/>
                              <w:widowControl/>
                              <w:kinsoku/>
                              <w:wordWrap/>
                              <w:overflowPunct/>
                              <w:topLinePunct w:val="0"/>
                              <w:autoSpaceDE/>
                              <w:autoSpaceDN/>
                              <w:bidi w:val="0"/>
                              <w:adjustRightInd w:val="0"/>
                              <w:snapToGrid w:val="0"/>
                              <w:spacing w:beforeAutospacing="0" w:line="240" w:lineRule="auto"/>
                              <w:ind w:firstLine="0" w:firstLineChars="0"/>
                              <w:jc w:val="center"/>
                              <w:textAlignment w:val="auto"/>
                              <w:outlineLvl w:val="9"/>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20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S</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H2</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松木塘安置房</w:t>
                            </w:r>
                            <w:r>
                              <w:rPr>
                                <w:rFonts w:hint="eastAsia" w:ascii="Times New Roman" w:hAnsi="Times New Roman" w:eastAsia="宋体" w:cs="宋体"/>
                                <w:b w:val="0"/>
                                <w:bCs/>
                                <w:color w:val="auto"/>
                                <w:sz w:val="18"/>
                                <w:szCs w:val="18"/>
                                <w:u w:val="none" w:color="auto"/>
                                <w:lang w:val="en-US" w:eastAsia="zh-CN"/>
                              </w:rPr>
                              <w:t>2</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sz w:val="18"/>
                                <w:szCs w:val="18"/>
                                <w:lang w:val="en-US" w:eastAsia="zh-CN"/>
                              </w:rPr>
                              <w:t>约</w:t>
                            </w:r>
                            <w:r>
                              <w:rPr>
                                <w:rFonts w:hint="eastAsia" w:ascii="Times New Roman" w:hAnsi="Times New Roman" w:eastAsia="宋体" w:cs="宋体"/>
                                <w:b w:val="0"/>
                                <w:bCs/>
                                <w:sz w:val="18"/>
                                <w:szCs w:val="18"/>
                                <w:lang w:val="en-US" w:eastAsia="zh-CN"/>
                              </w:rPr>
                              <w:t>50</w:t>
                            </w:r>
                            <w:r>
                              <w:rPr>
                                <w:rFonts w:hint="eastAsia" w:ascii="宋体" w:hAnsi="宋体" w:eastAsia="宋体" w:cs="宋体"/>
                                <w:b w:val="0"/>
                                <w:bCs/>
                                <w:sz w:val="18"/>
                                <w:szCs w:val="18"/>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sz w:val="18"/>
                                <w:szCs w:val="18"/>
                                <w:lang w:val="en-US" w:eastAsia="zh-CN"/>
                              </w:rPr>
                              <w:t>S</w:t>
                            </w:r>
                            <w:r>
                              <w:rPr>
                                <w:rFonts w:hint="eastAsia" w:ascii="宋体" w:hAnsi="宋体" w:eastAsia="宋体" w:cs="宋体"/>
                                <w:b w:val="0"/>
                                <w:bCs/>
                                <w:sz w:val="18"/>
                                <w:szCs w:val="18"/>
                                <w:lang w:val="en-US" w:eastAsia="zh-CN"/>
                              </w:rPr>
                              <w:t>,</w:t>
                            </w:r>
                            <w:r>
                              <w:rPr>
                                <w:rFonts w:hint="eastAsia" w:ascii="Times New Roman" w:hAnsi="Times New Roman" w:eastAsia="宋体" w:cs="宋体"/>
                                <w:b w:val="0"/>
                                <w:bCs/>
                                <w:color w:val="auto"/>
                                <w:sz w:val="18"/>
                                <w:szCs w:val="18"/>
                                <w:u w:val="none" w:color="auto"/>
                                <w:lang w:val="en-US" w:eastAsia="zh-CN"/>
                              </w:rPr>
                              <w:t>60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H3</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宋体" w:hAnsi="宋体" w:eastAsia="宋体" w:cs="宋体"/>
                                <w:sz w:val="18"/>
                                <w:szCs w:val="18"/>
                                <w:vertAlign w:val="baseline"/>
                                <w:lang w:val="en-US"/>
                              </w:rPr>
                            </w:pPr>
                            <w:r>
                              <w:rPr>
                                <w:rFonts w:hint="eastAsia" w:ascii="宋体" w:hAnsi="宋体" w:eastAsia="宋体" w:cs="宋体"/>
                                <w:b w:val="0"/>
                                <w:bCs/>
                                <w:color w:val="auto"/>
                                <w:sz w:val="18"/>
                                <w:szCs w:val="18"/>
                                <w:u w:val="none" w:color="auto"/>
                                <w:lang w:val="en-US" w:eastAsia="zh-CN"/>
                              </w:rPr>
                              <w:t>松木</w:t>
                            </w:r>
                            <w:r>
                              <w:rPr>
                                <w:rFonts w:hint="eastAsia" w:ascii="宋体" w:hAnsi="宋体" w:cs="宋体"/>
                                <w:b w:val="0"/>
                                <w:bCs/>
                                <w:color w:val="auto"/>
                                <w:sz w:val="18"/>
                                <w:szCs w:val="18"/>
                                <w:u w:val="none" w:color="auto"/>
                                <w:lang w:val="en-US" w:eastAsia="zh-CN"/>
                              </w:rPr>
                              <w:t>村</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200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120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400m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H4</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cs="宋体"/>
                                <w:b w:val="0"/>
                                <w:bCs/>
                                <w:color w:val="auto"/>
                                <w:sz w:val="18"/>
                                <w:szCs w:val="18"/>
                                <w:u w:val="none" w:color="auto"/>
                                <w:lang w:val="en-US" w:eastAsia="zh-CN"/>
                              </w:rPr>
                              <w:t>散</w:t>
                            </w:r>
                            <w:r>
                              <w:rPr>
                                <w:rFonts w:hint="eastAsia" w:ascii="宋体" w:hAnsi="宋体" w:eastAsia="宋体" w:cs="宋体"/>
                                <w:b w:val="0"/>
                                <w:bCs/>
                                <w:color w:val="auto"/>
                                <w:sz w:val="18"/>
                                <w:szCs w:val="18"/>
                                <w:u w:val="none" w:color="auto"/>
                                <w:lang w:val="en-US" w:eastAsia="zh-CN"/>
                              </w:rPr>
                              <w:t>居民点</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cs="宋体"/>
                                <w:b w:val="0"/>
                                <w:bCs/>
                                <w:color w:val="auto"/>
                                <w:sz w:val="18"/>
                                <w:szCs w:val="18"/>
                                <w:u w:val="none" w:color="auto"/>
                                <w:lang w:val="en-US" w:eastAsia="zh-CN"/>
                              </w:rPr>
                              <w:t>2</w:t>
                            </w:r>
                            <w:r>
                              <w:rPr>
                                <w:rFonts w:hint="eastAsia" w:ascii="Times New Roman" w:hAnsi="Times New Roman" w:eastAsia="宋体" w:cs="宋体"/>
                                <w:b w:val="0"/>
                                <w:bCs/>
                                <w:color w:val="auto"/>
                                <w:sz w:val="18"/>
                                <w:szCs w:val="18"/>
                                <w:u w:val="none" w:color="auto"/>
                                <w:lang w:val="en-US" w:eastAsia="zh-CN"/>
                              </w:rPr>
                              <w:t>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210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H5</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金源小学</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200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410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H6</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左家垅居民点</w:t>
                            </w:r>
                            <w:r>
                              <w:rPr>
                                <w:rFonts w:hint="eastAsia" w:ascii="Times New Roman" w:hAnsi="Times New Roman" w:eastAsia="宋体" w:cs="宋体"/>
                                <w:b w:val="0"/>
                                <w:bCs/>
                                <w:color w:val="auto"/>
                                <w:sz w:val="18"/>
                                <w:szCs w:val="18"/>
                                <w:u w:val="none" w:color="auto"/>
                                <w:lang w:val="en-US" w:eastAsia="zh-CN"/>
                              </w:rPr>
                              <w:t>1</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15</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360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H7</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左家垅居民点</w:t>
                            </w:r>
                            <w:r>
                              <w:rPr>
                                <w:rFonts w:hint="eastAsia" w:ascii="Times New Roman" w:hAnsi="Times New Roman" w:eastAsia="宋体" w:cs="宋体"/>
                                <w:b w:val="0"/>
                                <w:bCs/>
                                <w:color w:val="auto"/>
                                <w:sz w:val="18"/>
                                <w:szCs w:val="18"/>
                                <w:u w:val="none" w:color="auto"/>
                                <w:lang w:val="en-US" w:eastAsia="zh-CN"/>
                              </w:rPr>
                              <w:t>2</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60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350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450m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H8</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松木派出所</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15</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N</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310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340m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9" w:type="dxa"/>
                            <w:tcBorders>
                              <w:lef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H9</w:t>
                            </w:r>
                          </w:p>
                        </w:tc>
                        <w:tc>
                          <w:tcPr>
                            <w:tcW w:w="1719"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花旗幼儿园</w:t>
                            </w:r>
                          </w:p>
                        </w:tc>
                        <w:tc>
                          <w:tcPr>
                            <w:tcW w:w="1097" w:type="dxa"/>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50</w:t>
                            </w:r>
                            <w:r>
                              <w:rPr>
                                <w:rFonts w:hint="eastAsia" w:ascii="宋体" w:hAnsi="宋体" w:eastAsia="宋体" w:cs="宋体"/>
                                <w:b w:val="0"/>
                                <w:bCs/>
                                <w:color w:val="auto"/>
                                <w:sz w:val="18"/>
                                <w:szCs w:val="18"/>
                                <w:u w:val="none" w:color="auto"/>
                                <w:lang w:val="en-US" w:eastAsia="zh-CN"/>
                              </w:rPr>
                              <w:t>人</w:t>
                            </w:r>
                          </w:p>
                        </w:tc>
                        <w:tc>
                          <w:tcPr>
                            <w:tcW w:w="1427" w:type="dxa"/>
                            <w:tcBorders>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WS</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240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280m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689" w:type="dxa"/>
                            <w:tcBorders>
                              <w:left w:val="nil"/>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kern w:val="2"/>
                                <w:sz w:val="18"/>
                                <w:szCs w:val="18"/>
                                <w:u w:val="none" w:color="auto"/>
                                <w:lang w:val="en-US" w:eastAsia="zh-CN" w:bidi="ar-SA"/>
                              </w:rPr>
                              <w:t>H10</w:t>
                            </w:r>
                          </w:p>
                        </w:tc>
                        <w:tc>
                          <w:tcPr>
                            <w:tcW w:w="1719" w:type="dxa"/>
                            <w:tcBorders>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湖南工商职业学院</w:t>
                            </w:r>
                          </w:p>
                        </w:tc>
                        <w:tc>
                          <w:tcPr>
                            <w:tcW w:w="1097" w:type="dxa"/>
                            <w:tcBorders>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宋体" w:hAnsi="宋体" w:eastAsia="宋体" w:cs="宋体"/>
                                <w:b w:val="0"/>
                                <w:bCs/>
                                <w:color w:val="auto"/>
                                <w:sz w:val="18"/>
                                <w:szCs w:val="18"/>
                                <w:u w:val="none" w:color="auto"/>
                                <w:lang w:val="en-US" w:eastAsia="zh-CN"/>
                              </w:rPr>
                              <w:t>约</w:t>
                            </w:r>
                            <w:r>
                              <w:rPr>
                                <w:rFonts w:hint="eastAsia" w:ascii="Times New Roman" w:hAnsi="Times New Roman" w:eastAsia="宋体" w:cs="宋体"/>
                                <w:b w:val="0"/>
                                <w:bCs/>
                                <w:color w:val="auto"/>
                                <w:sz w:val="18"/>
                                <w:szCs w:val="18"/>
                                <w:u w:val="none" w:color="auto"/>
                                <w:lang w:val="en-US" w:eastAsia="zh-CN"/>
                              </w:rPr>
                              <w:t>5000</w:t>
                            </w:r>
                            <w:r>
                              <w:rPr>
                                <w:rFonts w:hint="eastAsia" w:ascii="宋体" w:hAnsi="宋体" w:eastAsia="宋体" w:cs="宋体"/>
                                <w:b w:val="0"/>
                                <w:bCs/>
                                <w:color w:val="auto"/>
                                <w:sz w:val="18"/>
                                <w:szCs w:val="18"/>
                                <w:u w:val="none" w:color="auto"/>
                                <w:lang w:val="en-US" w:eastAsia="zh-CN"/>
                              </w:rPr>
                              <w:t>人</w:t>
                            </w:r>
                          </w:p>
                        </w:tc>
                        <w:tc>
                          <w:tcPr>
                            <w:tcW w:w="1427" w:type="dxa"/>
                            <w:tcBorders>
                              <w:bottom w:val="nil"/>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eastAsia" w:ascii="宋体" w:hAnsi="宋体" w:eastAsia="宋体" w:cs="宋体"/>
                                <w:sz w:val="18"/>
                                <w:szCs w:val="18"/>
                                <w:vertAlign w:val="baseline"/>
                              </w:rPr>
                            </w:pPr>
                            <w:r>
                              <w:rPr>
                                <w:rFonts w:hint="eastAsia" w:ascii="Times New Roman" w:hAnsi="Times New Roman" w:eastAsia="宋体" w:cs="宋体"/>
                                <w:b w:val="0"/>
                                <w:bCs/>
                                <w:color w:val="auto"/>
                                <w:sz w:val="18"/>
                                <w:szCs w:val="18"/>
                                <w:u w:val="none" w:color="auto"/>
                                <w:lang w:val="en-US" w:eastAsia="zh-CN"/>
                              </w:rPr>
                              <w:t>WS</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250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689" w:type="dxa"/>
                            <w:tcBorders>
                              <w:left w:val="nil"/>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Times New Roman" w:hAnsi="Times New Roman" w:eastAsia="宋体" w:cs="宋体"/>
                                <w:b w:val="0"/>
                                <w:bCs/>
                                <w:color w:val="auto"/>
                                <w:kern w:val="2"/>
                                <w:sz w:val="18"/>
                                <w:szCs w:val="18"/>
                                <w:u w:val="none" w:color="auto"/>
                                <w:lang w:val="en-US" w:eastAsia="zh-CN" w:bidi="ar-SA"/>
                              </w:rPr>
                            </w:pPr>
                            <w:r>
                              <w:rPr>
                                <w:rFonts w:hint="eastAsia" w:cs="宋体"/>
                                <w:b w:val="0"/>
                                <w:bCs/>
                                <w:color w:val="auto"/>
                                <w:kern w:val="2"/>
                                <w:sz w:val="18"/>
                                <w:szCs w:val="18"/>
                                <w:u w:val="none" w:color="auto"/>
                                <w:lang w:val="en-US" w:eastAsia="zh-CN" w:bidi="ar-SA"/>
                              </w:rPr>
                              <w:t>H11</w:t>
                            </w:r>
                          </w:p>
                        </w:tc>
                        <w:tc>
                          <w:tcPr>
                            <w:tcW w:w="1719" w:type="dxa"/>
                            <w:tcBorders>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Times New Roman" w:hAnsi="Times New Roman" w:eastAsia="宋体" w:cs="宋体"/>
                                <w:b w:val="0"/>
                                <w:bCs/>
                                <w:color w:val="auto"/>
                                <w:kern w:val="2"/>
                                <w:sz w:val="18"/>
                                <w:szCs w:val="18"/>
                                <w:u w:val="none" w:color="auto"/>
                                <w:lang w:val="en-US" w:eastAsia="zh-CN" w:bidi="ar-SA"/>
                              </w:rPr>
                            </w:pPr>
                            <w:r>
                              <w:rPr>
                                <w:rFonts w:hint="eastAsia" w:cs="宋体"/>
                                <w:b w:val="0"/>
                                <w:bCs/>
                                <w:color w:val="auto"/>
                                <w:kern w:val="2"/>
                                <w:sz w:val="18"/>
                                <w:szCs w:val="18"/>
                                <w:u w:val="none" w:color="auto"/>
                                <w:lang w:val="en-US" w:eastAsia="zh-CN" w:bidi="ar-SA"/>
                              </w:rPr>
                              <w:t>松木小学</w:t>
                            </w:r>
                          </w:p>
                        </w:tc>
                        <w:tc>
                          <w:tcPr>
                            <w:tcW w:w="1097" w:type="dxa"/>
                            <w:tcBorders>
                              <w:bottom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Times New Roman" w:hAnsi="Times New Roman" w:eastAsia="宋体" w:cs="宋体"/>
                                <w:b w:val="0"/>
                                <w:bCs/>
                                <w:color w:val="auto"/>
                                <w:kern w:val="2"/>
                                <w:sz w:val="18"/>
                                <w:szCs w:val="18"/>
                                <w:u w:val="none" w:color="auto"/>
                                <w:lang w:val="en-US" w:eastAsia="zh-CN" w:bidi="ar-SA"/>
                              </w:rPr>
                            </w:pPr>
                            <w:r>
                              <w:rPr>
                                <w:rFonts w:hint="eastAsia" w:cs="宋体"/>
                                <w:b w:val="0"/>
                                <w:bCs/>
                                <w:color w:val="auto"/>
                                <w:kern w:val="2"/>
                                <w:sz w:val="18"/>
                                <w:szCs w:val="18"/>
                                <w:u w:val="none" w:color="auto"/>
                                <w:lang w:val="en-US" w:eastAsia="zh-CN" w:bidi="ar-SA"/>
                              </w:rPr>
                              <w:t>约200人</w:t>
                            </w:r>
                          </w:p>
                        </w:tc>
                        <w:tc>
                          <w:tcPr>
                            <w:tcW w:w="1427" w:type="dxa"/>
                            <w:tcBorders>
                              <w:bottom w:val="nil"/>
                              <w:right w:val="nil"/>
                            </w:tcBorders>
                            <w:noWrap w:val="0"/>
                            <w:vAlign w:val="center"/>
                          </w:tcPr>
                          <w:p>
                            <w:pPr>
                              <w:keepNext w:val="0"/>
                              <w:keepLines w:val="0"/>
                              <w:pageBreakBefore w:val="0"/>
                              <w:kinsoku/>
                              <w:wordWrap/>
                              <w:overflowPunct/>
                              <w:topLinePunct w:val="0"/>
                              <w:bidi w:val="0"/>
                              <w:adjustRightInd w:val="0"/>
                              <w:snapToGrid w:val="0"/>
                              <w:spacing w:beforeAutospacing="0" w:line="240" w:lineRule="auto"/>
                              <w:jc w:val="center"/>
                              <w:textAlignment w:val="auto"/>
                              <w:rPr>
                                <w:rFonts w:hint="default" w:ascii="Times New Roman" w:hAnsi="Times New Roman" w:eastAsia="宋体" w:cs="宋体"/>
                                <w:b w:val="0"/>
                                <w:bCs/>
                                <w:color w:val="auto"/>
                                <w:kern w:val="2"/>
                                <w:sz w:val="18"/>
                                <w:szCs w:val="18"/>
                                <w:u w:val="none" w:color="auto"/>
                                <w:lang w:val="en-US" w:eastAsia="zh-CN" w:bidi="ar-SA"/>
                              </w:rPr>
                            </w:pPr>
                            <w:r>
                              <w:rPr>
                                <w:rFonts w:hint="eastAsia" w:cs="宋体"/>
                                <w:b w:val="0"/>
                                <w:bCs/>
                                <w:color w:val="auto"/>
                                <w:kern w:val="2"/>
                                <w:sz w:val="18"/>
                                <w:szCs w:val="18"/>
                                <w:u w:val="none" w:color="auto"/>
                                <w:lang w:val="en-US" w:eastAsia="zh-CN" w:bidi="ar-SA"/>
                              </w:rPr>
                              <w:t>W，</w:t>
                            </w:r>
                            <w:r>
                              <w:rPr>
                                <w:rFonts w:hint="eastAsia" w:cs="宋体"/>
                                <w:b w:val="0"/>
                                <w:bCs/>
                                <w:color w:val="auto"/>
                                <w:sz w:val="18"/>
                                <w:szCs w:val="18"/>
                                <w:u w:val="none" w:color="auto"/>
                                <w:lang w:val="en-US" w:eastAsia="zh-CN"/>
                              </w:rPr>
                              <w:t>38</w:t>
                            </w:r>
                            <w:r>
                              <w:rPr>
                                <w:rFonts w:hint="eastAsia" w:ascii="Times New Roman" w:hAnsi="Times New Roman" w:eastAsia="宋体" w:cs="宋体"/>
                                <w:b w:val="0"/>
                                <w:bCs/>
                                <w:color w:val="auto"/>
                                <w:sz w:val="18"/>
                                <w:szCs w:val="18"/>
                                <w:u w:val="none" w:color="auto"/>
                                <w:lang w:val="en-US" w:eastAsia="zh-CN"/>
                              </w:rPr>
                              <w:t>0</w:t>
                            </w:r>
                            <w:r>
                              <w:rPr>
                                <w:rFonts w:hint="eastAsia" w:ascii="宋体" w:hAnsi="宋体" w:eastAsia="宋体" w:cs="宋体"/>
                                <w:b w:val="0"/>
                                <w:bCs/>
                                <w:color w:val="auto"/>
                                <w:sz w:val="18"/>
                                <w:szCs w:val="18"/>
                                <w:u w:val="none" w:color="auto"/>
                                <w:lang w:val="en-US" w:eastAsia="zh-CN"/>
                              </w:rPr>
                              <w:t>~</w:t>
                            </w:r>
                            <w:r>
                              <w:rPr>
                                <w:rFonts w:hint="eastAsia" w:ascii="Times New Roman" w:hAnsi="Times New Roman" w:eastAsia="宋体" w:cs="宋体"/>
                                <w:b w:val="0"/>
                                <w:bCs/>
                                <w:color w:val="auto"/>
                                <w:sz w:val="18"/>
                                <w:szCs w:val="18"/>
                                <w:u w:val="none" w:color="auto"/>
                                <w:lang w:val="en-US" w:eastAsia="zh-CN"/>
                              </w:rPr>
                              <w:t>500m</w:t>
                            </w:r>
                          </w:p>
                        </w:tc>
                      </w:tr>
                    </w:tbl>
                    <w:p>
                      <w:pPr>
                        <w:rPr>
                          <w:rFonts w:hint="default"/>
                          <w:lang w:val="en-US" w:eastAsia="zh-CN"/>
                        </w:rPr>
                      </w:pPr>
                    </w:p>
                  </w:txbxContent>
                </v:textbox>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7248525</wp:posOffset>
                </wp:positionH>
                <wp:positionV relativeFrom="paragraph">
                  <wp:posOffset>1845310</wp:posOffset>
                </wp:positionV>
                <wp:extent cx="295910" cy="209550"/>
                <wp:effectExtent l="4445" t="4445" r="23495" b="14605"/>
                <wp:wrapNone/>
                <wp:docPr id="53" name="文本框 53"/>
                <wp:cNvGraphicFramePr/>
                <a:graphic xmlns:a="http://schemas.openxmlformats.org/drawingml/2006/main">
                  <a:graphicData uri="http://schemas.microsoft.com/office/word/2010/wordprocessingShape">
                    <wps:wsp>
                      <wps:cNvSpPr txBox="1"/>
                      <wps:spPr>
                        <a:xfrm>
                          <a:off x="7875905" y="3343275"/>
                          <a:ext cx="295910" cy="209550"/>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0.75pt;margin-top:145.3pt;height:16.5pt;width:23.3pt;z-index:251671552;mso-width-relative:page;mso-height-relative:page;" fillcolor="#FFFF00" filled="t" stroked="t" coordsize="21600,21600" o:gfxdata="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WUmu9wAAAANAQAADwAAAAAAAAABACAAAAAiAAAAZHJzL2Rvd25yZXYueG1sUEsB&#10;AhQAFAAAAAgAh07iQK1RdlNjAgAAxQQAAA4AAAAAAAAAAQAgAAAAKwEAAGRycy9lMm9Eb2MueG1s&#10;UEsFBgAAAAAGAAYAWQEAAAAGAAAAAA==&#10;">
                <v:fill on="t" focussize="0,0"/>
                <v:stroke weight="0.5pt" color="#FF0000 [3204]" joinstyle="round"/>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7265035</wp:posOffset>
                </wp:positionH>
                <wp:positionV relativeFrom="paragraph">
                  <wp:posOffset>1545590</wp:posOffset>
                </wp:positionV>
                <wp:extent cx="261620" cy="209550"/>
                <wp:effectExtent l="4445" t="4445" r="19685" b="14605"/>
                <wp:wrapNone/>
                <wp:docPr id="156" name="文本框 156"/>
                <wp:cNvGraphicFramePr/>
                <a:graphic xmlns:a="http://schemas.openxmlformats.org/drawingml/2006/main">
                  <a:graphicData uri="http://schemas.microsoft.com/office/word/2010/wordprocessingShape">
                    <wps:wsp>
                      <wps:cNvSpPr txBox="1"/>
                      <wps:spPr>
                        <a:xfrm>
                          <a:off x="7830820" y="3785870"/>
                          <a:ext cx="261620" cy="209550"/>
                        </a:xfrm>
                        <a:prstGeom prst="rect">
                          <a:avLst/>
                        </a:prstGeom>
                        <a:solidFill>
                          <a:srgbClr val="00B050"/>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2.05pt;margin-top:121.7pt;height:16.5pt;width:20.6pt;z-index:251670528;mso-width-relative:page;mso-height-relative:page;" fillcolor="#00B050" filled="t" stroked="t" coordsize="21600,21600" o:gfxdata="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mG0i0NwAAAANAQAADwAAAAAAAAABACAAAAAiAAAAZHJzL2Rvd25yZXYueG1sUEsBAhQA&#10;FAAAAAgAh07iQFlV05ZgAgAAxwQAAA4AAAAAAAAAAQAgAAAAKwEAAGRycy9lMm9Eb2MueG1sUEsF&#10;BgAAAAAGAAYAWQEAAP0FAAAAAA==&#10;">
                <v:fill on="t" focussize="0,0"/>
                <v:stroke weight="0.5pt" color="#000000 [3213]" joinstyle="round"/>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7031355</wp:posOffset>
                </wp:positionH>
                <wp:positionV relativeFrom="paragraph">
                  <wp:posOffset>1076325</wp:posOffset>
                </wp:positionV>
                <wp:extent cx="1513205" cy="1249045"/>
                <wp:effectExtent l="19050" t="19050" r="29845" b="27305"/>
                <wp:wrapNone/>
                <wp:docPr id="155" name="文本框 155"/>
                <wp:cNvGraphicFramePr/>
                <a:graphic xmlns:a="http://schemas.openxmlformats.org/drawingml/2006/main">
                  <a:graphicData uri="http://schemas.microsoft.com/office/word/2010/wordprocessingShape">
                    <wps:wsp>
                      <wps:cNvSpPr txBox="1"/>
                      <wps:spPr>
                        <a:xfrm>
                          <a:off x="0" y="0"/>
                          <a:ext cx="1513205" cy="1249045"/>
                        </a:xfrm>
                        <a:prstGeom prst="rect">
                          <a:avLst/>
                        </a:prstGeom>
                        <a:solidFill>
                          <a:srgbClr val="FFFFFF"/>
                        </a:solidFill>
                        <a:ln w="38100" cap="flat" cmpd="sng">
                          <a:solidFill>
                            <a:srgbClr val="000000"/>
                          </a:solidFill>
                          <a:prstDash val="solid"/>
                          <a:miter/>
                          <a:headEnd type="none" w="med" len="med"/>
                          <a:tailEnd type="none" w="med" len="med"/>
                        </a:ln>
                      </wps:spPr>
                      <wps:txbx>
                        <w:txbxContent>
                          <w:p>
                            <w:pPr>
                              <w:spacing w:line="240" w:lineRule="auto"/>
                              <w:jc w:val="center"/>
                              <w:rPr>
                                <w:rFonts w:hint="eastAsia"/>
                                <w:b/>
                                <w:bCs/>
                                <w:sz w:val="28"/>
                                <w:szCs w:val="28"/>
                                <w:lang w:val="en-US" w:eastAsia="zh-CN"/>
                              </w:rPr>
                            </w:pPr>
                            <w:r>
                              <w:rPr>
                                <w:rFonts w:hint="eastAsia"/>
                                <w:b/>
                                <w:bCs/>
                                <w:sz w:val="28"/>
                                <w:szCs w:val="28"/>
                                <w:lang w:val="en-US" w:eastAsia="zh-CN"/>
                              </w:rPr>
                              <w:t>图例</w:t>
                            </w:r>
                          </w:p>
                          <w:p>
                            <w:pPr>
                              <w:spacing w:line="240" w:lineRule="auto"/>
                              <w:jc w:val="center"/>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 xml:space="preserve">       </w:t>
                            </w:r>
                            <w:r>
                              <w:rPr>
                                <w:rFonts w:hint="eastAsia" w:ascii="宋体" w:hAnsi="宋体" w:eastAsia="宋体" w:cs="宋体"/>
                                <w:b w:val="0"/>
                                <w:bCs w:val="0"/>
                                <w:sz w:val="24"/>
                                <w:szCs w:val="24"/>
                                <w:lang w:val="en-US" w:eastAsia="zh-CN"/>
                              </w:rPr>
                              <w:t>项目厂界</w:t>
                            </w:r>
                          </w:p>
                          <w:p>
                            <w:pPr>
                              <w:spacing w:line="360" w:lineRule="auto"/>
                              <w:ind w:left="0" w:leftChars="0" w:firstLine="960" w:firstLineChars="400"/>
                              <w:rPr>
                                <w:rFonts w:hint="eastAsia"/>
                                <w:sz w:val="24"/>
                                <w:szCs w:val="24"/>
                                <w:lang w:val="en-US" w:eastAsia="zh-CN"/>
                              </w:rPr>
                            </w:pPr>
                            <w:r>
                              <w:rPr>
                                <w:rFonts w:hint="eastAsia"/>
                                <w:sz w:val="24"/>
                                <w:szCs w:val="24"/>
                                <w:lang w:val="en-US" w:eastAsia="zh-CN"/>
                              </w:rPr>
                              <w:t>保护目标</w:t>
                            </w:r>
                          </w:p>
                          <w:p>
                            <w:pPr>
                              <w:spacing w:line="360" w:lineRule="auto"/>
                              <w:ind w:left="0" w:leftChars="0" w:firstLine="960" w:firstLineChars="400"/>
                              <w:rPr>
                                <w:rFonts w:hint="default"/>
                                <w:sz w:val="24"/>
                                <w:szCs w:val="24"/>
                                <w:lang w:val="en-US" w:eastAsia="zh-CN"/>
                              </w:rPr>
                            </w:pPr>
                          </w:p>
                        </w:txbxContent>
                      </wps:txbx>
                      <wps:bodyPr upright="1"/>
                    </wps:wsp>
                  </a:graphicData>
                </a:graphic>
              </wp:anchor>
            </w:drawing>
          </mc:Choice>
          <mc:Fallback>
            <w:pict>
              <v:shape id="_x0000_s1026" o:spid="_x0000_s1026" o:spt="202" type="#_x0000_t202" style="position:absolute;left:0pt;margin-left:553.65pt;margin-top:84.75pt;height:98.35pt;width:119.15pt;z-index:251669504;mso-width-relative:page;mso-height-relative:page;" fillcolor="#FFFFFF" filled="t" stroked="t" coordsize="21600,21600" o:gfxdata="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K7kRI2gAAAA0BAAAPAAAAAAAA&#10;AAEAIAAAACIAAABkcnMvZG93bnJldi54bWxQSwECFAAUAAAACACHTuJA7GQi4BACAAA8BAAADgAA&#10;AAAAAAABACAAAAApAQAAZHJzL2Uyb0RvYy54bWxQSwUGAAAAAAYABgBZAQAAqwUAAAAA&#10;">
                <v:fill on="t" focussize="0,0"/>
                <v:stroke weight="3pt" color="#000000" joinstyle="miter"/>
                <v:imagedata o:title=""/>
                <o:lock v:ext="edit" aspectratio="f"/>
                <v:textbox>
                  <w:txbxContent>
                    <w:p>
                      <w:pPr>
                        <w:spacing w:line="240" w:lineRule="auto"/>
                        <w:jc w:val="center"/>
                        <w:rPr>
                          <w:rFonts w:hint="eastAsia"/>
                          <w:b/>
                          <w:bCs/>
                          <w:sz w:val="28"/>
                          <w:szCs w:val="28"/>
                          <w:lang w:val="en-US" w:eastAsia="zh-CN"/>
                        </w:rPr>
                      </w:pPr>
                      <w:r>
                        <w:rPr>
                          <w:rFonts w:hint="eastAsia"/>
                          <w:b/>
                          <w:bCs/>
                          <w:sz w:val="28"/>
                          <w:szCs w:val="28"/>
                          <w:lang w:val="en-US" w:eastAsia="zh-CN"/>
                        </w:rPr>
                        <w:t>图例</w:t>
                      </w:r>
                    </w:p>
                    <w:p>
                      <w:pPr>
                        <w:spacing w:line="240" w:lineRule="auto"/>
                        <w:jc w:val="center"/>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 xml:space="preserve">       </w:t>
                      </w:r>
                      <w:r>
                        <w:rPr>
                          <w:rFonts w:hint="eastAsia" w:ascii="宋体" w:hAnsi="宋体" w:eastAsia="宋体" w:cs="宋体"/>
                          <w:b w:val="0"/>
                          <w:bCs w:val="0"/>
                          <w:sz w:val="24"/>
                          <w:szCs w:val="24"/>
                          <w:lang w:val="en-US" w:eastAsia="zh-CN"/>
                        </w:rPr>
                        <w:t>项目厂界</w:t>
                      </w:r>
                    </w:p>
                    <w:p>
                      <w:pPr>
                        <w:spacing w:line="360" w:lineRule="auto"/>
                        <w:ind w:left="0" w:leftChars="0" w:firstLine="960" w:firstLineChars="400"/>
                        <w:rPr>
                          <w:rFonts w:hint="eastAsia"/>
                          <w:sz w:val="24"/>
                          <w:szCs w:val="24"/>
                          <w:lang w:val="en-US" w:eastAsia="zh-CN"/>
                        </w:rPr>
                      </w:pPr>
                      <w:r>
                        <w:rPr>
                          <w:rFonts w:hint="eastAsia"/>
                          <w:sz w:val="24"/>
                          <w:szCs w:val="24"/>
                          <w:lang w:val="en-US" w:eastAsia="zh-CN"/>
                        </w:rPr>
                        <w:t>保护目标</w:t>
                      </w:r>
                    </w:p>
                    <w:p>
                      <w:pPr>
                        <w:spacing w:line="360" w:lineRule="auto"/>
                        <w:ind w:left="0" w:leftChars="0" w:firstLine="960" w:firstLineChars="400"/>
                        <w:rPr>
                          <w:rFonts w:hint="default"/>
                          <w:sz w:val="24"/>
                          <w:szCs w:val="24"/>
                          <w:lang w:val="en-US" w:eastAsia="zh-CN"/>
                        </w:rPr>
                      </w:pP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7816215</wp:posOffset>
                </wp:positionH>
                <wp:positionV relativeFrom="paragraph">
                  <wp:posOffset>11430</wp:posOffset>
                </wp:positionV>
                <wp:extent cx="753110" cy="824865"/>
                <wp:effectExtent l="0" t="0" r="8890" b="13335"/>
                <wp:wrapNone/>
                <wp:docPr id="11" name="矩形 11" descr="风玫瑰图"/>
                <wp:cNvGraphicFramePr/>
                <a:graphic xmlns:a="http://schemas.openxmlformats.org/drawingml/2006/main">
                  <a:graphicData uri="http://schemas.microsoft.com/office/word/2010/wordprocessingShape">
                    <wps:wsp>
                      <wps:cNvSpPr/>
                      <wps:spPr>
                        <a:xfrm>
                          <a:off x="0" y="0"/>
                          <a:ext cx="753110" cy="824865"/>
                        </a:xfrm>
                        <a:prstGeom prst="rect">
                          <a:avLst/>
                        </a:prstGeom>
                        <a:blipFill rotWithShape="0">
                          <a:blip r:embed="rId25"/>
                          <a:stretch>
                            <a:fillRect/>
                          </a:stretch>
                        </a:blipFill>
                        <a:ln>
                          <a:noFill/>
                        </a:ln>
                      </wps:spPr>
                      <wps:bodyPr upright="1"/>
                    </wps:wsp>
                  </a:graphicData>
                </a:graphic>
              </wp:anchor>
            </w:drawing>
          </mc:Choice>
          <mc:Fallback>
            <w:pict>
              <v:rect id="_x0000_s1026" o:spid="_x0000_s1026" o:spt="1" alt="风玫瑰图" style="position:absolute;left:0pt;margin-left:615.45pt;margin-top:0.9pt;height:64.95pt;width:59.3pt;z-index:251682816;mso-width-relative:page;mso-height-relative:page;" filled="t" stroked="f" coordsize="21600,21600" o:gfxdata="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QE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9/f0A&#10;9fX1AOzs7AD8/Pw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f3AOTk5ADU1NQA39/fAOrq6gD8/PwACgoK&#10;AB4eHgAQEBAABgYGAAQEBAABAQEAAQEB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D39/cA+/v7AN3d3QCurq4AtLS0AOnp6QDv7+8A&#10;/f39ADAwMABRUVEAKCgoAA4ODgALCwsAAQEB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4+PgAx8fHAOHh4QDGxsYAvb29AObm5gD8&#10;/PwAAgICABQUFABbW1sAKSkpAA0NDQAKCgoABAQE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D4+PgAvr6+AJmZmQDX19cA7u7uAPPz&#10;8wD9/f0AAAAAAA8PDwBZWVkAQUFBAAkJCQAJCQkACQkJAAEBAQABAQE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9/QDt7e0As7OzAKenpwDOzs4A9PT0&#10;AP39/QD///8AAAAAAA8PDwBEREQAXV1dAA0NDQADAwMACQkJAAICAg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n5+QDh4eEAtra2AKysrADT09MA&#10;9PT0AP///wAAAAAACwsLABISEgAiIiIAWlpaACAgIADx8fEACwsLAAgICAACAgI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fX1APLy8gDj4+MAubm5ALS0tADV&#10;1dUA9vb2AAAAAAAAAAAABgYGACsrKwA/Pz8AJSUlADMzMwD4+PgABQUFAAkJCQADAwMAAAAAAAEB&#10;AQ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4+ADu7u4A4ODgAMzM&#10;zADa2toA9vb2AAAAAAAAAAAAAAAAAAQEBAAbGxsAODg4ADU1NQAODg4A9vb2AAUFBQAEBAQAAAAA&#10;AAEBAQ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6ekAycnJ&#10;ANfX1wDl5eUA+fn5AAAAAAAAAAAAAQEBAAEBAQAXFxcAIyMjABoaGgAREREAAgICAP///wAEBAQA&#10;AgIC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D19fUA&#10;ycnJAJmZmQDg4OAA8fHxAPr6+gAAAAAAAAAAABEREQALCwsAPj4+AEhISAAqKioABwcHAPPz8wAF&#10;BQUACAgIAAQEB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4A3d3dAM7OzgDf398A7OzsAAAAAAAAAAAAAAAAAAAAAAApKSkAIyMjAEFBQQAqKioACgoKAPf3&#10;9wDq6uoAGxsbAAgICAAAAAAAAQEB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AAAAAAAAAAAAAA&#10;AAD+/v4A+/v7APn5+QD7+/sA/v7+AAAAAAAAAAAAAAAAAAAAAAAEBAQABwcHAAgICAAHBwcAAwMD&#10;AP///wD///8A////AAEBAQABAQE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D+/v4A+vr6&#10;AP39/QD9/f0Av7+/AKenpwDQ0NAA6enpAPT09AAAAAAAAAAAAAICAgAVFRUAYGBgAFZWVgAYGBgA&#10;DAwMAPn5+QDZ2dkAAQEBABwcHAAKCgo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D///8A/f39APPz8wDm5uYA5eXlAPb29gAAAAAAAAAAAAAAAAAAAAAAAwMDABMTEwAW&#10;FhYAFRUVAAMDAwD5+fkA+vr6AAICAgAEBAQAAgIC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EBAQAF&#10;BQUA////AODg4ADa2toA4uLiAPj4+AAGBgYAEBAQAA0NDQACAgIAAQEBAAAAAAAAAAAAAAAAAAAA&#10;AAAAAAAA/v7+APn5+QD7+/sAAwMDAAcHBwAeHh4AJiYmABEREQACAgIAAQEBAAAAAAAAAAAAAAAA&#10;AAAAAAD6+voA+fn5AP///wABAQEAAQEB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gICAAQEBAD39/cA0dHRAPb29gAyMjIACgoKAA4ODgAQEBAACQkJAPv7+wD6+voAAAAA&#10;AAAAAAAAAAAAAAAAAPz8/ADw8PAA9/f3AB8fHwAhISEAKysrABQUFAAEBAQAAQEBAAAAAAAAAAAA&#10;AAAAAAAAAAD9/f0A/f39AP///w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ICAgAKCgoA+vr6ALi4uADi4uIAQUFBABgYGAAbGxsAIyMjABsbGwDx8fEA&#10;6enpAAAAAAABAQEA////AP39/QDz8/MA3d3dAPn5+QBHR0cAR0dHAB8fHwAdHR0ABQUFAAAAAAAA&#10;AAAAAAAAAP///wAAAAAA9vb2APz8/AAGBgYAAQEB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EBAQACAgIADQ0NABISEgD09PQA5+fnANjY2ADw8PAAERERACYmJgAt&#10;LS0AGhoaAAEBAQAAAAAAAAAAAP7+/gD39/cA7e3tAOPj4wAaGhoASUlJADw8PAAkJCQACAgIAAAA&#10;AAD+/v4A/f39AP39/QD9/f0A8/PzAOnp6QD7+/sACQkJAAMDAw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QEBABISEgAiIiIAxsbGAOXl5QCxsbEAFxcXADQ0&#10;NAApKSkA+fn5AAcHBwDU1NQA////AAAAAAD6+voA7+/vAObm5gDq6uoAKysrADk5OQANDQ0AAQEB&#10;AAAAAAD+/v4A+fn5APb29gD7+/sA/v7+ANHR0QD4+PgAKysrAAQEBAABAQE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ICAgANDQ0AFxcXAAICAgD09PQAycnJ&#10;AAwMDAAFBQUAKysrAAwMDADw8PAAu7u7APn5+QACAgIA7+/vAOrq6gDOzs4A4eHhACwsLAANDQ0A&#10;AQEBAAEBAQD6+voA4+PjAMHBwQC5ubkA5OTkAAEBAQAUFBQAV1dXABMTEwAGBgYAAQEB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gICAAMDAwABAQEA&#10;////APn5+QD19fUA+fn5AAQEBAAHBwcABAQEAAMDAwACAgIAAAAAAP7+/gD6+voA+Pj4APz8/AAB&#10;AQEAAgICAAAAAAAAAAAA////APz8/AD09PQA7OzsAOnp6QACAgIABwcHAAAAAAADAwM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QEBAAoKCgAU&#10;FBQABAQEAAICAgD39/cA2dnZAMfHxwAcHBwAHR0dABgYGAAiIiIA7OzsAAMDAwDx8fEA4ODgANfX&#10;1wDz8/MAAwMDAPr6+gD6+voA7e3tAM7OzgDCwsIAz8/PAOXl5QD4+PgABAQEACwsLAAnJycACQkJ&#10;AAEBAQ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EB&#10;AQAMDAwAHBwcABQUFAD///8A9PT0AOTk5ADAwMAAFBQUADo6OgACAgIAODg4ANvb2wADAwMA6urq&#10;ANbW1gDd3d0AGxsbAPz8/AC6uroA39/fAOTk5ADPz88A2dnZAP7+/gAjIyMAFBQUAAQEBAA9PT0A&#10;ISEhAAYGBg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EBAQAAAAAABAQEAPz8/ADR0dEA1dXVAPPz8wAHBwcA&#10;ERERAAICAgD9/f0AEhISACEhIQD///8Avr6+AKqqqgAQEBAATU1NACsrKwADAwM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v7+APDw8ADQ0NAAu7u7ANnZ2QAg&#10;ICAALi4uAAoKCgDq6uoA4uLiAN3d3QAKCgoAJCQkANfX1wDMzMwABQUFACYmJgDq6uoAFhYWAAgI&#10;C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D39/cA4+PjAOLi&#10;4gD09PQAERERADs7OwApKSkACgoKAPLy8gDS0tIA0tLSAAICAgASEhIA/Pz8APX19QDj4+MA4uLi&#10;APf39w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BAQEAAgIC&#10;AAICAgADAwMABgYGABMTEwAnJycAGxsbAAYGBgD5+fkA6urqAObm5gDz8/MAAgICAAICAgAAAAAA&#10;8vLyAO7u7gD7+/s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ICAgAGBgYACQkJAAkJCQAKCgoACwsLAAcHBwABAQEA/f39APn5+QD29vYA9/f3AAAAAAAF&#10;BQUAAQEBAPr6+gD29vYA/Pz8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EBAQAKCgoAGRkZACUlJQDw8PAAJCQkAB8fHwD9/f0ABQUFAPr6+gDs7OwACAgIAN7e&#10;3gACAgIAGBgYAOrq6gDs7OwA4ODgAPPz8wD+/v4AAgIC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BAQEACgoKACkpKQD7+/sA9PT0AC8vLwANDQ0ABwcHAAICAgD///8A/Pz8&#10;AO/v7wDf398ATk5OAAUFBQCxsbEA+vr6AObm5gDn5+cAHR0dAAoKCg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UFBQAaGhoABwcHAAEBAQAVFRUAAQEBAAEBAQAAAAAA&#10;AAAAAAAAAAD39/cA6OjoAAoKCgBWVlYAKSkpAMfHxwDz8/MA4+PjACsrKwAKCgo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AAAAAAAAAAAAAAAAAAAAAAAAAAAAAAAAAAAAAAAAAFBQUAExMTAAUFBQD7+/sACgoKAAEBAQAA&#10;AAAAAAAAAAAAAAAAAAAA/Pz8AO/v7wD7+/sALi4uACMjIwAYGBgAwMDAAOvr6wDy8vIAFRUV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wMDAAcHBwAEBAQA9fX1AP39&#10;/QAAAAAAAAAAAAAAAAAAAAAAAAAAAP7+/gD5+fkA/Pz8AAwMDAALCwsAODg4APz8/ADv7+8A9/f3&#10;APv7+wAFBQU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EBAQADAwMABQUFAAICAgD9/f0A/v7+AAAAAAAAAAAAAAAAAAAAAAAAAAAAAAAAAAAA&#10;AAAAAAAAAQEBABwcHAAREREA/Pz8AP///w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QEBAAEBAQAAAAAA////AAAAAAAAAAAAAAAAAAAAAAAAAAAAAAAA&#10;AAAAAAD///8A////AAEBAQACAgIAAwMDAAEBAQ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EBAQACAgIAAAAAAP39/QD9/f0A////AAAAAAAAAAAA&#10;AAAAAAAAAAD///8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EBAQABAQEAAQEBAAAAAAD9/f0A////AAAAAAAA&#10;AAAAAAAAAAAAAAD+/v4A9vb2APj4+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QEBAAEBAQAAAAAAAAAAAAAA&#10;AAAAAAAAAAAAAAAAAAAAAAAAAAAAAP///wD///8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QEBAAYGBgALCwsAAgIC&#10;APX19QD4+PgA/v7+AAAAAAAAAAAAAAAAAP39/QDu7u4A8PDwAP///w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ICAgAICAgA&#10;DAwMAAICAgD09PQA+Pj4AP///wAAAAAAAAAAAAAAAAD6+voA4ODgAOTk5AD+/v4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wMDAAYGBgABAQEA+vr6APz8/AD///8AAAAAAAAAAAAAAAAA+vr6ANnZ2QDa2toA+Pj4APv7&#10;+wD9/f0A/v7+AAICAgACAgI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ICAgAAAAAA////AAEBAQAAAAAAAAAAAAAAAAD9/f0A3t7eAMHBwQABAQEAGRkZAAsLCwACAgI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EBAQAAAAAAAAAAAAAAAAAAAAAAAQEBAAAAAAAAAAAA/f39ANra2gDp6ekAExMTADU1NQAK&#10;Cgo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QEBAAAAAAAAAAAAAAAAAAAAAAAAAAAAAAAAAAAAAAD+/v4A/Pz8AP7+&#10;/gD///8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BAQEABgYGAA4ODgAFBQUA+vr6AP39/QAAAAAAAAAAAAAAAAAAAAAA9/f3&#10;APr6+gDg4OAA4+PjAA0NDQAFBQU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cHBwAQEBAABgYGAPn5+QD8/PwAAAAAAAAAAAAAAAAA&#10;AAAAAP39/QD6+voA4+PjAN7e3gD19fU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CAgIABQUFAAICAgD9/f0A////AAAAAAAA&#10;AAAAAAAAAAAAAAAAAAAAAAAAAOPj4wDZ2dkA8/PzAP///w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BAQEAAQEBAAEBAQAGBgYACgoKAAQE&#10;BAAAAAAAAAAAAAAAAAAAAAAAAAAAAAAAAADr6+sA0NDQANTU1ADx8fE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BwcH&#10;AAwMDAAEBAQAAAAAAAAAAAAAAAAAAAAAAAAAAAAAAAAA+vr6AN/f3wDX19cA8fHx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BAQEAAQEBAAICAg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ICAgADAwMAAQEB&#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XWyv6QAABmJ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LIBMlP/DCM&#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">
                <v:fill type="frame" on="t" o:title="风玫瑰图" focussize="0,0" recolor="t" r:id="rId25"/>
                <v:stroke on="f"/>
                <v:imagedata o:title=""/>
                <o:lock v:ext="edit" aspectratio="f"/>
              </v:rect>
            </w:pict>
          </mc:Fallback>
        </mc:AlternateContent>
      </w:r>
      <w:r>
        <w:drawing>
          <wp:inline distT="0" distB="0" distL="114300" distR="114300">
            <wp:extent cx="8292465" cy="4993005"/>
            <wp:effectExtent l="0" t="0" r="13335" b="1714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9"/>
                    <a:stretch>
                      <a:fillRect/>
                    </a:stretch>
                  </pic:blipFill>
                  <pic:spPr>
                    <a:xfrm>
                      <a:off x="0" y="0"/>
                      <a:ext cx="8292465" cy="4993005"/>
                    </a:xfrm>
                    <a:prstGeom prst="rect">
                      <a:avLst/>
                    </a:prstGeom>
                    <a:noFill/>
                    <a:ln>
                      <a:noFill/>
                    </a:ln>
                  </pic:spPr>
                </pic:pic>
              </a:graphicData>
            </a:graphic>
          </wp:inline>
        </w:drawing>
      </w:r>
    </w:p>
    <w:p>
      <w:pPr>
        <w:pStyle w:val="5"/>
        <w:bidi w:val="0"/>
        <w:outlineLvl w:val="0"/>
        <w:rPr>
          <w:rFonts w:hint="default"/>
          <w:lang w:val="en-US" w:eastAsia="zh-CN"/>
        </w:rPr>
      </w:pPr>
      <w:bookmarkStart w:id="21" w:name="_Toc27684"/>
      <w:r>
        <w:rPr>
          <w:rFonts w:hint="eastAsia"/>
          <w:lang w:val="en-US" w:eastAsia="zh-CN"/>
        </w:rPr>
        <w:t>附图4  声环境现状监测布点图</w:t>
      </w:r>
      <w:bookmarkEnd w:id="21"/>
    </w:p>
    <w:p>
      <w:pPr>
        <w:bidi w:val="0"/>
        <w:jc w:val="center"/>
        <w:rPr>
          <w:rFonts w:hint="eastAsia" w:eastAsia="宋体"/>
          <w:lang w:eastAsia="zh-CN"/>
        </w:rPr>
      </w:pPr>
      <w:r>
        <w:rPr>
          <w:sz w:val="21"/>
        </w:rPr>
        <mc:AlternateContent>
          <mc:Choice Requires="wps">
            <w:drawing>
              <wp:anchor distT="0" distB="0" distL="114300" distR="114300" simplePos="0" relativeHeight="251677696" behindDoc="0" locked="0" layoutInCell="1" allowOverlap="1">
                <wp:simplePos x="0" y="0"/>
                <wp:positionH relativeFrom="column">
                  <wp:posOffset>5189220</wp:posOffset>
                </wp:positionH>
                <wp:positionV relativeFrom="paragraph">
                  <wp:posOffset>3263900</wp:posOffset>
                </wp:positionV>
                <wp:extent cx="2433320" cy="1533525"/>
                <wp:effectExtent l="4445" t="4445" r="19685" b="5080"/>
                <wp:wrapNone/>
                <wp:docPr id="122" name="文本框 122"/>
                <wp:cNvGraphicFramePr/>
                <a:graphic xmlns:a="http://schemas.openxmlformats.org/drawingml/2006/main">
                  <a:graphicData uri="http://schemas.microsoft.com/office/word/2010/wordprocessingShape">
                    <wps:wsp>
                      <wps:cNvSpPr txBox="1"/>
                      <wps:spPr>
                        <a:xfrm>
                          <a:off x="6261735" y="4935220"/>
                          <a:ext cx="2433320" cy="15335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420" w:firstLineChars="200"/>
                              <w:rPr>
                                <w:rFonts w:hint="eastAsia"/>
                                <w:sz w:val="21"/>
                                <w:szCs w:val="21"/>
                                <w:lang w:val="en-US" w:eastAsia="zh-CN"/>
                              </w:rPr>
                            </w:pPr>
                            <w:r>
                              <w:rPr>
                                <w:rFonts w:hint="eastAsia"/>
                                <w:sz w:val="21"/>
                                <w:szCs w:val="21"/>
                                <w:lang w:val="en-US" w:eastAsia="zh-CN"/>
                              </w:rPr>
                              <w:t>声环境现状监测布点一览表</w:t>
                            </w:r>
                          </w:p>
                          <w:tbl>
                            <w:tblPr>
                              <w:tblStyle w:val="7"/>
                              <w:tblW w:w="37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
                              <w:gridCol w:w="1032"/>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tcBorders>
                                    <w:left w:val="nil"/>
                                  </w:tcBorders>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类别</w:t>
                                  </w:r>
                                </w:p>
                              </w:tc>
                              <w:tc>
                                <w:tcPr>
                                  <w:tcW w:w="1032" w:type="dxa"/>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编号</w:t>
                                  </w:r>
                                </w:p>
                              </w:tc>
                              <w:tc>
                                <w:tcPr>
                                  <w:tcW w:w="1676" w:type="dxa"/>
                                  <w:tcBorders>
                                    <w:right w:val="nil"/>
                                  </w:tcBorders>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tcBorders>
                                    <w:left w:val="nil"/>
                                  </w:tcBorders>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声环境</w:t>
                                  </w:r>
                                </w:p>
                              </w:tc>
                              <w:tc>
                                <w:tcPr>
                                  <w:tcW w:w="1032" w:type="dxa"/>
                                  <w:noWrap w:val="0"/>
                                  <w:vAlign w:val="center"/>
                                </w:tcPr>
                                <w:p>
                                  <w:pPr>
                                    <w:ind w:left="0" w:leftChars="0" w:firstLine="0" w:firstLineChars="0"/>
                                    <w:jc w:val="center"/>
                                    <w:rPr>
                                      <w:rFonts w:hint="default"/>
                                      <w:sz w:val="21"/>
                                      <w:szCs w:val="21"/>
                                      <w:vertAlign w:val="baseline"/>
                                      <w:lang w:val="en-US" w:eastAsia="zh-CN"/>
                                    </w:rPr>
                                  </w:pPr>
                                  <w:r>
                                    <w:rPr>
                                      <w:rFonts w:hint="eastAsia" w:ascii="Times New Roman" w:hAnsi="Times New Roman"/>
                                      <w:sz w:val="21"/>
                                      <w:szCs w:val="21"/>
                                      <w:vertAlign w:val="baseline"/>
                                      <w:lang w:val="en-US" w:eastAsia="zh-CN"/>
                                    </w:rPr>
                                    <w:t>N1</w:t>
                                  </w:r>
                                </w:p>
                              </w:tc>
                              <w:tc>
                                <w:tcPr>
                                  <w:tcW w:w="1676" w:type="dxa"/>
                                  <w:tcBorders>
                                    <w:right w:val="nil"/>
                                  </w:tcBorders>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厂界南侧</w:t>
                                  </w:r>
                                  <w:r>
                                    <w:rPr>
                                      <w:rFonts w:hint="eastAsia" w:ascii="Times New Roman" w:hAnsi="Times New Roman"/>
                                      <w:sz w:val="21"/>
                                      <w:szCs w:val="21"/>
                                      <w:vertAlign w:val="baseline"/>
                                      <w:lang w:val="en-US" w:eastAsia="zh-CN"/>
                                    </w:rPr>
                                    <w:t>20m</w:t>
                                  </w:r>
                                  <w:r>
                                    <w:rPr>
                                      <w:rFonts w:hint="eastAsia"/>
                                      <w:sz w:val="21"/>
                                      <w:szCs w:val="21"/>
                                      <w:vertAlign w:val="baseline"/>
                                      <w:lang w:val="en-US" w:eastAsia="zh-CN"/>
                                    </w:rPr>
                                    <w:t>处松木塘安置房</w:t>
                                  </w:r>
                                </w:p>
                              </w:tc>
                            </w:tr>
                          </w:tbl>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8.6pt;margin-top:257pt;height:120.75pt;width:191.6pt;z-index:251677696;mso-width-relative:page;mso-height-relative:page;" fillcolor="#FFFFFF [3201]" filled="t" stroked="t" coordsize="21600,21600" o:gfxdata="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C9P6dgAAAAMAQAADwAAAAAAAAABACAAAAAiAAAAZHJzL2Rvd25yZXYueG1sUEsBAhQA&#10;FAAAAAgAh07iQBewH/1kAgAAyAQAAA4AAAAAAAAAAQAgAAAAJwEAAGRycy9lMm9Eb2MueG1sUEsF&#10;BgAAAAAGAAYAWQEAAP0FAAAAAA==&#10;">
                <v:fill on="t" focussize="0,0"/>
                <v:stroke weight="0.5pt" color="#000000 [3204]" joinstyle="round"/>
                <v:imagedata o:title=""/>
                <o:lock v:ext="edit" aspectratio="f"/>
                <v:textbox>
                  <w:txbxContent>
                    <w:p>
                      <w:pPr>
                        <w:ind w:firstLine="420" w:firstLineChars="200"/>
                        <w:rPr>
                          <w:rFonts w:hint="eastAsia"/>
                          <w:sz w:val="21"/>
                          <w:szCs w:val="21"/>
                          <w:lang w:val="en-US" w:eastAsia="zh-CN"/>
                        </w:rPr>
                      </w:pPr>
                      <w:r>
                        <w:rPr>
                          <w:rFonts w:hint="eastAsia"/>
                          <w:sz w:val="21"/>
                          <w:szCs w:val="21"/>
                          <w:lang w:val="en-US" w:eastAsia="zh-CN"/>
                        </w:rPr>
                        <w:t>声环境现状监测布点一览表</w:t>
                      </w:r>
                    </w:p>
                    <w:tbl>
                      <w:tblPr>
                        <w:tblStyle w:val="7"/>
                        <w:tblW w:w="37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
                        <w:gridCol w:w="1032"/>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tcBorders>
                              <w:left w:val="nil"/>
                            </w:tcBorders>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类别</w:t>
                            </w:r>
                          </w:p>
                        </w:tc>
                        <w:tc>
                          <w:tcPr>
                            <w:tcW w:w="1032" w:type="dxa"/>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编号</w:t>
                            </w:r>
                          </w:p>
                        </w:tc>
                        <w:tc>
                          <w:tcPr>
                            <w:tcW w:w="1676" w:type="dxa"/>
                            <w:tcBorders>
                              <w:right w:val="nil"/>
                            </w:tcBorders>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2" w:type="dxa"/>
                            <w:tcBorders>
                              <w:left w:val="nil"/>
                            </w:tcBorders>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声环境</w:t>
                            </w:r>
                          </w:p>
                        </w:tc>
                        <w:tc>
                          <w:tcPr>
                            <w:tcW w:w="1032" w:type="dxa"/>
                            <w:noWrap w:val="0"/>
                            <w:vAlign w:val="center"/>
                          </w:tcPr>
                          <w:p>
                            <w:pPr>
                              <w:ind w:left="0" w:leftChars="0" w:firstLine="0" w:firstLineChars="0"/>
                              <w:jc w:val="center"/>
                              <w:rPr>
                                <w:rFonts w:hint="default"/>
                                <w:sz w:val="21"/>
                                <w:szCs w:val="21"/>
                                <w:vertAlign w:val="baseline"/>
                                <w:lang w:val="en-US" w:eastAsia="zh-CN"/>
                              </w:rPr>
                            </w:pPr>
                            <w:r>
                              <w:rPr>
                                <w:rFonts w:hint="eastAsia" w:ascii="Times New Roman" w:hAnsi="Times New Roman"/>
                                <w:sz w:val="21"/>
                                <w:szCs w:val="21"/>
                                <w:vertAlign w:val="baseline"/>
                                <w:lang w:val="en-US" w:eastAsia="zh-CN"/>
                              </w:rPr>
                              <w:t>N1</w:t>
                            </w:r>
                          </w:p>
                        </w:tc>
                        <w:tc>
                          <w:tcPr>
                            <w:tcW w:w="1676" w:type="dxa"/>
                            <w:tcBorders>
                              <w:right w:val="nil"/>
                            </w:tcBorders>
                            <w:noWrap w:val="0"/>
                            <w:vAlign w:val="center"/>
                          </w:tcPr>
                          <w:p>
                            <w:pPr>
                              <w:ind w:left="0" w:leftChars="0" w:firstLine="0" w:firstLineChars="0"/>
                              <w:jc w:val="center"/>
                              <w:rPr>
                                <w:rFonts w:hint="default"/>
                                <w:sz w:val="21"/>
                                <w:szCs w:val="21"/>
                                <w:vertAlign w:val="baseline"/>
                                <w:lang w:val="en-US" w:eastAsia="zh-CN"/>
                              </w:rPr>
                            </w:pPr>
                            <w:r>
                              <w:rPr>
                                <w:rFonts w:hint="eastAsia"/>
                                <w:sz w:val="21"/>
                                <w:szCs w:val="21"/>
                                <w:vertAlign w:val="baseline"/>
                                <w:lang w:val="en-US" w:eastAsia="zh-CN"/>
                              </w:rPr>
                              <w:t>厂界南侧</w:t>
                            </w:r>
                            <w:r>
                              <w:rPr>
                                <w:rFonts w:hint="eastAsia" w:ascii="Times New Roman" w:hAnsi="Times New Roman"/>
                                <w:sz w:val="21"/>
                                <w:szCs w:val="21"/>
                                <w:vertAlign w:val="baseline"/>
                                <w:lang w:val="en-US" w:eastAsia="zh-CN"/>
                              </w:rPr>
                              <w:t>20m</w:t>
                            </w:r>
                            <w:r>
                              <w:rPr>
                                <w:rFonts w:hint="eastAsia"/>
                                <w:sz w:val="21"/>
                                <w:szCs w:val="21"/>
                                <w:vertAlign w:val="baseline"/>
                                <w:lang w:val="en-US" w:eastAsia="zh-CN"/>
                              </w:rPr>
                              <w:t>处松木塘安置房</w:t>
                            </w:r>
                          </w:p>
                        </w:tc>
                      </w:tr>
                    </w:tbl>
                    <w:p/>
                  </w:txbxContent>
                </v:textbox>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6066790</wp:posOffset>
                </wp:positionH>
                <wp:positionV relativeFrom="paragraph">
                  <wp:posOffset>2306320</wp:posOffset>
                </wp:positionV>
                <wp:extent cx="297180" cy="253365"/>
                <wp:effectExtent l="4445" t="4445" r="22225" b="8890"/>
                <wp:wrapNone/>
                <wp:docPr id="121" name="文本框 121"/>
                <wp:cNvGraphicFramePr/>
                <a:graphic xmlns:a="http://schemas.openxmlformats.org/drawingml/2006/main">
                  <a:graphicData uri="http://schemas.microsoft.com/office/word/2010/wordprocessingShape">
                    <wps:wsp>
                      <wps:cNvSpPr txBox="1"/>
                      <wps:spPr>
                        <a:xfrm>
                          <a:off x="6981190" y="3767455"/>
                          <a:ext cx="297180" cy="253365"/>
                        </a:xfrm>
                        <a:prstGeom prst="rect">
                          <a:avLst/>
                        </a:prstGeom>
                        <a:blipFill rotWithShape="1">
                          <a:blip r:embed="rId30"/>
                          <a:stretch>
                            <a:fillRect/>
                          </a:stretch>
                        </a:blip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7.7pt;margin-top:181.6pt;height:19.95pt;width:23.4pt;z-index:251676672;mso-width-relative:page;mso-height-relative:page;" filled="t" stroked="t" coordsize="21600,21600" o:gfxdata="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">
                <v:fill type="frame" on="t" focussize="0,0" recolor="t" rotate="t" r:id="rId30"/>
                <v:stroke weight="0.5pt" color="#000000 [3204]" joinstyle="round"/>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6045835</wp:posOffset>
                </wp:positionH>
                <wp:positionV relativeFrom="paragraph">
                  <wp:posOffset>1903730</wp:posOffset>
                </wp:positionV>
                <wp:extent cx="381000" cy="264795"/>
                <wp:effectExtent l="4445" t="4445" r="14605" b="16510"/>
                <wp:wrapNone/>
                <wp:docPr id="119" name="文本框 119"/>
                <wp:cNvGraphicFramePr/>
                <a:graphic xmlns:a="http://schemas.openxmlformats.org/drawingml/2006/main">
                  <a:graphicData uri="http://schemas.microsoft.com/office/word/2010/wordprocessingShape">
                    <wps:wsp>
                      <wps:cNvSpPr txBox="1"/>
                      <wps:spPr>
                        <a:xfrm>
                          <a:off x="6960235" y="3364865"/>
                          <a:ext cx="381000" cy="264795"/>
                        </a:xfrm>
                        <a:prstGeom prst="rect">
                          <a:avLst/>
                        </a:prstGeom>
                        <a:solidFill>
                          <a:srgbClr val="0070C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6.05pt;margin-top:149.9pt;height:20.85pt;width:30pt;z-index:251675648;mso-width-relative:page;mso-height-relative:page;" fillcolor="#0070C0" filled="t" stroked="t" coordsize="21600,21600" o:gfxdata="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oiq+doAAAAMAQAADwAAAAAAAAABACAAAAAiAAAAZHJzL2Rvd25yZXYueG1s&#10;UEsBAhQAFAAAAAgAh07iQOe2p6RoAgAAxwQAAA4AAAAAAAAAAQAgAAAAKQEAAGRycy9lMm9Eb2Mu&#10;eG1sUEsFBgAAAAAGAAYAWQEAAAMGAAAAAA==&#10;">
                <v:fill on="t" focussize="0,0"/>
                <v:stroke weight="0.5pt" color="#FF0000 [3204]" joinstyle="round"/>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5760085</wp:posOffset>
                </wp:positionH>
                <wp:positionV relativeFrom="paragraph">
                  <wp:posOffset>1463675</wp:posOffset>
                </wp:positionV>
                <wp:extent cx="1830705" cy="1492250"/>
                <wp:effectExtent l="4445" t="4445" r="12700" b="8255"/>
                <wp:wrapNone/>
                <wp:docPr id="87" name="文本框 87"/>
                <wp:cNvGraphicFramePr/>
                <a:graphic xmlns:a="http://schemas.openxmlformats.org/drawingml/2006/main">
                  <a:graphicData uri="http://schemas.microsoft.com/office/word/2010/wordprocessingShape">
                    <wps:wsp>
                      <wps:cNvSpPr txBox="1"/>
                      <wps:spPr>
                        <a:xfrm>
                          <a:off x="6674485" y="2924810"/>
                          <a:ext cx="1830705" cy="1492250"/>
                        </a:xfrm>
                        <a:prstGeom prst="rect">
                          <a:avLst/>
                        </a:prstGeom>
                        <a:solidFill>
                          <a:schemeClr val="bg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sz w:val="28"/>
                                <w:szCs w:val="28"/>
                                <w:lang w:val="en-US" w:eastAsia="zh-CN"/>
                              </w:rPr>
                            </w:pPr>
                            <w:r>
                              <w:rPr>
                                <w:rFonts w:hint="eastAsia"/>
                                <w:b/>
                                <w:bCs/>
                                <w:sz w:val="28"/>
                                <w:szCs w:val="28"/>
                                <w:lang w:val="en-US" w:eastAsia="zh-CN"/>
                              </w:rPr>
                              <w:t>图例</w:t>
                            </w:r>
                          </w:p>
                          <w:p>
                            <w:pPr>
                              <w:jc w:val="center"/>
                              <w:rPr>
                                <w:rFonts w:hint="eastAsia"/>
                                <w:b w:val="0"/>
                                <w:bCs w:val="0"/>
                                <w:sz w:val="24"/>
                                <w:szCs w:val="24"/>
                                <w:lang w:val="en-US" w:eastAsia="zh-CN"/>
                              </w:rPr>
                            </w:pPr>
                            <w:r>
                              <w:rPr>
                                <w:rFonts w:hint="eastAsia"/>
                                <w:b w:val="0"/>
                                <w:bCs w:val="0"/>
                                <w:sz w:val="24"/>
                                <w:szCs w:val="24"/>
                                <w:lang w:val="en-US" w:eastAsia="zh-CN"/>
                              </w:rPr>
                              <w:t xml:space="preserve">          项目厂界</w:t>
                            </w:r>
                          </w:p>
                          <w:p>
                            <w:pPr>
                              <w:jc w:val="both"/>
                              <w:rPr>
                                <w:rFonts w:hint="default"/>
                                <w:b w:val="0"/>
                                <w:bCs w:val="0"/>
                                <w:sz w:val="24"/>
                                <w:szCs w:val="24"/>
                                <w:lang w:val="en-US" w:eastAsia="zh-CN"/>
                              </w:rPr>
                            </w:pPr>
                            <w:r>
                              <w:rPr>
                                <w:rFonts w:hint="eastAsia"/>
                                <w:b w:val="0"/>
                                <w:bCs w:val="0"/>
                                <w:sz w:val="24"/>
                                <w:szCs w:val="24"/>
                                <w:lang w:val="en-US" w:eastAsia="zh-CN"/>
                              </w:rPr>
                              <w:t xml:space="preserve">        声环境监测点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55pt;margin-top:115.25pt;height:117.5pt;width:144.15pt;z-index:251674624;mso-width-relative:page;mso-height-relative:page;" fillcolor="#FFFFFF [3212]" filled="t" stroked="t" coordsize="21600,21600" o:gfxdata="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Kn/H/ZAAAADAEAAA8AAAAAAAAAAQAgAAAAIgAAAGRycy9kb3ducmV2LnhtbFBL&#10;AQIUABQAAAAIAIdO4kAFjIHGZwIAAMYEAAAOAAAAAAAAAAEAIAAAACgBAABkcnMvZTJvRG9jLnht&#10;bFBLBQYAAAAABgAGAFkBAAABBgAAAAA=&#10;">
                <v:fill on="t" focussize="0,0"/>
                <v:stroke weight="0.5pt" color="#000000 [3204]" joinstyle="round"/>
                <v:imagedata o:title=""/>
                <o:lock v:ext="edit" aspectratio="f"/>
                <v:textbox>
                  <w:txbxContent>
                    <w:p>
                      <w:pPr>
                        <w:jc w:val="center"/>
                        <w:rPr>
                          <w:rFonts w:hint="eastAsia"/>
                          <w:b/>
                          <w:bCs/>
                          <w:sz w:val="28"/>
                          <w:szCs w:val="28"/>
                          <w:lang w:val="en-US" w:eastAsia="zh-CN"/>
                        </w:rPr>
                      </w:pPr>
                      <w:r>
                        <w:rPr>
                          <w:rFonts w:hint="eastAsia"/>
                          <w:b/>
                          <w:bCs/>
                          <w:sz w:val="28"/>
                          <w:szCs w:val="28"/>
                          <w:lang w:val="en-US" w:eastAsia="zh-CN"/>
                        </w:rPr>
                        <w:t>图例</w:t>
                      </w:r>
                    </w:p>
                    <w:p>
                      <w:pPr>
                        <w:jc w:val="center"/>
                        <w:rPr>
                          <w:rFonts w:hint="eastAsia"/>
                          <w:b w:val="0"/>
                          <w:bCs w:val="0"/>
                          <w:sz w:val="24"/>
                          <w:szCs w:val="24"/>
                          <w:lang w:val="en-US" w:eastAsia="zh-CN"/>
                        </w:rPr>
                      </w:pPr>
                      <w:r>
                        <w:rPr>
                          <w:rFonts w:hint="eastAsia"/>
                          <w:b w:val="0"/>
                          <w:bCs w:val="0"/>
                          <w:sz w:val="24"/>
                          <w:szCs w:val="24"/>
                          <w:lang w:val="en-US" w:eastAsia="zh-CN"/>
                        </w:rPr>
                        <w:t xml:space="preserve">          项目厂界</w:t>
                      </w:r>
                    </w:p>
                    <w:p>
                      <w:pPr>
                        <w:jc w:val="both"/>
                        <w:rPr>
                          <w:rFonts w:hint="default"/>
                          <w:b w:val="0"/>
                          <w:bCs w:val="0"/>
                          <w:sz w:val="24"/>
                          <w:szCs w:val="24"/>
                          <w:lang w:val="en-US" w:eastAsia="zh-CN"/>
                        </w:rPr>
                      </w:pPr>
                      <w:r>
                        <w:rPr>
                          <w:rFonts w:hint="eastAsia"/>
                          <w:b w:val="0"/>
                          <w:bCs w:val="0"/>
                          <w:sz w:val="24"/>
                          <w:szCs w:val="24"/>
                          <w:lang w:val="en-US" w:eastAsia="zh-CN"/>
                        </w:rPr>
                        <w:t xml:space="preserve">        声环境监测点</w:t>
                      </w:r>
                    </w:p>
                  </w:txbxContent>
                </v:textbox>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1276985</wp:posOffset>
                </wp:positionH>
                <wp:positionV relativeFrom="paragraph">
                  <wp:posOffset>4149090</wp:posOffset>
                </wp:positionV>
                <wp:extent cx="625475" cy="614680"/>
                <wp:effectExtent l="4445" t="4445" r="17780" b="9525"/>
                <wp:wrapNone/>
                <wp:docPr id="86" name="文本框 86"/>
                <wp:cNvGraphicFramePr/>
                <a:graphic xmlns:a="http://schemas.openxmlformats.org/drawingml/2006/main">
                  <a:graphicData uri="http://schemas.microsoft.com/office/word/2010/wordprocessingShape">
                    <wps:wsp>
                      <wps:cNvSpPr txBox="1"/>
                      <wps:spPr>
                        <a:xfrm>
                          <a:off x="0" y="0"/>
                          <a:ext cx="625475" cy="614680"/>
                        </a:xfrm>
                        <a:prstGeom prst="rect">
                          <a:avLst/>
                        </a:prstGeom>
                        <a:blipFill rotWithShape="1">
                          <a:blip r:embed="rId28"/>
                          <a:stretch>
                            <a:fillRect/>
                          </a:stretch>
                        </a:blip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55pt;margin-top:326.7pt;height:48.4pt;width:49.25pt;z-index:251673600;mso-width-relative:page;mso-height-relative:page;" filled="t" stroked="t" coordsize="21600,21600" o:gfxdata="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">
                <v:fill type="frame" on="t" focussize="0,0" recolor="t" rotate="t" r:id="rId28"/>
                <v:stroke weight="0.5pt" color="#000000 [3204]" joinstyle="round"/>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6842760</wp:posOffset>
                </wp:positionH>
                <wp:positionV relativeFrom="paragraph">
                  <wp:posOffset>33020</wp:posOffset>
                </wp:positionV>
                <wp:extent cx="753110" cy="824865"/>
                <wp:effectExtent l="0" t="0" r="8890" b="13335"/>
                <wp:wrapNone/>
                <wp:docPr id="85" name="矩形 85" descr="风玫瑰图"/>
                <wp:cNvGraphicFramePr/>
                <a:graphic xmlns:a="http://schemas.openxmlformats.org/drawingml/2006/main">
                  <a:graphicData uri="http://schemas.microsoft.com/office/word/2010/wordprocessingShape">
                    <wps:wsp>
                      <wps:cNvSpPr/>
                      <wps:spPr>
                        <a:xfrm>
                          <a:off x="0" y="0"/>
                          <a:ext cx="753110" cy="824865"/>
                        </a:xfrm>
                        <a:prstGeom prst="rect">
                          <a:avLst/>
                        </a:prstGeom>
                        <a:blipFill rotWithShape="0">
                          <a:blip r:embed="rId25"/>
                          <a:stretch>
                            <a:fillRect/>
                          </a:stretch>
                        </a:blipFill>
                        <a:ln>
                          <a:noFill/>
                        </a:ln>
                      </wps:spPr>
                      <wps:bodyPr upright="1"/>
                    </wps:wsp>
                  </a:graphicData>
                </a:graphic>
              </wp:anchor>
            </w:drawing>
          </mc:Choice>
          <mc:Fallback>
            <w:pict>
              <v:rect id="_x0000_s1026" o:spid="_x0000_s1026" o:spt="1" alt="风玫瑰图" style="position:absolute;left:0pt;margin-left:538.8pt;margin-top:2.6pt;height:64.95pt;width:59.3pt;z-index:251672576;mso-width-relative:page;mso-height-relative:page;" filled="t" stroked="f" coordsize="21600,21600" o:gfxdata="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B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39&#10;APX19QDs7OwA/Pz8AP///w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39wDk5OQA1NTUAN/f3wDq6uoA/Pz8AAoK&#10;CgAeHh4AEBAQAAYGBgAEBAQAAQEBAAEBAQ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D///8A9/f3APv7+wDd3d0Arq6uALS0tADp6ekA7+/v&#10;AP39/QAwMDAAUVFRACgoKAAODg4ACwsLAAEBAQ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AAAAAA+Pj4AMfHxwDh4eEAxsbGAL29vQDm5uYA&#10;/Pz8AAICAgAUFBQAW1tbACkpKQANDQ0ACgoKAAQEB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Pj4AL6+vgCZmZkA19fXAO7u7gDz&#10;8/MA/f39AAAAAAAPDw8AWVlZAEFBQQAJCQkACQkJAAkJCQABAQEAAQEB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f0A7e3tALOzswCnp6cAzs7OAPT0&#10;9AD9/f0A////AAAAAAAPDw8AREREAF1dXQANDQ0AAwMDAAkJCQACAgI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5+fkA4eHhALa2tgCsrKwA09PT&#10;APT09AD///8AAAAAAAsLCwASEhIAIiIiAFpaWgAgICAA8fHxAAsLCwAICAgAAgIC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X19QDy8vIA4+PjALm5uQC0tLQA&#10;1dXVAPb29gAAAAAAAAAAAAYGBgArKysAPz8/ACUlJQAzMzMA+Pj4AAUFBQAJCQkAAwMDAAAAAAAB&#10;AQE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4+PgA7u7uAODg4ADM&#10;zMwA2traAPb29gAAAAAAAAAAAAAAAAAEBAQAGxsbADg4OAA1NTUADg4OAPb29gAFBQUABAQEAAAA&#10;AAABAQE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6enpAMnJ&#10;yQDX19cA5eXlAPn5+QAAAAAAAAAAAAEBAQABAQEAFxcXACMjIwAaGhoAERERAAICAgD///8ABAQE&#10;AAICAg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A9fX1&#10;AMnJyQCZmZkA4ODgAPHx8QD6+voAAAAAAAAAAAAREREACwsLAD4+PgBISEgAKioqAAcHBwDz8/MA&#10;BQUFAAgICAAEBAQ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7+AN3d3QDOzs4A39/fAOzs7AAAAAAAAAAAAAAAAAAAAAAAKSkpACMjIwBBQUEAKioqAAoKCgD3&#10;9/cA6urqABsbGwAICAgAAAAAAAEBAQ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D///8AAAAAAAAAAAAA&#10;AAAA/v7+APv7+wD5+fkA+/v7AP7+/gAAAAAAAAAAAAAAAAAAAAAABAQEAAcHBwAICAgABwcHAAMD&#10;AwD///8A////AP///wABAQEAAQEB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v7+APr6&#10;+gD9/f0A/f39AL+/vwCnp6cA0NDQAOnp6QD09PQAAAAAAAAAAAACAgIAFRUVAGBgYABWVlYAGBgY&#10;AAwMDAD5+fkA2dnZAAEBAQAcHBwACgoK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D///8A////AP39/QDz8/MA5ubmAOXl5QD29vYAAAAAAAAAAAAAAAAAAAAAAAMDAwATExMA&#10;FhYWABUVFQADAwMA+fn5APr6+gACAgIABAQEAAICAg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BAQEA&#10;BQUFAP///wDg4OAA2traAOLi4gD4+PgABgYGABAQEAANDQ0AAgICAAEBAQAAAAAAAAAAAAAAAAAA&#10;AAAAAAAAAP7+/gD5+fkA+/v7AAMDAwAHBwcAHh4eACYmJgAREREAAgICAAEBAQAAAAAAAAAAAAAA&#10;AAAAAAAA+vr6APn5+QD///8AAQEBAAEBAQ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ICAgAEBAQA9/f3ANHR0QD29vYAMjIyAAoKCgAODg4AEBAQAAkJCQD7+/sA+vr6AAAA&#10;AAAAAAAAAAAAAAAAAAD8/PwA8PDwAPf39wAfHx8AISEhACsrKwAUFBQABAQEAAEBAQAAAAAAAAAA&#10;AAAAAAAAAAAA/f39AP39/QD///8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CAgIACgoKAPr6+gC4uLgA4uLiAEFBQQAYGBgAGxsbACMjIwAbGxsA8fHx&#10;AOnp6QAAAAAAAQEBAP///wD9/f0A8/PzAN3d3QD5+fkAR0dHAEdHRwAfHx8AHR0dAAUFBQAAAAAA&#10;AAAAAAAAAAD///8AAAAAAPb29gD8/PwABgYGAAEBAQ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BAQEAAgICAA0NDQASEhIA9PT0AOfn5wDY2NgA8PDwABEREQAmJiYA&#10;LS0tABoaGgABAQEAAAAAAAAAAAD+/v4A9/f3AO3t7QDj4+MAGhoaAElJSQA8PDwAJCQkAAgICAAA&#10;AAAA/v7+AP39/QD9/f0A/f39APPz8wDp6ekA+/v7AAkJCQADAwM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EBAQASEhIAIiIiAMbGxgDl5eUAsbGxABcXFwA0&#10;NDQAKSkpAPn5+QAHBwcA1NTUAP///wAAAAAA+vr6AO/v7wDm5uYA6urqACsrKwA5OTkADQ0NAAEB&#10;AQAAAAAA/v7+APn5+QD29vYA+/v7AP7+/gDR0dEA+Pj4ACsrKwAEBAQAAQEB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CAgIADQ0NABcXFwACAgIA9PT0AMnJ&#10;yQAMDAwABQUFACsrKwAMDAwA8PDwALu7uwD5+fkAAgICAO/v7wDq6uoAzs7OAOHh4QAsLCwADQ0N&#10;AAEBAQABAQEA+vr6AOPj4wDBwcEAubm5AOTk5AABAQEAFBQUAFdXVwATExMABgYGAAEBAQ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ICAgADAwMAAQEB&#10;AP///wD5+fkA9fX1APn5+QAEBAQABwcHAAQEBAADAwMAAgICAAAAAAD+/v4A+vr6APj4+AD8/PwA&#10;AQEBAAICAgAAAAAAAAAAAP///wD8/PwA9PT0AOzs7ADp6ekAAgICAAcHBwAAAAAAAwMD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EBAQAKCgoA&#10;FBQUAAQEBAACAgIA9/f3ANnZ2QDHx8cAHBwcAB0dHQAYGBgAIiIiAOzs7AADAwMA8fHxAODg4ADX&#10;19cA8/PzAAMDAwD6+voA+vr6AO3t7QDOzs4AwsLCAM/PzwDl5eUA+Pj4AAQEBAAsLCwAJycnAAkJ&#10;CQABAQE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B&#10;AQEADAwMABwcHAAUFBQA////APT09ADk5OQAwMDAABQUFAA6OjoAAgICADg4OADb29sAAwMDAOrq&#10;6gDW1tYA3d3dABsbGwD8/PwAurq6AN/f3wDk5OQAz8/PANnZ2QD+/v4AIyMjABQUFAAEBAQAPT09&#10;ACEhIQAGBgY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BAQEAAAAAAAQEBAD8/PwA0dHRANXV1QDz8/MABwcH&#10;ABEREQACAgIA/f39ABISEgAhISEA////AL6+vgCqqqoAEBAQAE1NTQArKysAAwMD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P7+/gDw8PAA0NDQALu7uwDZ2dkA&#10;ICAgAC4uLgAKCgoA6urqAOLi4gDd3d0ACgoKACQkJADX19cAzMzMAAUFBQAmJiYA6urqABYWFgAI&#10;CAg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9/f3AOPj4wDi&#10;4uIA9PT0ABEREQA7OzsAKSkpAAoKCgDy8vIA0tLSANLS0gACAgIAEhISAPz8/AD19fUA4+PjAOLi&#10;4gD39/c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QEBAAIC&#10;AgACAgIAAwMDAAYGBgATExMAJycnABsbGwAGBgYA+fn5AOrq6gDm5uYA8/PzAAICAgACAgIAAAAA&#10;APLy8gDu7u4A+/v7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CAgIABgYGAAkJCQAJCQkACgoKAAsLCwAHBwcAAQEBAP39/QD5+fkA9vb2APf39wAAAAAA&#10;BQUFAAEBAQD6+voA9vb2APz8/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BAQEACgoKABkZGQAlJSUA8PDwACQkJAAfHx8A/f39AAUFBQD6+voA7OzsAAgICADe&#10;3t4AAgICABgYGADq6uoA7OzsAODg4ADz8/MA/v7+AAICAg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QEBAAoKCgApKSkA+/v7APT09AAvLy8ADQ0NAAcHBwACAgIA////APz8&#10;/ADv7+8A39/fAE5OTgAFBQUAsbGxAPr6+gDm5uYA5+fnAB0dHQAKCgo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FBQUAGhoaAAcHBwABAQEAFRUVAAEBAQABAQEAAAAA&#10;AAAAAAAAAAAA9/f3AOjo6AAKCgoAVlZWACkpKQDHx8cA8/PzAOPj4wArKysACgoK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BQUFABMTEwAFBQUA+/v7AAoKCgABAQEA&#10;AAAAAAAAAAAAAAAAAAAAAPz8/ADv7+8A+/v7AC4uLgAjIyMAGBgYAMDAwADr6+sA8vLyABUVFQ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MDAwAHBwcABAQEAPX19QD9&#10;/f0AAAAAAAAAAAAAAAAAAAAAAAAAAAD+/v4A+fn5APz8/AAMDAwACwsLADg4OAD8/PwA7+/vAPf3&#10;9wD7+/sABQUF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gICAP7+&#10;/gD8/PwA/f39AP///wAAAAAAAAAAAAAAAAAAAAAAAAAAAP7+/gD+/v4AAQEBAAEBAQAVFRUAHR0d&#10;APv7+wD+/v4A/v7+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QEB&#10;AAAAAAACAgIAAwMDAAEBAQD+/v4A/v7+AP///wAAAAAAAAAAAAAAAAAAAAAAAAAAAAAAAAAAAAAA&#10;AQEBABUVFQD8/PwACgoKAP///w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BAQEAAwMDAAUFBQACAgIA/f39AP7+/gAAAAAAAAAAAAAAAAAAAAAAAAAAAAAAAAAA&#10;AAAAAAAAAAEBAQAcHBwAERERAPz8/AD///8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EBAQABAQEAAAAAAP///wAAAAAAAAAAAAAAAAAAAAAAAAAAAAAA&#10;AAAAAAAA////AP///wABAQEAAgICAAMDAwABAQE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BAQEAAgICAAAAAAD9/f0A/f39AP///wAAAAAAAAAA&#10;AAAAAAAAAAAA////AP///w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BAQEAAQEBAAEBAQAAAAAA/f39AP///wAAAAAA&#10;AAAAAAAAAAAAAAAA/v7+APb29gD4+Pg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EBAQABAQEAAAAAAAAAAAAA&#10;AAAAAAAAAAAAAAAAAAAAAAAAAAAAAAD///8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EBAQAGBgYACwsLAAIC&#10;AgD19fUA+Pj4AP7+/gAAAAAAAAAAAAAAAAD9/f0A7u7uAPDw8AD///8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CAgIACAgI&#10;AAwMDAACAgIA9PT0APj4+AD///8AAAAAAAAAAAAAAAAA+vr6AODg4ADk5OQA/v7+AP///w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MDAwAGBgYAAQEBAPr6+gD8/PwA////AAAAAAAAAAAAAAAAAPr6+gDZ2dkA2traAPj4+AD7&#10;+/sA/f39AP7+/gACAgIAAgIC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CAgIAAAAAAP///wABAQEAAAAAAAAAAAAAAAAA/f39AN7e3gDBwcEAAQEBABkZGQALCwsAAgIC&#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BAQEAAAAAAAAAAAAAAAAAAAAAAAEBAQAAAAAAAAAAAP39/QDa2toA6enpABMTEwA1NTUA&#10;CgoK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EBAQAAAAAAAAAAAAAAAAAAAAAAAAAAAAAAAAAAAAAA/v7+APz8/AD+&#10;/v4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QEBAAYGBgAODg4ABQUFAPr6+gD9/f0AAAAAAAAAAAAAAAAAAAAAAPf3&#10;9wD6+voA4ODgAOPj4wANDQ0ABQUF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HBwcAEBAQAAYGBgD5+fkA/Pz8AAAAAAAAAAAAAAAA&#10;AAAAAAD9/f0A+vr6AOPj4wDe3t4A9fX1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gICAAUFBQACAgIA/f39AP///wAAAAAA&#10;AAAAAAAAAAAAAAAAAAAAAAAAAADj4+MA2dnZAPPz8wD///8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QEBAAEBAQABAQEABgYGAAoKCgAE&#10;BAQAAAAAAAAAAAAAAAAAAAAAAAAAAAAAAAAA6+vrANDQ0ADU1NQA8fHx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cH&#10;BwAMDAwABAQEAAAAAAAAAAAAAAAAAAAAAAAAAAAAAAAAAPr6+gDf398A19fXAPHx8Q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QEBAAEBAQACAgI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CAgIAAwMDAAEB&#10;AQ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F1sr+kAAAZi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yATJT/ww&#10;jA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">
                <v:fill type="frame" on="t" o:title="风玫瑰图" focussize="0,0" recolor="t" r:id="rId25"/>
                <v:stroke on="f"/>
                <v:imagedata o:title=""/>
                <o:lock v:ext="edit" aspectratio="f"/>
              </v:rect>
            </w:pict>
          </mc:Fallback>
        </mc:AlternateContent>
      </w:r>
      <w:r>
        <w:rPr>
          <w:rFonts w:hint="eastAsia" w:eastAsia="宋体"/>
          <w:lang w:eastAsia="zh-CN"/>
        </w:rPr>
        <w:drawing>
          <wp:inline distT="0" distB="0" distL="114300" distR="114300">
            <wp:extent cx="6334125" cy="4772660"/>
            <wp:effectExtent l="0" t="0" r="9525" b="8890"/>
            <wp:docPr id="83" name="图片 83" descr="声环境现状监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声环境现状监测布点图"/>
                    <pic:cNvPicPr>
                      <a:picLocks noChangeAspect="1"/>
                    </pic:cNvPicPr>
                  </pic:nvPicPr>
                  <pic:blipFill>
                    <a:blip r:embed="rId31"/>
                    <a:stretch>
                      <a:fillRect/>
                    </a:stretch>
                  </pic:blipFill>
                  <pic:spPr>
                    <a:xfrm>
                      <a:off x="0" y="0"/>
                      <a:ext cx="6334125" cy="4772660"/>
                    </a:xfrm>
                    <a:prstGeom prst="rect">
                      <a:avLst/>
                    </a:prstGeom>
                  </pic:spPr>
                </pic:pic>
              </a:graphicData>
            </a:graphic>
          </wp:inline>
        </w:drawing>
      </w:r>
    </w:p>
    <w:p>
      <w:pPr>
        <w:rPr>
          <w:rFonts w:hint="eastAsia"/>
          <w:lang w:eastAsia="zh-CN"/>
        </w:rPr>
        <w:sectPr>
          <w:footerReference r:id="rId10" w:type="default"/>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5"/>
        <w:bidi w:val="0"/>
        <w:outlineLvl w:val="0"/>
        <w:rPr>
          <w:rFonts w:hint="default"/>
          <w:lang w:val="en-US" w:eastAsia="zh-CN"/>
        </w:rPr>
      </w:pPr>
      <w:bookmarkStart w:id="22" w:name="_Toc20568"/>
      <w:r>
        <w:rPr>
          <w:rFonts w:hint="eastAsia"/>
          <w:lang w:val="en-US" w:eastAsia="zh-CN"/>
        </w:rPr>
        <w:t>附图5  项目与松木经开区园区位置关系</w:t>
      </w:r>
      <w:bookmarkEnd w:id="22"/>
    </w:p>
    <w:p>
      <w:pPr>
        <w:rPr>
          <w:rFonts w:hint="eastAsia"/>
          <w:lang w:eastAsia="zh-CN"/>
        </w:rPr>
      </w:pPr>
      <w:r>
        <w:rPr>
          <w:sz w:val="21"/>
        </w:rPr>
        <mc:AlternateContent>
          <mc:Choice Requires="wps">
            <w:drawing>
              <wp:anchor distT="0" distB="0" distL="114300" distR="114300" simplePos="0" relativeHeight="251686912" behindDoc="0" locked="0" layoutInCell="1" allowOverlap="1">
                <wp:simplePos x="0" y="0"/>
                <wp:positionH relativeFrom="column">
                  <wp:posOffset>1689100</wp:posOffset>
                </wp:positionH>
                <wp:positionV relativeFrom="paragraph">
                  <wp:posOffset>2791460</wp:posOffset>
                </wp:positionV>
                <wp:extent cx="1391920" cy="499745"/>
                <wp:effectExtent l="38100" t="38100" r="55880" b="52705"/>
                <wp:wrapNone/>
                <wp:docPr id="18" name="文本框 18"/>
                <wp:cNvGraphicFramePr/>
                <a:graphic xmlns:a="http://schemas.openxmlformats.org/drawingml/2006/main">
                  <a:graphicData uri="http://schemas.microsoft.com/office/word/2010/wordprocessingShape">
                    <wps:wsp>
                      <wps:cNvSpPr txBox="1"/>
                      <wps:spPr>
                        <a:xfrm>
                          <a:off x="0" y="0"/>
                          <a:ext cx="1391920" cy="499745"/>
                        </a:xfrm>
                        <a:prstGeom prst="rect">
                          <a:avLst/>
                        </a:prstGeom>
                        <a:solidFill>
                          <a:srgbClr val="FFFFFF"/>
                        </a:solidFill>
                        <a:ln w="76200" cap="flat" cmpd="sng">
                          <a:solidFill>
                            <a:srgbClr val="C0504D"/>
                          </a:solidFill>
                          <a:prstDash val="solid"/>
                          <a:miter/>
                          <a:headEnd type="none" w="med" len="med"/>
                          <a:tailEnd type="none" w="med" len="med"/>
                        </a:ln>
                      </wps:spPr>
                      <wps:txbx>
                        <w:txbxContent>
                          <w:p>
                            <w:pPr>
                              <w:jc w:val="center"/>
                              <w:rPr>
                                <w:rFonts w:hint="default" w:eastAsia="宋体"/>
                                <w:b/>
                                <w:bCs/>
                                <w:sz w:val="32"/>
                                <w:szCs w:val="32"/>
                                <w:lang w:val="en-US" w:eastAsia="zh-CN"/>
                              </w:rPr>
                            </w:pPr>
                            <w:r>
                              <w:rPr>
                                <w:rFonts w:hint="eastAsia"/>
                                <w:b/>
                                <w:bCs/>
                                <w:sz w:val="32"/>
                                <w:szCs w:val="32"/>
                                <w:lang w:val="en-US" w:eastAsia="zh-CN"/>
                              </w:rPr>
                              <w:t>本项目位置</w:t>
                            </w:r>
                          </w:p>
                        </w:txbxContent>
                      </wps:txbx>
                      <wps:bodyPr upright="1"/>
                    </wps:wsp>
                  </a:graphicData>
                </a:graphic>
              </wp:anchor>
            </w:drawing>
          </mc:Choice>
          <mc:Fallback>
            <w:pict>
              <v:shape id="_x0000_s1026" o:spid="_x0000_s1026" o:spt="202" type="#_x0000_t202" style="position:absolute;left:0pt;margin-left:133pt;margin-top:219.8pt;height:39.35pt;width:109.6pt;z-index:251686912;mso-width-relative:page;mso-height-relative:page;" fillcolor="#FFFFFF" filled="t" stroked="t" coordsize="21600,21600" o:gfxdata="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BWMqvaAAAACwEAAA8AAAAAAAAA&#10;AQAgAAAAIgAAAGRycy9kb3ducmV2LnhtbFBLAQIUABQAAAAIAIdO4kBZ1yj+DwIAADkEAAAOAAAA&#10;AAAAAAEAIAAAACkBAABkcnMvZTJvRG9jLnhtbFBLBQYAAAAABgAGAFkBAACqBQAAAAA=&#10;">
                <v:fill on="t" focussize="0,0"/>
                <v:stroke weight="6pt" color="#C0504D" joinstyle="miter"/>
                <v:imagedata o:title=""/>
                <o:lock v:ext="edit" aspectratio="f"/>
                <v:textbox>
                  <w:txbxContent>
                    <w:p>
                      <w:pPr>
                        <w:jc w:val="center"/>
                        <w:rPr>
                          <w:rFonts w:hint="default" w:eastAsia="宋体"/>
                          <w:b/>
                          <w:bCs/>
                          <w:sz w:val="32"/>
                          <w:szCs w:val="32"/>
                          <w:lang w:val="en-US" w:eastAsia="zh-CN"/>
                        </w:rPr>
                      </w:pPr>
                      <w:r>
                        <w:rPr>
                          <w:rFonts w:hint="eastAsia"/>
                          <w:b/>
                          <w:bCs/>
                          <w:sz w:val="32"/>
                          <w:szCs w:val="32"/>
                          <w:lang w:val="en-US" w:eastAsia="zh-CN"/>
                        </w:rPr>
                        <w:t>本项目位置</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938530</wp:posOffset>
                </wp:positionH>
                <wp:positionV relativeFrom="paragraph">
                  <wp:posOffset>3149600</wp:posOffset>
                </wp:positionV>
                <wp:extent cx="709295" cy="254000"/>
                <wp:effectExtent l="6350" t="17780" r="8255" b="33020"/>
                <wp:wrapNone/>
                <wp:docPr id="17" name="直接连接符 17"/>
                <wp:cNvGraphicFramePr/>
                <a:graphic xmlns:a="http://schemas.openxmlformats.org/drawingml/2006/main">
                  <a:graphicData uri="http://schemas.microsoft.com/office/word/2010/wordprocessingShape">
                    <wps:wsp>
                      <wps:cNvCnPr/>
                      <wps:spPr>
                        <a:xfrm flipV="1">
                          <a:off x="0" y="0"/>
                          <a:ext cx="709295" cy="254000"/>
                        </a:xfrm>
                        <a:prstGeom prst="line">
                          <a:avLst/>
                        </a:prstGeom>
                        <a:ln w="38100" cap="flat" cmpd="sng">
                          <a:solidFill>
                            <a:srgbClr val="C0504D"/>
                          </a:solidFill>
                          <a:prstDash val="solid"/>
                          <a:headEnd type="none" w="med" len="med"/>
                          <a:tailEnd type="none" w="med" len="med"/>
                        </a:ln>
                      </wps:spPr>
                      <wps:bodyPr upright="1"/>
                    </wps:wsp>
                  </a:graphicData>
                </a:graphic>
              </wp:anchor>
            </w:drawing>
          </mc:Choice>
          <mc:Fallback>
            <w:pict>
              <v:line id="_x0000_s1026" o:spid="_x0000_s1026" o:spt="20" style="position:absolute;left:0pt;flip:y;margin-left:73.9pt;margin-top:248pt;height:20pt;width:55.85pt;z-index:251685888;mso-width-relative:page;mso-height-relative:page;" filled="f" stroked="t" coordsize="21600,21600" o:gfxdata="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dUYtjZAAAACwEAAA8AAAAAAAAAAQAgAAAAIgAA&#10;AGRycy9kb3ducmV2LnhtbFBLAQIUABQAAAAIAIdO4kDyLwUaBwIAAPUDAAAOAAAAAAAAAAEAIAAA&#10;ACgBAABkcnMvZTJvRG9jLnhtbFBLBQYAAAAABgAGAFkBAAChBQAAAAA=&#10;">
                <v:fill on="f" focussize="0,0"/>
                <v:stroke weight="3pt" color="#C0504D" joinstyle="round"/>
                <v:imagedata o:title=""/>
                <o:lock v:ext="edit" aspectratio="f"/>
              </v:line>
            </w:pict>
          </mc:Fallback>
        </mc:AlternateContent>
      </w:r>
      <w:r>
        <w:rPr>
          <w:rFonts w:hint="eastAsia"/>
          <w:lang w:eastAsia="zh-CN"/>
        </w:rPr>
        <w:drawing>
          <wp:inline distT="0" distB="0" distL="114300" distR="114300">
            <wp:extent cx="5269865" cy="7915275"/>
            <wp:effectExtent l="0" t="0" r="6985" b="9525"/>
            <wp:docPr id="16" name="图片 16" descr="松木经济开发区相关园区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松木经济开发区相关园区规划图"/>
                    <pic:cNvPicPr>
                      <a:picLocks noChangeAspect="1"/>
                    </pic:cNvPicPr>
                  </pic:nvPicPr>
                  <pic:blipFill>
                    <a:blip r:embed="rId32"/>
                    <a:stretch>
                      <a:fillRect/>
                    </a:stretch>
                  </pic:blipFill>
                  <pic:spPr>
                    <a:xfrm>
                      <a:off x="0" y="0"/>
                      <a:ext cx="5269865" cy="7915275"/>
                    </a:xfrm>
                    <a:prstGeom prst="rect">
                      <a:avLst/>
                    </a:prstGeom>
                  </pic:spPr>
                </pic:pic>
              </a:graphicData>
            </a:graphic>
          </wp:inline>
        </w:drawing>
      </w:r>
    </w:p>
    <w:p>
      <w:pPr>
        <w:rPr>
          <w:rFonts w:hint="eastAsia"/>
          <w:lang w:eastAsia="zh-CN"/>
        </w:rPr>
      </w:pPr>
    </w:p>
    <w:p>
      <w:pPr>
        <w:rPr>
          <w:rFonts w:hint="eastAsia"/>
          <w:lang w:eastAsia="zh-CN"/>
        </w:rPr>
      </w:pPr>
    </w:p>
    <w:p>
      <w:pPr>
        <w:pStyle w:val="5"/>
        <w:bidi w:val="0"/>
        <w:outlineLvl w:val="9"/>
        <w:rPr>
          <w:rFonts w:hint="eastAsia"/>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5"/>
        <w:bidi w:val="0"/>
        <w:outlineLvl w:val="0"/>
        <w:rPr>
          <w:rFonts w:hint="eastAsia"/>
          <w:lang w:val="en-US" w:eastAsia="zh-CN"/>
        </w:rPr>
      </w:pPr>
      <w:bookmarkStart w:id="23" w:name="_Toc10545"/>
      <w:r>
        <w:rPr>
          <w:rFonts w:hint="eastAsia"/>
          <w:lang w:val="en-US" w:eastAsia="zh-CN"/>
        </w:rPr>
        <w:t>附件1  营业执照</w:t>
      </w:r>
      <w:bookmarkEnd w:id="23"/>
    </w:p>
    <w:p>
      <w:pPr>
        <w:ind w:left="0" w:leftChars="0" w:firstLine="0" w:firstLineChars="0"/>
        <w:jc w:val="center"/>
        <w:rPr>
          <w:rFonts w:hint="default"/>
          <w:lang w:val="en-US" w:eastAsia="zh-CN"/>
        </w:rPr>
      </w:pPr>
      <w:r>
        <w:rPr>
          <w:rFonts w:hint="default"/>
          <w:lang w:val="en-US" w:eastAsia="zh-CN"/>
        </w:rPr>
        <w:drawing>
          <wp:inline distT="0" distB="0" distL="114300" distR="114300">
            <wp:extent cx="6597650" cy="4798060"/>
            <wp:effectExtent l="0" t="0" r="12700" b="2540"/>
            <wp:docPr id="123" name="图片 123" descr="营业执照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营业执照2"/>
                    <pic:cNvPicPr>
                      <a:picLocks noChangeAspect="1"/>
                    </pic:cNvPicPr>
                  </pic:nvPicPr>
                  <pic:blipFill>
                    <a:blip r:embed="rId33"/>
                    <a:stretch>
                      <a:fillRect/>
                    </a:stretch>
                  </pic:blipFill>
                  <pic:spPr>
                    <a:xfrm>
                      <a:off x="0" y="0"/>
                      <a:ext cx="6597650" cy="4798060"/>
                    </a:xfrm>
                    <a:prstGeom prst="rect">
                      <a:avLst/>
                    </a:prstGeom>
                  </pic:spPr>
                </pic:pic>
              </a:graphicData>
            </a:graphic>
          </wp:inline>
        </w:drawing>
      </w:r>
    </w:p>
    <w:p>
      <w:pPr>
        <w:pStyle w:val="5"/>
        <w:bidi w:val="0"/>
        <w:outlineLvl w:val="0"/>
        <w:rPr>
          <w:rFonts w:hint="eastAsia"/>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5"/>
        <w:bidi w:val="0"/>
        <w:outlineLvl w:val="0"/>
        <w:rPr>
          <w:rFonts w:hint="default"/>
          <w:lang w:val="en-US" w:eastAsia="zh-CN"/>
        </w:rPr>
      </w:pPr>
      <w:bookmarkStart w:id="24" w:name="_Toc4731"/>
      <w:r>
        <w:rPr>
          <w:rFonts w:hint="eastAsia"/>
          <w:lang w:val="en-US" w:eastAsia="zh-CN"/>
        </w:rPr>
        <w:t>附件2  委托书</w:t>
      </w:r>
      <w:bookmarkEnd w:id="24"/>
    </w:p>
    <w:p>
      <w:pPr>
        <w:bidi w:val="0"/>
        <w:rPr>
          <w:rFonts w:hint="default"/>
          <w:sz w:val="28"/>
          <w:szCs w:val="28"/>
          <w:lang w:val="en-US" w:eastAsia="zh-CN"/>
        </w:rPr>
      </w:pPr>
      <w:r>
        <w:rPr>
          <w:rFonts w:hint="default"/>
          <w:sz w:val="28"/>
          <w:szCs w:val="28"/>
          <w:lang w:val="en-US" w:eastAsia="zh-CN"/>
        </w:rPr>
        <w:drawing>
          <wp:inline distT="0" distB="0" distL="114300" distR="114300">
            <wp:extent cx="5269865" cy="7247255"/>
            <wp:effectExtent l="0" t="0" r="6985" b="10795"/>
            <wp:docPr id="29" name="图片 29" descr="环评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环评委托书"/>
                    <pic:cNvPicPr>
                      <a:picLocks noChangeAspect="1"/>
                    </pic:cNvPicPr>
                  </pic:nvPicPr>
                  <pic:blipFill>
                    <a:blip r:embed="rId34"/>
                    <a:stretch>
                      <a:fillRect/>
                    </a:stretch>
                  </pic:blipFill>
                  <pic:spPr>
                    <a:xfrm>
                      <a:off x="0" y="0"/>
                      <a:ext cx="5269865" cy="7247255"/>
                    </a:xfrm>
                    <a:prstGeom prst="rect">
                      <a:avLst/>
                    </a:prstGeom>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pStyle w:val="5"/>
        <w:bidi w:val="0"/>
        <w:outlineLvl w:val="0"/>
        <w:rPr>
          <w:rFonts w:hint="eastAsia"/>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5"/>
        <w:bidi w:val="0"/>
        <w:outlineLvl w:val="0"/>
        <w:rPr>
          <w:rFonts w:hint="eastAsia"/>
          <w:lang w:val="en-US" w:eastAsia="zh-CN"/>
        </w:rPr>
      </w:pPr>
      <w:bookmarkStart w:id="25" w:name="_Toc11915"/>
      <w:r>
        <w:rPr>
          <w:rFonts w:hint="eastAsia"/>
          <w:lang w:val="en-US" w:eastAsia="zh-CN"/>
        </w:rPr>
        <w:t>附件3  规划蓝线图</w:t>
      </w:r>
      <w:bookmarkEnd w:id="25"/>
    </w:p>
    <w:p>
      <w:pPr>
        <w:jc w:val="center"/>
        <w:rPr>
          <w:rFonts w:hint="default"/>
          <w:lang w:val="en-US" w:eastAsia="zh-CN"/>
        </w:rPr>
      </w:pPr>
      <w:r>
        <w:rPr>
          <w:rFonts w:hint="default"/>
          <w:lang w:val="en-US" w:eastAsia="zh-CN"/>
        </w:rPr>
        <w:drawing>
          <wp:inline distT="0" distB="0" distL="114300" distR="114300">
            <wp:extent cx="6845300" cy="4792980"/>
            <wp:effectExtent l="0" t="0" r="12700" b="7620"/>
            <wp:docPr id="143" name="图片 143" descr="规划蓝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规划蓝线图"/>
                    <pic:cNvPicPr>
                      <a:picLocks noChangeAspect="1"/>
                    </pic:cNvPicPr>
                  </pic:nvPicPr>
                  <pic:blipFill>
                    <a:blip r:embed="rId35"/>
                    <a:stretch>
                      <a:fillRect/>
                    </a:stretch>
                  </pic:blipFill>
                  <pic:spPr>
                    <a:xfrm>
                      <a:off x="0" y="0"/>
                      <a:ext cx="6845300" cy="4792980"/>
                    </a:xfrm>
                    <a:prstGeom prst="rect">
                      <a:avLst/>
                    </a:prstGeom>
                  </pic:spPr>
                </pic:pic>
              </a:graphicData>
            </a:graphic>
          </wp:inline>
        </w:drawing>
      </w:r>
    </w:p>
    <w:p>
      <w:pPr>
        <w:ind w:left="0" w:leftChars="0" w:firstLine="0" w:firstLineChars="0"/>
        <w:rPr>
          <w:rFonts w:hint="eastAsia"/>
          <w:b/>
          <w:bCs/>
          <w:sz w:val="24"/>
          <w:szCs w:val="24"/>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5"/>
        <w:bidi w:val="0"/>
        <w:outlineLvl w:val="0"/>
        <w:rPr>
          <w:rFonts w:hint="eastAsia"/>
          <w:lang w:val="en-US" w:eastAsia="zh-CN"/>
        </w:rPr>
      </w:pPr>
      <w:bookmarkStart w:id="26" w:name="_Toc30786"/>
      <w:r>
        <w:rPr>
          <w:rFonts w:hint="eastAsia"/>
          <w:lang w:val="en-US" w:eastAsia="zh-CN"/>
        </w:rPr>
        <w:t>附件4  项目备案证明</w:t>
      </w:r>
      <w:bookmarkEnd w:id="26"/>
    </w:p>
    <w:p>
      <w:pPr>
        <w:rPr>
          <w:rFonts w:hint="default"/>
          <w:lang w:val="en-US" w:eastAsia="zh-CN"/>
        </w:rPr>
      </w:pPr>
      <w:r>
        <w:rPr>
          <w:rFonts w:hint="default"/>
          <w:lang w:val="en-US" w:eastAsia="zh-CN"/>
        </w:rPr>
        <w:drawing>
          <wp:inline distT="0" distB="0" distL="114300" distR="114300">
            <wp:extent cx="5265420" cy="8134985"/>
            <wp:effectExtent l="0" t="0" r="11430" b="18415"/>
            <wp:docPr id="151" name="图片 151" descr="新竹加油站备案证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新竹加油站备案证明2"/>
                    <pic:cNvPicPr>
                      <a:picLocks noChangeAspect="1"/>
                    </pic:cNvPicPr>
                  </pic:nvPicPr>
                  <pic:blipFill>
                    <a:blip r:embed="rId36"/>
                    <a:stretch>
                      <a:fillRect/>
                    </a:stretch>
                  </pic:blipFill>
                  <pic:spPr>
                    <a:xfrm>
                      <a:off x="0" y="0"/>
                      <a:ext cx="5265420" cy="8134985"/>
                    </a:xfrm>
                    <a:prstGeom prst="rect">
                      <a:avLst/>
                    </a:prstGeom>
                  </pic:spPr>
                </pic:pic>
              </a:graphicData>
            </a:graphic>
          </wp:inline>
        </w:drawing>
      </w:r>
    </w:p>
    <w:p>
      <w:pPr>
        <w:rPr>
          <w:rFonts w:hint="default"/>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default"/>
          <w:lang w:val="en-US" w:eastAsia="zh-CN"/>
        </w:rPr>
        <w:drawing>
          <wp:inline distT="0" distB="0" distL="114300" distR="114300">
            <wp:extent cx="5265420" cy="5720715"/>
            <wp:effectExtent l="0" t="0" r="11430" b="13335"/>
            <wp:docPr id="153" name="图片 153" descr="新竹加油站备案证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新竹加油站备案证明1"/>
                    <pic:cNvPicPr>
                      <a:picLocks noChangeAspect="1"/>
                    </pic:cNvPicPr>
                  </pic:nvPicPr>
                  <pic:blipFill>
                    <a:blip r:embed="rId37"/>
                    <a:stretch>
                      <a:fillRect/>
                    </a:stretch>
                  </pic:blipFill>
                  <pic:spPr>
                    <a:xfrm>
                      <a:off x="0" y="0"/>
                      <a:ext cx="5265420" cy="5720715"/>
                    </a:xfrm>
                    <a:prstGeom prst="rect">
                      <a:avLst/>
                    </a:prstGeom>
                  </pic:spPr>
                </pic:pic>
              </a:graphicData>
            </a:graphic>
          </wp:inline>
        </w:drawing>
      </w:r>
    </w:p>
    <w:p>
      <w:pPr>
        <w:bidi w:val="0"/>
        <w:rPr>
          <w:rFonts w:hint="default"/>
          <w:lang w:val="en-US" w:eastAsia="zh-CN"/>
        </w:rPr>
      </w:pPr>
      <w:r>
        <w:rPr>
          <w:rFonts w:hint="default"/>
          <w:lang w:val="en-US" w:eastAsia="zh-CN"/>
        </w:rPr>
        <w:drawing>
          <wp:inline distT="0" distB="0" distL="114300" distR="114300">
            <wp:extent cx="5267960" cy="7453630"/>
            <wp:effectExtent l="0" t="0" r="8890" b="13970"/>
            <wp:docPr id="23" name="图片 23" descr="衡阳市泰达能源发展有限公司（上传版）1(1)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衡阳市泰达能源发展有限公司（上传版）1(1)_121"/>
                    <pic:cNvPicPr>
                      <a:picLocks noChangeAspect="1"/>
                    </pic:cNvPicPr>
                  </pic:nvPicPr>
                  <pic:blipFill>
                    <a:blip r:embed="rId38"/>
                    <a:stretch>
                      <a:fillRect/>
                    </a:stretch>
                  </pic:blipFill>
                  <pic:spPr>
                    <a:xfrm>
                      <a:off x="0" y="0"/>
                      <a:ext cx="5267960" cy="7453630"/>
                    </a:xfrm>
                    <a:prstGeom prst="rect">
                      <a:avLst/>
                    </a:prstGeom>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eastAsia"/>
          <w:b/>
          <w:bCs/>
          <w:sz w:val="24"/>
          <w:szCs w:val="24"/>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5"/>
        <w:bidi w:val="0"/>
        <w:outlineLvl w:val="0"/>
        <w:rPr>
          <w:rFonts w:hint="eastAsia"/>
          <w:lang w:val="en-US" w:eastAsia="zh-CN"/>
        </w:rPr>
      </w:pPr>
      <w:bookmarkStart w:id="27" w:name="_Toc4184"/>
      <w:r>
        <w:rPr>
          <w:rFonts w:hint="eastAsia"/>
          <w:lang w:val="en-US" w:eastAsia="zh-CN"/>
        </w:rPr>
        <w:t>附件5  建设用地规划许可证</w:t>
      </w:r>
      <w:bookmarkEnd w:id="27"/>
    </w:p>
    <w:p>
      <w:pPr>
        <w:jc w:val="center"/>
        <w:rPr>
          <w:rFonts w:hint="eastAsia"/>
          <w:lang w:val="en-US" w:eastAsia="zh-CN"/>
        </w:rPr>
      </w:pPr>
      <w:r>
        <w:rPr>
          <w:rFonts w:hint="eastAsia"/>
          <w:lang w:val="en-US" w:eastAsia="zh-CN"/>
        </w:rPr>
        <w:drawing>
          <wp:inline distT="0" distB="0" distL="114300" distR="114300">
            <wp:extent cx="6800215" cy="4752340"/>
            <wp:effectExtent l="0" t="0" r="635" b="10160"/>
            <wp:docPr id="158" name="图片 158" descr="建设用地规划许可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建设用地规划许可证2"/>
                    <pic:cNvPicPr>
                      <a:picLocks noChangeAspect="1"/>
                    </pic:cNvPicPr>
                  </pic:nvPicPr>
                  <pic:blipFill>
                    <a:blip r:embed="rId39"/>
                    <a:stretch>
                      <a:fillRect/>
                    </a:stretch>
                  </pic:blipFill>
                  <pic:spPr>
                    <a:xfrm>
                      <a:off x="0" y="0"/>
                      <a:ext cx="6800215" cy="4752340"/>
                    </a:xfrm>
                    <a:prstGeom prst="rect">
                      <a:avLst/>
                    </a:prstGeom>
                  </pic:spPr>
                </pic:pic>
              </a:graphicData>
            </a:graphic>
          </wp:inline>
        </w:drawing>
      </w:r>
    </w:p>
    <w:p>
      <w:pPr>
        <w:jc w:val="center"/>
        <w:rPr>
          <w:rFonts w:hint="eastAsia"/>
          <w:lang w:val="en-US" w:eastAsia="zh-CN"/>
        </w:rPr>
      </w:pPr>
      <w:r>
        <w:rPr>
          <w:rFonts w:hint="eastAsia"/>
          <w:lang w:val="en-US" w:eastAsia="zh-CN"/>
        </w:rPr>
        <w:drawing>
          <wp:inline distT="0" distB="0" distL="114300" distR="114300">
            <wp:extent cx="6942455" cy="5149215"/>
            <wp:effectExtent l="0" t="0" r="10795" b="13335"/>
            <wp:docPr id="157" name="图片 157" descr="建设用地规划许可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建设用地规划许可证1"/>
                    <pic:cNvPicPr>
                      <a:picLocks noChangeAspect="1"/>
                    </pic:cNvPicPr>
                  </pic:nvPicPr>
                  <pic:blipFill>
                    <a:blip r:embed="rId40"/>
                    <a:stretch>
                      <a:fillRect/>
                    </a:stretch>
                  </pic:blipFill>
                  <pic:spPr>
                    <a:xfrm>
                      <a:off x="0" y="0"/>
                      <a:ext cx="6942455" cy="5149215"/>
                    </a:xfrm>
                    <a:prstGeom prst="rect">
                      <a:avLst/>
                    </a:prstGeom>
                  </pic:spPr>
                </pic:pic>
              </a:graphicData>
            </a:graphic>
          </wp:inline>
        </w:drawing>
      </w:r>
    </w:p>
    <w:p>
      <w:pPr>
        <w:pStyle w:val="5"/>
        <w:bidi w:val="0"/>
        <w:outlineLvl w:val="0"/>
        <w:rPr>
          <w:rFonts w:hint="eastAsia"/>
          <w:lang w:val="en-US" w:eastAsia="zh-CN"/>
        </w:rPr>
      </w:pPr>
      <w:bookmarkStart w:id="28" w:name="_Toc15254"/>
      <w:r>
        <w:rPr>
          <w:rFonts w:hint="eastAsia"/>
          <w:lang w:val="en-US" w:eastAsia="zh-CN"/>
        </w:rPr>
        <w:t>附件6  建设项目土地成交确认书</w:t>
      </w:r>
      <w:bookmarkEnd w:id="28"/>
    </w:p>
    <w:p>
      <w:pPr>
        <w:jc w:val="center"/>
        <w:rPr>
          <w:rFonts w:hint="eastAsia"/>
          <w:lang w:val="en-US" w:eastAsia="zh-CN"/>
        </w:rPr>
      </w:pPr>
      <w:r>
        <w:rPr>
          <w:rFonts w:hint="eastAsia"/>
          <w:lang w:val="en-US" w:eastAsia="zh-CN"/>
        </w:rPr>
        <w:drawing>
          <wp:inline distT="0" distB="0" distL="114300" distR="114300">
            <wp:extent cx="7035800" cy="4819015"/>
            <wp:effectExtent l="0" t="0" r="12700" b="635"/>
            <wp:docPr id="5" name="图片 5" descr="土地成交确认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土地成交确认书2"/>
                    <pic:cNvPicPr>
                      <a:picLocks noChangeAspect="1"/>
                    </pic:cNvPicPr>
                  </pic:nvPicPr>
                  <pic:blipFill>
                    <a:blip r:embed="rId41"/>
                    <a:stretch>
                      <a:fillRect/>
                    </a:stretch>
                  </pic:blipFill>
                  <pic:spPr>
                    <a:xfrm>
                      <a:off x="0" y="0"/>
                      <a:ext cx="7035800" cy="4819015"/>
                    </a:xfrm>
                    <a:prstGeom prst="rect">
                      <a:avLst/>
                    </a:prstGeom>
                  </pic:spPr>
                </pic:pic>
              </a:graphicData>
            </a:graphic>
          </wp:inline>
        </w:drawing>
      </w:r>
    </w:p>
    <w:p>
      <w:pPr>
        <w:ind w:left="0" w:leftChars="0" w:firstLine="0" w:firstLineChars="0"/>
        <w:jc w:val="center"/>
        <w:rPr>
          <w:rFonts w:hint="eastAsia" w:ascii="宋体" w:hAnsi="宋体" w:eastAsia="宋体" w:cs="宋体"/>
          <w:b/>
          <w:bCs/>
          <w:sz w:val="24"/>
          <w:szCs w:val="24"/>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default"/>
          <w:lang w:val="en-US" w:eastAsia="zh-CN"/>
        </w:rPr>
        <w:drawing>
          <wp:inline distT="0" distB="0" distL="114300" distR="114300">
            <wp:extent cx="8158480" cy="5448300"/>
            <wp:effectExtent l="0" t="0" r="13970" b="0"/>
            <wp:docPr id="8" name="图片 8" descr="用地成交确认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用地成交确认书"/>
                    <pic:cNvPicPr>
                      <a:picLocks noChangeAspect="1"/>
                    </pic:cNvPicPr>
                  </pic:nvPicPr>
                  <pic:blipFill>
                    <a:blip r:embed="rId42"/>
                    <a:stretch>
                      <a:fillRect/>
                    </a:stretch>
                  </pic:blipFill>
                  <pic:spPr>
                    <a:xfrm>
                      <a:off x="0" y="0"/>
                      <a:ext cx="8158480" cy="5448300"/>
                    </a:xfrm>
                    <a:prstGeom prst="rect">
                      <a:avLst/>
                    </a:prstGeom>
                  </pic:spPr>
                </pic:pic>
              </a:graphicData>
            </a:graphic>
          </wp:inline>
        </w:drawing>
      </w:r>
    </w:p>
    <w:p>
      <w:pPr>
        <w:pStyle w:val="5"/>
        <w:bidi w:val="0"/>
        <w:outlineLvl w:val="0"/>
        <w:rPr>
          <w:rFonts w:hint="eastAsia"/>
          <w:lang w:val="en-US" w:eastAsia="zh-CN"/>
        </w:rPr>
      </w:pPr>
      <w:bookmarkStart w:id="29" w:name="_Toc9680"/>
      <w:r>
        <w:rPr>
          <w:rFonts w:hint="eastAsia"/>
          <w:lang w:val="en-US" w:eastAsia="zh-CN"/>
        </w:rPr>
        <w:t>附件7  监测报告</w:t>
      </w:r>
      <w:bookmarkEnd w:id="29"/>
    </w:p>
    <w:p>
      <w:pPr>
        <w:ind w:left="0" w:leftChars="0" w:firstLine="0" w:firstLineChars="0"/>
        <w:rPr>
          <w:rFonts w:hint="default"/>
          <w:lang w:val="en-US" w:eastAsia="zh-CN"/>
        </w:rPr>
      </w:pPr>
      <w:r>
        <w:rPr>
          <w:rFonts w:hint="default"/>
          <w:lang w:val="en-US" w:eastAsia="zh-CN"/>
        </w:rPr>
        <w:drawing>
          <wp:inline distT="0" distB="0" distL="114300" distR="114300">
            <wp:extent cx="5265420" cy="7459345"/>
            <wp:effectExtent l="0" t="0" r="11430" b="8255"/>
            <wp:docPr id="54" name="图片 54" descr="微信图片_2022080510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微信图片_20220805101726"/>
                    <pic:cNvPicPr>
                      <a:picLocks noChangeAspect="1"/>
                    </pic:cNvPicPr>
                  </pic:nvPicPr>
                  <pic:blipFill>
                    <a:blip r:embed="rId43"/>
                    <a:stretch>
                      <a:fillRect/>
                    </a:stretch>
                  </pic:blipFill>
                  <pic:spPr>
                    <a:xfrm>
                      <a:off x="0" y="0"/>
                      <a:ext cx="5265420" cy="7459345"/>
                    </a:xfrm>
                    <a:prstGeom prst="rect">
                      <a:avLst/>
                    </a:prstGeom>
                  </pic:spPr>
                </pic:pic>
              </a:graphicData>
            </a:graphic>
          </wp:inline>
        </w:drawing>
      </w:r>
    </w:p>
    <w:p>
      <w:pPr>
        <w:rPr>
          <w:rFonts w:hint="eastAsia" w:ascii="宋体" w:hAnsi="宋体" w:eastAsia="宋体" w:cs="宋体"/>
          <w:b/>
          <w:bCs/>
          <w:sz w:val="24"/>
          <w:szCs w:val="24"/>
          <w:lang w:val="en-US" w:eastAsia="zh-CN"/>
        </w:rPr>
      </w:pPr>
    </w:p>
    <w:p>
      <w:pPr>
        <w:rPr>
          <w:rFonts w:hint="eastAsia" w:ascii="宋体" w:hAnsi="宋体" w:eastAsia="宋体" w:cs="宋体"/>
          <w:b/>
          <w:bCs/>
          <w:sz w:val="24"/>
          <w:szCs w:val="24"/>
          <w:lang w:val="en-US" w:eastAsia="zh-CN"/>
        </w:rPr>
      </w:pPr>
    </w:p>
    <w:p>
      <w:pPr>
        <w:rPr>
          <w:rFonts w:hint="eastAsia"/>
          <w:lang w:val="en-US" w:eastAsia="zh-CN"/>
        </w:rPr>
      </w:pPr>
    </w:p>
    <w:p>
      <w:pPr>
        <w:jc w:val="center"/>
        <w:rPr>
          <w:rFonts w:hint="eastAsia"/>
          <w:lang w:val="en-US" w:eastAsia="zh-CN"/>
        </w:rPr>
      </w:pPr>
    </w:p>
    <w:p>
      <w:pPr>
        <w:rPr>
          <w:rFonts w:hint="default"/>
          <w:lang w:val="en-US" w:eastAsia="zh-CN"/>
        </w:rPr>
      </w:pPr>
      <w:r>
        <w:rPr>
          <w:rFonts w:hint="default"/>
          <w:lang w:val="en-US" w:eastAsia="zh-CN"/>
        </w:rPr>
        <w:drawing>
          <wp:inline distT="0" distB="0" distL="114300" distR="114300">
            <wp:extent cx="5268595" cy="7467600"/>
            <wp:effectExtent l="0" t="0" r="8255" b="0"/>
            <wp:docPr id="161" name="图片 161" descr="微信图片_2022080510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微信图片_20220805101524"/>
                    <pic:cNvPicPr>
                      <a:picLocks noChangeAspect="1"/>
                    </pic:cNvPicPr>
                  </pic:nvPicPr>
                  <pic:blipFill>
                    <a:blip r:embed="rId44"/>
                    <a:stretch>
                      <a:fillRect/>
                    </a:stretch>
                  </pic:blipFill>
                  <pic:spPr>
                    <a:xfrm>
                      <a:off x="0" y="0"/>
                      <a:ext cx="5268595" cy="7467600"/>
                    </a:xfrm>
                    <a:prstGeom prst="rect">
                      <a:avLst/>
                    </a:prstGeom>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jc w:val="center"/>
        <w:rPr>
          <w:rFonts w:hint="default"/>
          <w:lang w:val="en-US" w:eastAsia="zh-CN"/>
        </w:rPr>
      </w:pPr>
      <w:r>
        <w:rPr>
          <w:rFonts w:hint="default"/>
          <w:lang w:val="en-US" w:eastAsia="zh-CN"/>
        </w:rPr>
        <w:drawing>
          <wp:inline distT="0" distB="0" distL="114300" distR="114300">
            <wp:extent cx="5265420" cy="7254240"/>
            <wp:effectExtent l="0" t="0" r="11430" b="3810"/>
            <wp:docPr id="164" name="图片 164" descr="微信图片_2022080510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微信图片_20220805101612"/>
                    <pic:cNvPicPr>
                      <a:picLocks noChangeAspect="1"/>
                    </pic:cNvPicPr>
                  </pic:nvPicPr>
                  <pic:blipFill>
                    <a:blip r:embed="rId45"/>
                    <a:stretch>
                      <a:fillRect/>
                    </a:stretch>
                  </pic:blipFill>
                  <pic:spPr>
                    <a:xfrm>
                      <a:off x="0" y="0"/>
                      <a:ext cx="5265420" cy="7254240"/>
                    </a:xfrm>
                    <a:prstGeom prst="rect">
                      <a:avLst/>
                    </a:prstGeom>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ind w:left="0" w:leftChars="0" w:firstLine="0" w:firstLineChars="0"/>
        <w:jc w:val="center"/>
        <w:rPr>
          <w:rFonts w:hint="default"/>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default"/>
          <w:lang w:val="en-US" w:eastAsia="zh-CN"/>
        </w:rPr>
        <w:drawing>
          <wp:inline distT="0" distB="0" distL="114300" distR="114300">
            <wp:extent cx="5270500" cy="7306945"/>
            <wp:effectExtent l="0" t="0" r="6350" b="8255"/>
            <wp:docPr id="165" name="图片 165" descr="微信图片_2022080510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微信图片_20220805101606"/>
                    <pic:cNvPicPr>
                      <a:picLocks noChangeAspect="1"/>
                    </pic:cNvPicPr>
                  </pic:nvPicPr>
                  <pic:blipFill>
                    <a:blip r:embed="rId46"/>
                    <a:stretch>
                      <a:fillRect/>
                    </a:stretch>
                  </pic:blipFill>
                  <pic:spPr>
                    <a:xfrm>
                      <a:off x="0" y="0"/>
                      <a:ext cx="5270500" cy="7306945"/>
                    </a:xfrm>
                    <a:prstGeom prst="rect">
                      <a:avLst/>
                    </a:prstGeom>
                  </pic:spPr>
                </pic:pic>
              </a:graphicData>
            </a:graphic>
          </wp:inline>
        </w:drawing>
      </w:r>
    </w:p>
    <w:p>
      <w:pPr>
        <w:pStyle w:val="5"/>
        <w:bidi w:val="0"/>
        <w:outlineLvl w:val="0"/>
        <w:rPr>
          <w:rFonts w:hint="default"/>
          <w:lang w:val="en-US" w:eastAsia="zh-CN"/>
        </w:rPr>
      </w:pPr>
      <w:bookmarkStart w:id="30" w:name="_Toc4086"/>
      <w:r>
        <w:rPr>
          <w:rFonts w:hint="eastAsia"/>
          <w:lang w:val="en-US" w:eastAsia="zh-CN"/>
        </w:rPr>
        <w:t>附件8  污水管网接入证明</w:t>
      </w:r>
      <w:bookmarkEnd w:id="30"/>
    </w:p>
    <w:p>
      <w:pPr>
        <w:rPr>
          <w:rFonts w:hint="eastAsia"/>
          <w:lang w:val="en-US" w:eastAsia="zh-CN"/>
        </w:rPr>
      </w:pPr>
      <w:r>
        <w:rPr>
          <w:rFonts w:hint="eastAsia"/>
          <w:lang w:val="en-US" w:eastAsia="zh-CN"/>
        </w:rPr>
        <w:drawing>
          <wp:inline distT="0" distB="0" distL="114300" distR="114300">
            <wp:extent cx="5262880" cy="7237730"/>
            <wp:effectExtent l="0" t="0" r="13970" b="1270"/>
            <wp:docPr id="30" name="图片 30" descr="污水管网接入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污水管网接入证明"/>
                    <pic:cNvPicPr>
                      <a:picLocks noChangeAspect="1"/>
                    </pic:cNvPicPr>
                  </pic:nvPicPr>
                  <pic:blipFill>
                    <a:blip r:embed="rId47"/>
                    <a:stretch>
                      <a:fillRect/>
                    </a:stretch>
                  </pic:blipFill>
                  <pic:spPr>
                    <a:xfrm>
                      <a:off x="0" y="0"/>
                      <a:ext cx="5262880" cy="7237730"/>
                    </a:xfrm>
                    <a:prstGeom prst="rect">
                      <a:avLst/>
                    </a:prstGeom>
                  </pic:spPr>
                </pic:pic>
              </a:graphicData>
            </a:graphic>
          </wp:inline>
        </w:drawing>
      </w:r>
    </w:p>
    <w:p>
      <w:pPr>
        <w:ind w:left="0" w:leftChars="0" w:firstLine="0" w:firstLineChars="0"/>
        <w:rPr>
          <w:rFonts w:hint="default"/>
          <w:lang w:val="en-US" w:eastAsia="zh-CN"/>
        </w:rPr>
      </w:pPr>
    </w:p>
    <w:p>
      <w:pPr>
        <w:ind w:left="0" w:leftChars="0" w:firstLine="0" w:firstLineChars="0"/>
        <w:jc w:val="center"/>
        <w:rPr>
          <w:rFonts w:hint="default"/>
          <w:lang w:val="en-US" w:eastAsia="zh-CN"/>
        </w:rPr>
      </w:pPr>
    </w:p>
    <w:p>
      <w:pPr>
        <w:ind w:left="0" w:leftChars="0" w:firstLine="0" w:firstLineChars="0"/>
        <w:jc w:val="center"/>
        <w:rPr>
          <w:rFonts w:hint="default"/>
          <w:lang w:val="en-US" w:eastAsia="zh-CN"/>
        </w:rPr>
      </w:pPr>
    </w:p>
    <w:p>
      <w:pPr>
        <w:ind w:left="0" w:leftChars="0" w:firstLine="0" w:firstLineChars="0"/>
        <w:jc w:val="center"/>
        <w:rPr>
          <w:rFonts w:hint="default"/>
          <w:lang w:val="en-US" w:eastAsia="zh-CN"/>
        </w:rPr>
      </w:pPr>
    </w:p>
    <w:p>
      <w:pPr>
        <w:rPr>
          <w:rFonts w:hint="eastAsia"/>
          <w:lang w:val="en-US" w:eastAsia="zh-CN"/>
        </w:rPr>
      </w:pPr>
      <w:r>
        <w:rPr>
          <w:rFonts w:hint="eastAsia"/>
          <w:lang w:val="en-US" w:eastAsia="zh-CN"/>
        </w:rPr>
        <w:br w:type="page"/>
      </w:r>
    </w:p>
    <w:p>
      <w:pPr>
        <w:pStyle w:val="5"/>
        <w:bidi w:val="0"/>
        <w:outlineLvl w:val="0"/>
        <w:rPr>
          <w:rFonts w:hint="eastAsia"/>
          <w:lang w:val="en-US" w:eastAsia="zh-CN"/>
        </w:rPr>
      </w:pPr>
      <w:bookmarkStart w:id="31" w:name="_Toc20722"/>
      <w:r>
        <w:rPr>
          <w:rFonts w:hint="eastAsia"/>
          <w:lang w:val="en-US" w:eastAsia="zh-CN"/>
        </w:rPr>
        <w:t>附件9  自动洗车机出水口污水检测报告</w:t>
      </w:r>
      <w:bookmarkEnd w:id="31"/>
    </w:p>
    <w:p>
      <w:pPr>
        <w:rPr>
          <w:rFonts w:hint="default"/>
          <w:lang w:val="en-US" w:eastAsia="zh-CN"/>
        </w:rPr>
      </w:pPr>
      <w:r>
        <w:rPr>
          <w:rFonts w:hint="default"/>
          <w:lang w:val="en-US" w:eastAsia="zh-CN"/>
        </w:rPr>
        <w:drawing>
          <wp:inline distT="0" distB="0" distL="114300" distR="114300">
            <wp:extent cx="5266690" cy="7466330"/>
            <wp:effectExtent l="0" t="0" r="10160" b="1270"/>
            <wp:docPr id="19" name="图片 19" descr="自动洗车机出水口污水检测报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自动洗车机出水口污水检测报告1"/>
                    <pic:cNvPicPr>
                      <a:picLocks noChangeAspect="1"/>
                    </pic:cNvPicPr>
                  </pic:nvPicPr>
                  <pic:blipFill>
                    <a:blip r:embed="rId48"/>
                    <a:stretch>
                      <a:fillRect/>
                    </a:stretch>
                  </pic:blipFill>
                  <pic:spPr>
                    <a:xfrm>
                      <a:off x="0" y="0"/>
                      <a:ext cx="5266690" cy="7466330"/>
                    </a:xfrm>
                    <a:prstGeom prst="rect">
                      <a:avLst/>
                    </a:prstGeom>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drawing>
          <wp:inline distT="0" distB="0" distL="114300" distR="114300">
            <wp:extent cx="5268595" cy="7352030"/>
            <wp:effectExtent l="0" t="0" r="8255" b="1270"/>
            <wp:docPr id="20" name="图片 20" descr="自动洗车机出水口污水检测报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自动洗车机出水口污水检测报告2"/>
                    <pic:cNvPicPr>
                      <a:picLocks noChangeAspect="1"/>
                    </pic:cNvPicPr>
                  </pic:nvPicPr>
                  <pic:blipFill>
                    <a:blip r:embed="rId49"/>
                    <a:stretch>
                      <a:fillRect/>
                    </a:stretch>
                  </pic:blipFill>
                  <pic:spPr>
                    <a:xfrm>
                      <a:off x="0" y="0"/>
                      <a:ext cx="5268595" cy="7352030"/>
                    </a:xfrm>
                    <a:prstGeom prst="rect">
                      <a:avLst/>
                    </a:prstGeom>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r>
        <w:rPr>
          <w:rFonts w:hint="default"/>
          <w:lang w:val="en-US" w:eastAsia="zh-CN"/>
        </w:rPr>
        <w:drawing>
          <wp:inline distT="0" distB="0" distL="114300" distR="114300">
            <wp:extent cx="5259070" cy="7437755"/>
            <wp:effectExtent l="0" t="0" r="17780" b="10795"/>
            <wp:docPr id="21" name="图片 21" descr="自动洗车机出水口污水检测报告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自动洗车机出水口污水检测报告3"/>
                    <pic:cNvPicPr>
                      <a:picLocks noChangeAspect="1"/>
                    </pic:cNvPicPr>
                  </pic:nvPicPr>
                  <pic:blipFill>
                    <a:blip r:embed="rId50"/>
                    <a:stretch>
                      <a:fillRect/>
                    </a:stretch>
                  </pic:blipFill>
                  <pic:spPr>
                    <a:xfrm>
                      <a:off x="0" y="0"/>
                      <a:ext cx="5259070" cy="7437755"/>
                    </a:xfrm>
                    <a:prstGeom prst="rect">
                      <a:avLst/>
                    </a:prstGeom>
                  </pic:spPr>
                </pic:pic>
              </a:graphicData>
            </a:graphic>
          </wp:inline>
        </w:drawing>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pStyle w:val="5"/>
        <w:bidi w:val="0"/>
        <w:outlineLvl w:val="0"/>
        <w:rPr>
          <w:rFonts w:hint="eastAsia"/>
          <w:lang w:val="en-US" w:eastAsia="zh-CN"/>
        </w:rPr>
      </w:pPr>
      <w:bookmarkStart w:id="32" w:name="_Toc25060"/>
      <w:r>
        <w:rPr>
          <w:rFonts w:hint="eastAsia"/>
          <w:lang w:val="en-US" w:eastAsia="zh-CN"/>
        </w:rPr>
        <w:t>附件10  专家意见</w:t>
      </w:r>
      <w:bookmarkEnd w:id="32"/>
    </w:p>
    <w:p>
      <w:pPr>
        <w:spacing w:line="240" w:lineRule="auto"/>
        <w:jc w:val="center"/>
        <w:rPr>
          <w:rFonts w:hint="default"/>
          <w:lang w:val="en-US" w:eastAsia="zh-CN"/>
        </w:rPr>
      </w:pPr>
      <w:r>
        <w:rPr>
          <w:rFonts w:hint="default"/>
          <w:lang w:val="en-US" w:eastAsia="zh-CN"/>
        </w:rPr>
        <w:drawing>
          <wp:inline distT="0" distB="0" distL="114300" distR="114300">
            <wp:extent cx="5263515" cy="7442835"/>
            <wp:effectExtent l="0" t="0" r="13335" b="5715"/>
            <wp:docPr id="3" name="图片 3" descr="衡阳市泰达能源发展有限公司衡阳市新竹加油站建设项目技术评审综合意见_20220922195709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衡阳市泰达能源发展有限公司衡阳市新竹加油站建设项目技术评审综合意见_20220922195709_00"/>
                    <pic:cNvPicPr>
                      <a:picLocks noChangeAspect="1"/>
                    </pic:cNvPicPr>
                  </pic:nvPicPr>
                  <pic:blipFill>
                    <a:blip r:embed="rId51"/>
                    <a:stretch>
                      <a:fillRect/>
                    </a:stretch>
                  </pic:blipFill>
                  <pic:spPr>
                    <a:xfrm>
                      <a:off x="0" y="0"/>
                      <a:ext cx="5263515" cy="7442835"/>
                    </a:xfrm>
                    <a:prstGeom prst="rect">
                      <a:avLst/>
                    </a:prstGeom>
                  </pic:spPr>
                </pic:pic>
              </a:graphicData>
            </a:graphic>
          </wp:inline>
        </w:drawing>
      </w:r>
    </w:p>
    <w:p>
      <w:pPr>
        <w:jc w:val="both"/>
        <w:rPr>
          <w:rFonts w:hint="default"/>
          <w:lang w:val="en-US" w:eastAsia="zh-CN"/>
        </w:rPr>
      </w:pPr>
    </w:p>
    <w:p>
      <w:pPr>
        <w:jc w:val="center"/>
        <w:rPr>
          <w:rFonts w:hint="default"/>
          <w:lang w:val="en-US" w:eastAsia="zh-CN"/>
        </w:rPr>
      </w:pPr>
    </w:p>
    <w:p>
      <w:pPr>
        <w:jc w:val="center"/>
        <w:rPr>
          <w:rFonts w:hint="default"/>
          <w:lang w:val="en-US" w:eastAsia="zh-CN"/>
        </w:rPr>
      </w:pPr>
    </w:p>
    <w:p>
      <w:pPr>
        <w:spacing w:line="240" w:lineRule="auto"/>
        <w:jc w:val="center"/>
        <w:rPr>
          <w:rFonts w:hint="default"/>
          <w:lang w:val="en-US" w:eastAsia="zh-CN"/>
        </w:rPr>
      </w:pPr>
      <w:r>
        <w:rPr>
          <w:rFonts w:hint="default"/>
          <w:lang w:val="en-US" w:eastAsia="zh-CN"/>
        </w:rPr>
        <w:drawing>
          <wp:inline distT="0" distB="0" distL="114300" distR="114300">
            <wp:extent cx="5263515" cy="7442835"/>
            <wp:effectExtent l="0" t="0" r="13335" b="5715"/>
            <wp:docPr id="4" name="图片 4" descr="衡阳市泰达能源发展有限公司衡阳市新竹加油站建设项目技术评审综合意见_2022092219570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衡阳市泰达能源发展有限公司衡阳市新竹加油站建设项目技术评审综合意见_20220922195709_01"/>
                    <pic:cNvPicPr>
                      <a:picLocks noChangeAspect="1"/>
                    </pic:cNvPicPr>
                  </pic:nvPicPr>
                  <pic:blipFill>
                    <a:blip r:embed="rId52"/>
                    <a:stretch>
                      <a:fillRect/>
                    </a:stretch>
                  </pic:blipFill>
                  <pic:spPr>
                    <a:xfrm>
                      <a:off x="0" y="0"/>
                      <a:ext cx="5263515" cy="7442835"/>
                    </a:xfrm>
                    <a:prstGeom prst="rect">
                      <a:avLst/>
                    </a:prstGeom>
                  </pic:spPr>
                </pic:pic>
              </a:graphicData>
            </a:graphic>
          </wp:inline>
        </w:drawing>
      </w:r>
    </w:p>
    <w:p>
      <w:pPr>
        <w:pStyle w:val="5"/>
        <w:bidi w:val="0"/>
        <w:outlineLvl w:val="9"/>
        <w:rPr>
          <w:rFonts w:hint="eastAsia"/>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pPr>
        <w:pStyle w:val="5"/>
        <w:bidi w:val="0"/>
        <w:outlineLvl w:val="0"/>
        <w:rPr>
          <w:rFonts w:hint="eastAsia"/>
          <w:lang w:val="en-US" w:eastAsia="zh-CN"/>
        </w:rPr>
      </w:pPr>
      <w:bookmarkStart w:id="33" w:name="_Toc31954"/>
      <w:r>
        <w:rPr>
          <w:rFonts w:hint="eastAsia"/>
          <w:lang w:val="en-US" w:eastAsia="zh-CN"/>
        </w:rPr>
        <w:t>附件11  专家签到表</w:t>
      </w:r>
      <w:bookmarkEnd w:id="33"/>
    </w:p>
    <w:p>
      <w:pPr>
        <w:jc w:val="center"/>
        <w:rPr>
          <w:rFonts w:hint="default"/>
          <w:lang w:val="en-US" w:eastAsia="zh-CN"/>
        </w:rPr>
      </w:pPr>
      <w:r>
        <w:rPr>
          <w:rFonts w:hint="default"/>
          <w:lang w:val="en-US" w:eastAsia="zh-CN"/>
        </w:rPr>
        <w:drawing>
          <wp:inline distT="0" distB="0" distL="114300" distR="114300">
            <wp:extent cx="5029835" cy="7176135"/>
            <wp:effectExtent l="0" t="0" r="5715" b="18415"/>
            <wp:docPr id="25" name="图片 25" descr="签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签到表"/>
                    <pic:cNvPicPr>
                      <a:picLocks noChangeAspect="1"/>
                    </pic:cNvPicPr>
                  </pic:nvPicPr>
                  <pic:blipFill>
                    <a:blip r:embed="rId53"/>
                    <a:stretch>
                      <a:fillRect/>
                    </a:stretch>
                  </pic:blipFill>
                  <pic:spPr>
                    <a:xfrm rot="5400000">
                      <a:off x="0" y="0"/>
                      <a:ext cx="5029835" cy="7176135"/>
                    </a:xfrm>
                    <a:prstGeom prst="rect">
                      <a:avLst/>
                    </a:prstGeom>
                  </pic:spPr>
                </pic:pic>
              </a:graphicData>
            </a:graphic>
          </wp:inline>
        </w:drawing>
      </w:r>
    </w:p>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宋体"/>
    <w:panose1 w:val="00000000000000000000"/>
    <w:charset w:val="86"/>
    <w:family w:val="script"/>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rPr>
                              <w:rFonts w:hint="default" w:eastAsia="宋体"/>
                              <w:lang w:val="en-US"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tabs>
                        <w:tab w:val="center" w:pos="4153"/>
                        <w:tab w:val="right" w:pos="8306"/>
                      </w:tabs>
                      <w:rPr>
                        <w:rFonts w:hint="default" w:eastAsia="宋体"/>
                        <w:lang w:val="en-US" w:eastAsia="zh-CN"/>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jc w:val="center"/>
      <w:rPr>
        <w:sz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jc w:val="center"/>
      <w:rPr>
        <w:sz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jc w:val="center"/>
      <w:rPr>
        <w:sz w:val="21"/>
      </w:rPr>
    </w:pPr>
    <w:r>
      <w:rPr>
        <w:sz w:val="21"/>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pP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tabs>
                              <w:tab w:val="center" w:pos="4153"/>
                              <w:tab w:val="right" w:pos="8306"/>
                            </w:tabs>
                          </w:pPr>
                          <w:r>
                            <w:fldChar w:fldCharType="begin"/>
                          </w:r>
                          <w:r>
                            <w:instrText xml:space="preserve"> PAGE  \* MERGEFORMAT </w:instrText>
                          </w:r>
                          <w:r>
                            <w:fldChar w:fldCharType="separate"/>
                          </w:r>
                          <w:r>
                            <w:rPr>
                              <w:rFonts w:hint="eastAsia" w:ascii="Times New Roman" w:hAnsi="Times New Roman"/>
                              <w:lang w:eastAsia="zh-CN"/>
                            </w:rPr>
                            <w:t>47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0N0ssoBAACdAwAADgAAAGRycy9lMm9Eb2MueG1srVPNjtMwEL4j8Q6W&#10;79TZCkEV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SLm/D6LSWOWxz5+eeP868/59/f&#10;SXaiRH2AGjNvA+am4b0fMH32Azoz80FFm7/IiWAcBT5dBJZDIiI/Wi1XqwpDAmPzBfHZ/fMQIX2Q&#10;3pJsNDTiBIuw/PgJ0pg6p+Rqzt9oY8oUjfvPgZjZw3LvY4/ZSsNumAjtfHtCPj0Ov6EOd50S89Gh&#10;tnlPZiPOxm42DiHqfVcWKdeD8O6QsInSW64wwk6FcWqF3bRheS3+vZes+79q8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g0N0ssoBAACdAwAADgAAAAAAAAABACAAAAAeAQAAZHJzL2Uyb0Rv&#10;Yy54bWxQSwUGAAAAAAYABgBZAQAAWgUAAAAA&#10;">
              <v:fill on="f" focussize="0,0"/>
              <v:stroke on="f"/>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rPr>
                        <w:rFonts w:hint="eastAsia" w:ascii="Times New Roman" w:hAnsi="Times New Roman"/>
                        <w:lang w:eastAsia="zh-CN"/>
                      </w:rPr>
                      <w:t>47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bidi w:val="0"/>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fldChar w:fldCharType="begin"/>
                          </w:r>
                          <w:r>
                            <w:instrText xml:space="preserve"> PAGE  \* MERGEFORMAT </w:instrText>
                          </w:r>
                          <w:r>
                            <w:fldChar w:fldCharType="separate"/>
                          </w:r>
                          <w:r>
                            <w:rPr>
                              <w:rFonts w:hint="eastAsia" w:ascii="Times New Roman" w:hAnsi="Times New Roman"/>
                              <w:lang w:eastAsia="zh-CN"/>
                            </w:rP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73va8z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ngzp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73va8zAgAAZQQAAA4AAAAAAAAAAQAgAAAAHwEAAGRycy9lMm9Eb2MueG1sUEsF&#10;BgAAAAAGAAYAWQEAAMQFAAAAAA==&#10;">
              <v:fill on="f" focussize="0,0"/>
              <v:stroke on="f" weight="0.5pt"/>
              <v:imagedata o:title=""/>
              <o:lock v:ext="edit" aspectratio="f"/>
              <v:textbox inset="0mm,0mm,0mm,0mm" style="mso-fit-shape-to-text:t;">
                <w:txbxContent>
                  <w:p>
                    <w:r>
                      <w:fldChar w:fldCharType="begin"/>
                    </w:r>
                    <w:r>
                      <w:instrText xml:space="preserve"> PAGE  \* MERGEFORMAT </w:instrText>
                    </w:r>
                    <w:r>
                      <w:fldChar w:fldCharType="separate"/>
                    </w:r>
                    <w:r>
                      <w:rPr>
                        <w:rFonts w:hint="eastAsia" w:ascii="Times New Roman" w:hAnsi="Times New Roman"/>
                        <w:lang w:eastAsia="zh-CN"/>
                      </w:rPr>
                      <w:t>47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47EA3D"/>
    <w:multiLevelType w:val="singleLevel"/>
    <w:tmpl w:val="8547EA3D"/>
    <w:lvl w:ilvl="0" w:tentative="0">
      <w:start w:val="1"/>
      <w:numFmt w:val="decimal"/>
      <w:lvlText w:val="%1."/>
      <w:lvlJc w:val="left"/>
      <w:pPr>
        <w:tabs>
          <w:tab w:val="left" w:pos="312"/>
        </w:tabs>
      </w:pPr>
    </w:lvl>
  </w:abstractNum>
  <w:abstractNum w:abstractNumId="1">
    <w:nsid w:val="AE6C43E4"/>
    <w:multiLevelType w:val="singleLevel"/>
    <w:tmpl w:val="AE6C43E4"/>
    <w:lvl w:ilvl="0" w:tentative="0">
      <w:start w:val="1"/>
      <w:numFmt w:val="decimal"/>
      <w:lvlText w:val="%1."/>
      <w:lvlJc w:val="left"/>
      <w:pPr>
        <w:tabs>
          <w:tab w:val="left" w:pos="312"/>
        </w:tabs>
      </w:pPr>
    </w:lvl>
  </w:abstractNum>
  <w:abstractNum w:abstractNumId="2">
    <w:nsid w:val="2D3E8C1E"/>
    <w:multiLevelType w:val="singleLevel"/>
    <w:tmpl w:val="2D3E8C1E"/>
    <w:lvl w:ilvl="0" w:tentative="0">
      <w:start w:val="1"/>
      <w:numFmt w:val="decimal"/>
      <w:lvlText w:val="%1."/>
      <w:lvlJc w:val="left"/>
      <w:pPr>
        <w:tabs>
          <w:tab w:val="left" w:pos="312"/>
        </w:tabs>
      </w:pPr>
    </w:lvl>
  </w:abstractNum>
  <w:abstractNum w:abstractNumId="3">
    <w:nsid w:val="49208001"/>
    <w:multiLevelType w:val="singleLevel"/>
    <w:tmpl w:val="49208001"/>
    <w:lvl w:ilvl="0" w:tentative="0">
      <w:start w:val="1"/>
      <w:numFmt w:val="decimal"/>
      <w:suff w:val="nothing"/>
      <w:lvlText w:val="（%1）"/>
      <w:lvlJc w:val="left"/>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66"/>
  <w:displayHorizontalDrawingGridEvery w:val="0"/>
  <w:displayVerticalDrawingGridEvery w:val="2"/>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hmY2RhZDkwZjIzZjJlYWUzZDYwMWY0NmNmMzU2NDQifQ=="/>
  </w:docVars>
  <w:rsids>
    <w:rsidRoot w:val="00172A27"/>
    <w:rsid w:val="00B51202"/>
    <w:rsid w:val="01830A06"/>
    <w:rsid w:val="01AF359B"/>
    <w:rsid w:val="01E40A42"/>
    <w:rsid w:val="021C60FD"/>
    <w:rsid w:val="02B10067"/>
    <w:rsid w:val="031C2E9A"/>
    <w:rsid w:val="03D54953"/>
    <w:rsid w:val="045E7AFB"/>
    <w:rsid w:val="04E17939"/>
    <w:rsid w:val="054D2457"/>
    <w:rsid w:val="070E64AF"/>
    <w:rsid w:val="073851E7"/>
    <w:rsid w:val="07542558"/>
    <w:rsid w:val="07E80BE7"/>
    <w:rsid w:val="08B62664"/>
    <w:rsid w:val="092C1AD5"/>
    <w:rsid w:val="093A4236"/>
    <w:rsid w:val="0A14523B"/>
    <w:rsid w:val="0A6524C9"/>
    <w:rsid w:val="0AC45666"/>
    <w:rsid w:val="0AE62839"/>
    <w:rsid w:val="0B040718"/>
    <w:rsid w:val="0B3C1635"/>
    <w:rsid w:val="0BAE5E3B"/>
    <w:rsid w:val="0BB335B1"/>
    <w:rsid w:val="0D0004F7"/>
    <w:rsid w:val="0DAE5526"/>
    <w:rsid w:val="0EA04065"/>
    <w:rsid w:val="101E5130"/>
    <w:rsid w:val="110C1E59"/>
    <w:rsid w:val="13211258"/>
    <w:rsid w:val="135B00D5"/>
    <w:rsid w:val="13621DFA"/>
    <w:rsid w:val="13E36487"/>
    <w:rsid w:val="141C48E7"/>
    <w:rsid w:val="14B06C45"/>
    <w:rsid w:val="14BD1BEA"/>
    <w:rsid w:val="15853F88"/>
    <w:rsid w:val="16AD35FE"/>
    <w:rsid w:val="17743256"/>
    <w:rsid w:val="18196BCE"/>
    <w:rsid w:val="195174D6"/>
    <w:rsid w:val="19601F50"/>
    <w:rsid w:val="1A165AF6"/>
    <w:rsid w:val="1A4017EB"/>
    <w:rsid w:val="1BE662A8"/>
    <w:rsid w:val="1C644272"/>
    <w:rsid w:val="1C952F92"/>
    <w:rsid w:val="1CF80740"/>
    <w:rsid w:val="1DDF4B06"/>
    <w:rsid w:val="1DE94AC8"/>
    <w:rsid w:val="1E830C89"/>
    <w:rsid w:val="1EC93137"/>
    <w:rsid w:val="203A6ABE"/>
    <w:rsid w:val="206C7B8B"/>
    <w:rsid w:val="20D44D53"/>
    <w:rsid w:val="2176531A"/>
    <w:rsid w:val="239F18B6"/>
    <w:rsid w:val="25FB5886"/>
    <w:rsid w:val="260E0833"/>
    <w:rsid w:val="2631318D"/>
    <w:rsid w:val="264D1A8E"/>
    <w:rsid w:val="26DC4D40"/>
    <w:rsid w:val="27147FEE"/>
    <w:rsid w:val="28532AB4"/>
    <w:rsid w:val="28A977A4"/>
    <w:rsid w:val="2A3E0EFE"/>
    <w:rsid w:val="2B740F80"/>
    <w:rsid w:val="2B897E38"/>
    <w:rsid w:val="2C1B32EB"/>
    <w:rsid w:val="2C523D97"/>
    <w:rsid w:val="2C5B711F"/>
    <w:rsid w:val="2CC15006"/>
    <w:rsid w:val="2CF4338A"/>
    <w:rsid w:val="2D1E513E"/>
    <w:rsid w:val="2D935C4B"/>
    <w:rsid w:val="2FAC2C2F"/>
    <w:rsid w:val="2FBC180A"/>
    <w:rsid w:val="2FBE0C87"/>
    <w:rsid w:val="2FBE38EC"/>
    <w:rsid w:val="30425944"/>
    <w:rsid w:val="31FB2228"/>
    <w:rsid w:val="3217410E"/>
    <w:rsid w:val="326D4F88"/>
    <w:rsid w:val="328324B8"/>
    <w:rsid w:val="332F611B"/>
    <w:rsid w:val="3552352E"/>
    <w:rsid w:val="356053C8"/>
    <w:rsid w:val="3816097A"/>
    <w:rsid w:val="3AF44FD7"/>
    <w:rsid w:val="3B2C4D22"/>
    <w:rsid w:val="3C051341"/>
    <w:rsid w:val="3CA05712"/>
    <w:rsid w:val="3CA871BE"/>
    <w:rsid w:val="3DB026DE"/>
    <w:rsid w:val="3DEE4B41"/>
    <w:rsid w:val="3E682515"/>
    <w:rsid w:val="3E8328AF"/>
    <w:rsid w:val="3EE6168C"/>
    <w:rsid w:val="3EFB3603"/>
    <w:rsid w:val="40480227"/>
    <w:rsid w:val="429C336E"/>
    <w:rsid w:val="43174668"/>
    <w:rsid w:val="432112B5"/>
    <w:rsid w:val="43221654"/>
    <w:rsid w:val="43316D17"/>
    <w:rsid w:val="439E42E3"/>
    <w:rsid w:val="43DE04D9"/>
    <w:rsid w:val="446B69CC"/>
    <w:rsid w:val="4483586A"/>
    <w:rsid w:val="44F85312"/>
    <w:rsid w:val="45952D33"/>
    <w:rsid w:val="45E02DE2"/>
    <w:rsid w:val="46250CEB"/>
    <w:rsid w:val="46A344F2"/>
    <w:rsid w:val="47420D9F"/>
    <w:rsid w:val="4894459B"/>
    <w:rsid w:val="49AF3E07"/>
    <w:rsid w:val="49E85126"/>
    <w:rsid w:val="4A125C1C"/>
    <w:rsid w:val="4A4048D3"/>
    <w:rsid w:val="4A510439"/>
    <w:rsid w:val="4A5F39DD"/>
    <w:rsid w:val="4B5745BA"/>
    <w:rsid w:val="4BD26E4A"/>
    <w:rsid w:val="4BE96A19"/>
    <w:rsid w:val="4C2912BC"/>
    <w:rsid w:val="4D8427F8"/>
    <w:rsid w:val="4DAF0D74"/>
    <w:rsid w:val="4F0D02FD"/>
    <w:rsid w:val="4F6F6CFE"/>
    <w:rsid w:val="4F8E38E5"/>
    <w:rsid w:val="508519B5"/>
    <w:rsid w:val="51334879"/>
    <w:rsid w:val="526967E1"/>
    <w:rsid w:val="533609BC"/>
    <w:rsid w:val="53505A54"/>
    <w:rsid w:val="545033D7"/>
    <w:rsid w:val="54633612"/>
    <w:rsid w:val="550938FF"/>
    <w:rsid w:val="556748AF"/>
    <w:rsid w:val="55B7331C"/>
    <w:rsid w:val="55BB1F38"/>
    <w:rsid w:val="55CF48EA"/>
    <w:rsid w:val="55F9026F"/>
    <w:rsid w:val="573A55E9"/>
    <w:rsid w:val="57F34D61"/>
    <w:rsid w:val="58E31BA3"/>
    <w:rsid w:val="58E326E5"/>
    <w:rsid w:val="59893892"/>
    <w:rsid w:val="5B090361"/>
    <w:rsid w:val="5B7B3430"/>
    <w:rsid w:val="5C8715A5"/>
    <w:rsid w:val="5D0B1BBD"/>
    <w:rsid w:val="5D220DEE"/>
    <w:rsid w:val="5D5D2FCB"/>
    <w:rsid w:val="5EF34CAC"/>
    <w:rsid w:val="5F311749"/>
    <w:rsid w:val="5FD66583"/>
    <w:rsid w:val="603B481E"/>
    <w:rsid w:val="606C3762"/>
    <w:rsid w:val="60D80B3D"/>
    <w:rsid w:val="626A0762"/>
    <w:rsid w:val="62A10DF6"/>
    <w:rsid w:val="62EB2858"/>
    <w:rsid w:val="63C7249E"/>
    <w:rsid w:val="63C966FC"/>
    <w:rsid w:val="63DF0837"/>
    <w:rsid w:val="64070191"/>
    <w:rsid w:val="642250B7"/>
    <w:rsid w:val="65FD4A23"/>
    <w:rsid w:val="667E40B7"/>
    <w:rsid w:val="67383CFD"/>
    <w:rsid w:val="678545DD"/>
    <w:rsid w:val="67856F1B"/>
    <w:rsid w:val="687744A9"/>
    <w:rsid w:val="689C4C25"/>
    <w:rsid w:val="68A9401A"/>
    <w:rsid w:val="69040226"/>
    <w:rsid w:val="69502658"/>
    <w:rsid w:val="69AC0C6E"/>
    <w:rsid w:val="6A2E6562"/>
    <w:rsid w:val="6A4D69F7"/>
    <w:rsid w:val="6AE105AB"/>
    <w:rsid w:val="6B485143"/>
    <w:rsid w:val="6BD037F1"/>
    <w:rsid w:val="6C4C7F72"/>
    <w:rsid w:val="6CDF7FDA"/>
    <w:rsid w:val="6E012B47"/>
    <w:rsid w:val="6E203300"/>
    <w:rsid w:val="6E5B78BD"/>
    <w:rsid w:val="6E9E3905"/>
    <w:rsid w:val="71406FC8"/>
    <w:rsid w:val="71AE39D4"/>
    <w:rsid w:val="723D786C"/>
    <w:rsid w:val="728249FB"/>
    <w:rsid w:val="73050814"/>
    <w:rsid w:val="75057D64"/>
    <w:rsid w:val="75F86CE3"/>
    <w:rsid w:val="7621703B"/>
    <w:rsid w:val="762E72CC"/>
    <w:rsid w:val="768417DB"/>
    <w:rsid w:val="76E46FBB"/>
    <w:rsid w:val="76F123A0"/>
    <w:rsid w:val="78474DE8"/>
    <w:rsid w:val="78EA6280"/>
    <w:rsid w:val="7A1B01D4"/>
    <w:rsid w:val="7A576617"/>
    <w:rsid w:val="7AE21A30"/>
    <w:rsid w:val="7B390C50"/>
    <w:rsid w:val="7C117E72"/>
    <w:rsid w:val="7C8E37DA"/>
    <w:rsid w:val="7CC13BB6"/>
    <w:rsid w:val="7F3274B8"/>
    <w:rsid w:val="7FA04523"/>
    <w:rsid w:val="7FD01B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semiHidden/>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uiPriority w:val="0"/>
    <w:pPr>
      <w:keepNext/>
      <w:keepLines/>
      <w:adjustRightInd w:val="0"/>
      <w:snapToGrid w:val="0"/>
      <w:spacing w:beforeLines="0" w:beforeAutospacing="0" w:afterLines="0" w:afterAutospacing="0" w:line="240" w:lineRule="auto"/>
      <w:jc w:val="center"/>
      <w:outlineLvl w:val="2"/>
    </w:pPr>
    <w:rPr>
      <w:rFonts w:ascii="Times New Roman" w:hAnsi="Times New Roman" w:eastAsia="黑体"/>
      <w:b/>
      <w:sz w:val="30"/>
    </w:rPr>
  </w:style>
  <w:style w:type="paragraph" w:styleId="5">
    <w:name w:val="heading 4"/>
    <w:basedOn w:val="1"/>
    <w:next w:val="1"/>
    <w:unhideWhenUsed/>
    <w:qFormat/>
    <w:uiPriority w:val="0"/>
    <w:pPr>
      <w:keepNext/>
      <w:keepLines/>
      <w:adjustRightInd w:val="0"/>
      <w:snapToGrid w:val="0"/>
      <w:spacing w:beforeLines="0" w:beforeAutospacing="0" w:afterLines="0" w:afterAutospacing="0" w:line="240" w:lineRule="auto"/>
      <w:jc w:val="left"/>
      <w:outlineLvl w:val="3"/>
    </w:pPr>
    <w:rPr>
      <w:rFonts w:ascii="Times New Roman" w:hAnsi="Times New Roman" w:eastAsia="宋体"/>
      <w:b/>
      <w:sz w:val="24"/>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
    <w:name w:val="表格"/>
    <w:link w:val="12"/>
    <w:qFormat/>
    <w:uiPriority w:val="0"/>
    <w:pPr>
      <w:adjustRightInd w:val="0"/>
      <w:snapToGrid w:val="0"/>
      <w:spacing w:line="240" w:lineRule="auto"/>
      <w:jc w:val="center"/>
    </w:pPr>
    <w:rPr>
      <w:rFonts w:ascii="Times New Roman" w:hAnsi="Times New Roman" w:eastAsia="宋体" w:cs="Times New Roman"/>
      <w:kern w:val="0"/>
      <w:sz w:val="21"/>
      <w:szCs w:val="20"/>
    </w:rPr>
  </w:style>
  <w:style w:type="paragraph" w:customStyle="1" w:styleId="10">
    <w:name w:val="表格标题"/>
    <w:basedOn w:val="1"/>
    <w:next w:val="9"/>
    <w:link w:val="11"/>
    <w:qFormat/>
    <w:uiPriority w:val="0"/>
    <w:pPr>
      <w:overflowPunct w:val="0"/>
      <w:autoSpaceDE w:val="0"/>
      <w:autoSpaceDN w:val="0"/>
      <w:adjustRightInd w:val="0"/>
      <w:snapToGrid w:val="0"/>
      <w:spacing w:line="240" w:lineRule="auto"/>
      <w:jc w:val="center"/>
      <w:textAlignment w:val="baseline"/>
    </w:pPr>
    <w:rPr>
      <w:rFonts w:ascii="Times New Roman" w:hAnsi="Times New Roman" w:eastAsia="宋体"/>
      <w:b/>
      <w:bCs/>
      <w:kern w:val="0"/>
      <w:szCs w:val="21"/>
    </w:rPr>
  </w:style>
  <w:style w:type="character" w:customStyle="1" w:styleId="11">
    <w:name w:val="表格标题 Char"/>
    <w:link w:val="10"/>
    <w:qFormat/>
    <w:uiPriority w:val="0"/>
    <w:rPr>
      <w:rFonts w:ascii="Times New Roman" w:hAnsi="Times New Roman" w:eastAsia="宋体"/>
      <w:b/>
      <w:bCs/>
      <w:kern w:val="0"/>
      <w:szCs w:val="21"/>
    </w:rPr>
  </w:style>
  <w:style w:type="character" w:customStyle="1" w:styleId="12">
    <w:name w:val="表格 Char"/>
    <w:link w:val="9"/>
    <w:qFormat/>
    <w:uiPriority w:val="0"/>
    <w:rPr>
      <w:rFonts w:ascii="Times New Roman" w:hAnsi="Times New Roman" w:eastAsia="宋体" w:cs="Times New Roman"/>
      <w:kern w:val="0"/>
      <w:sz w:val="21"/>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2.jpe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jpeg"/><Relationship Id="rId5" Type="http://schemas.openxmlformats.org/officeDocument/2006/relationships/footer" Target="foot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jpe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104</Pages>
  <Words>40121</Words>
  <Characters>45121</Characters>
  <Lines>0</Lines>
  <Paragraphs>0</Paragraphs>
  <TotalTime>1</TotalTime>
  <ScaleCrop>false</ScaleCrop>
  <LinksUpToDate>false</LinksUpToDate>
  <CharactersWithSpaces>45695</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2022-08-03T09:22:00Z</dcterms:created>
  <dc:creator>zl</dc:creator>
  <cp:lastModifiedBy>zl</cp:lastModifiedBy>
  <dcterms:modified xsi:type="dcterms:W3CDTF">2023-04-11T02:04:39Z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4DC39C84841C4BE0B76DE61EAAE57A82</vt:lpwstr>
  </property>
</Properties>
</file>