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2023年衡阳市本级财源建设资金拟支持名单</w:t>
      </w:r>
    </w:p>
    <w:tbl>
      <w:tblPr>
        <w:tblStyle w:val="2"/>
        <w:tblW w:w="8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6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衡阳宏冶重型机械有限公司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衡阳市凯晋锋机械制造有限公司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衡阳华瑞电气有限公司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湖南畅能电力物资有限公司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衡阳市腾飞锅炉有限公司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衡阳市君玲传统食品科技发展有限责任公司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湖南奔立尔工贸实业有限公司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衡阳市惠源机械有限公司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衡阳瑞科电源有限公司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衡阳恒全电镀有限公司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湖南海联三一小苏打有限公司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衡阳骏兴铁路物资有限公司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衡阳市鹏程机械厂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衡阳狮山输送机械有限公司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衡阳市国隆金属材料有限公司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衡阳宇宸机械制造有限公司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衡阳市恒锋机械制造有限公司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衡阳谷和精密机械有限公司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湖南懿科药用包装材料科技有限公司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湖南康洁食品科技发展有限公司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湖南鸿拓精密制造有限公司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衡阳市蒸湘星宇热处理厂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衡阳市新兴运输机械有限公司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衡阳捷邦科技有限公司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衡阳龙玺智能科技有限公司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衡阳瑞合精密仪器有限公司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湖南森云门窗有限公司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衡阳县传承机械制造有限公司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衡阳阳光陶瓷有限公司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衡阳德圣宝智能装备有限公司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衡阳县康和源体育用品有限公司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湖南美房建材科技有限公司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衡阳同禧透气包装有限公司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湖南裕盛新科鞋材有限公司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衡阳市强能制造有限责任公司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衡阳市中新电子有限公司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衡阳市精峰机械有限公司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湖南奥鑫机械有限公司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衡阳市畅通管业有限公司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湖南三易精工科技有限公司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湖南中翔标签有限公司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湖南千福门业有限公司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湖南胤涛精密制造有限公司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湖南芳维食品有限公司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湖南优钢金属科技有限公司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湖南同乐堡实业有限公司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湖南德霸照明制造有限公司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衡山卓盈服装有限公司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湖南三和瓷业有限公司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祁东湘雁晶细粉厂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衡阳周福记食品有限公司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湖南朝阳电机泵业集团有限公司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E4E4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E4E4E"/>
                <w:kern w:val="0"/>
                <w:sz w:val="20"/>
                <w:szCs w:val="20"/>
                <w:u w:val="none"/>
                <w:lang w:val="en-US" w:eastAsia="zh-CN" w:bidi="ar"/>
              </w:rPr>
              <w:t>衡阳凯美科化工有限公司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ODM5MGYyNmRjN2Q2NTViYTZiYTFmNjVjZmZiNzQifQ=="/>
  </w:docVars>
  <w:rsids>
    <w:rsidRoot w:val="79BC42CB"/>
    <w:rsid w:val="16CE5A2D"/>
    <w:rsid w:val="2BF35853"/>
    <w:rsid w:val="3D1144DB"/>
    <w:rsid w:val="5E27059E"/>
    <w:rsid w:val="67236729"/>
    <w:rsid w:val="683E6AEB"/>
    <w:rsid w:val="79B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5">
    <w:name w:val="font121"/>
    <w:basedOn w:val="3"/>
    <w:qFormat/>
    <w:uiPriority w:val="0"/>
    <w:rPr>
      <w:rFonts w:ascii="Tahoma" w:hAnsi="Tahoma" w:eastAsia="Tahoma" w:cs="Tahoma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747</Characters>
  <Lines>0</Lines>
  <Paragraphs>0</Paragraphs>
  <TotalTime>8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2022-12-02T07:10:00Z</dcterms:created>
  <dc:creator>Administrator</dc:creator>
  <cp:lastModifiedBy>Administrator</cp:lastModifiedBy>
  <dcterms:modified xsi:type="dcterms:W3CDTF">2023-08-29T10:03:01Z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48F76EEBAB194DFFBEB70264133DC484</vt:lpwstr>
  </property>
</Properties>
</file>