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EC195">
      <w:pPr>
        <w:ind w:firstLine="482"/>
        <w:rPr>
          <w:rFonts w:cs="Times New Roman"/>
          <w:b/>
        </w:rPr>
      </w:pPr>
      <w:bookmarkStart w:id="0" w:name="_Hlk88837216"/>
      <w:bookmarkStart w:id="1112" w:name="_GoBack"/>
      <w:bookmarkEnd w:id="1112"/>
    </w:p>
    <w:p w14:paraId="7CCA2966">
      <w:pPr>
        <w:ind w:firstLine="482"/>
        <w:rPr>
          <w:rFonts w:cs="Times New Roman"/>
          <w:b/>
        </w:rPr>
      </w:pPr>
    </w:p>
    <w:p w14:paraId="1E19EEE2">
      <w:pPr>
        <w:ind w:firstLine="482"/>
        <w:rPr>
          <w:rFonts w:cs="Times New Roman"/>
          <w:b/>
        </w:rPr>
      </w:pPr>
    </w:p>
    <w:p w14:paraId="69D9280A">
      <w:pPr>
        <w:ind w:firstLine="482"/>
        <w:rPr>
          <w:rFonts w:cs="Times New Roman"/>
          <w:b/>
        </w:rPr>
      </w:pPr>
    </w:p>
    <w:p w14:paraId="3D7DF366">
      <w:pPr>
        <w:ind w:firstLine="482"/>
        <w:rPr>
          <w:rFonts w:cs="Times New Roman"/>
          <w:b/>
        </w:rPr>
      </w:pPr>
    </w:p>
    <w:p w14:paraId="521E51BA">
      <w:pPr>
        <w:ind w:firstLine="482"/>
        <w:rPr>
          <w:rFonts w:cs="Times New Roman"/>
          <w:b/>
        </w:rPr>
      </w:pPr>
    </w:p>
    <w:p w14:paraId="22E15942">
      <w:pPr>
        <w:autoSpaceDE w:val="0"/>
        <w:autoSpaceDN w:val="0"/>
        <w:spacing w:line="480" w:lineRule="auto"/>
        <w:ind w:firstLine="883"/>
        <w:jc w:val="center"/>
        <w:rPr>
          <w:rFonts w:cs="Times New Roman"/>
          <w:b/>
          <w:sz w:val="44"/>
          <w:szCs w:val="44"/>
        </w:rPr>
      </w:pPr>
      <w:bookmarkStart w:id="1" w:name="_Hlk89364123"/>
      <w:bookmarkStart w:id="2" w:name="_Hlk87866556"/>
      <w:r>
        <w:rPr>
          <w:rFonts w:cs="Times New Roman"/>
          <w:b/>
          <w:sz w:val="44"/>
          <w:szCs w:val="44"/>
        </w:rPr>
        <w:t>衡阳建滔化工有限公司</w:t>
      </w:r>
      <w:bookmarkEnd w:id="1"/>
      <w:r>
        <w:rPr>
          <w:rFonts w:cs="Times New Roman"/>
          <w:b/>
          <w:sz w:val="44"/>
          <w:szCs w:val="44"/>
        </w:rPr>
        <w:t>采卤井项目</w:t>
      </w:r>
    </w:p>
    <w:bookmarkEnd w:id="2"/>
    <w:p w14:paraId="48BE0340">
      <w:pPr>
        <w:autoSpaceDE w:val="0"/>
        <w:autoSpaceDN w:val="0"/>
        <w:spacing w:line="480" w:lineRule="auto"/>
        <w:ind w:firstLine="883"/>
        <w:jc w:val="center"/>
        <w:rPr>
          <w:rFonts w:cs="Times New Roman"/>
          <w:b/>
          <w:spacing w:val="20"/>
          <w:sz w:val="44"/>
          <w:szCs w:val="44"/>
        </w:rPr>
      </w:pPr>
      <w:r>
        <w:rPr>
          <w:rFonts w:cs="Times New Roman"/>
          <w:b/>
          <w:sz w:val="44"/>
          <w:szCs w:val="44"/>
        </w:rPr>
        <w:t>环境影响报告书</w:t>
      </w:r>
    </w:p>
    <w:p w14:paraId="7FD5E0B1">
      <w:pPr>
        <w:ind w:firstLine="482"/>
        <w:rPr>
          <w:rFonts w:cs="Times New Roman"/>
          <w:b/>
        </w:rPr>
      </w:pPr>
    </w:p>
    <w:p w14:paraId="4B965E05">
      <w:pPr>
        <w:autoSpaceDE w:val="0"/>
        <w:autoSpaceDN w:val="0"/>
        <w:spacing w:line="480" w:lineRule="auto"/>
        <w:ind w:firstLine="723"/>
        <w:jc w:val="center"/>
        <w:rPr>
          <w:rFonts w:cs="Times New Roman"/>
          <w:b/>
          <w:sz w:val="36"/>
        </w:rPr>
      </w:pPr>
      <w:r>
        <w:rPr>
          <w:rFonts w:cs="Times New Roman"/>
          <w:b/>
          <w:sz w:val="36"/>
        </w:rPr>
        <w:t>（</w:t>
      </w:r>
      <w:r>
        <w:rPr>
          <w:rFonts w:hint="eastAsia" w:cs="Times New Roman"/>
          <w:b/>
          <w:sz w:val="36"/>
        </w:rPr>
        <w:t>报批</w:t>
      </w:r>
      <w:r>
        <w:rPr>
          <w:rFonts w:cs="Times New Roman"/>
          <w:b/>
          <w:sz w:val="36"/>
        </w:rPr>
        <w:t>稿）</w:t>
      </w:r>
    </w:p>
    <w:p w14:paraId="666CFD16">
      <w:pPr>
        <w:ind w:firstLine="482"/>
        <w:rPr>
          <w:rFonts w:cs="Times New Roman"/>
          <w:b/>
        </w:rPr>
      </w:pPr>
    </w:p>
    <w:p w14:paraId="5BD068C2">
      <w:pPr>
        <w:ind w:firstLine="482"/>
        <w:rPr>
          <w:rFonts w:cs="Times New Roman"/>
          <w:b/>
        </w:rPr>
      </w:pPr>
    </w:p>
    <w:p w14:paraId="6F8D3FBD">
      <w:pPr>
        <w:ind w:firstLine="482"/>
        <w:rPr>
          <w:rFonts w:cs="Times New Roman"/>
          <w:b/>
        </w:rPr>
      </w:pPr>
    </w:p>
    <w:p w14:paraId="7EC4767D">
      <w:pPr>
        <w:ind w:firstLine="482"/>
        <w:rPr>
          <w:rFonts w:cs="Times New Roman"/>
          <w:b/>
        </w:rPr>
      </w:pPr>
    </w:p>
    <w:p w14:paraId="500AC382">
      <w:pPr>
        <w:ind w:firstLine="482"/>
        <w:rPr>
          <w:rFonts w:cs="Times New Roman"/>
          <w:b/>
        </w:rPr>
      </w:pPr>
    </w:p>
    <w:p w14:paraId="6BE2D510">
      <w:pPr>
        <w:ind w:firstLine="482"/>
        <w:rPr>
          <w:rFonts w:cs="Times New Roman"/>
          <w:b/>
        </w:rPr>
      </w:pPr>
    </w:p>
    <w:p w14:paraId="44D6ED07">
      <w:pPr>
        <w:ind w:firstLine="480"/>
        <w:rPr>
          <w:rFonts w:cs="Times New Roman"/>
        </w:rPr>
      </w:pPr>
    </w:p>
    <w:p w14:paraId="17F0B1EB">
      <w:pPr>
        <w:ind w:firstLine="482"/>
        <w:rPr>
          <w:rFonts w:cs="Times New Roman"/>
          <w:b/>
        </w:rPr>
      </w:pPr>
    </w:p>
    <w:p w14:paraId="20C20B1F">
      <w:pPr>
        <w:ind w:firstLine="482"/>
        <w:rPr>
          <w:rFonts w:cs="Times New Roman"/>
          <w:b/>
        </w:rPr>
      </w:pPr>
    </w:p>
    <w:p w14:paraId="106E7B14">
      <w:pPr>
        <w:ind w:firstLine="482"/>
        <w:rPr>
          <w:rFonts w:cs="Times New Roman"/>
          <w:b/>
        </w:rPr>
      </w:pPr>
    </w:p>
    <w:p w14:paraId="2E8124E9">
      <w:pPr>
        <w:ind w:firstLine="482"/>
        <w:rPr>
          <w:rFonts w:cs="Times New Roman"/>
          <w:b/>
        </w:rPr>
      </w:pPr>
    </w:p>
    <w:p w14:paraId="07C61E4F">
      <w:pPr>
        <w:ind w:firstLine="482"/>
        <w:rPr>
          <w:rFonts w:cs="Times New Roman"/>
          <w:b/>
        </w:rPr>
      </w:pPr>
    </w:p>
    <w:p w14:paraId="2EEBD9E4">
      <w:pPr>
        <w:ind w:firstLine="640"/>
        <w:jc w:val="center"/>
        <w:rPr>
          <w:rFonts w:cs="Times New Roman"/>
          <w:sz w:val="32"/>
          <w:szCs w:val="32"/>
        </w:rPr>
      </w:pPr>
      <w:r>
        <w:rPr>
          <w:rFonts w:cs="Times New Roman"/>
          <w:sz w:val="32"/>
          <w:szCs w:val="32"/>
        </w:rPr>
        <w:t>湖南葆华环保有限公司</w:t>
      </w:r>
    </w:p>
    <w:p w14:paraId="0E9DB377">
      <w:pPr>
        <w:ind w:firstLine="640"/>
        <w:jc w:val="center"/>
        <w:rPr>
          <w:rFonts w:cs="Times New Roman"/>
          <w:sz w:val="32"/>
          <w:szCs w:val="32"/>
        </w:rPr>
      </w:pPr>
      <w:r>
        <w:rPr>
          <w:rFonts w:cs="Times New Roman"/>
          <w:sz w:val="32"/>
          <w:szCs w:val="32"/>
        </w:rPr>
        <w:t>二Ｏ二</w:t>
      </w:r>
      <w:r>
        <w:rPr>
          <w:rFonts w:hint="eastAsia" w:cs="Times New Roman"/>
          <w:sz w:val="32"/>
          <w:szCs w:val="32"/>
        </w:rPr>
        <w:t>二</w:t>
      </w:r>
      <w:r>
        <w:rPr>
          <w:rFonts w:cs="Times New Roman"/>
          <w:sz w:val="32"/>
          <w:szCs w:val="32"/>
        </w:rPr>
        <w:t>年</w:t>
      </w:r>
      <w:r>
        <w:rPr>
          <w:rFonts w:hint="eastAsia" w:cs="Times New Roman"/>
          <w:sz w:val="32"/>
          <w:szCs w:val="32"/>
        </w:rPr>
        <w:t>十一</w:t>
      </w:r>
      <w:r>
        <w:rPr>
          <w:rFonts w:cs="Times New Roman"/>
          <w:sz w:val="32"/>
          <w:szCs w:val="32"/>
        </w:rPr>
        <w:t>月</w:t>
      </w:r>
    </w:p>
    <w:bookmarkEnd w:id="0"/>
    <w:p w14:paraId="4ED95214">
      <w:pPr>
        <w:ind w:firstLine="48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701" w:right="1588" w:bottom="1134" w:left="1588" w:header="1247" w:footer="1134" w:gutter="0"/>
          <w:paperSrc w:first="7" w:other="7"/>
          <w:cols w:space="720" w:num="1"/>
          <w:docGrid w:linePitch="326" w:charSpace="0"/>
        </w:sectPr>
      </w:pPr>
    </w:p>
    <w:p w14:paraId="585D2761">
      <w:pPr>
        <w:pStyle w:val="2"/>
        <w:spacing w:before="120" w:beforeLines="50" w:line="240" w:lineRule="auto"/>
        <w:ind w:left="-360" w:leftChars="-150" w:firstLine="0" w:firstLineChars="0"/>
        <w:jc w:val="center"/>
      </w:pPr>
      <w:r>
        <w:drawing>
          <wp:inline distT="0" distB="0" distL="0" distR="0">
            <wp:extent cx="5371465" cy="9251950"/>
            <wp:effectExtent l="2858" t="0" r="3492" b="3493"/>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rcRect l="12830" t="5889" r="16775" b="8417"/>
                    <a:stretch>
                      <a:fillRect/>
                    </a:stretch>
                  </pic:blipFill>
                  <pic:spPr>
                    <a:xfrm rot="5400000">
                      <a:off x="0" y="0"/>
                      <a:ext cx="5385071" cy="9275075"/>
                    </a:xfrm>
                    <a:prstGeom prst="rect">
                      <a:avLst/>
                    </a:prstGeom>
                    <a:ln>
                      <a:noFill/>
                    </a:ln>
                  </pic:spPr>
                </pic:pic>
              </a:graphicData>
            </a:graphic>
          </wp:inline>
        </w:drawing>
      </w:r>
    </w:p>
    <w:p w14:paraId="52CB093C">
      <w:pPr>
        <w:spacing w:line="240" w:lineRule="auto"/>
        <w:ind w:firstLine="480"/>
        <w:rPr>
          <w:rFonts w:cs="Times New Roman"/>
        </w:rPr>
        <w:sectPr>
          <w:pgSz w:w="16838" w:h="11906" w:orient="landscape"/>
          <w:pgMar w:top="1588" w:right="1134" w:bottom="1588" w:left="1701" w:header="1247" w:footer="1134" w:gutter="0"/>
          <w:paperSrc w:first="7" w:other="7"/>
          <w:cols w:space="720" w:num="1"/>
          <w:docGrid w:linePitch="326" w:charSpace="0"/>
        </w:sectPr>
      </w:pPr>
    </w:p>
    <w:p w14:paraId="0AF2B028">
      <w:pPr>
        <w:wordWrap/>
        <w:adjustRightInd/>
        <w:snapToGrid/>
        <w:ind w:firstLine="0" w:firstLineChars="0"/>
        <w:jc w:val="center"/>
        <w:rPr>
          <w:rFonts w:cs="Times New Roman"/>
          <w:b/>
          <w:sz w:val="32"/>
          <w:szCs w:val="32"/>
        </w:rPr>
      </w:pPr>
      <w:r>
        <w:rPr>
          <w:rFonts w:cs="Times New Roman"/>
          <w:b/>
          <w:sz w:val="32"/>
          <w:szCs w:val="32"/>
        </w:rPr>
        <w:t>目 录</w:t>
      </w:r>
    </w:p>
    <w:p w14:paraId="49AA5DC5">
      <w:pPr>
        <w:pStyle w:val="23"/>
        <w:tabs>
          <w:tab w:val="right" w:leader="dot" w:pos="8720"/>
        </w:tabs>
        <w:ind w:firstLine="480"/>
        <w:rPr>
          <w:rFonts w:asciiTheme="minorHAnsi" w:hAnsiTheme="minorHAnsi" w:eastAsiaTheme="minorEastAsia"/>
          <w:sz w:val="21"/>
        </w:rPr>
      </w:pPr>
      <w:r>
        <w:rPr>
          <w:rFonts w:cs="Times New Roman"/>
        </w:rPr>
        <w:fldChar w:fldCharType="begin"/>
      </w:r>
      <w:r>
        <w:rPr>
          <w:rFonts w:cs="Times New Roman"/>
        </w:rPr>
        <w:instrText xml:space="preserve"> TOC \o "1-3" \h \z \u </w:instrText>
      </w:r>
      <w:r>
        <w:rPr>
          <w:rFonts w:cs="Times New Roman"/>
        </w:rPr>
        <w:fldChar w:fldCharType="separate"/>
      </w:r>
      <w:r>
        <w:fldChar w:fldCharType="begin"/>
      </w:r>
      <w:r>
        <w:instrText xml:space="preserve"> HYPERLINK \l "_Toc121420776" </w:instrText>
      </w:r>
      <w:r>
        <w:fldChar w:fldCharType="separate"/>
      </w:r>
      <w:r>
        <w:rPr>
          <w:rStyle w:val="33"/>
          <w:color w:val="auto"/>
        </w:rPr>
        <w:t>第1章 概述</w:t>
      </w:r>
      <w:r>
        <w:tab/>
      </w:r>
      <w:r>
        <w:fldChar w:fldCharType="begin"/>
      </w:r>
      <w:r>
        <w:instrText xml:space="preserve"> PAGEREF _Toc121420776 \h </w:instrText>
      </w:r>
      <w:r>
        <w:fldChar w:fldCharType="separate"/>
      </w:r>
      <w:r>
        <w:t>1</w:t>
      </w:r>
      <w:r>
        <w:fldChar w:fldCharType="end"/>
      </w:r>
      <w:r>
        <w:fldChar w:fldCharType="end"/>
      </w:r>
    </w:p>
    <w:p w14:paraId="39E73936">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"_Toc121420777" </w:instrText>
      </w:r>
      <w:r>
        <w:fldChar w:fldCharType="separate"/>
      </w:r>
      <w:r>
        <w:rPr>
          <w:rStyle w:val="33"/>
          <w:rFonts w:cs="Times New Roman"/>
          <w:color w:val="auto"/>
        </w:rPr>
        <w:t>1.1 项目由来</w:t>
      </w:r>
      <w:r>
        <w:tab/>
      </w:r>
      <w:r>
        <w:fldChar w:fldCharType="begin"/>
      </w:r>
      <w:r>
        <w:instrText xml:space="preserve"> PAGEREF _Toc121420777 \h </w:instrText>
      </w:r>
      <w:r>
        <w:fldChar w:fldCharType="separate"/>
      </w:r>
      <w:r>
        <w:t>1</w:t>
      </w:r>
      <w:r>
        <w:fldChar w:fldCharType="end"/>
      </w:r>
      <w:r>
        <w:fldChar w:fldCharType="end"/>
      </w:r>
    </w:p>
    <w:p w14:paraId="6CE5735B">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"_Toc121420778" </w:instrText>
      </w:r>
      <w:r>
        <w:fldChar w:fldCharType="separate"/>
      </w:r>
      <w:r>
        <w:rPr>
          <w:rStyle w:val="33"/>
          <w:rFonts w:cs="Times New Roman"/>
          <w:color w:val="auto"/>
        </w:rPr>
        <w:t>1.2 环评工作过程</w:t>
      </w:r>
      <w:r>
        <w:tab/>
      </w:r>
      <w:r>
        <w:fldChar w:fldCharType="begin"/>
      </w:r>
      <w:r>
        <w:instrText xml:space="preserve"> PAGEREF _Toc121420778 \h </w:instrText>
      </w:r>
      <w:r>
        <w:fldChar w:fldCharType="separate"/>
      </w:r>
      <w:r>
        <w:t>2</w:t>
      </w:r>
      <w:r>
        <w:fldChar w:fldCharType="end"/>
      </w:r>
      <w:r>
        <w:fldChar w:fldCharType="end"/>
      </w:r>
    </w:p>
    <w:p w14:paraId="64B7EE65">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"_Toc121420779" </w:instrText>
      </w:r>
      <w:r>
        <w:fldChar w:fldCharType="separate"/>
      </w:r>
      <w:r>
        <w:rPr>
          <w:rStyle w:val="33"/>
          <w:rFonts w:cs="Times New Roman"/>
          <w:color w:val="auto"/>
        </w:rPr>
        <w:t>1.3 关注的主要环境问题及环境影响</w:t>
      </w:r>
      <w:r>
        <w:tab/>
      </w:r>
      <w:r>
        <w:fldChar w:fldCharType="begin"/>
      </w:r>
      <w:r>
        <w:instrText xml:space="preserve"> PAGEREF _Toc121420779 \h </w:instrText>
      </w:r>
      <w:r>
        <w:fldChar w:fldCharType="separate"/>
      </w:r>
      <w:r>
        <w:t>3</w:t>
      </w:r>
      <w:r>
        <w:fldChar w:fldCharType="end"/>
      </w:r>
      <w:r>
        <w:fldChar w:fldCharType="end"/>
      </w:r>
    </w:p>
    <w:p w14:paraId="74920DCC">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"_Toc121420780" </w:instrText>
      </w:r>
      <w:r>
        <w:fldChar w:fldCharType="separate"/>
      </w:r>
      <w:r>
        <w:rPr>
          <w:rStyle w:val="33"/>
          <w:rFonts w:cs="Times New Roman"/>
          <w:color w:val="auto"/>
        </w:rPr>
        <w:t>1.4 分析判定相关情况</w:t>
      </w:r>
      <w:r>
        <w:tab/>
      </w:r>
      <w:r>
        <w:fldChar w:fldCharType="begin"/>
      </w:r>
      <w:r>
        <w:instrText xml:space="preserve"> PAGEREF _Toc121420780 \h </w:instrText>
      </w:r>
      <w:r>
        <w:fldChar w:fldCharType="separate"/>
      </w:r>
      <w:r>
        <w:t>3</w:t>
      </w:r>
      <w:r>
        <w:fldChar w:fldCharType="end"/>
      </w:r>
      <w:r>
        <w:fldChar w:fldCharType="end"/>
      </w:r>
    </w:p>
    <w:p w14:paraId="620DA2E2">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"_Toc121420784" </w:instrText>
      </w:r>
      <w:r>
        <w:fldChar w:fldCharType="separate"/>
      </w:r>
      <w:r>
        <w:rPr>
          <w:rStyle w:val="33"/>
          <w:rFonts w:cs="Times New Roman"/>
          <w:color w:val="auto"/>
        </w:rPr>
        <w:t>1.5 评价结论</w:t>
      </w:r>
      <w:r>
        <w:tab/>
      </w:r>
      <w:r>
        <w:fldChar w:fldCharType="begin"/>
      </w:r>
      <w:r>
        <w:instrText xml:space="preserve"> PAGEREF _Toc121420784 \h </w:instrText>
      </w:r>
      <w:r>
        <w:fldChar w:fldCharType="separate"/>
      </w:r>
      <w:r>
        <w:t>17</w:t>
      </w:r>
      <w:r>
        <w:fldChar w:fldCharType="end"/>
      </w:r>
      <w:r>
        <w:fldChar w:fldCharType="end"/>
      </w:r>
    </w:p>
    <w:p w14:paraId="3A858B3F">
      <w:pPr>
        <w:pStyle w:val="23"/>
        <w:tabs>
          <w:tab w:val="right" w:leader="dot" w:pos="8720"/>
        </w:tabs>
        <w:ind w:firstLine="480"/>
        <w:rPr>
          <w:rFonts w:asciiTheme="minorHAnsi" w:hAnsiTheme="minorHAnsi" w:eastAsiaTheme="minorEastAsia"/>
          <w:sz w:val="21"/>
        </w:rPr>
      </w:pPr>
      <w:r>
        <w:fldChar w:fldCharType="begin"/>
      </w:r>
      <w:r>
        <w:instrText xml:space="preserve"> HYPERLINK \l "_Toc121420785" </w:instrText>
      </w:r>
      <w:r>
        <w:fldChar w:fldCharType="separate"/>
      </w:r>
      <w:r>
        <w:rPr>
          <w:rStyle w:val="33"/>
          <w:color w:val="auto"/>
        </w:rPr>
        <w:t>第2章 总则</w:t>
      </w:r>
      <w:r>
        <w:tab/>
      </w:r>
      <w:r>
        <w:fldChar w:fldCharType="begin"/>
      </w:r>
      <w:r>
        <w:instrText xml:space="preserve"> PAGEREF _Toc121420785 \h </w:instrText>
      </w:r>
      <w:r>
        <w:fldChar w:fldCharType="separate"/>
      </w:r>
      <w:r>
        <w:t>18</w:t>
      </w:r>
      <w:r>
        <w:fldChar w:fldCharType="end"/>
      </w:r>
      <w:r>
        <w:fldChar w:fldCharType="end"/>
      </w:r>
    </w:p>
    <w:p w14:paraId="1326E680">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"_Toc121420786" </w:instrText>
      </w:r>
      <w:r>
        <w:fldChar w:fldCharType="separate"/>
      </w:r>
      <w:r>
        <w:rPr>
          <w:rStyle w:val="33"/>
          <w:rFonts w:cs="Times New Roman"/>
          <w:color w:val="auto"/>
        </w:rPr>
        <w:t>2.1 编制目的</w:t>
      </w:r>
      <w:r>
        <w:tab/>
      </w:r>
      <w:r>
        <w:fldChar w:fldCharType="begin"/>
      </w:r>
      <w:r>
        <w:instrText xml:space="preserve"> PAGEREF _Toc121420786 \h </w:instrText>
      </w:r>
      <w:r>
        <w:fldChar w:fldCharType="separate"/>
      </w:r>
      <w:r>
        <w:t>18</w:t>
      </w:r>
      <w:r>
        <w:fldChar w:fldCharType="end"/>
      </w:r>
      <w:r>
        <w:fldChar w:fldCharType="end"/>
      </w:r>
    </w:p>
    <w:p w14:paraId="424F4D15">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"_Toc121420787" </w:instrText>
      </w:r>
      <w:r>
        <w:fldChar w:fldCharType="separate"/>
      </w:r>
      <w:r>
        <w:rPr>
          <w:rStyle w:val="33"/>
          <w:rFonts w:cs="Times New Roman"/>
          <w:color w:val="auto"/>
        </w:rPr>
        <w:t>2.2 编制依据</w:t>
      </w:r>
      <w:r>
        <w:tab/>
      </w:r>
      <w:r>
        <w:fldChar w:fldCharType="begin"/>
      </w:r>
      <w:r>
        <w:instrText xml:space="preserve"> PAGEREF _Toc121420787 \h </w:instrText>
      </w:r>
      <w:r>
        <w:fldChar w:fldCharType="separate"/>
      </w:r>
      <w:r>
        <w:t>18</w:t>
      </w:r>
      <w:r>
        <w:fldChar w:fldCharType="end"/>
      </w:r>
      <w:r>
        <w:fldChar w:fldCharType="end"/>
      </w:r>
    </w:p>
    <w:p w14:paraId="1E93E3B6">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"_Toc121420792" </w:instrText>
      </w:r>
      <w:r>
        <w:fldChar w:fldCharType="separate"/>
      </w:r>
      <w:r>
        <w:rPr>
          <w:rStyle w:val="33"/>
          <w:rFonts w:cs="Times New Roman"/>
          <w:color w:val="auto"/>
        </w:rPr>
        <w:t>2.3 环境影响因素识别和评价因子筛选</w:t>
      </w:r>
      <w:r>
        <w:tab/>
      </w:r>
      <w:r>
        <w:fldChar w:fldCharType="begin"/>
      </w:r>
      <w:r>
        <w:instrText xml:space="preserve"> PAGEREF _Toc121420792 \h </w:instrText>
      </w:r>
      <w:r>
        <w:fldChar w:fldCharType="separate"/>
      </w:r>
      <w:r>
        <w:t>21</w:t>
      </w:r>
      <w:r>
        <w:fldChar w:fldCharType="end"/>
      </w:r>
      <w:r>
        <w:fldChar w:fldCharType="end"/>
      </w:r>
    </w:p>
    <w:p w14:paraId="06C9C534">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"_Toc121420795" </w:instrText>
      </w:r>
      <w:r>
        <w:fldChar w:fldCharType="separate"/>
      </w:r>
      <w:r>
        <w:rPr>
          <w:rStyle w:val="33"/>
          <w:rFonts w:cs="Times New Roman"/>
          <w:color w:val="auto"/>
        </w:rPr>
        <w:t>2.4 评价标准</w:t>
      </w:r>
      <w:r>
        <w:tab/>
      </w:r>
      <w:r>
        <w:fldChar w:fldCharType="begin"/>
      </w:r>
      <w:r>
        <w:instrText xml:space="preserve"> PAGEREF _Toc121420795 \h </w:instrText>
      </w:r>
      <w:r>
        <w:fldChar w:fldCharType="separate"/>
      </w:r>
      <w:r>
        <w:t>23</w:t>
      </w:r>
      <w:r>
        <w:fldChar w:fldCharType="end"/>
      </w:r>
      <w:r>
        <w:fldChar w:fldCharType="end"/>
      </w:r>
    </w:p>
    <w:p w14:paraId="38261657">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"_Toc121420798" </w:instrText>
      </w:r>
      <w:r>
        <w:fldChar w:fldCharType="separate"/>
      </w:r>
      <w:r>
        <w:rPr>
          <w:rStyle w:val="33"/>
          <w:rFonts w:cs="Times New Roman"/>
          <w:color w:val="auto"/>
        </w:rPr>
        <w:t>2.5评价工作等级及评价范围</w:t>
      </w:r>
      <w:r>
        <w:tab/>
      </w:r>
      <w:r>
        <w:fldChar w:fldCharType="begin"/>
      </w:r>
      <w:r>
        <w:instrText xml:space="preserve"> PAGEREF _Toc121420798 \h </w:instrText>
      </w:r>
      <w:r>
        <w:fldChar w:fldCharType="separate"/>
      </w:r>
      <w:r>
        <w:t>25</w:t>
      </w:r>
      <w:r>
        <w:fldChar w:fldCharType="end"/>
      </w:r>
      <w:r>
        <w:fldChar w:fldCharType="end"/>
      </w:r>
    </w:p>
    <w:p w14:paraId="649816A1">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"_Toc121420806" </w:instrText>
      </w:r>
      <w:r>
        <w:fldChar w:fldCharType="separate"/>
      </w:r>
      <w:r>
        <w:rPr>
          <w:rStyle w:val="33"/>
          <w:rFonts w:cs="Times New Roman"/>
          <w:color w:val="auto"/>
        </w:rPr>
        <w:t>2.6 评价工作重点</w:t>
      </w:r>
      <w:r>
        <w:tab/>
      </w:r>
      <w:r>
        <w:fldChar w:fldCharType="begin"/>
      </w:r>
      <w:r>
        <w:instrText xml:space="preserve"> PAGEREF _Toc121420806 \h </w:instrText>
      </w:r>
      <w:r>
        <w:fldChar w:fldCharType="separate"/>
      </w:r>
      <w:r>
        <w:t>29</w:t>
      </w:r>
      <w:r>
        <w:fldChar w:fldCharType="end"/>
      </w:r>
      <w:r>
        <w:fldChar w:fldCharType="end"/>
      </w:r>
    </w:p>
    <w:p w14:paraId="720C5D99">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"_Toc121420807" </w:instrText>
      </w:r>
      <w:r>
        <w:fldChar w:fldCharType="separate"/>
      </w:r>
      <w:r>
        <w:rPr>
          <w:rStyle w:val="33"/>
          <w:rFonts w:cs="Times New Roman"/>
          <w:color w:val="auto"/>
        </w:rPr>
        <w:t>2.7 环境保护目标</w:t>
      </w:r>
      <w:r>
        <w:tab/>
      </w:r>
      <w:r>
        <w:fldChar w:fldCharType="begin"/>
      </w:r>
      <w:r>
        <w:instrText xml:space="preserve"> PAGEREF _Toc121420807 \h </w:instrText>
      </w:r>
      <w:r>
        <w:fldChar w:fldCharType="separate"/>
      </w:r>
      <w:r>
        <w:t>29</w:t>
      </w:r>
      <w:r>
        <w:fldChar w:fldCharType="end"/>
      </w:r>
      <w:r>
        <w:fldChar w:fldCharType="end"/>
      </w:r>
    </w:p>
    <w:p w14:paraId="69F57DF6">
      <w:pPr>
        <w:pStyle w:val="23"/>
        <w:tabs>
          <w:tab w:val="right" w:leader="dot" w:pos="8720"/>
        </w:tabs>
        <w:ind w:firstLine="480"/>
        <w:rPr>
          <w:rFonts w:asciiTheme="minorHAnsi" w:hAnsiTheme="minorHAnsi" w:eastAsiaTheme="minorEastAsia"/>
          <w:sz w:val="21"/>
        </w:rPr>
      </w:pPr>
      <w:r>
        <w:fldChar w:fldCharType="begin"/>
      </w:r>
      <w:r>
        <w:instrText xml:space="preserve"> HYPERLINK \l "_Toc121420808" </w:instrText>
      </w:r>
      <w:r>
        <w:fldChar w:fldCharType="separate"/>
      </w:r>
      <w:r>
        <w:rPr>
          <w:rStyle w:val="33"/>
          <w:color w:val="auto"/>
        </w:rPr>
        <w:t>第3章 环境现状调查与评价</w:t>
      </w:r>
      <w:r>
        <w:tab/>
      </w:r>
      <w:r>
        <w:fldChar w:fldCharType="begin"/>
      </w:r>
      <w:r>
        <w:instrText xml:space="preserve"> PAGEREF _Toc121420808 \h </w:instrText>
      </w:r>
      <w:r>
        <w:fldChar w:fldCharType="separate"/>
      </w:r>
      <w:r>
        <w:t>33</w:t>
      </w:r>
      <w:r>
        <w:fldChar w:fldCharType="end"/>
      </w:r>
      <w:r>
        <w:fldChar w:fldCharType="end"/>
      </w:r>
    </w:p>
    <w:p w14:paraId="3F6E7A98">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"_Toc121420809" </w:instrText>
      </w:r>
      <w:r>
        <w:fldChar w:fldCharType="separate"/>
      </w:r>
      <w:r>
        <w:rPr>
          <w:rStyle w:val="33"/>
          <w:rFonts w:cs="Times New Roman"/>
          <w:color w:val="auto"/>
        </w:rPr>
        <w:t>3.1 自然环境</w:t>
      </w:r>
      <w:r>
        <w:tab/>
      </w:r>
      <w:r>
        <w:fldChar w:fldCharType="begin"/>
      </w:r>
      <w:r>
        <w:instrText xml:space="preserve"> PAGEREF _Toc121420809 \h </w:instrText>
      </w:r>
      <w:r>
        <w:fldChar w:fldCharType="separate"/>
      </w:r>
      <w:r>
        <w:t>33</w:t>
      </w:r>
      <w:r>
        <w:fldChar w:fldCharType="end"/>
      </w:r>
      <w:r>
        <w:fldChar w:fldCharType="end"/>
      </w:r>
    </w:p>
    <w:p w14:paraId="694A5D69">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"_Toc121420815" </w:instrText>
      </w:r>
      <w:r>
        <w:fldChar w:fldCharType="separate"/>
      </w:r>
      <w:r>
        <w:rPr>
          <w:rStyle w:val="33"/>
          <w:rFonts w:cs="Times New Roman"/>
          <w:color w:val="auto"/>
        </w:rPr>
        <w:t>3.2 松木经开区概况</w:t>
      </w:r>
      <w:r>
        <w:tab/>
      </w:r>
      <w:r>
        <w:fldChar w:fldCharType="begin"/>
      </w:r>
      <w:r>
        <w:instrText xml:space="preserve"> PAGEREF _Toc121420815 \h </w:instrText>
      </w:r>
      <w:r>
        <w:fldChar w:fldCharType="separate"/>
      </w:r>
      <w:r>
        <w:t>36</w:t>
      </w:r>
      <w:r>
        <w:fldChar w:fldCharType="end"/>
      </w:r>
      <w:r>
        <w:fldChar w:fldCharType="end"/>
      </w:r>
    </w:p>
    <w:p w14:paraId="2DBC9942">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"_Toc121420819" </w:instrText>
      </w:r>
      <w:r>
        <w:fldChar w:fldCharType="separate"/>
      </w:r>
      <w:r>
        <w:rPr>
          <w:rStyle w:val="33"/>
          <w:rFonts w:cs="Times New Roman"/>
          <w:color w:val="auto"/>
        </w:rPr>
        <w:t>3.3 环境质量现状评价</w:t>
      </w:r>
      <w:r>
        <w:tab/>
      </w:r>
      <w:r>
        <w:fldChar w:fldCharType="begin"/>
      </w:r>
      <w:r>
        <w:instrText xml:space="preserve"> PAGEREF _Toc121420819 \h </w:instrText>
      </w:r>
      <w:r>
        <w:fldChar w:fldCharType="separate"/>
      </w:r>
      <w:r>
        <w:t>41</w:t>
      </w:r>
      <w:r>
        <w:fldChar w:fldCharType="end"/>
      </w:r>
      <w:r>
        <w:fldChar w:fldCharType="end"/>
      </w:r>
    </w:p>
    <w:p w14:paraId="0EB7E7C9">
      <w:pPr>
        <w:pStyle w:val="23"/>
        <w:tabs>
          <w:tab w:val="right" w:leader="dot" w:pos="8720"/>
        </w:tabs>
        <w:ind w:firstLine="480"/>
        <w:rPr>
          <w:rFonts w:asciiTheme="minorHAnsi" w:hAnsiTheme="minorHAnsi" w:eastAsiaTheme="minorEastAsia"/>
          <w:sz w:val="21"/>
        </w:rPr>
      </w:pPr>
      <w:r>
        <w:fldChar w:fldCharType="begin"/>
      </w:r>
      <w:r>
        <w:instrText xml:space="preserve"> HYPERLINK \l "_Toc121420825" </w:instrText>
      </w:r>
      <w:r>
        <w:fldChar w:fldCharType="separate"/>
      </w:r>
      <w:r>
        <w:rPr>
          <w:rStyle w:val="33"/>
          <w:color w:val="auto"/>
        </w:rPr>
        <w:t>第4章 建设项目工程分析</w:t>
      </w:r>
      <w:r>
        <w:tab/>
      </w:r>
      <w:r>
        <w:fldChar w:fldCharType="begin"/>
      </w:r>
      <w:r>
        <w:instrText xml:space="preserve"> PAGEREF _Toc121420825 \h </w:instrText>
      </w:r>
      <w:r>
        <w:fldChar w:fldCharType="separate"/>
      </w:r>
      <w:r>
        <w:t>52</w:t>
      </w:r>
      <w:r>
        <w:fldChar w:fldCharType="end"/>
      </w:r>
      <w:r>
        <w:fldChar w:fldCharType="end"/>
      </w:r>
    </w:p>
    <w:p w14:paraId="1C9516C1">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"_Toc121420826" </w:instrText>
      </w:r>
      <w:r>
        <w:fldChar w:fldCharType="separate"/>
      </w:r>
      <w:r>
        <w:rPr>
          <w:rStyle w:val="33"/>
          <w:rFonts w:cs="Times New Roman"/>
          <w:color w:val="auto"/>
        </w:rPr>
        <w:t>4.1 现有工程开发情况回顾简介</w:t>
      </w:r>
      <w:r>
        <w:tab/>
      </w:r>
      <w:r>
        <w:fldChar w:fldCharType="begin"/>
      </w:r>
      <w:r>
        <w:instrText xml:space="preserve"> PAGEREF _Toc121420826 \h </w:instrText>
      </w:r>
      <w:r>
        <w:fldChar w:fldCharType="separate"/>
      </w:r>
      <w:r>
        <w:t>52</w:t>
      </w:r>
      <w:r>
        <w:fldChar w:fldCharType="end"/>
      </w:r>
      <w:r>
        <w:fldChar w:fldCharType="end"/>
      </w:r>
    </w:p>
    <w:p w14:paraId="7B7C977B">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"_Toc121420830" </w:instrText>
      </w:r>
      <w:r>
        <w:fldChar w:fldCharType="separate"/>
      </w:r>
      <w:r>
        <w:rPr>
          <w:rStyle w:val="33"/>
          <w:rFonts w:cs="Times New Roman"/>
          <w:color w:val="auto"/>
        </w:rPr>
        <w:t>4.2 拟建工程与现有工程、相关工程的依托关系</w:t>
      </w:r>
      <w:r>
        <w:tab/>
      </w:r>
      <w:r>
        <w:fldChar w:fldCharType="begin"/>
      </w:r>
      <w:r>
        <w:instrText xml:space="preserve"> PAGEREF _Toc121420830 \h </w:instrText>
      </w:r>
      <w:r>
        <w:fldChar w:fldCharType="separate"/>
      </w:r>
      <w:r>
        <w:t>59</w:t>
      </w:r>
      <w:r>
        <w:fldChar w:fldCharType="end"/>
      </w:r>
      <w:r>
        <w:fldChar w:fldCharType="end"/>
      </w:r>
    </w:p>
    <w:p w14:paraId="4E5A64F3">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"_Toc121420831" </w:instrText>
      </w:r>
      <w:r>
        <w:fldChar w:fldCharType="separate"/>
      </w:r>
      <w:r>
        <w:rPr>
          <w:rStyle w:val="33"/>
          <w:rFonts w:cs="Times New Roman"/>
          <w:color w:val="auto"/>
        </w:rPr>
        <w:t>4.3 现有工程存在的环境问题</w:t>
      </w:r>
      <w:r>
        <w:tab/>
      </w:r>
      <w:r>
        <w:fldChar w:fldCharType="begin"/>
      </w:r>
      <w:r>
        <w:instrText xml:space="preserve"> PAGEREF _Toc121420831 \h </w:instrText>
      </w:r>
      <w:r>
        <w:fldChar w:fldCharType="separate"/>
      </w:r>
      <w:r>
        <w:t>60</w:t>
      </w:r>
      <w:r>
        <w:fldChar w:fldCharType="end"/>
      </w:r>
      <w:r>
        <w:fldChar w:fldCharType="end"/>
      </w:r>
    </w:p>
    <w:p w14:paraId="3874B84C">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"_Toc121420832" </w:instrText>
      </w:r>
      <w:r>
        <w:fldChar w:fldCharType="separate"/>
      </w:r>
      <w:r>
        <w:rPr>
          <w:rStyle w:val="33"/>
          <w:rFonts w:cs="Times New Roman"/>
          <w:color w:val="auto"/>
        </w:rPr>
        <w:t>4.4 拟建工程概况</w:t>
      </w:r>
      <w:r>
        <w:tab/>
      </w:r>
      <w:r>
        <w:fldChar w:fldCharType="begin"/>
      </w:r>
      <w:r>
        <w:instrText xml:space="preserve"> PAGEREF _Toc121420832 \h </w:instrText>
      </w:r>
      <w:r>
        <w:fldChar w:fldCharType="separate"/>
      </w:r>
      <w:r>
        <w:t>61</w:t>
      </w:r>
      <w:r>
        <w:fldChar w:fldCharType="end"/>
      </w:r>
      <w:r>
        <w:fldChar w:fldCharType="end"/>
      </w:r>
    </w:p>
    <w:p w14:paraId="02660EAD">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"_Toc121420843" </w:instrText>
      </w:r>
      <w:r>
        <w:fldChar w:fldCharType="separate"/>
      </w:r>
      <w:r>
        <w:rPr>
          <w:rStyle w:val="33"/>
          <w:rFonts w:cs="Times New Roman"/>
          <w:color w:val="auto"/>
        </w:rPr>
        <w:t>4.5 拟建项目工程分析</w:t>
      </w:r>
      <w:r>
        <w:tab/>
      </w:r>
      <w:r>
        <w:fldChar w:fldCharType="begin"/>
      </w:r>
      <w:r>
        <w:instrText xml:space="preserve"> PAGEREF _Toc121420843 \h </w:instrText>
      </w:r>
      <w:r>
        <w:fldChar w:fldCharType="separate"/>
      </w:r>
      <w:r>
        <w:t>74</w:t>
      </w:r>
      <w:r>
        <w:fldChar w:fldCharType="end"/>
      </w:r>
      <w:r>
        <w:fldChar w:fldCharType="end"/>
      </w:r>
    </w:p>
    <w:p w14:paraId="5F0EB089">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"_Toc121420846" </w:instrText>
      </w:r>
      <w:r>
        <w:fldChar w:fldCharType="separate"/>
      </w:r>
      <w:r>
        <w:rPr>
          <w:rStyle w:val="33"/>
          <w:rFonts w:cs="Times New Roman"/>
          <w:color w:val="auto"/>
        </w:rPr>
        <w:t>4.6 工程污染源分析</w:t>
      </w:r>
      <w:r>
        <w:tab/>
      </w:r>
      <w:r>
        <w:fldChar w:fldCharType="begin"/>
      </w:r>
      <w:r>
        <w:instrText xml:space="preserve"> PAGEREF _Toc121420846 \h </w:instrText>
      </w:r>
      <w:r>
        <w:fldChar w:fldCharType="separate"/>
      </w:r>
      <w:r>
        <w:t>77</w:t>
      </w:r>
      <w:r>
        <w:fldChar w:fldCharType="end"/>
      </w:r>
      <w:r>
        <w:fldChar w:fldCharType="end"/>
      </w:r>
    </w:p>
    <w:p w14:paraId="25FC95D7">
      <w:pPr>
        <w:pStyle w:val="23"/>
        <w:tabs>
          <w:tab w:val="right" w:leader="dot" w:pos="8720"/>
        </w:tabs>
        <w:ind w:firstLine="480"/>
        <w:rPr>
          <w:rFonts w:asciiTheme="minorHAnsi" w:hAnsiTheme="minorHAnsi" w:eastAsiaTheme="minorEastAsia"/>
          <w:sz w:val="21"/>
        </w:rPr>
      </w:pPr>
      <w:r>
        <w:fldChar w:fldCharType="begin"/>
      </w:r>
      <w:r>
        <w:instrText xml:space="preserve"> HYPERLINK \l "_Toc121420851" </w:instrText>
      </w:r>
      <w:r>
        <w:fldChar w:fldCharType="separate"/>
      </w:r>
      <w:r>
        <w:rPr>
          <w:rStyle w:val="33"/>
          <w:color w:val="auto"/>
        </w:rPr>
        <w:t>第5章 环境影响预测与评价</w:t>
      </w:r>
      <w:r>
        <w:tab/>
      </w:r>
      <w:r>
        <w:fldChar w:fldCharType="begin"/>
      </w:r>
      <w:r>
        <w:instrText xml:space="preserve"> PAGEREF _Toc121420851 \h </w:instrText>
      </w:r>
      <w:r>
        <w:fldChar w:fldCharType="separate"/>
      </w:r>
      <w:r>
        <w:t>85</w:t>
      </w:r>
      <w:r>
        <w:fldChar w:fldCharType="end"/>
      </w:r>
      <w:r>
        <w:fldChar w:fldCharType="end"/>
      </w:r>
    </w:p>
    <w:p w14:paraId="127CBDC3">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"_Toc121420852" </w:instrText>
      </w:r>
      <w:r>
        <w:fldChar w:fldCharType="separate"/>
      </w:r>
      <w:r>
        <w:rPr>
          <w:rStyle w:val="33"/>
          <w:rFonts w:cs="Times New Roman"/>
          <w:color w:val="auto"/>
        </w:rPr>
        <w:t>5.1 施工期环境影响分析</w:t>
      </w:r>
      <w:r>
        <w:tab/>
      </w:r>
      <w:r>
        <w:fldChar w:fldCharType="begin"/>
      </w:r>
      <w:r>
        <w:instrText xml:space="preserve"> PAGEREF _Toc121420852 \h </w:instrText>
      </w:r>
      <w:r>
        <w:fldChar w:fldCharType="separate"/>
      </w:r>
      <w:r>
        <w:t>85</w:t>
      </w:r>
      <w:r>
        <w:fldChar w:fldCharType="end"/>
      </w:r>
      <w:r>
        <w:fldChar w:fldCharType="end"/>
      </w:r>
    </w:p>
    <w:p w14:paraId="1CF4BBDE">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"_Toc121420859" </w:instrText>
      </w:r>
      <w:r>
        <w:fldChar w:fldCharType="separate"/>
      </w:r>
      <w:r>
        <w:rPr>
          <w:rStyle w:val="33"/>
          <w:rFonts w:cs="Times New Roman"/>
          <w:color w:val="auto"/>
        </w:rPr>
        <w:t>5.2 营运期环境影响分析</w:t>
      </w:r>
      <w:r>
        <w:tab/>
      </w:r>
      <w:r>
        <w:fldChar w:fldCharType="begin"/>
      </w:r>
      <w:r>
        <w:instrText xml:space="preserve"> PAGEREF _Toc121420859 \h </w:instrText>
      </w:r>
      <w:r>
        <w:fldChar w:fldCharType="separate"/>
      </w:r>
      <w:r>
        <w:t>88</w:t>
      </w:r>
      <w:r>
        <w:fldChar w:fldCharType="end"/>
      </w:r>
      <w:r>
        <w:fldChar w:fldCharType="end"/>
      </w:r>
    </w:p>
    <w:p w14:paraId="51C7D461">
      <w:pPr>
        <w:pStyle w:val="23"/>
        <w:tabs>
          <w:tab w:val="right" w:leader="dot" w:pos="8720"/>
        </w:tabs>
        <w:ind w:firstLine="480"/>
        <w:rPr>
          <w:rFonts w:asciiTheme="minorHAnsi" w:hAnsiTheme="minorHAnsi" w:eastAsiaTheme="minorEastAsia"/>
          <w:sz w:val="21"/>
        </w:rPr>
      </w:pPr>
      <w:r>
        <w:fldChar w:fldCharType="begin"/>
      </w:r>
      <w:r>
        <w:instrText xml:space="preserve"> HYPERLINK \l "_Toc121420867" </w:instrText>
      </w:r>
      <w:r>
        <w:fldChar w:fldCharType="separate"/>
      </w:r>
      <w:r>
        <w:rPr>
          <w:rStyle w:val="33"/>
          <w:color w:val="auto"/>
        </w:rPr>
        <w:t>第6章 环境风险影响分析</w:t>
      </w:r>
      <w:r>
        <w:tab/>
      </w:r>
      <w:r>
        <w:fldChar w:fldCharType="begin"/>
      </w:r>
      <w:r>
        <w:instrText xml:space="preserve"> PAGEREF _Toc121420867 \h </w:instrText>
      </w:r>
      <w:r>
        <w:fldChar w:fldCharType="separate"/>
      </w:r>
      <w:r>
        <w:t>104</w:t>
      </w:r>
      <w:r>
        <w:fldChar w:fldCharType="end"/>
      </w:r>
      <w:r>
        <w:fldChar w:fldCharType="end"/>
      </w:r>
    </w:p>
    <w:p w14:paraId="7E9A795D">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"_Toc121420868" </w:instrText>
      </w:r>
      <w:r>
        <w:fldChar w:fldCharType="separate"/>
      </w:r>
      <w:r>
        <w:rPr>
          <w:rStyle w:val="33"/>
          <w:rFonts w:cs="Times New Roman"/>
          <w:color w:val="auto"/>
        </w:rPr>
        <w:t>6.1 环境风险评价原则及评价程序</w:t>
      </w:r>
      <w:r>
        <w:tab/>
      </w:r>
      <w:r>
        <w:fldChar w:fldCharType="begin"/>
      </w:r>
      <w:r>
        <w:instrText xml:space="preserve"> PAGEREF _Toc121420868 \h </w:instrText>
      </w:r>
      <w:r>
        <w:fldChar w:fldCharType="separate"/>
      </w:r>
      <w:r>
        <w:t>104</w:t>
      </w:r>
      <w:r>
        <w:fldChar w:fldCharType="end"/>
      </w:r>
      <w:r>
        <w:fldChar w:fldCharType="end"/>
      </w:r>
    </w:p>
    <w:p w14:paraId="10C8434B">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"_Toc121420869" </w:instrText>
      </w:r>
      <w:r>
        <w:fldChar w:fldCharType="separate"/>
      </w:r>
      <w:r>
        <w:rPr>
          <w:rStyle w:val="33"/>
          <w:rFonts w:cs="Times New Roman"/>
          <w:color w:val="auto"/>
        </w:rPr>
        <w:t>6.2 环境风险识别</w:t>
      </w:r>
      <w:r>
        <w:tab/>
      </w:r>
      <w:r>
        <w:fldChar w:fldCharType="begin"/>
      </w:r>
      <w:r>
        <w:instrText xml:space="preserve"> PAGEREF _Toc121420869 \h </w:instrText>
      </w:r>
      <w:r>
        <w:fldChar w:fldCharType="separate"/>
      </w:r>
      <w:r>
        <w:t>105</w:t>
      </w:r>
      <w:r>
        <w:fldChar w:fldCharType="end"/>
      </w:r>
      <w:r>
        <w:fldChar w:fldCharType="end"/>
      </w:r>
    </w:p>
    <w:p w14:paraId="1AFEA7EE">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"_Toc121420873" </w:instrText>
      </w:r>
      <w:r>
        <w:fldChar w:fldCharType="separate"/>
      </w:r>
      <w:r>
        <w:rPr>
          <w:rStyle w:val="33"/>
          <w:rFonts w:cs="Times New Roman"/>
          <w:color w:val="auto"/>
        </w:rPr>
        <w:t>6.3 环境敏感目标调查</w:t>
      </w:r>
      <w:r>
        <w:tab/>
      </w:r>
      <w:r>
        <w:fldChar w:fldCharType="begin"/>
      </w:r>
      <w:r>
        <w:instrText xml:space="preserve"> PAGEREF _Toc121420873 \h </w:instrText>
      </w:r>
      <w:r>
        <w:fldChar w:fldCharType="separate"/>
      </w:r>
      <w:r>
        <w:t>106</w:t>
      </w:r>
      <w:r>
        <w:fldChar w:fldCharType="end"/>
      </w:r>
      <w:r>
        <w:fldChar w:fldCharType="end"/>
      </w:r>
    </w:p>
    <w:p w14:paraId="3DC40180">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"_Toc121420874" </w:instrText>
      </w:r>
      <w:r>
        <w:fldChar w:fldCharType="separate"/>
      </w:r>
      <w:r>
        <w:rPr>
          <w:rStyle w:val="33"/>
          <w:rFonts w:cs="Times New Roman"/>
          <w:color w:val="auto"/>
        </w:rPr>
        <w:t>6.4 环境风险识别</w:t>
      </w:r>
      <w:r>
        <w:tab/>
      </w:r>
      <w:r>
        <w:fldChar w:fldCharType="begin"/>
      </w:r>
      <w:r>
        <w:instrText xml:space="preserve"> PAGEREF _Toc121420874 \h </w:instrText>
      </w:r>
      <w:r>
        <w:fldChar w:fldCharType="separate"/>
      </w:r>
      <w:r>
        <w:t>107</w:t>
      </w:r>
      <w:r>
        <w:fldChar w:fldCharType="end"/>
      </w:r>
      <w:r>
        <w:fldChar w:fldCharType="end"/>
      </w:r>
    </w:p>
    <w:p w14:paraId="70FF8C2D">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"_Toc121420878" </w:instrText>
      </w:r>
      <w:r>
        <w:fldChar w:fldCharType="separate"/>
      </w:r>
      <w:r>
        <w:rPr>
          <w:rStyle w:val="33"/>
          <w:rFonts w:cs="Times New Roman"/>
          <w:color w:val="auto"/>
        </w:rPr>
        <w:t>6.5 环境风险分析</w:t>
      </w:r>
      <w:r>
        <w:tab/>
      </w:r>
      <w:r>
        <w:fldChar w:fldCharType="begin"/>
      </w:r>
      <w:r>
        <w:instrText xml:space="preserve"> PAGEREF _Toc121420878 \h </w:instrText>
      </w:r>
      <w:r>
        <w:fldChar w:fldCharType="separate"/>
      </w:r>
      <w:r>
        <w:t>109</w:t>
      </w:r>
      <w:r>
        <w:fldChar w:fldCharType="end"/>
      </w:r>
      <w:r>
        <w:fldChar w:fldCharType="end"/>
      </w:r>
    </w:p>
    <w:p w14:paraId="5226F19A">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"_Toc121420884" </w:instrText>
      </w:r>
      <w:r>
        <w:fldChar w:fldCharType="separate"/>
      </w:r>
      <w:r>
        <w:rPr>
          <w:rStyle w:val="33"/>
          <w:rFonts w:cs="Times New Roman"/>
          <w:color w:val="auto"/>
        </w:rPr>
        <w:t>6.6 环境风险防范措施</w:t>
      </w:r>
      <w:r>
        <w:tab/>
      </w:r>
      <w:r>
        <w:fldChar w:fldCharType="begin"/>
      </w:r>
      <w:r>
        <w:instrText xml:space="preserve"> PAGEREF _Toc121420884 \h </w:instrText>
      </w:r>
      <w:r>
        <w:fldChar w:fldCharType="separate"/>
      </w:r>
      <w:r>
        <w:t>112</w:t>
      </w:r>
      <w:r>
        <w:fldChar w:fldCharType="end"/>
      </w:r>
      <w:r>
        <w:fldChar w:fldCharType="end"/>
      </w:r>
    </w:p>
    <w:p w14:paraId="54C4A52C">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"_Toc121420888" </w:instrText>
      </w:r>
      <w:r>
        <w:fldChar w:fldCharType="separate"/>
      </w:r>
      <w:r>
        <w:rPr>
          <w:rStyle w:val="33"/>
          <w:rFonts w:cs="Times New Roman"/>
          <w:color w:val="auto"/>
        </w:rPr>
        <w:t>6.7 环境风险结论</w:t>
      </w:r>
      <w:r>
        <w:tab/>
      </w:r>
      <w:r>
        <w:fldChar w:fldCharType="begin"/>
      </w:r>
      <w:r>
        <w:instrText xml:space="preserve"> PAGEREF _Toc121420888 \h </w:instrText>
      </w:r>
      <w:r>
        <w:fldChar w:fldCharType="separate"/>
      </w:r>
      <w:r>
        <w:t>115</w:t>
      </w:r>
      <w:r>
        <w:fldChar w:fldCharType="end"/>
      </w:r>
      <w:r>
        <w:fldChar w:fldCharType="end"/>
      </w:r>
    </w:p>
    <w:p w14:paraId="05986558">
      <w:pPr>
        <w:pStyle w:val="23"/>
        <w:tabs>
          <w:tab w:val="right" w:leader="dot" w:pos="8720"/>
        </w:tabs>
        <w:ind w:firstLine="480"/>
        <w:rPr>
          <w:rFonts w:asciiTheme="minorHAnsi" w:hAnsiTheme="minorHAnsi" w:eastAsiaTheme="minorEastAsia"/>
          <w:sz w:val="21"/>
        </w:rPr>
      </w:pPr>
      <w:r>
        <w:fldChar w:fldCharType="begin"/>
      </w:r>
      <w:r>
        <w:instrText xml:space="preserve"> HYPERLINK \l "_Toc121420889" </w:instrText>
      </w:r>
      <w:r>
        <w:fldChar w:fldCharType="separate"/>
      </w:r>
      <w:r>
        <w:rPr>
          <w:rStyle w:val="33"/>
          <w:color w:val="auto"/>
        </w:rPr>
        <w:t>第7章 污染防治措施及可行性分析</w:t>
      </w:r>
      <w:r>
        <w:tab/>
      </w:r>
      <w:r>
        <w:fldChar w:fldCharType="begin"/>
      </w:r>
      <w:r>
        <w:instrText xml:space="preserve"> PAGEREF _Toc121420889 \h </w:instrText>
      </w:r>
      <w:r>
        <w:fldChar w:fldCharType="separate"/>
      </w:r>
      <w:r>
        <w:t>116</w:t>
      </w:r>
      <w:r>
        <w:fldChar w:fldCharType="end"/>
      </w:r>
      <w:r>
        <w:fldChar w:fldCharType="end"/>
      </w:r>
    </w:p>
    <w:p w14:paraId="04B4E903">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"_Toc121420890" </w:instrText>
      </w:r>
      <w:r>
        <w:fldChar w:fldCharType="separate"/>
      </w:r>
      <w:r>
        <w:rPr>
          <w:rStyle w:val="33"/>
          <w:rFonts w:cs="Times New Roman"/>
          <w:bCs/>
          <w:color w:val="auto"/>
        </w:rPr>
        <w:t>7.1 施工期环境保护措施分析</w:t>
      </w:r>
      <w:r>
        <w:tab/>
      </w:r>
      <w:r>
        <w:fldChar w:fldCharType="begin"/>
      </w:r>
      <w:r>
        <w:instrText xml:space="preserve"> PAGEREF _Toc121420890 \h </w:instrText>
      </w:r>
      <w:r>
        <w:fldChar w:fldCharType="separate"/>
      </w:r>
      <w:r>
        <w:t>116</w:t>
      </w:r>
      <w:r>
        <w:fldChar w:fldCharType="end"/>
      </w:r>
      <w:r>
        <w:fldChar w:fldCharType="end"/>
      </w:r>
    </w:p>
    <w:p w14:paraId="4C295AE9">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"_Toc121420896" </w:instrText>
      </w:r>
      <w:r>
        <w:fldChar w:fldCharType="separate"/>
      </w:r>
      <w:r>
        <w:rPr>
          <w:rStyle w:val="33"/>
          <w:rFonts w:cs="Times New Roman"/>
          <w:color w:val="auto"/>
        </w:rPr>
        <w:t>7.2 营运期环境保护措施分析</w:t>
      </w:r>
      <w:r>
        <w:tab/>
      </w:r>
      <w:r>
        <w:fldChar w:fldCharType="begin"/>
      </w:r>
      <w:r>
        <w:instrText xml:space="preserve"> PAGEREF _Toc121420896 \h </w:instrText>
      </w:r>
      <w:r>
        <w:fldChar w:fldCharType="separate"/>
      </w:r>
      <w:r>
        <w:t>118</w:t>
      </w:r>
      <w:r>
        <w:fldChar w:fldCharType="end"/>
      </w:r>
      <w:r>
        <w:fldChar w:fldCharType="end"/>
      </w:r>
    </w:p>
    <w:p w14:paraId="2D605B31">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"_Toc121420903" </w:instrText>
      </w:r>
      <w:r>
        <w:fldChar w:fldCharType="separate"/>
      </w:r>
      <w:r>
        <w:rPr>
          <w:rStyle w:val="33"/>
          <w:rFonts w:cs="Times New Roman"/>
          <w:color w:val="auto"/>
        </w:rPr>
        <w:t>7.3 服务期满环境防治措施分析</w:t>
      </w:r>
      <w:r>
        <w:tab/>
      </w:r>
      <w:r>
        <w:fldChar w:fldCharType="begin"/>
      </w:r>
      <w:r>
        <w:instrText xml:space="preserve"> PAGEREF _Toc121420903 \h </w:instrText>
      </w:r>
      <w:r>
        <w:fldChar w:fldCharType="separate"/>
      </w:r>
      <w:r>
        <w:t>121</w:t>
      </w:r>
      <w:r>
        <w:fldChar w:fldCharType="end"/>
      </w:r>
      <w:r>
        <w:fldChar w:fldCharType="end"/>
      </w:r>
    </w:p>
    <w:p w14:paraId="192E0C49">
      <w:pPr>
        <w:pStyle w:val="23"/>
        <w:tabs>
          <w:tab w:val="right" w:leader="dot" w:pos="8720"/>
        </w:tabs>
        <w:ind w:firstLine="480"/>
        <w:rPr>
          <w:rFonts w:asciiTheme="minorHAnsi" w:hAnsiTheme="minorHAnsi" w:eastAsiaTheme="minorEastAsia"/>
          <w:sz w:val="21"/>
        </w:rPr>
      </w:pPr>
      <w:r>
        <w:fldChar w:fldCharType="begin"/>
      </w:r>
      <w:r>
        <w:instrText xml:space="preserve"> HYPERLINK \l "_Toc121420904" </w:instrText>
      </w:r>
      <w:r>
        <w:fldChar w:fldCharType="separate"/>
      </w:r>
      <w:r>
        <w:rPr>
          <w:rStyle w:val="33"/>
          <w:color w:val="auto"/>
        </w:rPr>
        <w:t>第8章 环境影响经济损益分析</w:t>
      </w:r>
      <w:r>
        <w:tab/>
      </w:r>
      <w:r>
        <w:fldChar w:fldCharType="begin"/>
      </w:r>
      <w:r>
        <w:instrText xml:space="preserve"> PAGEREF _Toc121420904 \h </w:instrText>
      </w:r>
      <w:r>
        <w:fldChar w:fldCharType="separate"/>
      </w:r>
      <w:r>
        <w:t>122</w:t>
      </w:r>
      <w:r>
        <w:fldChar w:fldCharType="end"/>
      </w:r>
      <w:r>
        <w:fldChar w:fldCharType="end"/>
      </w:r>
    </w:p>
    <w:p w14:paraId="2E834F85">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"_Toc121420905" </w:instrText>
      </w:r>
      <w:r>
        <w:fldChar w:fldCharType="separate"/>
      </w:r>
      <w:r>
        <w:rPr>
          <w:rStyle w:val="33"/>
          <w:rFonts w:cs="Times New Roman"/>
          <w:color w:val="auto"/>
        </w:rPr>
        <w:t>8.1 经济效益分析</w:t>
      </w:r>
      <w:r>
        <w:tab/>
      </w:r>
      <w:r>
        <w:fldChar w:fldCharType="begin"/>
      </w:r>
      <w:r>
        <w:instrText xml:space="preserve"> PAGEREF _Toc121420905 \h </w:instrText>
      </w:r>
      <w:r>
        <w:fldChar w:fldCharType="separate"/>
      </w:r>
      <w:r>
        <w:t>122</w:t>
      </w:r>
      <w:r>
        <w:fldChar w:fldCharType="end"/>
      </w:r>
      <w:r>
        <w:fldChar w:fldCharType="end"/>
      </w:r>
    </w:p>
    <w:p w14:paraId="0DE7B2ED">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"_Toc121420906" </w:instrText>
      </w:r>
      <w:r>
        <w:fldChar w:fldCharType="separate"/>
      </w:r>
      <w:r>
        <w:rPr>
          <w:rStyle w:val="33"/>
          <w:rFonts w:cs="Times New Roman"/>
          <w:color w:val="auto"/>
        </w:rPr>
        <w:t>8.2 社会效益分析</w:t>
      </w:r>
      <w:r>
        <w:tab/>
      </w:r>
      <w:r>
        <w:fldChar w:fldCharType="begin"/>
      </w:r>
      <w:r>
        <w:instrText xml:space="preserve"> PAGEREF _Toc121420906 \h </w:instrText>
      </w:r>
      <w:r>
        <w:fldChar w:fldCharType="separate"/>
      </w:r>
      <w:r>
        <w:t>122</w:t>
      </w:r>
      <w:r>
        <w:fldChar w:fldCharType="end"/>
      </w:r>
      <w:r>
        <w:fldChar w:fldCharType="end"/>
      </w:r>
    </w:p>
    <w:p w14:paraId="7D303D59">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"_Toc121420907" </w:instrText>
      </w:r>
      <w:r>
        <w:fldChar w:fldCharType="separate"/>
      </w:r>
      <w:r>
        <w:rPr>
          <w:rStyle w:val="33"/>
          <w:rFonts w:cs="Times New Roman"/>
          <w:color w:val="auto"/>
        </w:rPr>
        <w:t>8.3 环境损益分析</w:t>
      </w:r>
      <w:r>
        <w:tab/>
      </w:r>
      <w:r>
        <w:fldChar w:fldCharType="begin"/>
      </w:r>
      <w:r>
        <w:instrText xml:space="preserve"> PAGEREF _Toc121420907 \h </w:instrText>
      </w:r>
      <w:r>
        <w:fldChar w:fldCharType="separate"/>
      </w:r>
      <w:r>
        <w:t>122</w:t>
      </w:r>
      <w:r>
        <w:fldChar w:fldCharType="end"/>
      </w:r>
      <w:r>
        <w:fldChar w:fldCharType="end"/>
      </w:r>
    </w:p>
    <w:p w14:paraId="3585359F">
      <w:pPr>
        <w:pStyle w:val="23"/>
        <w:tabs>
          <w:tab w:val="right" w:leader="dot" w:pos="8720"/>
        </w:tabs>
        <w:ind w:firstLine="480"/>
        <w:rPr>
          <w:rFonts w:asciiTheme="minorHAnsi" w:hAnsiTheme="minorHAnsi" w:eastAsiaTheme="minorEastAsia"/>
          <w:sz w:val="21"/>
        </w:rPr>
      </w:pPr>
      <w:r>
        <w:fldChar w:fldCharType="begin"/>
      </w:r>
      <w:r>
        <w:instrText xml:space="preserve"> HYPERLINK \l "_Toc121420910" </w:instrText>
      </w:r>
      <w:r>
        <w:fldChar w:fldCharType="separate"/>
      </w:r>
      <w:r>
        <w:rPr>
          <w:rStyle w:val="33"/>
          <w:color w:val="auto"/>
        </w:rPr>
        <w:t>第9章 环境管理和监测计划</w:t>
      </w:r>
      <w:r>
        <w:tab/>
      </w:r>
      <w:r>
        <w:fldChar w:fldCharType="begin"/>
      </w:r>
      <w:r>
        <w:instrText xml:space="preserve"> PAGEREF _Toc121420910 \h </w:instrText>
      </w:r>
      <w:r>
        <w:fldChar w:fldCharType="separate"/>
      </w:r>
      <w:r>
        <w:t>124</w:t>
      </w:r>
      <w:r>
        <w:fldChar w:fldCharType="end"/>
      </w:r>
      <w:r>
        <w:fldChar w:fldCharType="end"/>
      </w:r>
    </w:p>
    <w:p w14:paraId="027CB3AE">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"_Toc121420911" </w:instrText>
      </w:r>
      <w:r>
        <w:fldChar w:fldCharType="separate"/>
      </w:r>
      <w:r>
        <w:rPr>
          <w:rStyle w:val="33"/>
          <w:rFonts w:cs="Times New Roman"/>
          <w:color w:val="auto"/>
        </w:rPr>
        <w:t>9.1 环境管理</w:t>
      </w:r>
      <w:r>
        <w:tab/>
      </w:r>
      <w:r>
        <w:fldChar w:fldCharType="begin"/>
      </w:r>
      <w:r>
        <w:instrText xml:space="preserve"> PAGEREF _Toc121420911 \h </w:instrText>
      </w:r>
      <w:r>
        <w:fldChar w:fldCharType="separate"/>
      </w:r>
      <w:r>
        <w:t>124</w:t>
      </w:r>
      <w:r>
        <w:fldChar w:fldCharType="end"/>
      </w:r>
      <w:r>
        <w:fldChar w:fldCharType="end"/>
      </w:r>
    </w:p>
    <w:p w14:paraId="76A710CA">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"_Toc121420919" </w:instrText>
      </w:r>
      <w:r>
        <w:fldChar w:fldCharType="separate"/>
      </w:r>
      <w:r>
        <w:rPr>
          <w:rStyle w:val="33"/>
          <w:rFonts w:cs="Times New Roman"/>
          <w:color w:val="auto"/>
        </w:rPr>
        <w:t>9.2 排污管理要求</w:t>
      </w:r>
      <w:r>
        <w:tab/>
      </w:r>
      <w:r>
        <w:fldChar w:fldCharType="begin"/>
      </w:r>
      <w:r>
        <w:instrText xml:space="preserve"> PAGEREF _Toc121420919 \h </w:instrText>
      </w:r>
      <w:r>
        <w:fldChar w:fldCharType="separate"/>
      </w:r>
      <w:r>
        <w:t>129</w:t>
      </w:r>
      <w:r>
        <w:fldChar w:fldCharType="end"/>
      </w:r>
      <w:r>
        <w:fldChar w:fldCharType="end"/>
      </w:r>
    </w:p>
    <w:p w14:paraId="0EE38BE7">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"_Toc121420922" </w:instrText>
      </w:r>
      <w:r>
        <w:fldChar w:fldCharType="separate"/>
      </w:r>
      <w:r>
        <w:rPr>
          <w:rStyle w:val="33"/>
          <w:rFonts w:cs="Times New Roman"/>
          <w:color w:val="auto"/>
        </w:rPr>
        <w:t>9.3 环境监测计划</w:t>
      </w:r>
      <w:r>
        <w:tab/>
      </w:r>
      <w:r>
        <w:fldChar w:fldCharType="begin"/>
      </w:r>
      <w:r>
        <w:instrText xml:space="preserve"> PAGEREF _Toc121420922 \h </w:instrText>
      </w:r>
      <w:r>
        <w:fldChar w:fldCharType="separate"/>
      </w:r>
      <w:r>
        <w:t>130</w:t>
      </w:r>
      <w:r>
        <w:fldChar w:fldCharType="end"/>
      </w:r>
      <w:r>
        <w:fldChar w:fldCharType="end"/>
      </w:r>
    </w:p>
    <w:p w14:paraId="65B649FE">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"_Toc121420923" </w:instrText>
      </w:r>
      <w:r>
        <w:fldChar w:fldCharType="separate"/>
      </w:r>
      <w:r>
        <w:rPr>
          <w:rStyle w:val="33"/>
          <w:rFonts w:cs="Times New Roman"/>
          <w:color w:val="auto"/>
        </w:rPr>
        <w:t>9.4 排污口设置及规范化管理</w:t>
      </w:r>
      <w:r>
        <w:tab/>
      </w:r>
      <w:r>
        <w:fldChar w:fldCharType="begin"/>
      </w:r>
      <w:r>
        <w:instrText xml:space="preserve"> PAGEREF _Toc121420923 \h </w:instrText>
      </w:r>
      <w:r>
        <w:fldChar w:fldCharType="separate"/>
      </w:r>
      <w:r>
        <w:t>130</w:t>
      </w:r>
      <w:r>
        <w:fldChar w:fldCharType="end"/>
      </w:r>
      <w:r>
        <w:fldChar w:fldCharType="end"/>
      </w:r>
    </w:p>
    <w:p w14:paraId="04A208DC">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"_Toc121420928" </w:instrText>
      </w:r>
      <w:r>
        <w:fldChar w:fldCharType="separate"/>
      </w:r>
      <w:r>
        <w:rPr>
          <w:rStyle w:val="33"/>
          <w:rFonts w:cs="Times New Roman"/>
          <w:color w:val="auto"/>
        </w:rPr>
        <w:t>9.5 三同时”验收要求内容</w:t>
      </w:r>
      <w:r>
        <w:tab/>
      </w:r>
      <w:r>
        <w:fldChar w:fldCharType="begin"/>
      </w:r>
      <w:r>
        <w:instrText xml:space="preserve"> PAGEREF _Toc121420928 \h </w:instrText>
      </w:r>
      <w:r>
        <w:fldChar w:fldCharType="separate"/>
      </w:r>
      <w:r>
        <w:t>132</w:t>
      </w:r>
      <w:r>
        <w:fldChar w:fldCharType="end"/>
      </w:r>
      <w:r>
        <w:fldChar w:fldCharType="end"/>
      </w:r>
    </w:p>
    <w:p w14:paraId="292F6D12">
      <w:pPr>
        <w:pStyle w:val="23"/>
        <w:tabs>
          <w:tab w:val="right" w:leader="dot" w:pos="8720"/>
        </w:tabs>
        <w:ind w:firstLine="480"/>
        <w:rPr>
          <w:rFonts w:asciiTheme="minorHAnsi" w:hAnsiTheme="minorHAnsi" w:eastAsiaTheme="minorEastAsia"/>
          <w:sz w:val="21"/>
        </w:rPr>
      </w:pPr>
      <w:r>
        <w:fldChar w:fldCharType="begin"/>
      </w:r>
      <w:r>
        <w:instrText xml:space="preserve"> HYPERLINK \l "_Toc121420929" </w:instrText>
      </w:r>
      <w:r>
        <w:fldChar w:fldCharType="separate"/>
      </w:r>
      <w:r>
        <w:rPr>
          <w:rStyle w:val="33"/>
          <w:color w:val="auto"/>
        </w:rPr>
        <w:t>第10章 结论及建议</w:t>
      </w:r>
      <w:r>
        <w:tab/>
      </w:r>
      <w:r>
        <w:fldChar w:fldCharType="begin"/>
      </w:r>
      <w:r>
        <w:instrText xml:space="preserve"> PAGEREF _Toc121420929 \h </w:instrText>
      </w:r>
      <w:r>
        <w:fldChar w:fldCharType="separate"/>
      </w:r>
      <w:r>
        <w:t>134</w:t>
      </w:r>
      <w:r>
        <w:fldChar w:fldCharType="end"/>
      </w:r>
      <w:r>
        <w:fldChar w:fldCharType="end"/>
      </w:r>
    </w:p>
    <w:p w14:paraId="7055BB14">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"_Toc121420930" </w:instrText>
      </w:r>
      <w:r>
        <w:fldChar w:fldCharType="separate"/>
      </w:r>
      <w:r>
        <w:rPr>
          <w:rStyle w:val="33"/>
          <w:rFonts w:cs="Times New Roman"/>
          <w:color w:val="auto"/>
        </w:rPr>
        <w:t>10.1 结论</w:t>
      </w:r>
      <w:r>
        <w:tab/>
      </w:r>
      <w:r>
        <w:fldChar w:fldCharType="begin"/>
      </w:r>
      <w:r>
        <w:instrText xml:space="preserve"> PAGEREF _Toc121420930 \h </w:instrText>
      </w:r>
      <w:r>
        <w:fldChar w:fldCharType="separate"/>
      </w:r>
      <w:r>
        <w:t>134</w:t>
      </w:r>
      <w:r>
        <w:fldChar w:fldCharType="end"/>
      </w:r>
      <w:r>
        <w:fldChar w:fldCharType="end"/>
      </w:r>
    </w:p>
    <w:p w14:paraId="0979D34D">
      <w:pPr>
        <w:pStyle w:val="26"/>
        <w:tabs>
          <w:tab w:val="right" w:leader="dot" w:pos="8720"/>
        </w:tabs>
        <w:ind w:left="480" w:firstLine="480"/>
        <w:rPr>
          <w:rFonts w:asciiTheme="minorHAnsi" w:hAnsiTheme="minorHAnsi" w:eastAsiaTheme="minorEastAsia"/>
          <w:sz w:val="21"/>
        </w:rPr>
      </w:pPr>
      <w:r>
        <w:fldChar w:fldCharType="begin"/>
      </w:r>
      <w:r>
        <w:instrText xml:space="preserve"> HYPERLINK \l "_Toc121420937" </w:instrText>
      </w:r>
      <w:r>
        <w:fldChar w:fldCharType="separate"/>
      </w:r>
      <w:r>
        <w:rPr>
          <w:rStyle w:val="33"/>
          <w:rFonts w:cs="Times New Roman"/>
          <w:color w:val="auto"/>
        </w:rPr>
        <w:t>10.2建议</w:t>
      </w:r>
      <w:r>
        <w:tab/>
      </w:r>
      <w:r>
        <w:fldChar w:fldCharType="begin"/>
      </w:r>
      <w:r>
        <w:instrText xml:space="preserve"> PAGEREF _Toc121420937 \h </w:instrText>
      </w:r>
      <w:r>
        <w:fldChar w:fldCharType="separate"/>
      </w:r>
      <w:r>
        <w:t>138</w:t>
      </w:r>
      <w:r>
        <w:fldChar w:fldCharType="end"/>
      </w:r>
      <w:r>
        <w:fldChar w:fldCharType="end"/>
      </w:r>
    </w:p>
    <w:p w14:paraId="7D8D7307">
      <w:pPr>
        <w:wordWrap/>
        <w:adjustRightInd/>
        <w:snapToGrid/>
        <w:ind w:firstLine="0" w:firstLineChars="0"/>
        <w:rPr>
          <w:rFonts w:cs="Times New Roman"/>
        </w:rPr>
      </w:pPr>
      <w:r>
        <w:rPr>
          <w:rFonts w:cs="Times New Roman"/>
        </w:rPr>
        <w:fldChar w:fldCharType="end"/>
      </w:r>
    </w:p>
    <w:p w14:paraId="60B5B15D">
      <w:pPr>
        <w:ind w:left="240" w:leftChars="100" w:firstLine="480"/>
        <w:rPr>
          <w:rFonts w:cs="Times New Roman"/>
        </w:rPr>
      </w:pPr>
    </w:p>
    <w:p w14:paraId="4167B104">
      <w:pPr>
        <w:ind w:left="240" w:leftChars="100" w:firstLine="480"/>
        <w:rPr>
          <w:rFonts w:cs="Times New Roman"/>
        </w:rPr>
        <w:sectPr>
          <w:footerReference r:id="rId11" w:type="even"/>
          <w:pgSz w:w="11906" w:h="16838"/>
          <w:pgMar w:top="1701" w:right="1588" w:bottom="1134" w:left="1588" w:header="1247" w:footer="1134" w:gutter="0"/>
          <w:paperSrc w:first="7" w:other="7"/>
          <w:cols w:space="720" w:num="1"/>
          <w:docGrid w:linePitch="326" w:charSpace="0"/>
        </w:sectPr>
      </w:pPr>
    </w:p>
    <w:p w14:paraId="65639D33">
      <w:pPr>
        <w:pStyle w:val="5"/>
        <w:spacing w:before="156" w:after="156"/>
        <w:rPr>
          <w:rFonts w:ascii="Times New Roman" w:hAnsi="Times New Roman"/>
        </w:rPr>
      </w:pPr>
      <w:bookmarkStart w:id="3" w:name="_Toc63257098"/>
      <w:bookmarkStart w:id="4" w:name="_Toc121420776"/>
      <w:r>
        <w:rPr>
          <w:rFonts w:ascii="Times New Roman" w:hAnsi="Times New Roman"/>
        </w:rPr>
        <w:t xml:space="preserve">第1章 </w:t>
      </w:r>
      <w:bookmarkEnd w:id="3"/>
      <w:r>
        <w:rPr>
          <w:rFonts w:ascii="Times New Roman" w:hAnsi="Times New Roman"/>
        </w:rPr>
        <w:t>概述</w:t>
      </w:r>
      <w:bookmarkEnd w:id="4"/>
    </w:p>
    <w:p w14:paraId="4616D2FC">
      <w:pPr>
        <w:pStyle w:val="6"/>
        <w:spacing w:before="156" w:after="156"/>
        <w:rPr>
          <w:rFonts w:cs="Times New Roman"/>
        </w:rPr>
      </w:pPr>
      <w:bookmarkStart w:id="5" w:name="_Toc27377384"/>
      <w:bookmarkStart w:id="6" w:name="_Toc121420777"/>
      <w:bookmarkStart w:id="7" w:name="_Toc63257099"/>
      <w:bookmarkStart w:id="8" w:name="_Toc55742505"/>
      <w:bookmarkStart w:id="9" w:name="_Toc520725072"/>
      <w:r>
        <w:rPr>
          <w:rFonts w:cs="Times New Roman"/>
        </w:rPr>
        <w:t>1.1 项目由来</w:t>
      </w:r>
      <w:bookmarkEnd w:id="5"/>
      <w:bookmarkEnd w:id="6"/>
      <w:bookmarkEnd w:id="7"/>
      <w:bookmarkEnd w:id="8"/>
      <w:bookmarkEnd w:id="9"/>
    </w:p>
    <w:p w14:paraId="714BA5B5">
      <w:pPr>
        <w:ind w:firstLine="480"/>
        <w:rPr>
          <w:rFonts w:cs="Times New Roman"/>
        </w:rPr>
      </w:pPr>
      <w:bookmarkStart w:id="10" w:name="_Hlk89413458"/>
      <w:r>
        <w:rPr>
          <w:rFonts w:cs="Times New Roman"/>
        </w:rPr>
        <w:t>建滔岩盐矿</w:t>
      </w:r>
      <w:bookmarkEnd w:id="10"/>
      <w:r>
        <w:rPr>
          <w:rFonts w:cs="Times New Roman"/>
        </w:rPr>
        <w:t>原隶属于湖南省衡阳烧碱厂，始建于1990年初，1992年开始采卤，2003年8月被香港建滔化工集团有限公司收购，成立衡阳建滔化工有限公司，设计生产规模为130万t/a原矿，</w:t>
      </w:r>
      <w:bookmarkStart w:id="11" w:name="_Hlk121419556"/>
      <w:bookmarkStart w:id="12" w:name="_Hlk89635661"/>
      <w:r>
        <w:rPr>
          <w:rFonts w:cs="Times New Roman"/>
        </w:rPr>
        <w:t>盐矿采集的卤水</w:t>
      </w:r>
      <w:bookmarkEnd w:id="11"/>
      <w:r>
        <w:rPr>
          <w:rFonts w:cs="Times New Roman"/>
        </w:rPr>
        <w:t>输送至</w:t>
      </w:r>
      <w:bookmarkStart w:id="13" w:name="_Hlk90220454"/>
      <w:r>
        <w:rPr>
          <w:rFonts w:cs="Times New Roman"/>
        </w:rPr>
        <w:t>建滔（衡阳）实业有限公司</w:t>
      </w:r>
      <w:bookmarkEnd w:id="13"/>
      <w:r>
        <w:rPr>
          <w:rFonts w:cs="Times New Roman"/>
        </w:rPr>
        <w:t>，为</w:t>
      </w:r>
      <w:bookmarkStart w:id="14" w:name="_Hlk89643104"/>
      <w:r>
        <w:rPr>
          <w:rFonts w:cs="Times New Roman"/>
        </w:rPr>
        <w:t>建滔</w:t>
      </w:r>
      <w:r>
        <w:rPr>
          <w:rFonts w:hint="eastAsia" w:cs="Times New Roman"/>
        </w:rPr>
        <w:t>（</w:t>
      </w:r>
      <w:r>
        <w:rPr>
          <w:rFonts w:cs="Times New Roman"/>
        </w:rPr>
        <w:t>衡阳</w:t>
      </w:r>
      <w:r>
        <w:rPr>
          <w:rFonts w:hint="eastAsia" w:cs="Times New Roman"/>
        </w:rPr>
        <w:t>）</w:t>
      </w:r>
      <w:r>
        <w:rPr>
          <w:rFonts w:cs="Times New Roman"/>
        </w:rPr>
        <w:t>实业有限公司</w:t>
      </w:r>
      <w:bookmarkEnd w:id="14"/>
      <w:r>
        <w:rPr>
          <w:rFonts w:cs="Times New Roman"/>
        </w:rPr>
        <w:t>离子膜</w:t>
      </w:r>
      <w:bookmarkStart w:id="15" w:name="_Hlk90972082"/>
      <w:r>
        <w:rPr>
          <w:rFonts w:cs="Times New Roman"/>
        </w:rPr>
        <w:t>烧碱项目</w:t>
      </w:r>
      <w:bookmarkEnd w:id="15"/>
      <w:r>
        <w:rPr>
          <w:rFonts w:cs="Times New Roman"/>
        </w:rPr>
        <w:t>提供原卤资源保障。</w:t>
      </w:r>
      <w:bookmarkEnd w:id="12"/>
    </w:p>
    <w:p w14:paraId="125E99D7">
      <w:pPr>
        <w:ind w:firstLine="480"/>
        <w:rPr>
          <w:rFonts w:cs="Times New Roman"/>
        </w:rPr>
      </w:pPr>
      <w:r>
        <w:rPr>
          <w:rFonts w:hint="eastAsia" w:cs="Times New Roman"/>
        </w:rPr>
        <w:t>建滔（衡阳）实业有限公司、衡阳建滔化工有限公司（统称“衡阳建滔”）是建滔化工集团有限公司在衡阳投资的二个独资子公司，其中</w:t>
      </w:r>
      <w:bookmarkStart w:id="16" w:name="_Hlk121420184"/>
      <w:r>
        <w:rPr>
          <w:rFonts w:hint="eastAsia" w:cs="Times New Roman"/>
        </w:rPr>
        <w:t>衡阳建滔化工有限公司主要管辖建滔岩盐矿，盐矿采集的卤水送建滔（衡阳）实业有限公司42万吨/年离子膜烧碱项目。</w:t>
      </w:r>
      <w:bookmarkEnd w:id="16"/>
    </w:p>
    <w:p w14:paraId="76B85E85">
      <w:pPr>
        <w:ind w:firstLine="480"/>
        <w:rPr>
          <w:rFonts w:cs="Times New Roman"/>
        </w:rPr>
      </w:pPr>
      <w:bookmarkStart w:id="17" w:name="_Hlk88491376"/>
      <w:r>
        <w:rPr>
          <w:rFonts w:hint="eastAsia" w:cs="Times New Roman"/>
        </w:rPr>
        <w:t>2</w:t>
      </w:r>
      <w:r>
        <w:rPr>
          <w:rFonts w:cs="Times New Roman"/>
        </w:rPr>
        <w:t>015</w:t>
      </w:r>
      <w:r>
        <w:rPr>
          <w:rFonts w:hint="eastAsia" w:cs="Times New Roman"/>
        </w:rPr>
        <w:t>年4月，衡阳建滔化工有限公司委托湖南中大设计院有限公司编制了《湖南省衡阳市石鼓区</w:t>
      </w:r>
      <w:bookmarkStart w:id="18" w:name="_Hlk121418682"/>
      <w:r>
        <w:rPr>
          <w:rFonts w:hint="eastAsia" w:cs="Times New Roman"/>
        </w:rPr>
        <w:t>建滔岩盐矿</w:t>
      </w:r>
      <w:bookmarkEnd w:id="18"/>
      <w:r>
        <w:rPr>
          <w:rFonts w:hint="eastAsia" w:cs="Times New Roman"/>
        </w:rPr>
        <w:t>资源开发利用方案》，并于2</w:t>
      </w:r>
      <w:r>
        <w:rPr>
          <w:rFonts w:cs="Times New Roman"/>
        </w:rPr>
        <w:t>015</w:t>
      </w:r>
      <w:r>
        <w:rPr>
          <w:rFonts w:hint="eastAsia" w:cs="Times New Roman"/>
        </w:rPr>
        <w:t>年7月取得湖南省国土资源厅出具的评审备案证明（湘国土资开发备字（2</w:t>
      </w:r>
      <w:r>
        <w:rPr>
          <w:rFonts w:cs="Times New Roman"/>
        </w:rPr>
        <w:t>015</w:t>
      </w:r>
      <w:r>
        <w:rPr>
          <w:rFonts w:hint="eastAsia" w:cs="Times New Roman"/>
        </w:rPr>
        <w:t>）</w:t>
      </w:r>
      <w:r>
        <w:rPr>
          <w:rFonts w:cs="Times New Roman"/>
        </w:rPr>
        <w:t>034</w:t>
      </w:r>
      <w:r>
        <w:rPr>
          <w:rFonts w:hint="eastAsia" w:cs="Times New Roman"/>
        </w:rPr>
        <w:t>号），详见附件。报告明确：矿区</w:t>
      </w:r>
      <w:r>
        <w:rPr>
          <w:rFonts w:cs="Times New Roman"/>
        </w:rPr>
        <w:t>总面积1.32km</w:t>
      </w:r>
      <w:r>
        <w:rPr>
          <w:rFonts w:cs="Times New Roman"/>
          <w:vertAlign w:val="superscript"/>
        </w:rPr>
        <w:t>2</w:t>
      </w:r>
      <w:r>
        <w:rPr>
          <w:rFonts w:hint="eastAsia" w:cs="Times New Roman"/>
        </w:rPr>
        <w:t>，准采标高为-458.26m~-750m。设计生产能力为1</w:t>
      </w:r>
      <w:r>
        <w:rPr>
          <w:rFonts w:cs="Times New Roman"/>
        </w:rPr>
        <w:t>50</w:t>
      </w:r>
      <w:r>
        <w:rPr>
          <w:rFonts w:hint="eastAsia" w:cs="Times New Roman"/>
        </w:rPr>
        <w:t>万t</w:t>
      </w:r>
      <w:r>
        <w:rPr>
          <w:rFonts w:cs="Times New Roman"/>
        </w:rPr>
        <w:t>/a</w:t>
      </w:r>
      <w:r>
        <w:rPr>
          <w:rFonts w:hint="eastAsia" w:cs="Times New Roman"/>
        </w:rPr>
        <w:t>原矿，矿山服务年限为8</w:t>
      </w:r>
      <w:r>
        <w:rPr>
          <w:rFonts w:cs="Times New Roman"/>
        </w:rPr>
        <w:t>3</w:t>
      </w:r>
      <w:r>
        <w:rPr>
          <w:rFonts w:hint="eastAsia" w:cs="Times New Roman"/>
        </w:rPr>
        <w:t>年，矿山通过双井对流法开采。根据规划布井，本次采矿权范围内共新建设计采卤井</w:t>
      </w:r>
      <w:r>
        <w:rPr>
          <w:rFonts w:cs="Times New Roman"/>
        </w:rPr>
        <w:t>4</w:t>
      </w:r>
      <w:r>
        <w:rPr>
          <w:rFonts w:hint="eastAsia" w:cs="Times New Roman"/>
        </w:rPr>
        <w:t>口，井组布置形式按常用的对井布置形式，即两口井为一井组，井距为</w:t>
      </w:r>
      <w:r>
        <w:rPr>
          <w:rFonts w:cs="Times New Roman"/>
        </w:rPr>
        <w:t>280</w:t>
      </w:r>
      <w:r>
        <w:rPr>
          <w:rFonts w:hint="eastAsia" w:cs="Times New Roman"/>
        </w:rPr>
        <w:t>～</w:t>
      </w:r>
      <w:r>
        <w:rPr>
          <w:rFonts w:cs="Times New Roman"/>
        </w:rPr>
        <w:t>30</w:t>
      </w:r>
      <w:r>
        <w:rPr>
          <w:rFonts w:hint="eastAsia" w:cs="Times New Roman"/>
        </w:rPr>
        <w:t>0m。</w:t>
      </w:r>
    </w:p>
    <w:p w14:paraId="7CD75840">
      <w:pPr>
        <w:pStyle w:val="2"/>
        <w:ind w:firstLine="480"/>
        <w:rPr>
          <w:rFonts w:cs="Times New Roman"/>
        </w:rPr>
      </w:pPr>
      <w:r>
        <w:rPr>
          <w:rFonts w:cs="Times New Roman"/>
        </w:rPr>
        <w:t>矿山现持采矿许可证证号为</w:t>
      </w:r>
      <w:bookmarkStart w:id="19" w:name="_Hlk88585851"/>
      <w:r>
        <w:rPr>
          <w:rFonts w:cs="Times New Roman"/>
        </w:rPr>
        <w:t xml:space="preserve"> C4300002009126120061450</w:t>
      </w:r>
      <w:bookmarkEnd w:id="19"/>
      <w:r>
        <w:rPr>
          <w:rFonts w:cs="Times New Roman"/>
        </w:rPr>
        <w:t>，有效期至2023年6月。核定生产能力150万t/a</w:t>
      </w:r>
      <w:r>
        <w:rPr>
          <w:rFonts w:hint="eastAsia" w:cs="Times New Roman"/>
        </w:rPr>
        <w:t>原矿</w:t>
      </w:r>
      <w:r>
        <w:rPr>
          <w:rFonts w:cs="Times New Roman"/>
        </w:rPr>
        <w:t>，</w:t>
      </w:r>
      <w:r>
        <w:rPr>
          <w:rFonts w:hint="eastAsia" w:cs="Times New Roman"/>
        </w:rPr>
        <w:t>矿区</w:t>
      </w:r>
      <w:r>
        <w:rPr>
          <w:rFonts w:cs="Times New Roman"/>
        </w:rPr>
        <w:t>总面积1.32km</w:t>
      </w:r>
      <w:r>
        <w:rPr>
          <w:rFonts w:cs="Times New Roman"/>
          <w:vertAlign w:val="superscript"/>
        </w:rPr>
        <w:t>2</w:t>
      </w:r>
      <w:r>
        <w:rPr>
          <w:rFonts w:cs="Times New Roman"/>
        </w:rPr>
        <w:t>。其矿界由6个拐点圈定，开采</w:t>
      </w:r>
      <w:bookmarkStart w:id="20" w:name="_Hlk116636857"/>
      <w:r>
        <w:rPr>
          <w:rFonts w:cs="Times New Roman"/>
        </w:rPr>
        <w:t>深度-458.26m至-750m</w:t>
      </w:r>
      <w:bookmarkEnd w:id="20"/>
      <w:r>
        <w:rPr>
          <w:rFonts w:cs="Times New Roman"/>
        </w:rPr>
        <w:t>。矿山现共有采卤井24个，其中CK1、CK2、CK4、CK5、ZK6、ZK7、ZK8、ZK9、ZK11等9口均于2017年以前停止产卤，</w:t>
      </w:r>
      <w:r>
        <w:rPr>
          <w:rFonts w:hint="eastAsia" w:cs="Times New Roman"/>
        </w:rPr>
        <w:t>其余 15口井在产，其中，</w:t>
      </w:r>
      <w:bookmarkStart w:id="21" w:name="_Hlk116222969"/>
      <w:r>
        <w:rPr>
          <w:rFonts w:cs="Times New Roman"/>
        </w:rPr>
        <w:t>ZK10、ZK12、CK3三口井已串通采卤</w:t>
      </w:r>
      <w:bookmarkEnd w:id="21"/>
      <w:r>
        <w:rPr>
          <w:rFonts w:cs="Times New Roman"/>
        </w:rPr>
        <w:t>，为加强矿区卤井新陈代谢，现衡阳建滔化工有限公司拟投资800万元</w:t>
      </w:r>
      <w:r>
        <w:rPr>
          <w:rFonts w:hint="eastAsia" w:cs="Times New Roman"/>
        </w:rPr>
        <w:t>，</w:t>
      </w:r>
      <w:r>
        <w:rPr>
          <w:rFonts w:cs="Times New Roman"/>
        </w:rPr>
        <w:t>新增CK25-CK26、CK27-CK28两对对接卤井，项目</w:t>
      </w:r>
      <w:r>
        <w:rPr>
          <w:rFonts w:hint="eastAsia" w:cs="Times New Roman"/>
        </w:rPr>
        <w:t>新建卤井出卤能力为</w:t>
      </w:r>
      <w:r>
        <w:rPr>
          <w:rFonts w:cs="Times New Roman"/>
        </w:rPr>
        <w:t>200m</w:t>
      </w:r>
      <w:r>
        <w:rPr>
          <w:rFonts w:cs="Times New Roman"/>
          <w:vertAlign w:val="superscript"/>
        </w:rPr>
        <w:t>3</w:t>
      </w:r>
      <w:r>
        <w:rPr>
          <w:rFonts w:cs="Times New Roman"/>
        </w:rPr>
        <w:t>/h</w:t>
      </w:r>
      <w:r>
        <w:rPr>
          <w:rFonts w:hint="eastAsia" w:cs="Times New Roman"/>
        </w:rPr>
        <w:t>，本项目建成后，老采区ZK10、ZK12、CK3三口井停采，矿区</w:t>
      </w:r>
      <w:bookmarkStart w:id="22" w:name="_Hlk116223721"/>
      <w:r>
        <w:rPr>
          <w:rFonts w:hint="eastAsia" w:cs="Times New Roman"/>
        </w:rPr>
        <w:t>总体生产规模</w:t>
      </w:r>
      <w:bookmarkEnd w:id="22"/>
      <w:r>
        <w:rPr>
          <w:rFonts w:hint="eastAsia" w:cs="Times New Roman"/>
        </w:rPr>
        <w:t>与建滔（衡阳）实业有限公司42万吨/年离子膜烧碱项目相匹配，总体生产规模维持150万t/a岩盐（即150万t/a原矿，折合原卤为220万m</w:t>
      </w:r>
      <w:r>
        <w:rPr>
          <w:rFonts w:hint="eastAsia" w:cs="Times New Roman"/>
          <w:vertAlign w:val="superscript"/>
        </w:rPr>
        <w:t>3</w:t>
      </w:r>
      <w:r>
        <w:rPr>
          <w:rFonts w:hint="eastAsia" w:cs="Times New Roman"/>
        </w:rPr>
        <w:t>/a）不变。本项目环境影响评价范围主要为新建的</w:t>
      </w:r>
      <w:r>
        <w:rPr>
          <w:rFonts w:cs="Times New Roman"/>
        </w:rPr>
        <w:t>2</w:t>
      </w:r>
      <w:r>
        <w:rPr>
          <w:rFonts w:hint="eastAsia" w:cs="Times New Roman"/>
        </w:rPr>
        <w:t>组采卤井，包括井场、采卤泵房、井场和采卤泵房之间的采集卤管线及场外道路等。</w:t>
      </w:r>
      <w:r>
        <w:rPr>
          <w:rFonts w:cs="Times New Roman"/>
        </w:rPr>
        <w:t>本次评价仅针对原卤开采，不涉及</w:t>
      </w:r>
      <w:r>
        <w:rPr>
          <w:rFonts w:hint="eastAsia" w:cs="Times New Roman"/>
        </w:rPr>
        <w:t>其他</w:t>
      </w:r>
      <w:r>
        <w:rPr>
          <w:rFonts w:cs="Times New Roman"/>
        </w:rPr>
        <w:t>部分。</w:t>
      </w:r>
    </w:p>
    <w:bookmarkEnd w:id="17"/>
    <w:p w14:paraId="031EDC12">
      <w:pPr>
        <w:pStyle w:val="6"/>
        <w:spacing w:before="156" w:after="156"/>
        <w:rPr>
          <w:rFonts w:cs="Times New Roman"/>
        </w:rPr>
      </w:pPr>
      <w:bookmarkStart w:id="23" w:name="_Toc63257100"/>
      <w:bookmarkStart w:id="24" w:name="_Toc55742506"/>
      <w:bookmarkStart w:id="25" w:name="_Toc121420778"/>
      <w:r>
        <w:rPr>
          <w:rFonts w:cs="Times New Roman"/>
        </w:rPr>
        <w:t>1.2 环评工作过程</w:t>
      </w:r>
      <w:bookmarkEnd w:id="23"/>
      <w:bookmarkEnd w:id="24"/>
      <w:bookmarkEnd w:id="25"/>
    </w:p>
    <w:p w14:paraId="25787E12">
      <w:pPr>
        <w:ind w:firstLine="480"/>
        <w:rPr>
          <w:rFonts w:cs="Times New Roman"/>
        </w:rPr>
      </w:pPr>
      <w:bookmarkStart w:id="26" w:name="_Toc27377386"/>
      <w:bookmarkStart w:id="27" w:name="_Toc520725074"/>
      <w:r>
        <w:rPr>
          <w:rFonts w:cs="Times New Roman"/>
        </w:rPr>
        <w:t>根据《建设项目环境影响评价分类管理名录》（2021年本），本项目属于其中的“八、非金属矿采选业10”中的“13采盐 井盐”类项目，应编制环境影响报告书。</w:t>
      </w:r>
    </w:p>
    <w:p w14:paraId="468E2437">
      <w:pPr>
        <w:ind w:firstLine="480"/>
      </w:pPr>
      <w:r>
        <w:rPr>
          <w:rFonts w:cs="Times New Roman"/>
        </w:rPr>
        <w:t>根据《中华人民共和国环境保护法》、《中华人民共和国环境影响评价法》、《建设项目环境保护管理条例》等有关法律和规定，本项目应进行环境影响评价。为此，衡阳建滔化工有限公司委托湖南葆华环保有限公司（以下简称“我公司”）承担该项目的环境影响评价工作。我公司在接受委托后，成立该评价工作项目组。</w:t>
      </w:r>
      <w:bookmarkStart w:id="28" w:name="_Hlk89871718"/>
      <w:r>
        <w:rPr>
          <w:rFonts w:hint="eastAsia"/>
        </w:rPr>
        <w:t>对项目进行了详细的实地踏勘和调查，收集相关资料。在建设单位、园区管委会等单位的大力协助下，编制完成了《衡阳建滔化工有限公司采卤井项目环境影响报告书》。</w:t>
      </w:r>
    </w:p>
    <w:p w14:paraId="379555D2">
      <w:pPr>
        <w:pStyle w:val="2"/>
        <w:ind w:firstLine="480"/>
      </w:pPr>
      <w:r>
        <w:rPr>
          <w:rFonts w:hint="eastAsia"/>
        </w:rPr>
        <w:t>报告书编制期间，建设单位按《环境影响评价公众参与办法》等要求进行了项目评价信息公示、环境影响报告书全文公示等公众参与工作。</w:t>
      </w:r>
    </w:p>
    <w:bookmarkEnd w:id="28"/>
    <w:p w14:paraId="453F2AB9">
      <w:pPr>
        <w:ind w:firstLine="480"/>
        <w:rPr>
          <w:rFonts w:cs="Times New Roman"/>
        </w:rPr>
      </w:pPr>
      <w:bookmarkStart w:id="29" w:name="_Hlk89871728"/>
      <w:r>
        <w:rPr>
          <w:rFonts w:cs="Times New Roman"/>
        </w:rPr>
        <w:t>环境影响评价的作业流程见图1.2-1。</w:t>
      </w:r>
    </w:p>
    <w:bookmarkEnd w:id="29"/>
    <w:p w14:paraId="56D4A158">
      <w:pPr>
        <w:ind w:firstLine="0" w:firstLineChars="0"/>
        <w:jc w:val="center"/>
        <w:rPr>
          <w:rFonts w:cs="Times New Roman"/>
        </w:rPr>
      </w:pPr>
      <w:r>
        <w:rPr>
          <w:rFonts w:cs="Times New Roman"/>
        </w:rPr>
        <w:drawing>
          <wp:inline distT="0" distB="0" distL="0" distR="0">
            <wp:extent cx="5157470" cy="5317490"/>
            <wp:effectExtent l="0" t="0" r="5080" b="0"/>
            <wp:docPr id="55" name="图片 55" descr="编制流程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编制流程_副本"/>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67434" cy="5327527"/>
                    </a:xfrm>
                    <a:prstGeom prst="rect">
                      <a:avLst/>
                    </a:prstGeom>
                    <a:noFill/>
                    <a:ln>
                      <a:noFill/>
                    </a:ln>
                  </pic:spPr>
                </pic:pic>
              </a:graphicData>
            </a:graphic>
          </wp:inline>
        </w:drawing>
      </w:r>
    </w:p>
    <w:p w14:paraId="133F3CE6">
      <w:pPr>
        <w:pStyle w:val="9"/>
        <w:rPr>
          <w:sz w:val="24"/>
          <w:szCs w:val="24"/>
        </w:rPr>
      </w:pPr>
      <w:r>
        <w:rPr>
          <w:sz w:val="24"/>
          <w:szCs w:val="24"/>
        </w:rPr>
        <w:t>图1.2-1  评价工作程序框图</w:t>
      </w:r>
    </w:p>
    <w:p w14:paraId="2366C953">
      <w:pPr>
        <w:pStyle w:val="6"/>
        <w:spacing w:before="156" w:after="156"/>
        <w:rPr>
          <w:rFonts w:cs="Times New Roman"/>
        </w:rPr>
      </w:pPr>
      <w:bookmarkStart w:id="30" w:name="_Toc121420779"/>
      <w:bookmarkStart w:id="31" w:name="_Toc55742508"/>
      <w:bookmarkStart w:id="32" w:name="_Toc63257102"/>
      <w:r>
        <w:rPr>
          <w:rFonts w:cs="Times New Roman"/>
        </w:rPr>
        <w:t>1.3 关注的主要环境问题及环境影响</w:t>
      </w:r>
      <w:bookmarkEnd w:id="26"/>
      <w:bookmarkEnd w:id="27"/>
      <w:bookmarkEnd w:id="30"/>
      <w:bookmarkEnd w:id="31"/>
      <w:bookmarkEnd w:id="32"/>
    </w:p>
    <w:p w14:paraId="1692BD9A">
      <w:pPr>
        <w:ind w:firstLine="480"/>
        <w:rPr>
          <w:rFonts w:cs="Times New Roman"/>
        </w:rPr>
      </w:pPr>
      <w:r>
        <w:rPr>
          <w:rFonts w:cs="Times New Roman"/>
        </w:rPr>
        <w:t>本项目可能产生的主要环境问题有：</w:t>
      </w:r>
    </w:p>
    <w:p w14:paraId="7693CB20">
      <w:pPr>
        <w:ind w:firstLine="480"/>
        <w:rPr>
          <w:rFonts w:cs="Times New Roman"/>
        </w:rPr>
      </w:pPr>
      <w:r>
        <w:rPr>
          <w:rFonts w:cs="Times New Roman"/>
        </w:rPr>
        <w:t>（1）项目与现有工程的依托关系及可行性，包括供水、采输卤系统等；</w:t>
      </w:r>
    </w:p>
    <w:p w14:paraId="4DB3A7E7">
      <w:pPr>
        <w:ind w:firstLine="480"/>
        <w:rPr>
          <w:rFonts w:cs="Times New Roman"/>
        </w:rPr>
      </w:pPr>
      <w:r>
        <w:rPr>
          <w:rFonts w:cs="Times New Roman"/>
        </w:rPr>
        <w:t>（2）建设期污染物排放、环境影响及防治措施；</w:t>
      </w:r>
    </w:p>
    <w:p w14:paraId="450A51BC">
      <w:pPr>
        <w:ind w:firstLine="480"/>
        <w:rPr>
          <w:rFonts w:cs="Times New Roman"/>
        </w:rPr>
      </w:pPr>
      <w:r>
        <w:rPr>
          <w:rFonts w:cs="Times New Roman"/>
        </w:rPr>
        <w:t>（3）运营期卤井、采集卤管线存在的环境风险；</w:t>
      </w:r>
    </w:p>
    <w:p w14:paraId="6BD8EA39">
      <w:pPr>
        <w:ind w:firstLine="480"/>
        <w:rPr>
          <w:rFonts w:cs="Times New Roman"/>
        </w:rPr>
      </w:pPr>
      <w:r>
        <w:rPr>
          <w:rFonts w:cs="Times New Roman"/>
        </w:rPr>
        <w:t>（4）运营期生态保护对策和污染物污染防治措施。</w:t>
      </w:r>
    </w:p>
    <w:p w14:paraId="5ED8082D">
      <w:pPr>
        <w:pStyle w:val="6"/>
        <w:spacing w:before="156" w:after="156"/>
        <w:rPr>
          <w:rFonts w:cs="Times New Roman"/>
        </w:rPr>
      </w:pPr>
      <w:bookmarkStart w:id="33" w:name="_Toc27377387"/>
      <w:bookmarkStart w:id="34" w:name="_Toc520725075"/>
      <w:bookmarkStart w:id="35" w:name="_Toc121420780"/>
      <w:bookmarkStart w:id="36" w:name="_Toc63257103"/>
      <w:bookmarkStart w:id="37" w:name="_Toc55742509"/>
      <w:r>
        <w:rPr>
          <w:rFonts w:cs="Times New Roman"/>
        </w:rPr>
        <w:t xml:space="preserve">1.4 </w:t>
      </w:r>
      <w:bookmarkEnd w:id="33"/>
      <w:bookmarkEnd w:id="34"/>
      <w:r>
        <w:rPr>
          <w:rFonts w:cs="Times New Roman"/>
        </w:rPr>
        <w:t>分析判定相关情况</w:t>
      </w:r>
      <w:bookmarkEnd w:id="35"/>
      <w:bookmarkEnd w:id="36"/>
      <w:bookmarkEnd w:id="37"/>
    </w:p>
    <w:p w14:paraId="6E4F8C38">
      <w:pPr>
        <w:keepNext/>
        <w:keepLines/>
        <w:ind w:firstLineChars="0"/>
        <w:outlineLvl w:val="2"/>
        <w:rPr>
          <w:rFonts w:cs="Times New Roman"/>
          <w:b/>
          <w:bCs/>
          <w:sz w:val="28"/>
          <w:szCs w:val="32"/>
        </w:rPr>
      </w:pPr>
      <w:bookmarkStart w:id="38" w:name="_Toc90989198"/>
      <w:bookmarkStart w:id="39" w:name="_Toc89850450"/>
      <w:bookmarkStart w:id="40" w:name="_Toc121420781"/>
      <w:bookmarkStart w:id="41" w:name="_Toc89882417"/>
      <w:bookmarkStart w:id="42" w:name="_Toc90318377"/>
      <w:bookmarkStart w:id="43" w:name="_Toc90997624"/>
      <w:bookmarkStart w:id="44" w:name="_Toc63257104"/>
      <w:bookmarkStart w:id="45" w:name="_Toc55742510"/>
      <w:r>
        <w:rPr>
          <w:rFonts w:cs="Times New Roman"/>
          <w:b/>
          <w:bCs/>
          <w:sz w:val="28"/>
          <w:szCs w:val="32"/>
        </w:rPr>
        <w:t xml:space="preserve">1.4.1 </w:t>
      </w:r>
      <w:r>
        <w:rPr>
          <w:rFonts w:hint="eastAsia" w:cs="Times New Roman"/>
          <w:b/>
          <w:bCs/>
          <w:sz w:val="28"/>
          <w:szCs w:val="32"/>
        </w:rPr>
        <w:t>产业政策符合性分析</w:t>
      </w:r>
      <w:bookmarkEnd w:id="38"/>
      <w:bookmarkEnd w:id="39"/>
      <w:bookmarkEnd w:id="40"/>
      <w:bookmarkEnd w:id="41"/>
      <w:bookmarkEnd w:id="42"/>
      <w:bookmarkEnd w:id="43"/>
    </w:p>
    <w:p w14:paraId="24156F0C">
      <w:pPr>
        <w:keepNext/>
        <w:keepLines/>
        <w:ind w:firstLine="0" w:firstLineChars="0"/>
        <w:outlineLvl w:val="3"/>
        <w:rPr>
          <w:rFonts w:cs="Times New Roman"/>
          <w:b/>
          <w:bCs/>
          <w:szCs w:val="28"/>
        </w:rPr>
      </w:pPr>
      <w:bookmarkStart w:id="46" w:name="_Hlk90902685"/>
      <w:r>
        <w:rPr>
          <w:rFonts w:cs="Times New Roman"/>
          <w:b/>
          <w:bCs/>
          <w:szCs w:val="28"/>
        </w:rPr>
        <w:t xml:space="preserve">1.4.1.1 </w:t>
      </w:r>
      <w:r>
        <w:rPr>
          <w:rFonts w:hint="eastAsia" w:cs="Times New Roman"/>
          <w:b/>
          <w:bCs/>
          <w:szCs w:val="28"/>
        </w:rPr>
        <w:t>与《产业结构调整指导目录（2019年）》的符合性分析</w:t>
      </w:r>
    </w:p>
    <w:bookmarkEnd w:id="46"/>
    <w:p w14:paraId="349AFB41">
      <w:pPr>
        <w:ind w:firstLine="480"/>
        <w:rPr>
          <w:rFonts w:cs="Arial"/>
        </w:rPr>
      </w:pPr>
      <w:r>
        <w:rPr>
          <w:rFonts w:hint="eastAsia" w:cs="Arial"/>
        </w:rPr>
        <w:t>本项目矿山属于岩盐矿，开采规模为</w:t>
      </w:r>
      <w:r>
        <w:rPr>
          <w:rFonts w:cs="Arial"/>
        </w:rPr>
        <w:t>150</w:t>
      </w:r>
      <w:r>
        <w:rPr>
          <w:rFonts w:hint="eastAsia" w:cs="Arial"/>
        </w:rPr>
        <w:t>万吨</w:t>
      </w:r>
      <w:r>
        <w:rPr>
          <w:rFonts w:cs="Arial"/>
        </w:rPr>
        <w:t>/a</w:t>
      </w:r>
      <w:r>
        <w:rPr>
          <w:rFonts w:hint="eastAsia" w:cs="Arial"/>
        </w:rPr>
        <w:t>，开采对象为岩盐主矿层。</w:t>
      </w:r>
    </w:p>
    <w:p w14:paraId="55D84EF1">
      <w:pPr>
        <w:ind w:firstLine="480"/>
        <w:rPr>
          <w:rFonts w:cs="Arial"/>
        </w:rPr>
      </w:pPr>
      <w:r>
        <w:rPr>
          <w:rFonts w:hint="eastAsia" w:cs="Arial"/>
        </w:rPr>
        <w:t>本项目所在地不涉及《中华人民共和国矿产资源法》、《矿山生态环境保护与污染防治技术政策》等国家和湖南省规定禁止和限制勘察、采矿的自然保护区、风景名胜区、森林公园、饮用水水源保护区、重要湖泊周边、文物古迹据在地、地质遗迹保护区、基本农田保护区、港口、码头、机场、军事禁区、地质灾害危险区、水库、重要水源地及主要交通干线两侧等。</w:t>
      </w:r>
    </w:p>
    <w:p w14:paraId="511249B2">
      <w:pPr>
        <w:ind w:firstLine="480"/>
        <w:rPr>
          <w:rFonts w:cs="Arial"/>
        </w:rPr>
      </w:pPr>
      <w:r>
        <w:rPr>
          <w:rFonts w:hint="eastAsia" w:cs="Arial"/>
        </w:rPr>
        <w:t>根据《产业结构调整指导目录（</w:t>
      </w:r>
      <w:r>
        <w:rPr>
          <w:rFonts w:cs="Arial"/>
        </w:rPr>
        <w:t>2019</w:t>
      </w:r>
      <w:r>
        <w:rPr>
          <w:rFonts w:hint="eastAsia" w:cs="Arial"/>
        </w:rPr>
        <w:t>年本）》，本项目不属于其中的限制类或淘汰类项目，属于允许类。</w:t>
      </w:r>
    </w:p>
    <w:p w14:paraId="1D2CBCCF">
      <w:pPr>
        <w:ind w:firstLine="480"/>
        <w:rPr>
          <w:rFonts w:cs="Arial"/>
        </w:rPr>
      </w:pPr>
      <w:r>
        <w:rPr>
          <w:rFonts w:hint="eastAsia" w:cs="Arial"/>
        </w:rPr>
        <w:t>因此，本工程的建设符合国家的产业政策。</w:t>
      </w:r>
    </w:p>
    <w:p w14:paraId="02679D8A">
      <w:pPr>
        <w:keepNext/>
        <w:keepLines/>
        <w:ind w:firstLine="0" w:firstLineChars="0"/>
        <w:outlineLvl w:val="3"/>
        <w:rPr>
          <w:rFonts w:cs="Times New Roman"/>
          <w:b/>
          <w:bCs/>
          <w:szCs w:val="28"/>
        </w:rPr>
      </w:pPr>
      <w:r>
        <w:rPr>
          <w:rFonts w:cs="Times New Roman"/>
          <w:b/>
          <w:bCs/>
          <w:szCs w:val="28"/>
        </w:rPr>
        <w:t xml:space="preserve">1.4.1.2 </w:t>
      </w:r>
      <w:r>
        <w:rPr>
          <w:rFonts w:hint="eastAsia" w:cs="Times New Roman"/>
          <w:b/>
          <w:bCs/>
          <w:szCs w:val="28"/>
        </w:rPr>
        <w:t>“三线一单”符合性分析</w:t>
      </w:r>
    </w:p>
    <w:p w14:paraId="7D962A1E">
      <w:pPr>
        <w:widowControl/>
        <w:tabs>
          <w:tab w:val="left" w:pos="1021"/>
        </w:tabs>
        <w:wordWrap/>
        <w:topLinePunct w:val="0"/>
        <w:adjustRightInd/>
        <w:snapToGrid/>
        <w:ind w:firstLine="480"/>
        <w:rPr>
          <w:rFonts w:cs="Times New Roman"/>
          <w:szCs w:val="20"/>
        </w:rPr>
      </w:pPr>
      <w:r>
        <w:rPr>
          <w:rFonts w:hint="eastAsia" w:cs="Times New Roman"/>
          <w:szCs w:val="20"/>
        </w:rPr>
        <w:t>本项目与</w:t>
      </w:r>
      <w:r>
        <w:rPr>
          <w:rFonts w:cs="Times New Roman"/>
          <w:szCs w:val="20"/>
        </w:rPr>
        <w:t>“</w:t>
      </w:r>
      <w:r>
        <w:rPr>
          <w:rFonts w:hint="eastAsia" w:cs="Times New Roman"/>
          <w:szCs w:val="20"/>
        </w:rPr>
        <w:t>三线一单</w:t>
      </w:r>
      <w:r>
        <w:rPr>
          <w:rFonts w:cs="Times New Roman"/>
          <w:szCs w:val="20"/>
        </w:rPr>
        <w:t>”</w:t>
      </w:r>
      <w:r>
        <w:rPr>
          <w:rFonts w:hint="eastAsia" w:cs="Times New Roman"/>
          <w:szCs w:val="20"/>
        </w:rPr>
        <w:t>文件符合性分析详见表</w:t>
      </w:r>
      <w:r>
        <w:rPr>
          <w:rFonts w:cs="Times New Roman"/>
          <w:szCs w:val="20"/>
        </w:rPr>
        <w:t>1.4-1</w:t>
      </w:r>
      <w:r>
        <w:rPr>
          <w:rFonts w:hint="eastAsia" w:cs="Times New Roman"/>
          <w:szCs w:val="20"/>
        </w:rPr>
        <w:t>。</w:t>
      </w:r>
    </w:p>
    <w:p w14:paraId="7D324A73">
      <w:pPr>
        <w:keepLines/>
        <w:ind w:firstLine="0" w:firstLineChars="0"/>
        <w:jc w:val="center"/>
        <w:outlineLvl w:val="4"/>
        <w:rPr>
          <w:rFonts w:cs="Times New Roman"/>
          <w:b/>
          <w:bCs/>
          <w:sz w:val="21"/>
          <w:szCs w:val="28"/>
        </w:rPr>
      </w:pPr>
      <w:r>
        <w:rPr>
          <w:rFonts w:hint="eastAsia" w:cs="Times New Roman"/>
          <w:b/>
          <w:bCs/>
          <w:sz w:val="21"/>
          <w:szCs w:val="28"/>
        </w:rPr>
        <w:t>表</w:t>
      </w:r>
      <w:r>
        <w:rPr>
          <w:rFonts w:cs="Times New Roman"/>
          <w:b/>
          <w:bCs/>
          <w:sz w:val="21"/>
          <w:szCs w:val="28"/>
        </w:rPr>
        <w:t xml:space="preserve">1.4-1  </w:t>
      </w:r>
      <w:r>
        <w:rPr>
          <w:rFonts w:hint="eastAsia" w:cs="Times New Roman"/>
          <w:b/>
          <w:bCs/>
          <w:sz w:val="21"/>
          <w:szCs w:val="28"/>
        </w:rPr>
        <w:t>项目与</w:t>
      </w:r>
      <w:r>
        <w:rPr>
          <w:rFonts w:cs="Times New Roman"/>
          <w:b/>
          <w:bCs/>
          <w:sz w:val="21"/>
          <w:szCs w:val="28"/>
        </w:rPr>
        <w:t>“</w:t>
      </w:r>
      <w:r>
        <w:rPr>
          <w:rFonts w:hint="eastAsia" w:cs="Times New Roman"/>
          <w:b/>
          <w:bCs/>
          <w:sz w:val="21"/>
          <w:szCs w:val="28"/>
        </w:rPr>
        <w:t>三线一单</w:t>
      </w:r>
      <w:r>
        <w:rPr>
          <w:rFonts w:cs="Times New Roman"/>
          <w:b/>
          <w:bCs/>
          <w:sz w:val="21"/>
          <w:szCs w:val="28"/>
        </w:rPr>
        <w:t>”</w:t>
      </w:r>
      <w:r>
        <w:rPr>
          <w:rFonts w:hint="eastAsia" w:cs="Times New Roman"/>
          <w:b/>
          <w:bCs/>
          <w:sz w:val="21"/>
          <w:szCs w:val="28"/>
        </w:rPr>
        <w:t>文件符合性分析</w:t>
      </w:r>
    </w:p>
    <w:tbl>
      <w:tblPr>
        <w:tblStyle w:val="2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18"/>
        <w:gridCol w:w="1276"/>
        <w:gridCol w:w="5103"/>
        <w:gridCol w:w="708"/>
      </w:tblGrid>
      <w:tr w14:paraId="5712C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18" w:type="dxa"/>
            <w:tcBorders>
              <w:top w:val="single" w:color="auto" w:sz="6" w:space="0"/>
              <w:left w:val="single" w:color="auto" w:sz="6" w:space="0"/>
              <w:bottom w:val="single" w:color="auto" w:sz="6" w:space="0"/>
              <w:right w:val="single" w:color="auto" w:sz="6" w:space="0"/>
            </w:tcBorders>
            <w:vAlign w:val="center"/>
          </w:tcPr>
          <w:p w14:paraId="6939DBC8">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通知文号</w:t>
            </w:r>
          </w:p>
        </w:tc>
        <w:tc>
          <w:tcPr>
            <w:tcW w:w="1276" w:type="dxa"/>
            <w:tcBorders>
              <w:top w:val="single" w:color="auto" w:sz="6" w:space="0"/>
              <w:left w:val="single" w:color="auto" w:sz="6" w:space="0"/>
              <w:bottom w:val="single" w:color="auto" w:sz="6" w:space="0"/>
              <w:right w:val="single" w:color="auto" w:sz="6" w:space="0"/>
            </w:tcBorders>
            <w:vAlign w:val="center"/>
          </w:tcPr>
          <w:p w14:paraId="7A4B5939">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类别</w:t>
            </w:r>
          </w:p>
        </w:tc>
        <w:tc>
          <w:tcPr>
            <w:tcW w:w="5103" w:type="dxa"/>
            <w:tcBorders>
              <w:top w:val="single" w:color="auto" w:sz="6" w:space="0"/>
              <w:left w:val="single" w:color="auto" w:sz="6" w:space="0"/>
              <w:bottom w:val="single" w:color="auto" w:sz="6" w:space="0"/>
              <w:right w:val="single" w:color="auto" w:sz="6" w:space="0"/>
            </w:tcBorders>
            <w:vAlign w:val="center"/>
          </w:tcPr>
          <w:p w14:paraId="3AA1B20E">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符合性</w:t>
            </w:r>
          </w:p>
        </w:tc>
        <w:tc>
          <w:tcPr>
            <w:tcW w:w="708" w:type="dxa"/>
            <w:tcBorders>
              <w:top w:val="single" w:color="auto" w:sz="6" w:space="0"/>
              <w:left w:val="single" w:color="auto" w:sz="6" w:space="0"/>
              <w:bottom w:val="single" w:color="auto" w:sz="6" w:space="0"/>
              <w:right w:val="single" w:color="auto" w:sz="6" w:space="0"/>
            </w:tcBorders>
            <w:vAlign w:val="center"/>
          </w:tcPr>
          <w:p w14:paraId="739A6979">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结论</w:t>
            </w:r>
          </w:p>
        </w:tc>
      </w:tr>
      <w:tr w14:paraId="13D82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18" w:type="dxa"/>
            <w:vMerge w:val="restart"/>
            <w:tcBorders>
              <w:top w:val="single" w:color="auto" w:sz="6" w:space="0"/>
              <w:left w:val="single" w:color="auto" w:sz="6" w:space="0"/>
              <w:bottom w:val="single" w:color="auto" w:sz="6" w:space="0"/>
              <w:right w:val="single" w:color="auto" w:sz="6" w:space="0"/>
            </w:tcBorders>
            <w:vAlign w:val="center"/>
          </w:tcPr>
          <w:p w14:paraId="2021A9D8">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《关于以改善环境质量为核心加强环境影响评价管理的通知》（环环评</w:t>
            </w:r>
            <w:r>
              <w:rPr>
                <w:rFonts w:cs="Times New Roman"/>
                <w:sz w:val="21"/>
                <w:szCs w:val="21"/>
              </w:rPr>
              <w:t>[2016]150</w:t>
            </w:r>
            <w:r>
              <w:rPr>
                <w:rFonts w:hint="eastAsia" w:cs="Times New Roman"/>
                <w:sz w:val="21"/>
                <w:szCs w:val="21"/>
              </w:rPr>
              <w:t>号）</w:t>
            </w:r>
          </w:p>
        </w:tc>
        <w:tc>
          <w:tcPr>
            <w:tcW w:w="1276" w:type="dxa"/>
            <w:tcBorders>
              <w:top w:val="single" w:color="auto" w:sz="6" w:space="0"/>
              <w:left w:val="single" w:color="auto" w:sz="6" w:space="0"/>
              <w:bottom w:val="single" w:color="auto" w:sz="6" w:space="0"/>
              <w:right w:val="single" w:color="auto" w:sz="6" w:space="0"/>
            </w:tcBorders>
            <w:vAlign w:val="center"/>
          </w:tcPr>
          <w:p w14:paraId="0E5EA266">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生态保护红线</w:t>
            </w:r>
          </w:p>
        </w:tc>
        <w:tc>
          <w:tcPr>
            <w:tcW w:w="5103" w:type="dxa"/>
            <w:tcBorders>
              <w:top w:val="single" w:color="auto" w:sz="6" w:space="0"/>
              <w:left w:val="single" w:color="auto" w:sz="6" w:space="0"/>
              <w:bottom w:val="single" w:color="auto" w:sz="6" w:space="0"/>
              <w:right w:val="single" w:color="auto" w:sz="6" w:space="0"/>
            </w:tcBorders>
            <w:vAlign w:val="center"/>
          </w:tcPr>
          <w:p w14:paraId="0B865DAA">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本项目</w:t>
            </w:r>
            <w:bookmarkStart w:id="47" w:name="_Hlk91081795"/>
            <w:r>
              <w:rPr>
                <w:rFonts w:hint="eastAsia" w:cs="Times New Roman"/>
                <w:sz w:val="21"/>
                <w:szCs w:val="21"/>
              </w:rPr>
              <w:t>不新增建设用地，不占用生态保护红线。</w:t>
            </w:r>
            <w:bookmarkEnd w:id="47"/>
          </w:p>
        </w:tc>
        <w:tc>
          <w:tcPr>
            <w:tcW w:w="708" w:type="dxa"/>
            <w:tcBorders>
              <w:top w:val="single" w:color="auto" w:sz="6" w:space="0"/>
              <w:left w:val="single" w:color="auto" w:sz="6" w:space="0"/>
              <w:bottom w:val="single" w:color="auto" w:sz="6" w:space="0"/>
              <w:right w:val="single" w:color="auto" w:sz="6" w:space="0"/>
            </w:tcBorders>
            <w:vAlign w:val="center"/>
          </w:tcPr>
          <w:p w14:paraId="25A4C8DD">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符合</w:t>
            </w:r>
          </w:p>
        </w:tc>
      </w:tr>
      <w:tr w14:paraId="15765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18" w:type="dxa"/>
            <w:vMerge w:val="continue"/>
            <w:tcBorders>
              <w:top w:val="single" w:color="auto" w:sz="6" w:space="0"/>
              <w:left w:val="single" w:color="auto" w:sz="6" w:space="0"/>
              <w:bottom w:val="single" w:color="auto" w:sz="6" w:space="0"/>
              <w:right w:val="single" w:color="auto" w:sz="6" w:space="0"/>
            </w:tcBorders>
            <w:vAlign w:val="center"/>
          </w:tcPr>
          <w:p w14:paraId="16E4BA16">
            <w:pPr>
              <w:widowControl/>
              <w:wordWrap/>
              <w:topLinePunct w:val="0"/>
              <w:adjustRightInd/>
              <w:snapToGrid/>
              <w:spacing w:line="240" w:lineRule="auto"/>
              <w:ind w:firstLine="0" w:firstLineChars="0"/>
              <w:jc w:val="left"/>
              <w:rPr>
                <w:rFonts w:cs="Times New Roman"/>
                <w:sz w:val="21"/>
                <w:szCs w:val="21"/>
              </w:rPr>
            </w:pPr>
          </w:p>
        </w:tc>
        <w:tc>
          <w:tcPr>
            <w:tcW w:w="1276" w:type="dxa"/>
            <w:tcBorders>
              <w:top w:val="single" w:color="auto" w:sz="6" w:space="0"/>
              <w:left w:val="single" w:color="auto" w:sz="6" w:space="0"/>
              <w:bottom w:val="single" w:color="auto" w:sz="6" w:space="0"/>
              <w:right w:val="single" w:color="auto" w:sz="6" w:space="0"/>
            </w:tcBorders>
            <w:vAlign w:val="center"/>
          </w:tcPr>
          <w:p w14:paraId="3F6F6B43">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环境质量底线</w:t>
            </w:r>
          </w:p>
        </w:tc>
        <w:tc>
          <w:tcPr>
            <w:tcW w:w="5103" w:type="dxa"/>
            <w:tcBorders>
              <w:top w:val="single" w:color="auto" w:sz="6" w:space="0"/>
              <w:left w:val="single" w:color="auto" w:sz="6" w:space="0"/>
              <w:bottom w:val="single" w:color="auto" w:sz="6" w:space="0"/>
              <w:right w:val="single" w:color="auto" w:sz="6" w:space="0"/>
            </w:tcBorders>
            <w:vAlign w:val="center"/>
          </w:tcPr>
          <w:p w14:paraId="276EDFA7">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本项目投产后无废气、废水排放，固废均能合理处置，不外排，项目实施后不会改变现有环境功能要求。</w:t>
            </w:r>
          </w:p>
        </w:tc>
        <w:tc>
          <w:tcPr>
            <w:tcW w:w="708" w:type="dxa"/>
            <w:tcBorders>
              <w:top w:val="single" w:color="auto" w:sz="6" w:space="0"/>
              <w:left w:val="single" w:color="auto" w:sz="6" w:space="0"/>
              <w:bottom w:val="single" w:color="auto" w:sz="6" w:space="0"/>
              <w:right w:val="single" w:color="auto" w:sz="6" w:space="0"/>
            </w:tcBorders>
            <w:vAlign w:val="center"/>
          </w:tcPr>
          <w:p w14:paraId="04EFC807">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符合</w:t>
            </w:r>
          </w:p>
        </w:tc>
      </w:tr>
      <w:tr w14:paraId="17943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18" w:type="dxa"/>
            <w:vMerge w:val="continue"/>
            <w:tcBorders>
              <w:top w:val="single" w:color="auto" w:sz="6" w:space="0"/>
              <w:left w:val="single" w:color="auto" w:sz="6" w:space="0"/>
              <w:bottom w:val="single" w:color="auto" w:sz="6" w:space="0"/>
              <w:right w:val="single" w:color="auto" w:sz="6" w:space="0"/>
            </w:tcBorders>
            <w:vAlign w:val="center"/>
          </w:tcPr>
          <w:p w14:paraId="58030CF0">
            <w:pPr>
              <w:widowControl/>
              <w:wordWrap/>
              <w:topLinePunct w:val="0"/>
              <w:adjustRightInd/>
              <w:snapToGrid/>
              <w:spacing w:line="240" w:lineRule="auto"/>
              <w:ind w:firstLine="0" w:firstLineChars="0"/>
              <w:jc w:val="left"/>
              <w:rPr>
                <w:rFonts w:cs="Times New Roman"/>
                <w:sz w:val="21"/>
                <w:szCs w:val="21"/>
              </w:rPr>
            </w:pPr>
          </w:p>
        </w:tc>
        <w:tc>
          <w:tcPr>
            <w:tcW w:w="1276" w:type="dxa"/>
            <w:tcBorders>
              <w:top w:val="single" w:color="auto" w:sz="6" w:space="0"/>
              <w:left w:val="single" w:color="auto" w:sz="6" w:space="0"/>
              <w:bottom w:val="single" w:color="auto" w:sz="6" w:space="0"/>
              <w:right w:val="single" w:color="auto" w:sz="6" w:space="0"/>
            </w:tcBorders>
            <w:vAlign w:val="center"/>
          </w:tcPr>
          <w:p w14:paraId="3049BD2A">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资源利用上线</w:t>
            </w:r>
          </w:p>
        </w:tc>
        <w:tc>
          <w:tcPr>
            <w:tcW w:w="5103" w:type="dxa"/>
            <w:tcBorders>
              <w:top w:val="single" w:color="auto" w:sz="6" w:space="0"/>
              <w:left w:val="single" w:color="auto" w:sz="6" w:space="0"/>
              <w:bottom w:val="single" w:color="auto" w:sz="6" w:space="0"/>
              <w:right w:val="single" w:color="auto" w:sz="6" w:space="0"/>
            </w:tcBorders>
            <w:vAlign w:val="center"/>
          </w:tcPr>
          <w:p w14:paraId="19E03871">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项目能源主要为水、电，项目区能源供应充足；项目不新增用地，项目能源、水、土地等资源利用符合要求。</w:t>
            </w:r>
          </w:p>
        </w:tc>
        <w:tc>
          <w:tcPr>
            <w:tcW w:w="708" w:type="dxa"/>
            <w:tcBorders>
              <w:top w:val="single" w:color="auto" w:sz="6" w:space="0"/>
              <w:left w:val="single" w:color="auto" w:sz="6" w:space="0"/>
              <w:bottom w:val="single" w:color="auto" w:sz="6" w:space="0"/>
              <w:right w:val="single" w:color="auto" w:sz="6" w:space="0"/>
            </w:tcBorders>
            <w:vAlign w:val="center"/>
          </w:tcPr>
          <w:p w14:paraId="7F991DBC">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符合</w:t>
            </w:r>
          </w:p>
        </w:tc>
      </w:tr>
      <w:tr w14:paraId="60C00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18" w:type="dxa"/>
            <w:vMerge w:val="continue"/>
            <w:tcBorders>
              <w:top w:val="single" w:color="auto" w:sz="6" w:space="0"/>
              <w:left w:val="single" w:color="auto" w:sz="6" w:space="0"/>
              <w:bottom w:val="single" w:color="auto" w:sz="6" w:space="0"/>
              <w:right w:val="single" w:color="auto" w:sz="6" w:space="0"/>
            </w:tcBorders>
            <w:vAlign w:val="center"/>
          </w:tcPr>
          <w:p w14:paraId="5EA55BB9">
            <w:pPr>
              <w:widowControl/>
              <w:wordWrap/>
              <w:topLinePunct w:val="0"/>
              <w:adjustRightInd/>
              <w:snapToGrid/>
              <w:spacing w:line="240" w:lineRule="auto"/>
              <w:ind w:firstLine="0" w:firstLineChars="0"/>
              <w:jc w:val="left"/>
              <w:rPr>
                <w:rFonts w:cs="Times New Roman"/>
                <w:sz w:val="21"/>
                <w:szCs w:val="21"/>
              </w:rPr>
            </w:pPr>
          </w:p>
        </w:tc>
        <w:tc>
          <w:tcPr>
            <w:tcW w:w="1276" w:type="dxa"/>
            <w:tcBorders>
              <w:top w:val="single" w:color="auto" w:sz="6" w:space="0"/>
              <w:left w:val="single" w:color="auto" w:sz="6" w:space="0"/>
              <w:bottom w:val="single" w:color="auto" w:sz="6" w:space="0"/>
              <w:right w:val="single" w:color="auto" w:sz="6" w:space="0"/>
            </w:tcBorders>
            <w:vAlign w:val="center"/>
          </w:tcPr>
          <w:p w14:paraId="17AD86BE">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环境准入负面清单</w:t>
            </w:r>
          </w:p>
        </w:tc>
        <w:tc>
          <w:tcPr>
            <w:tcW w:w="5103" w:type="dxa"/>
            <w:tcBorders>
              <w:top w:val="single" w:color="auto" w:sz="6" w:space="0"/>
              <w:left w:val="single" w:color="auto" w:sz="6" w:space="0"/>
              <w:bottom w:val="single" w:color="auto" w:sz="6" w:space="0"/>
              <w:right w:val="single" w:color="auto" w:sz="6" w:space="0"/>
            </w:tcBorders>
            <w:vAlign w:val="center"/>
          </w:tcPr>
          <w:p w14:paraId="0E191DBF">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项目符合国家、地方相关产业政策，符合衡阳松木经济开发区生态环境准入条件，不属于生态环境准入负面清单。</w:t>
            </w:r>
          </w:p>
        </w:tc>
        <w:tc>
          <w:tcPr>
            <w:tcW w:w="708" w:type="dxa"/>
            <w:tcBorders>
              <w:top w:val="single" w:color="auto" w:sz="6" w:space="0"/>
              <w:left w:val="single" w:color="auto" w:sz="6" w:space="0"/>
              <w:bottom w:val="single" w:color="auto" w:sz="6" w:space="0"/>
              <w:right w:val="single" w:color="auto" w:sz="6" w:space="0"/>
            </w:tcBorders>
            <w:vAlign w:val="center"/>
          </w:tcPr>
          <w:p w14:paraId="2A7D10A8">
            <w:pPr>
              <w:tabs>
                <w:tab w:val="left" w:pos="1021"/>
              </w:tabs>
              <w:wordWrap/>
              <w:topLinePunct w:val="0"/>
              <w:spacing w:line="240" w:lineRule="auto"/>
              <w:ind w:firstLine="0" w:firstLineChars="0"/>
              <w:jc w:val="center"/>
              <w:rPr>
                <w:rFonts w:cs="Times New Roman"/>
                <w:sz w:val="21"/>
                <w:szCs w:val="21"/>
              </w:rPr>
            </w:pPr>
            <w:r>
              <w:rPr>
                <w:rFonts w:hint="eastAsia" w:cs="Times New Roman"/>
                <w:sz w:val="21"/>
                <w:szCs w:val="21"/>
              </w:rPr>
              <w:t>符合</w:t>
            </w:r>
          </w:p>
        </w:tc>
      </w:tr>
    </w:tbl>
    <w:p w14:paraId="71E10A41">
      <w:pPr>
        <w:tabs>
          <w:tab w:val="left" w:pos="1021"/>
        </w:tabs>
        <w:wordWrap/>
        <w:topLinePunct w:val="0"/>
        <w:adjustRightInd/>
        <w:ind w:firstLine="480"/>
        <w:rPr>
          <w:rFonts w:cs="Times New Roman"/>
          <w:kern w:val="10"/>
          <w:szCs w:val="20"/>
        </w:rPr>
      </w:pPr>
      <w:r>
        <w:rPr>
          <w:rFonts w:hint="eastAsia" w:cs="Times New Roman"/>
          <w:kern w:val="10"/>
          <w:szCs w:val="20"/>
        </w:rPr>
        <w:t>根据</w:t>
      </w:r>
      <w:bookmarkStart w:id="48" w:name="_Hlk91081884"/>
      <w:r>
        <w:rPr>
          <w:rFonts w:hint="eastAsia" w:cs="Times New Roman"/>
          <w:kern w:val="10"/>
          <w:szCs w:val="20"/>
        </w:rPr>
        <w:t>《湖南省人民政府关于实施</w:t>
      </w:r>
      <w:r>
        <w:rPr>
          <w:rFonts w:cs="Times New Roman"/>
          <w:kern w:val="10"/>
          <w:szCs w:val="20"/>
        </w:rPr>
        <w:t>“</w:t>
      </w:r>
      <w:r>
        <w:rPr>
          <w:rFonts w:hint="eastAsia" w:cs="Times New Roman"/>
          <w:kern w:val="10"/>
          <w:szCs w:val="20"/>
        </w:rPr>
        <w:t>三线一单</w:t>
      </w:r>
      <w:r>
        <w:rPr>
          <w:rFonts w:cs="Times New Roman"/>
          <w:kern w:val="10"/>
          <w:szCs w:val="20"/>
        </w:rPr>
        <w:t>”</w:t>
      </w:r>
      <w:r>
        <w:rPr>
          <w:rFonts w:hint="eastAsia" w:cs="Times New Roman"/>
          <w:kern w:val="10"/>
          <w:szCs w:val="20"/>
        </w:rPr>
        <w:t>生态环境分区管控的意见》</w:t>
      </w:r>
      <w:bookmarkEnd w:id="48"/>
      <w:r>
        <w:rPr>
          <w:rFonts w:hint="eastAsia" w:cs="Times New Roman"/>
          <w:kern w:val="10"/>
          <w:szCs w:val="20"/>
        </w:rPr>
        <w:t>，湖南省“三线一单”实行动态管理原则，省生态环境厅组织对其实行定期评估与动态更新。根据</w:t>
      </w:r>
      <w:bookmarkStart w:id="49" w:name="_Hlk91081899"/>
      <w:r>
        <w:rPr>
          <w:rFonts w:hint="eastAsia" w:cs="Times New Roman"/>
          <w:kern w:val="10"/>
          <w:szCs w:val="20"/>
        </w:rPr>
        <w:t>《湖南</w:t>
      </w:r>
      <w:bookmarkStart w:id="50" w:name="_Hlk91081737"/>
      <w:r>
        <w:rPr>
          <w:rFonts w:hint="eastAsia" w:cs="Times New Roman"/>
          <w:kern w:val="10"/>
          <w:szCs w:val="20"/>
        </w:rPr>
        <w:t>衡阳松木经济开发区</w:t>
      </w:r>
      <w:bookmarkEnd w:id="50"/>
      <w:r>
        <w:rPr>
          <w:rFonts w:hint="eastAsia" w:cs="Times New Roman"/>
          <w:kern w:val="10"/>
          <w:szCs w:val="20"/>
        </w:rPr>
        <w:t>扩区规划（2</w:t>
      </w:r>
      <w:r>
        <w:rPr>
          <w:rFonts w:cs="Times New Roman"/>
          <w:kern w:val="10"/>
          <w:szCs w:val="20"/>
        </w:rPr>
        <w:t>020-2030</w:t>
      </w:r>
      <w:r>
        <w:rPr>
          <w:rFonts w:hint="eastAsia" w:cs="Times New Roman"/>
          <w:kern w:val="10"/>
          <w:szCs w:val="20"/>
        </w:rPr>
        <w:t>）</w:t>
      </w:r>
      <w:bookmarkStart w:id="51" w:name="_Hlk116202615"/>
      <w:r>
        <w:rPr>
          <w:rFonts w:hint="eastAsia" w:cs="Times New Roman"/>
          <w:kern w:val="10"/>
          <w:szCs w:val="20"/>
        </w:rPr>
        <w:t>环境影响报告书</w:t>
      </w:r>
      <w:bookmarkEnd w:id="51"/>
      <w:r>
        <w:rPr>
          <w:rFonts w:hint="eastAsia" w:cs="Times New Roman"/>
          <w:kern w:val="10"/>
          <w:szCs w:val="20"/>
        </w:rPr>
        <w:t>》</w:t>
      </w:r>
      <w:bookmarkEnd w:id="49"/>
      <w:r>
        <w:rPr>
          <w:rFonts w:hint="eastAsia" w:cs="Times New Roman"/>
          <w:kern w:val="10"/>
          <w:szCs w:val="20"/>
        </w:rPr>
        <w:t>成果，并结合</w:t>
      </w:r>
      <w:bookmarkStart w:id="52" w:name="_Hlk91081912"/>
      <w:r>
        <w:rPr>
          <w:rFonts w:hint="eastAsia" w:cs="Times New Roman"/>
          <w:kern w:val="10"/>
          <w:szCs w:val="20"/>
        </w:rPr>
        <w:t>《湖南省</w:t>
      </w:r>
      <w:r>
        <w:rPr>
          <w:rFonts w:cs="Times New Roman"/>
          <w:kern w:val="10"/>
          <w:szCs w:val="20"/>
        </w:rPr>
        <w:t>“</w:t>
      </w:r>
      <w:r>
        <w:rPr>
          <w:rFonts w:hint="eastAsia" w:cs="Times New Roman"/>
          <w:kern w:val="10"/>
          <w:szCs w:val="20"/>
        </w:rPr>
        <w:t>三线一单</w:t>
      </w:r>
      <w:r>
        <w:rPr>
          <w:rFonts w:cs="Times New Roman"/>
          <w:kern w:val="10"/>
          <w:szCs w:val="20"/>
        </w:rPr>
        <w:t>”</w:t>
      </w:r>
      <w:r>
        <w:rPr>
          <w:rFonts w:hint="eastAsia" w:cs="Times New Roman"/>
          <w:kern w:val="10"/>
          <w:szCs w:val="20"/>
        </w:rPr>
        <w:t>生态环境总体管控要求暨省级以上产业园区生态环境准入清单》</w:t>
      </w:r>
      <w:bookmarkEnd w:id="52"/>
      <w:r>
        <w:rPr>
          <w:rFonts w:hint="eastAsia" w:cs="Times New Roman"/>
          <w:kern w:val="10"/>
          <w:szCs w:val="20"/>
        </w:rPr>
        <w:t>中</w:t>
      </w:r>
      <w:bookmarkStart w:id="53" w:name="_Hlk91081925"/>
      <w:r>
        <w:rPr>
          <w:rFonts w:hint="eastAsia" w:cs="Times New Roman"/>
          <w:kern w:val="10"/>
          <w:szCs w:val="20"/>
        </w:rPr>
        <w:t>松木经开区</w:t>
      </w:r>
      <w:bookmarkEnd w:id="53"/>
      <w:r>
        <w:rPr>
          <w:rFonts w:hint="eastAsia" w:cs="Times New Roman"/>
          <w:kern w:val="10"/>
          <w:szCs w:val="20"/>
        </w:rPr>
        <w:t>的成果，松木经开区生态环境准入清单动态更新后，</w:t>
      </w:r>
      <w:bookmarkStart w:id="54" w:name="_Hlk91081938"/>
      <w:r>
        <w:rPr>
          <w:rFonts w:hint="eastAsia" w:cs="Times New Roman"/>
          <w:kern w:val="10"/>
          <w:szCs w:val="20"/>
        </w:rPr>
        <w:t>相关管控要求</w:t>
      </w:r>
      <w:bookmarkEnd w:id="54"/>
      <w:r>
        <w:rPr>
          <w:rFonts w:hint="eastAsia" w:cs="Times New Roman"/>
          <w:kern w:val="10"/>
          <w:szCs w:val="20"/>
        </w:rPr>
        <w:t>如下。</w:t>
      </w:r>
    </w:p>
    <w:p w14:paraId="125083B8">
      <w:pPr>
        <w:keepLines/>
        <w:ind w:firstLine="0" w:firstLineChars="0"/>
        <w:jc w:val="center"/>
        <w:outlineLvl w:val="4"/>
        <w:rPr>
          <w:rFonts w:cs="Times New Roman"/>
          <w:b/>
          <w:bCs/>
          <w:sz w:val="21"/>
          <w:szCs w:val="28"/>
        </w:rPr>
      </w:pPr>
      <w:r>
        <w:rPr>
          <w:rFonts w:hint="eastAsia" w:cs="Times New Roman"/>
          <w:b/>
          <w:bCs/>
          <w:sz w:val="21"/>
          <w:szCs w:val="28"/>
        </w:rPr>
        <w:t>表</w:t>
      </w:r>
      <w:r>
        <w:rPr>
          <w:rFonts w:cs="Times New Roman"/>
          <w:b/>
          <w:bCs/>
          <w:sz w:val="21"/>
          <w:szCs w:val="28"/>
        </w:rPr>
        <w:t xml:space="preserve">1.4-2  </w:t>
      </w:r>
      <w:r>
        <w:rPr>
          <w:rFonts w:hint="eastAsia" w:cs="Times New Roman"/>
          <w:b/>
          <w:bCs/>
          <w:sz w:val="21"/>
          <w:szCs w:val="28"/>
        </w:rPr>
        <w:t>项目与湖南省</w:t>
      </w:r>
      <w:r>
        <w:rPr>
          <w:rFonts w:cs="Times New Roman"/>
          <w:b/>
          <w:bCs/>
          <w:sz w:val="21"/>
          <w:szCs w:val="28"/>
        </w:rPr>
        <w:t>“</w:t>
      </w:r>
      <w:r>
        <w:rPr>
          <w:rFonts w:hint="eastAsia" w:cs="Times New Roman"/>
          <w:b/>
          <w:bCs/>
          <w:sz w:val="21"/>
          <w:szCs w:val="28"/>
        </w:rPr>
        <w:t>三线一单</w:t>
      </w:r>
      <w:r>
        <w:rPr>
          <w:rFonts w:cs="Times New Roman"/>
          <w:b/>
          <w:bCs/>
          <w:sz w:val="21"/>
          <w:szCs w:val="28"/>
        </w:rPr>
        <w:t>”</w:t>
      </w:r>
      <w:r>
        <w:rPr>
          <w:rFonts w:hint="eastAsia" w:cs="Times New Roman"/>
          <w:b/>
          <w:bCs/>
          <w:sz w:val="21"/>
          <w:szCs w:val="28"/>
        </w:rPr>
        <w:t>符合性分析一览表</w:t>
      </w:r>
    </w:p>
    <w:tbl>
      <w:tblPr>
        <w:tblStyle w:val="57"/>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4969"/>
        <w:gridCol w:w="2160"/>
        <w:gridCol w:w="708"/>
      </w:tblGrid>
      <w:tr w14:paraId="1264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0D3B8D6">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hint="eastAsia" w:cs="Times New Roman"/>
                <w:sz w:val="21"/>
                <w:szCs w:val="21"/>
              </w:rPr>
              <w:t>管控纬度</w:t>
            </w:r>
          </w:p>
        </w:tc>
        <w:tc>
          <w:tcPr>
            <w:tcW w:w="4969" w:type="dxa"/>
            <w:tcBorders>
              <w:top w:val="single" w:color="auto" w:sz="4" w:space="0"/>
              <w:left w:val="single" w:color="auto" w:sz="4" w:space="0"/>
              <w:bottom w:val="single" w:color="auto" w:sz="4" w:space="0"/>
              <w:right w:val="single" w:color="auto" w:sz="4" w:space="0"/>
            </w:tcBorders>
            <w:vAlign w:val="center"/>
          </w:tcPr>
          <w:p w14:paraId="6B0C64D4">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hint="eastAsia" w:cs="Times New Roman"/>
                <w:sz w:val="21"/>
                <w:szCs w:val="21"/>
              </w:rPr>
              <w:t>管控要求</w:t>
            </w:r>
          </w:p>
        </w:tc>
        <w:tc>
          <w:tcPr>
            <w:tcW w:w="2160" w:type="dxa"/>
            <w:tcBorders>
              <w:top w:val="single" w:color="auto" w:sz="4" w:space="0"/>
              <w:left w:val="single" w:color="auto" w:sz="4" w:space="0"/>
              <w:bottom w:val="single" w:color="auto" w:sz="4" w:space="0"/>
              <w:right w:val="single" w:color="auto" w:sz="4" w:space="0"/>
            </w:tcBorders>
            <w:vAlign w:val="center"/>
          </w:tcPr>
          <w:p w14:paraId="7FA78C5D">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hint="eastAsia" w:cs="Times New Roman"/>
                <w:sz w:val="21"/>
                <w:szCs w:val="21"/>
              </w:rPr>
              <w:t>项目情况</w:t>
            </w:r>
          </w:p>
        </w:tc>
        <w:tc>
          <w:tcPr>
            <w:tcW w:w="708" w:type="dxa"/>
            <w:tcBorders>
              <w:top w:val="single" w:color="auto" w:sz="4" w:space="0"/>
              <w:left w:val="single" w:color="auto" w:sz="4" w:space="0"/>
              <w:bottom w:val="single" w:color="auto" w:sz="4" w:space="0"/>
              <w:right w:val="single" w:color="auto" w:sz="4" w:space="0"/>
            </w:tcBorders>
            <w:vAlign w:val="center"/>
          </w:tcPr>
          <w:p w14:paraId="76986705">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hint="eastAsia" w:cs="Times New Roman"/>
                <w:sz w:val="21"/>
                <w:szCs w:val="21"/>
              </w:rPr>
              <w:t>结论</w:t>
            </w:r>
          </w:p>
        </w:tc>
      </w:tr>
      <w:tr w14:paraId="60FE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452EDECC">
            <w:pPr>
              <w:wordWrap/>
              <w:overflowPunct w:val="0"/>
              <w:topLinePunct w:val="0"/>
              <w:autoSpaceDE w:val="0"/>
              <w:autoSpaceDN w:val="0"/>
              <w:snapToGrid/>
              <w:spacing w:line="240" w:lineRule="auto"/>
              <w:ind w:firstLine="0" w:firstLineChars="0"/>
              <w:jc w:val="center"/>
              <w:textAlignment w:val="baseline"/>
              <w:rPr>
                <w:rFonts w:cs="Times New Roman"/>
                <w:sz w:val="21"/>
                <w:szCs w:val="21"/>
              </w:rPr>
            </w:pPr>
            <w:r>
              <w:rPr>
                <w:rFonts w:hint="eastAsia" w:cs="Times New Roman"/>
                <w:sz w:val="21"/>
                <w:szCs w:val="21"/>
              </w:rPr>
              <w:t>主导产业</w:t>
            </w:r>
          </w:p>
        </w:tc>
        <w:tc>
          <w:tcPr>
            <w:tcW w:w="4969" w:type="dxa"/>
            <w:tcBorders>
              <w:top w:val="single" w:color="auto" w:sz="4" w:space="0"/>
              <w:left w:val="single" w:color="auto" w:sz="4" w:space="0"/>
              <w:bottom w:val="single" w:color="auto" w:sz="4" w:space="0"/>
              <w:right w:val="single" w:color="auto" w:sz="4" w:space="0"/>
            </w:tcBorders>
            <w:vAlign w:val="center"/>
          </w:tcPr>
          <w:p w14:paraId="26D804EB">
            <w:pPr>
              <w:tabs>
                <w:tab w:val="left" w:pos="1021"/>
              </w:tabs>
              <w:wordWrap/>
              <w:overflowPunct w:val="0"/>
              <w:topLinePunct w:val="0"/>
              <w:autoSpaceDE w:val="0"/>
              <w:autoSpaceDN w:val="0"/>
              <w:spacing w:line="240" w:lineRule="auto"/>
              <w:ind w:firstLine="0" w:firstLineChars="0"/>
              <w:jc w:val="center"/>
              <w:rPr>
                <w:rFonts w:cs="Times New Roman"/>
                <w:sz w:val="21"/>
                <w:szCs w:val="21"/>
              </w:rPr>
            </w:pPr>
            <w:r>
              <w:rPr>
                <w:rFonts w:hint="eastAsia" w:cs="Times New Roman"/>
                <w:sz w:val="21"/>
                <w:szCs w:val="21"/>
              </w:rPr>
              <w:t>盐卤化工及精细化工（含医药化工和制药）、新能源、新材料。</w:t>
            </w:r>
          </w:p>
        </w:tc>
        <w:tc>
          <w:tcPr>
            <w:tcW w:w="2160" w:type="dxa"/>
            <w:tcBorders>
              <w:top w:val="single" w:color="auto" w:sz="4" w:space="0"/>
              <w:left w:val="single" w:color="auto" w:sz="4" w:space="0"/>
              <w:bottom w:val="single" w:color="auto" w:sz="4" w:space="0"/>
              <w:right w:val="single" w:color="auto" w:sz="4" w:space="0"/>
            </w:tcBorders>
            <w:vAlign w:val="center"/>
          </w:tcPr>
          <w:p w14:paraId="7EF2264C">
            <w:pPr>
              <w:wordWrap/>
              <w:overflowPunct w:val="0"/>
              <w:topLinePunct w:val="0"/>
              <w:autoSpaceDE w:val="0"/>
              <w:autoSpaceDN w:val="0"/>
              <w:snapToGrid/>
              <w:spacing w:line="240" w:lineRule="auto"/>
              <w:ind w:firstLine="0" w:firstLineChars="0"/>
              <w:jc w:val="center"/>
              <w:textAlignment w:val="baseline"/>
              <w:rPr>
                <w:rFonts w:cs="Times New Roman"/>
                <w:sz w:val="21"/>
                <w:szCs w:val="21"/>
              </w:rPr>
            </w:pPr>
            <w:bookmarkStart w:id="55" w:name="_Hlk91081862"/>
            <w:r>
              <w:rPr>
                <w:rFonts w:hint="eastAsia" w:cs="Times New Roman"/>
                <w:sz w:val="21"/>
                <w:szCs w:val="21"/>
              </w:rPr>
              <w:t>本项目为岩盐矿开采项目，项目开采配套建滔（衡阳）实业有限公司盐化工项目</w:t>
            </w:r>
            <w:bookmarkEnd w:id="55"/>
          </w:p>
        </w:tc>
        <w:tc>
          <w:tcPr>
            <w:tcW w:w="708" w:type="dxa"/>
            <w:tcBorders>
              <w:top w:val="single" w:color="auto" w:sz="4" w:space="0"/>
              <w:left w:val="single" w:color="auto" w:sz="4" w:space="0"/>
              <w:bottom w:val="single" w:color="auto" w:sz="4" w:space="0"/>
              <w:right w:val="single" w:color="auto" w:sz="4" w:space="0"/>
            </w:tcBorders>
            <w:vAlign w:val="center"/>
          </w:tcPr>
          <w:p w14:paraId="31BE3127">
            <w:pPr>
              <w:wordWrap/>
              <w:overflowPunct w:val="0"/>
              <w:topLinePunct w:val="0"/>
              <w:autoSpaceDE w:val="0"/>
              <w:autoSpaceDN w:val="0"/>
              <w:snapToGrid/>
              <w:spacing w:line="240" w:lineRule="auto"/>
              <w:ind w:firstLine="0" w:firstLineChars="0"/>
              <w:jc w:val="center"/>
              <w:textAlignment w:val="baseline"/>
              <w:rPr>
                <w:rFonts w:cs="Times New Roman"/>
                <w:sz w:val="21"/>
                <w:szCs w:val="21"/>
              </w:rPr>
            </w:pPr>
            <w:r>
              <w:rPr>
                <w:rFonts w:hint="eastAsia" w:cs="Times New Roman"/>
                <w:sz w:val="21"/>
                <w:szCs w:val="21"/>
              </w:rPr>
              <w:t>符合</w:t>
            </w:r>
          </w:p>
        </w:tc>
      </w:tr>
      <w:tr w14:paraId="71C3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04A866E">
            <w:pPr>
              <w:wordWrap/>
              <w:overflowPunct w:val="0"/>
              <w:topLinePunct w:val="0"/>
              <w:autoSpaceDE w:val="0"/>
              <w:autoSpaceDN w:val="0"/>
              <w:snapToGrid/>
              <w:spacing w:line="240" w:lineRule="auto"/>
              <w:ind w:firstLine="0" w:firstLineChars="0"/>
              <w:jc w:val="center"/>
              <w:textAlignment w:val="baseline"/>
              <w:rPr>
                <w:rFonts w:cs="Times New Roman"/>
                <w:sz w:val="21"/>
                <w:szCs w:val="21"/>
              </w:rPr>
            </w:pPr>
            <w:r>
              <w:rPr>
                <w:rFonts w:hint="eastAsia" w:cs="Times New Roman"/>
                <w:sz w:val="21"/>
                <w:szCs w:val="21"/>
              </w:rPr>
              <w:t>空间布局约束</w:t>
            </w:r>
          </w:p>
        </w:tc>
        <w:tc>
          <w:tcPr>
            <w:tcW w:w="4969" w:type="dxa"/>
            <w:tcBorders>
              <w:top w:val="single" w:color="auto" w:sz="4" w:space="0"/>
              <w:left w:val="single" w:color="auto" w:sz="4" w:space="0"/>
              <w:bottom w:val="single" w:color="auto" w:sz="4" w:space="0"/>
              <w:right w:val="single" w:color="auto" w:sz="4" w:space="0"/>
            </w:tcBorders>
            <w:vAlign w:val="center"/>
          </w:tcPr>
          <w:p w14:paraId="6967895E">
            <w:pPr>
              <w:tabs>
                <w:tab w:val="left" w:pos="1021"/>
              </w:tabs>
              <w:wordWrap/>
              <w:overflowPunct w:val="0"/>
              <w:topLinePunct w:val="0"/>
              <w:autoSpaceDE w:val="0"/>
              <w:autoSpaceDN w:val="0"/>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rPr>
              <w:t>规划布局：园区在下一步开发建设过程中应执行《长江保护法》的要求，禁止在湘江岸线</w:t>
            </w:r>
            <w:r>
              <w:rPr>
                <w:rFonts w:cs="Times New Roman"/>
                <w:sz w:val="21"/>
                <w:szCs w:val="21"/>
              </w:rPr>
              <w:t>1</w:t>
            </w:r>
            <w:r>
              <w:rPr>
                <w:rFonts w:hint="eastAsia" w:cs="Times New Roman"/>
                <w:sz w:val="21"/>
                <w:szCs w:val="21"/>
              </w:rPr>
              <w:t>公里范围内（片区一）新建、扩建化工园区和化工项目。对于湘江岸线</w:t>
            </w:r>
            <w:r>
              <w:rPr>
                <w:rFonts w:cs="Times New Roman"/>
                <w:sz w:val="21"/>
                <w:szCs w:val="21"/>
              </w:rPr>
              <w:t>1</w:t>
            </w:r>
            <w:r>
              <w:rPr>
                <w:rFonts w:hint="eastAsia" w:cs="Times New Roman"/>
                <w:sz w:val="21"/>
                <w:szCs w:val="21"/>
              </w:rPr>
              <w:t>公里范围区域不再作为化工片区规划和后续开发，根据《关于发布湖南省沿江</w:t>
            </w:r>
            <w:r>
              <w:rPr>
                <w:rFonts w:cs="Times New Roman"/>
                <w:sz w:val="21"/>
                <w:szCs w:val="21"/>
              </w:rPr>
              <w:t>1</w:t>
            </w:r>
            <w:r>
              <w:rPr>
                <w:rFonts w:hint="eastAsia" w:cs="Times New Roman"/>
                <w:sz w:val="21"/>
                <w:szCs w:val="21"/>
              </w:rPr>
              <w:t>公里范围内化工生产企业搬迁改造名单的公告》，本片区内已存在的化工企业，鼓励搬迁类的应于</w:t>
            </w:r>
            <w:r>
              <w:rPr>
                <w:rFonts w:cs="Times New Roman"/>
                <w:sz w:val="21"/>
                <w:szCs w:val="21"/>
              </w:rPr>
              <w:t>2025</w:t>
            </w:r>
            <w:r>
              <w:rPr>
                <w:rFonts w:hint="eastAsia" w:cs="Times New Roman"/>
                <w:sz w:val="21"/>
                <w:szCs w:val="21"/>
              </w:rPr>
              <w:t>年底完成搬迁改造任务，保留类的不再在原址扩产能，并应采取更加严格的安全环保措施，园区管理机构应予以严格监管，确保湘江水质安全。湘江岸线</w:t>
            </w:r>
            <w:r>
              <w:rPr>
                <w:rFonts w:cs="Times New Roman"/>
                <w:sz w:val="21"/>
                <w:szCs w:val="21"/>
              </w:rPr>
              <w:t>1</w:t>
            </w:r>
            <w:r>
              <w:rPr>
                <w:rFonts w:hint="eastAsia" w:cs="Times New Roman"/>
                <w:sz w:val="21"/>
                <w:szCs w:val="21"/>
              </w:rPr>
              <w:t>公里范围内（片区一）不再布设三类工业用地，在空间规划中予以落实，化工片区（片区二）应严格边界管控，并与片区三相互协调形成合理布局，减少对经开区西部安置区、公租房、商业职业学院等目标的影响及对主导风向下风向城区的影响。</w:t>
            </w:r>
          </w:p>
          <w:p w14:paraId="68A44584">
            <w:pPr>
              <w:tabs>
                <w:tab w:val="left" w:pos="1021"/>
              </w:tabs>
              <w:wordWrap/>
              <w:overflowPunct w:val="0"/>
              <w:topLinePunct w:val="0"/>
              <w:autoSpaceDE w:val="0"/>
              <w:autoSpaceDN w:val="0"/>
              <w:spacing w:line="240" w:lineRule="auto"/>
              <w:ind w:firstLine="0" w:firstLineChars="0"/>
              <w:jc w:val="center"/>
              <w:rPr>
                <w:rFonts w:cs="Times New Roman"/>
                <w:sz w:val="21"/>
                <w:szCs w:val="21"/>
              </w:rPr>
            </w:pPr>
            <w:r>
              <w:rPr>
                <w:rFonts w:cs="Times New Roman"/>
                <w:sz w:val="21"/>
                <w:szCs w:val="21"/>
              </w:rPr>
              <w:t>2.</w:t>
            </w:r>
            <w:r>
              <w:rPr>
                <w:rFonts w:hint="eastAsia" w:cs="Times New Roman"/>
                <w:sz w:val="21"/>
                <w:szCs w:val="21"/>
              </w:rPr>
              <w:t>周边控规。落实拆迁安置计划。落实报告书中提出的相关隔离带等要求，园区管委会与地方政府应共同做好控规，确保化工片区南侧边界外</w:t>
            </w:r>
            <w:r>
              <w:rPr>
                <w:rFonts w:cs="Times New Roman"/>
                <w:sz w:val="21"/>
                <w:szCs w:val="21"/>
              </w:rPr>
              <w:t>1km</w:t>
            </w:r>
            <w:r>
              <w:rPr>
                <w:rFonts w:hint="eastAsia" w:cs="Times New Roman"/>
                <w:sz w:val="21"/>
                <w:szCs w:val="21"/>
              </w:rPr>
              <w:t>范围不新建居民区、学校、医院等环境敏感建筑或生态敏感区。杜绝在规划的工业用地上新增环境敏感目标，确保园区开发过程中的居民拆迁安置到位，防止发生居民再次安置和次生环境问题，对于具体项目环评设置防护距离和拆迁要求的，要确保予以落实。</w:t>
            </w:r>
          </w:p>
          <w:p w14:paraId="58271F37">
            <w:pPr>
              <w:tabs>
                <w:tab w:val="left" w:pos="1021"/>
              </w:tabs>
              <w:wordWrap/>
              <w:overflowPunct w:val="0"/>
              <w:topLinePunct w:val="0"/>
              <w:autoSpaceDE w:val="0"/>
              <w:autoSpaceDN w:val="0"/>
              <w:spacing w:line="240" w:lineRule="auto"/>
              <w:ind w:firstLine="0" w:firstLineChars="0"/>
              <w:jc w:val="center"/>
              <w:rPr>
                <w:rFonts w:cs="Times New Roman"/>
                <w:sz w:val="21"/>
                <w:szCs w:val="21"/>
              </w:rPr>
            </w:pPr>
            <w:r>
              <w:rPr>
                <w:rFonts w:cs="Times New Roman"/>
                <w:sz w:val="21"/>
                <w:szCs w:val="21"/>
              </w:rPr>
              <w:t>3.</w:t>
            </w:r>
            <w:r>
              <w:rPr>
                <w:rFonts w:hint="eastAsia" w:cs="Times New Roman"/>
                <w:sz w:val="21"/>
                <w:szCs w:val="21"/>
              </w:rPr>
              <w:t>产业准入：园区产业引进应严格遵循《长江保护法》、《长江经济带发展负面清单》、《湘江保护条例》等法律法规及相关政策的要求，落实</w:t>
            </w:r>
            <w:r>
              <w:rPr>
                <w:rFonts w:cs="Times New Roman"/>
                <w:sz w:val="21"/>
                <w:szCs w:val="21"/>
              </w:rPr>
              <w:t>“</w:t>
            </w:r>
            <w:r>
              <w:rPr>
                <w:rFonts w:hint="eastAsia" w:cs="Times New Roman"/>
                <w:sz w:val="21"/>
                <w:szCs w:val="21"/>
              </w:rPr>
              <w:t>三线一单</w:t>
            </w:r>
            <w:r>
              <w:rPr>
                <w:rFonts w:cs="Times New Roman"/>
                <w:sz w:val="21"/>
                <w:szCs w:val="21"/>
              </w:rPr>
              <w:t>”</w:t>
            </w:r>
            <w:r>
              <w:rPr>
                <w:rFonts w:hint="eastAsia" w:cs="Times New Roman"/>
                <w:sz w:val="21"/>
                <w:szCs w:val="21"/>
              </w:rPr>
              <w:t>环境准入要求及《报告书》提出的准入条件，严格限制以</w:t>
            </w:r>
            <w:r>
              <w:rPr>
                <w:rFonts w:cs="Times New Roman"/>
                <w:sz w:val="21"/>
                <w:szCs w:val="21"/>
              </w:rPr>
              <w:t>“</w:t>
            </w:r>
            <w:r>
              <w:rPr>
                <w:rFonts w:hint="eastAsia" w:cs="Times New Roman"/>
                <w:sz w:val="21"/>
                <w:szCs w:val="21"/>
              </w:rPr>
              <w:t>零排放</w:t>
            </w:r>
            <w:r>
              <w:rPr>
                <w:rFonts w:cs="Times New Roman"/>
                <w:sz w:val="21"/>
                <w:szCs w:val="21"/>
              </w:rPr>
              <w:t>”</w:t>
            </w:r>
            <w:r>
              <w:rPr>
                <w:rFonts w:hint="eastAsia" w:cs="Times New Roman"/>
                <w:sz w:val="21"/>
                <w:szCs w:val="21"/>
              </w:rPr>
              <w:t>为名新引进实际存在重金属排放（包括随废气排放）或突发情形下排放重金属的产业项目，片区三应严格限制引入重点气型污染排放企业。</w:t>
            </w:r>
          </w:p>
        </w:tc>
        <w:tc>
          <w:tcPr>
            <w:tcW w:w="2160" w:type="dxa"/>
            <w:tcBorders>
              <w:top w:val="single" w:color="auto" w:sz="4" w:space="0"/>
              <w:left w:val="single" w:color="auto" w:sz="4" w:space="0"/>
              <w:bottom w:val="single" w:color="auto" w:sz="4" w:space="0"/>
              <w:right w:val="single" w:color="auto" w:sz="4" w:space="0"/>
            </w:tcBorders>
            <w:vAlign w:val="center"/>
          </w:tcPr>
          <w:p w14:paraId="53A5A7BE">
            <w:pPr>
              <w:wordWrap/>
              <w:overflowPunct w:val="0"/>
              <w:topLinePunct w:val="0"/>
              <w:autoSpaceDE w:val="0"/>
              <w:autoSpaceDN w:val="0"/>
              <w:snapToGrid/>
              <w:spacing w:line="240" w:lineRule="auto"/>
              <w:ind w:firstLine="0" w:firstLineChars="0"/>
              <w:jc w:val="center"/>
              <w:textAlignment w:val="baseline"/>
              <w:rPr>
                <w:rFonts w:cs="Times New Roman"/>
                <w:sz w:val="21"/>
                <w:szCs w:val="21"/>
              </w:rPr>
            </w:pPr>
            <w:r>
              <w:rPr>
                <w:rFonts w:hint="eastAsia" w:cs="Times New Roman"/>
                <w:sz w:val="21"/>
                <w:szCs w:val="21"/>
              </w:rPr>
              <w:t>1、本项目仅涉及到矿山开采，</w:t>
            </w:r>
            <w:bookmarkStart w:id="56" w:name="_Hlk116204637"/>
            <w:r>
              <w:rPr>
                <w:rFonts w:hint="eastAsia" w:cs="Times New Roman"/>
                <w:sz w:val="21"/>
                <w:szCs w:val="21"/>
              </w:rPr>
              <w:t>不属于沿江1公里的化工企业。本次卤水开采项目主要为配套建滔（衡阳）实业有限公司厂区现有的离子膜烧碱生产线用卤需求，不属于新建、扩建化工项目。本项目配套企业建滔（衡阳）实业有限公司属于《关于发布湖南省沿江1公里范围内化工生产企业搬迁改造名单的公告》湖南省沿江岸线1公里范围内保留类化工生产企业。</w:t>
            </w:r>
            <w:bookmarkEnd w:id="56"/>
          </w:p>
          <w:p w14:paraId="351A339A">
            <w:pPr>
              <w:wordWrap/>
              <w:overflowPunct w:val="0"/>
              <w:topLinePunct w:val="0"/>
              <w:autoSpaceDE w:val="0"/>
              <w:autoSpaceDN w:val="0"/>
              <w:snapToGrid/>
              <w:spacing w:line="240" w:lineRule="auto"/>
              <w:ind w:firstLine="0" w:firstLineChars="0"/>
              <w:jc w:val="center"/>
              <w:textAlignment w:val="baseline"/>
              <w:rPr>
                <w:rFonts w:cs="Times New Roman"/>
                <w:sz w:val="21"/>
                <w:szCs w:val="21"/>
              </w:rPr>
            </w:pPr>
            <w:r>
              <w:rPr>
                <w:rFonts w:cs="Times New Roman"/>
                <w:sz w:val="21"/>
                <w:szCs w:val="21"/>
              </w:rPr>
              <w:t>2</w:t>
            </w:r>
            <w:r>
              <w:rPr>
                <w:rFonts w:hint="eastAsia" w:cs="Times New Roman"/>
                <w:sz w:val="21"/>
                <w:szCs w:val="21"/>
              </w:rPr>
              <w:t>、本项目</w:t>
            </w:r>
            <w:bookmarkStart w:id="57" w:name="_Hlk116204482"/>
            <w:r>
              <w:rPr>
                <w:rFonts w:hint="eastAsia" w:cs="Times New Roman"/>
                <w:sz w:val="21"/>
                <w:szCs w:val="21"/>
              </w:rPr>
              <w:t>为岩盐矿开采项目，</w:t>
            </w:r>
            <w:bookmarkStart w:id="58" w:name="_Hlk90908243"/>
            <w:r>
              <w:rPr>
                <w:rFonts w:hint="eastAsia" w:cs="Times New Roman"/>
                <w:sz w:val="21"/>
                <w:szCs w:val="21"/>
              </w:rPr>
              <w:t>项目开采配套建滔（衡阳）实业有限公司盐化工项目</w:t>
            </w:r>
            <w:bookmarkEnd w:id="57"/>
            <w:bookmarkEnd w:id="58"/>
            <w:r>
              <w:rPr>
                <w:rFonts w:hint="eastAsia" w:cs="Times New Roman"/>
                <w:sz w:val="21"/>
                <w:szCs w:val="21"/>
              </w:rPr>
              <w:t>，项目开采过程不涉及废气排放。</w:t>
            </w:r>
          </w:p>
        </w:tc>
        <w:tc>
          <w:tcPr>
            <w:tcW w:w="708" w:type="dxa"/>
            <w:tcBorders>
              <w:top w:val="single" w:color="auto" w:sz="4" w:space="0"/>
              <w:left w:val="single" w:color="auto" w:sz="4" w:space="0"/>
              <w:bottom w:val="single" w:color="auto" w:sz="4" w:space="0"/>
              <w:right w:val="single" w:color="auto" w:sz="4" w:space="0"/>
            </w:tcBorders>
            <w:vAlign w:val="center"/>
          </w:tcPr>
          <w:p w14:paraId="44616783">
            <w:pPr>
              <w:wordWrap/>
              <w:overflowPunct w:val="0"/>
              <w:topLinePunct w:val="0"/>
              <w:autoSpaceDE w:val="0"/>
              <w:autoSpaceDN w:val="0"/>
              <w:snapToGrid/>
              <w:spacing w:line="240" w:lineRule="auto"/>
              <w:ind w:firstLine="0" w:firstLineChars="0"/>
              <w:jc w:val="center"/>
              <w:textAlignment w:val="baseline"/>
              <w:rPr>
                <w:rFonts w:cs="Times New Roman"/>
                <w:sz w:val="21"/>
                <w:szCs w:val="21"/>
              </w:rPr>
            </w:pPr>
            <w:r>
              <w:rPr>
                <w:rFonts w:hint="eastAsia" w:cs="Times New Roman"/>
                <w:sz w:val="21"/>
                <w:szCs w:val="21"/>
              </w:rPr>
              <w:t>符合</w:t>
            </w:r>
          </w:p>
        </w:tc>
      </w:tr>
      <w:tr w14:paraId="120E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BF4FE6F">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hint="eastAsia" w:cs="Times New Roman"/>
                <w:sz w:val="21"/>
                <w:szCs w:val="21"/>
              </w:rPr>
              <w:t>污染物排放管控</w:t>
            </w:r>
          </w:p>
        </w:tc>
        <w:tc>
          <w:tcPr>
            <w:tcW w:w="4969" w:type="dxa"/>
            <w:tcBorders>
              <w:top w:val="single" w:color="auto" w:sz="4" w:space="0"/>
              <w:left w:val="single" w:color="auto" w:sz="4" w:space="0"/>
              <w:bottom w:val="single" w:color="auto" w:sz="4" w:space="0"/>
              <w:right w:val="single" w:color="auto" w:sz="4" w:space="0"/>
            </w:tcBorders>
            <w:vAlign w:val="center"/>
          </w:tcPr>
          <w:p w14:paraId="1467D79E">
            <w:pPr>
              <w:tabs>
                <w:tab w:val="left" w:pos="1021"/>
              </w:tabs>
              <w:wordWrap/>
              <w:overflowPunct w:val="0"/>
              <w:topLinePunct w:val="0"/>
              <w:autoSpaceDE w:val="0"/>
              <w:autoSpaceDN w:val="0"/>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rPr>
              <w:t>废水：完善园区污水管网及集中处理设施建设，实行雨污分流，确保园区各片区生产生活废水应收尽收，集中纳入污水处理厂处理，园区不得超污水处理厂处理能力引进废水排放项目。</w:t>
            </w:r>
          </w:p>
          <w:p w14:paraId="3471816C">
            <w:pPr>
              <w:tabs>
                <w:tab w:val="left" w:pos="1021"/>
              </w:tabs>
              <w:wordWrap/>
              <w:overflowPunct w:val="0"/>
              <w:topLinePunct w:val="0"/>
              <w:autoSpaceDE w:val="0"/>
              <w:autoSpaceDN w:val="0"/>
              <w:spacing w:line="240" w:lineRule="auto"/>
              <w:ind w:firstLine="0" w:firstLineChars="0"/>
              <w:jc w:val="center"/>
              <w:rPr>
                <w:rFonts w:cs="Times New Roman"/>
                <w:sz w:val="21"/>
                <w:szCs w:val="21"/>
              </w:rPr>
            </w:pPr>
            <w:r>
              <w:rPr>
                <w:rFonts w:cs="Times New Roman"/>
                <w:sz w:val="21"/>
                <w:szCs w:val="21"/>
              </w:rPr>
              <w:t>2.</w:t>
            </w:r>
            <w:r>
              <w:rPr>
                <w:rFonts w:hint="eastAsia" w:cs="Times New Roman"/>
                <w:sz w:val="21"/>
                <w:szCs w:val="21"/>
              </w:rPr>
              <w:t>废气：园区应推进清洁能源改造，现有使用高污染燃料的燃烧设施应改用清洁能源，完善污染防控措施。根据区域环境质量改善目标，加大对有毒有害气体和恶臭等突出环境问题的整治力度，重点控制涉氯排放企业氯气、氯化氢等特征污染物的无组织排放，加强对</w:t>
            </w:r>
            <w:r>
              <w:rPr>
                <w:rFonts w:cs="Times New Roman"/>
                <w:sz w:val="21"/>
                <w:szCs w:val="21"/>
              </w:rPr>
              <w:t>VOCs</w:t>
            </w:r>
            <w:r>
              <w:rPr>
                <w:rFonts w:hint="eastAsia" w:cs="Times New Roman"/>
                <w:sz w:val="21"/>
                <w:szCs w:val="21"/>
              </w:rPr>
              <w:t>排放的治理，对排放长期无法达标的企业实行限期整改或关停。</w:t>
            </w:r>
          </w:p>
          <w:p w14:paraId="74B60AFD">
            <w:pPr>
              <w:tabs>
                <w:tab w:val="left" w:pos="1021"/>
              </w:tabs>
              <w:wordWrap/>
              <w:overflowPunct w:val="0"/>
              <w:topLinePunct w:val="0"/>
              <w:autoSpaceDE w:val="0"/>
              <w:autoSpaceDN w:val="0"/>
              <w:spacing w:line="240" w:lineRule="auto"/>
              <w:ind w:firstLine="0" w:firstLineChars="0"/>
              <w:jc w:val="center"/>
              <w:rPr>
                <w:rFonts w:cs="Times New Roman"/>
                <w:sz w:val="21"/>
                <w:szCs w:val="21"/>
              </w:rPr>
            </w:pPr>
            <w:r>
              <w:rPr>
                <w:rFonts w:cs="Times New Roman"/>
                <w:sz w:val="21"/>
                <w:szCs w:val="21"/>
              </w:rPr>
              <w:t>3.</w:t>
            </w:r>
            <w:r>
              <w:rPr>
                <w:rFonts w:hint="eastAsia" w:cs="Times New Roman"/>
                <w:sz w:val="21"/>
                <w:szCs w:val="21"/>
              </w:rPr>
              <w:t>固废：做好工业固体废物和生活垃圾的分类收集、转运、综合利用和无害化处理，建立完善的固废管理体系。对危险固废应严格按照国家有关规定综合利用或妥善处置，对危险废物产生企业和经营单位，应强化日常环境监管。</w:t>
            </w:r>
          </w:p>
        </w:tc>
        <w:tc>
          <w:tcPr>
            <w:tcW w:w="2160" w:type="dxa"/>
            <w:tcBorders>
              <w:top w:val="single" w:color="auto" w:sz="4" w:space="0"/>
              <w:left w:val="single" w:color="auto" w:sz="4" w:space="0"/>
              <w:bottom w:val="single" w:color="auto" w:sz="4" w:space="0"/>
              <w:right w:val="single" w:color="auto" w:sz="4" w:space="0"/>
            </w:tcBorders>
            <w:vAlign w:val="center"/>
          </w:tcPr>
          <w:p w14:paraId="547619FE">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cs="Times New Roman"/>
                <w:kern w:val="0"/>
                <w:sz w:val="21"/>
                <w:szCs w:val="21"/>
              </w:rPr>
              <w:t>1</w:t>
            </w:r>
            <w:r>
              <w:rPr>
                <w:rFonts w:hint="eastAsia" w:cs="Times New Roman"/>
                <w:kern w:val="0"/>
                <w:sz w:val="21"/>
                <w:szCs w:val="21"/>
              </w:rPr>
              <w:t>、项目生产废水全部回用，不外排。</w:t>
            </w:r>
          </w:p>
          <w:p w14:paraId="0A60C82E">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cs="Times New Roman"/>
                <w:kern w:val="0"/>
                <w:sz w:val="21"/>
                <w:szCs w:val="21"/>
              </w:rPr>
              <w:t>2</w:t>
            </w:r>
            <w:r>
              <w:rPr>
                <w:rFonts w:hint="eastAsia" w:cs="Times New Roman"/>
                <w:kern w:val="0"/>
                <w:sz w:val="21"/>
                <w:szCs w:val="21"/>
              </w:rPr>
              <w:t>、项目使用清洁能源电。</w:t>
            </w:r>
          </w:p>
          <w:p w14:paraId="38E0032B">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cs="Times New Roman"/>
                <w:kern w:val="0"/>
                <w:sz w:val="21"/>
                <w:szCs w:val="21"/>
              </w:rPr>
              <w:t>3</w:t>
            </w:r>
            <w:r>
              <w:rPr>
                <w:rFonts w:hint="eastAsia" w:cs="Times New Roman"/>
                <w:kern w:val="0"/>
                <w:sz w:val="21"/>
                <w:szCs w:val="21"/>
              </w:rPr>
              <w:t>、项目产生的危险废物严格按照国家有关规定综合利用或妥善处置。</w:t>
            </w:r>
          </w:p>
        </w:tc>
        <w:tc>
          <w:tcPr>
            <w:tcW w:w="708" w:type="dxa"/>
            <w:tcBorders>
              <w:top w:val="single" w:color="auto" w:sz="4" w:space="0"/>
              <w:left w:val="single" w:color="auto" w:sz="4" w:space="0"/>
              <w:bottom w:val="single" w:color="auto" w:sz="4" w:space="0"/>
              <w:right w:val="single" w:color="auto" w:sz="4" w:space="0"/>
            </w:tcBorders>
            <w:vAlign w:val="center"/>
          </w:tcPr>
          <w:p w14:paraId="67AE1B01">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hint="eastAsia" w:cs="Times New Roman"/>
                <w:sz w:val="21"/>
                <w:szCs w:val="21"/>
              </w:rPr>
              <w:t>符合</w:t>
            </w:r>
          </w:p>
        </w:tc>
      </w:tr>
      <w:tr w14:paraId="5F77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26CE370">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hint="eastAsia" w:cs="Times New Roman"/>
                <w:sz w:val="21"/>
                <w:szCs w:val="21"/>
              </w:rPr>
              <w:t>资源开发效率要求</w:t>
            </w:r>
          </w:p>
        </w:tc>
        <w:tc>
          <w:tcPr>
            <w:tcW w:w="4969" w:type="dxa"/>
            <w:tcBorders>
              <w:top w:val="single" w:color="auto" w:sz="4" w:space="0"/>
              <w:left w:val="single" w:color="auto" w:sz="4" w:space="0"/>
              <w:bottom w:val="single" w:color="auto" w:sz="4" w:space="0"/>
              <w:right w:val="single" w:color="auto" w:sz="4" w:space="0"/>
            </w:tcBorders>
            <w:vAlign w:val="center"/>
          </w:tcPr>
          <w:p w14:paraId="04DFEEE9">
            <w:pPr>
              <w:tabs>
                <w:tab w:val="left" w:pos="1021"/>
              </w:tabs>
              <w:wordWrap/>
              <w:overflowPunct w:val="0"/>
              <w:topLinePunct w:val="0"/>
              <w:autoSpaceDE w:val="0"/>
              <w:autoSpaceDN w:val="0"/>
              <w:spacing w:line="240" w:lineRule="auto"/>
              <w:ind w:firstLine="0" w:firstLineChars="0"/>
              <w:jc w:val="center"/>
              <w:rPr>
                <w:rFonts w:cs="Times New Roman"/>
                <w:sz w:val="21"/>
                <w:szCs w:val="21"/>
              </w:rPr>
            </w:pPr>
            <w:r>
              <w:rPr>
                <w:rFonts w:hint="eastAsia" w:cs="Times New Roman"/>
                <w:sz w:val="21"/>
                <w:szCs w:val="21"/>
              </w:rPr>
              <w:t>（</w:t>
            </w:r>
            <w:r>
              <w:rPr>
                <w:rFonts w:cs="Times New Roman"/>
                <w:sz w:val="21"/>
                <w:szCs w:val="21"/>
              </w:rPr>
              <w:t>4.1</w:t>
            </w:r>
            <w:r>
              <w:rPr>
                <w:rFonts w:hint="eastAsia" w:cs="Times New Roman"/>
                <w:sz w:val="21"/>
                <w:szCs w:val="21"/>
              </w:rPr>
              <w:t>）能源：新建项目必须使用清洁能源，扩区范围限制新批燃煤设施，现有园区燃煤装置燃煤含硫率在</w:t>
            </w:r>
            <w:r>
              <w:rPr>
                <w:rFonts w:cs="Times New Roman"/>
                <w:sz w:val="21"/>
                <w:szCs w:val="21"/>
              </w:rPr>
              <w:t>1%</w:t>
            </w:r>
            <w:r>
              <w:rPr>
                <w:rFonts w:hint="eastAsia" w:cs="Times New Roman"/>
                <w:sz w:val="21"/>
                <w:szCs w:val="21"/>
              </w:rPr>
              <w:t>以下。提高能源支撑保障能力、加快转变能源发展方式、推进能源结构调整、促进节能减排，在园区新建燃气热电联产机组，推广天然气利用，提高清洁能源消费比例，到</w:t>
            </w:r>
            <w:r>
              <w:rPr>
                <w:rFonts w:cs="Times New Roman"/>
                <w:sz w:val="21"/>
                <w:szCs w:val="21"/>
              </w:rPr>
              <w:t>2025</w:t>
            </w:r>
            <w:r>
              <w:rPr>
                <w:rFonts w:hint="eastAsia" w:cs="Times New Roman"/>
                <w:sz w:val="21"/>
                <w:szCs w:val="21"/>
              </w:rPr>
              <w:t>年园区年综合能源消费量当量值控制为</w:t>
            </w:r>
            <w:r>
              <w:rPr>
                <w:rFonts w:cs="Times New Roman"/>
                <w:sz w:val="21"/>
                <w:szCs w:val="21"/>
              </w:rPr>
              <w:t>90.2298</w:t>
            </w:r>
            <w:r>
              <w:rPr>
                <w:rFonts w:hint="eastAsia" w:cs="Times New Roman"/>
                <w:sz w:val="21"/>
                <w:szCs w:val="21"/>
              </w:rPr>
              <w:t>万吨标煤，单位</w:t>
            </w:r>
            <w:r>
              <w:rPr>
                <w:rFonts w:cs="Times New Roman"/>
                <w:sz w:val="21"/>
                <w:szCs w:val="21"/>
              </w:rPr>
              <w:t>GDP</w:t>
            </w:r>
            <w:r>
              <w:rPr>
                <w:rFonts w:hint="eastAsia" w:cs="Times New Roman"/>
                <w:sz w:val="21"/>
                <w:szCs w:val="21"/>
              </w:rPr>
              <w:t>能耗当量值控制为</w:t>
            </w:r>
            <w:r>
              <w:rPr>
                <w:rFonts w:cs="Times New Roman"/>
                <w:sz w:val="21"/>
                <w:szCs w:val="21"/>
              </w:rPr>
              <w:t>0.390</w:t>
            </w:r>
            <w:r>
              <w:rPr>
                <w:rFonts w:hint="eastAsia" w:cs="Times New Roman"/>
                <w:sz w:val="21"/>
                <w:szCs w:val="21"/>
              </w:rPr>
              <w:t>吨标煤</w:t>
            </w:r>
            <w:r>
              <w:rPr>
                <w:rFonts w:cs="Times New Roman"/>
                <w:sz w:val="21"/>
                <w:szCs w:val="21"/>
              </w:rPr>
              <w:t>/</w:t>
            </w:r>
            <w:r>
              <w:rPr>
                <w:rFonts w:hint="eastAsia" w:cs="Times New Roman"/>
                <w:sz w:val="21"/>
                <w:szCs w:val="21"/>
              </w:rPr>
              <w:t>万元；</w:t>
            </w:r>
            <w:r>
              <w:rPr>
                <w:rFonts w:cs="Times New Roman"/>
                <w:sz w:val="21"/>
                <w:szCs w:val="21"/>
              </w:rPr>
              <w:t xml:space="preserve"> </w:t>
            </w:r>
            <w:r>
              <w:rPr>
                <w:rFonts w:cs="Times New Roman"/>
                <w:sz w:val="21"/>
                <w:szCs w:val="21"/>
              </w:rPr>
              <w:br w:type="textWrapping"/>
            </w:r>
            <w:r>
              <w:rPr>
                <w:rFonts w:hint="eastAsia" w:cs="Times New Roman"/>
                <w:sz w:val="21"/>
                <w:szCs w:val="21"/>
              </w:rPr>
              <w:t>（</w:t>
            </w:r>
            <w:r>
              <w:rPr>
                <w:rFonts w:cs="Times New Roman"/>
                <w:sz w:val="21"/>
                <w:szCs w:val="21"/>
              </w:rPr>
              <w:t>4.2</w:t>
            </w:r>
            <w:r>
              <w:rPr>
                <w:rFonts w:hint="eastAsia" w:cs="Times New Roman"/>
                <w:sz w:val="21"/>
                <w:szCs w:val="21"/>
              </w:rPr>
              <w:t>）水资源：强化工业节水，淘汰落后的用水技术、工艺、产品和设备，开展高耗水工业行业节水技术改造，开展水平衡测试和用水效率评估，大力推广工业水循环利用，推进节水型企业、节水型工业园区建设。</w:t>
            </w:r>
          </w:p>
          <w:p w14:paraId="00FF4A16">
            <w:pPr>
              <w:tabs>
                <w:tab w:val="left" w:pos="1021"/>
              </w:tabs>
              <w:wordWrap/>
              <w:overflowPunct w:val="0"/>
              <w:topLinePunct w:val="0"/>
              <w:autoSpaceDE w:val="0"/>
              <w:autoSpaceDN w:val="0"/>
              <w:spacing w:line="240" w:lineRule="auto"/>
              <w:ind w:firstLine="0" w:firstLineChars="0"/>
              <w:jc w:val="center"/>
              <w:rPr>
                <w:rFonts w:cs="Times New Roman"/>
                <w:sz w:val="21"/>
                <w:szCs w:val="21"/>
              </w:rPr>
            </w:pPr>
            <w:r>
              <w:rPr>
                <w:rFonts w:hint="eastAsia" w:cs="Times New Roman"/>
                <w:sz w:val="21"/>
                <w:szCs w:val="21"/>
              </w:rPr>
              <w:t>（</w:t>
            </w:r>
            <w:r>
              <w:rPr>
                <w:rFonts w:cs="Times New Roman"/>
                <w:sz w:val="21"/>
                <w:szCs w:val="21"/>
              </w:rPr>
              <w:t>4.3</w:t>
            </w:r>
            <w:r>
              <w:rPr>
                <w:rFonts w:hint="eastAsia" w:cs="Times New Roman"/>
                <w:sz w:val="21"/>
                <w:szCs w:val="21"/>
              </w:rPr>
              <w:t>）土地资源：提高土地使用效率和节约集约程度，园区土地投资强度达到</w:t>
            </w:r>
            <w:r>
              <w:rPr>
                <w:rFonts w:cs="Times New Roman"/>
                <w:sz w:val="21"/>
                <w:szCs w:val="21"/>
              </w:rPr>
              <w:t>3000</w:t>
            </w:r>
            <w:r>
              <w:rPr>
                <w:rFonts w:hint="eastAsia" w:cs="Times New Roman"/>
                <w:sz w:val="21"/>
                <w:szCs w:val="21"/>
              </w:rPr>
              <w:t>万元</w:t>
            </w:r>
            <w:r>
              <w:rPr>
                <w:rFonts w:cs="Times New Roman"/>
                <w:sz w:val="21"/>
                <w:szCs w:val="21"/>
              </w:rPr>
              <w:t>/</w:t>
            </w:r>
            <w:r>
              <w:rPr>
                <w:rFonts w:hint="eastAsia" w:cs="Times New Roman"/>
                <w:sz w:val="21"/>
                <w:szCs w:val="21"/>
              </w:rPr>
              <w:t>公顷。严格执行土地使用标准，工业项目投资强度执行《湖南省建设用地指标》</w:t>
            </w:r>
            <w:r>
              <w:rPr>
                <w:rFonts w:cs="Times New Roman"/>
                <w:sz w:val="21"/>
                <w:szCs w:val="21"/>
              </w:rPr>
              <w:t>(2020</w:t>
            </w:r>
            <w:r>
              <w:rPr>
                <w:rFonts w:hint="eastAsia" w:cs="Times New Roman"/>
                <w:sz w:val="21"/>
                <w:szCs w:val="21"/>
              </w:rPr>
              <w:t>版</w:t>
            </w:r>
            <w:r>
              <w:rPr>
                <w:rFonts w:cs="Times New Roman"/>
                <w:sz w:val="21"/>
                <w:szCs w:val="21"/>
              </w:rPr>
              <w:t>)</w:t>
            </w:r>
            <w:r>
              <w:rPr>
                <w:rFonts w:hint="eastAsia" w:cs="Times New Roman"/>
                <w:sz w:val="21"/>
                <w:szCs w:val="21"/>
              </w:rPr>
              <w:t>六等区域控制指标要求。</w:t>
            </w:r>
          </w:p>
        </w:tc>
        <w:tc>
          <w:tcPr>
            <w:tcW w:w="2160" w:type="dxa"/>
            <w:tcBorders>
              <w:top w:val="single" w:color="auto" w:sz="4" w:space="0"/>
              <w:left w:val="single" w:color="auto" w:sz="4" w:space="0"/>
              <w:bottom w:val="single" w:color="auto" w:sz="4" w:space="0"/>
              <w:right w:val="single" w:color="auto" w:sz="4" w:space="0"/>
            </w:tcBorders>
            <w:vAlign w:val="center"/>
          </w:tcPr>
          <w:p w14:paraId="065F0CC7">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cs="Times New Roman"/>
                <w:kern w:val="0"/>
                <w:sz w:val="21"/>
                <w:szCs w:val="21"/>
              </w:rPr>
              <w:t>1</w:t>
            </w:r>
            <w:r>
              <w:rPr>
                <w:rFonts w:hint="eastAsia" w:cs="Times New Roman"/>
                <w:kern w:val="0"/>
                <w:sz w:val="21"/>
                <w:szCs w:val="21"/>
              </w:rPr>
              <w:t>、项目使用清洁能源电能。</w:t>
            </w:r>
          </w:p>
          <w:p w14:paraId="47F43CC1">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cs="Times New Roman"/>
                <w:kern w:val="0"/>
                <w:sz w:val="21"/>
                <w:szCs w:val="21"/>
              </w:rPr>
              <w:t>2</w:t>
            </w:r>
            <w:r>
              <w:rPr>
                <w:rFonts w:hint="eastAsia" w:cs="Times New Roman"/>
                <w:kern w:val="0"/>
                <w:sz w:val="21"/>
                <w:szCs w:val="21"/>
              </w:rPr>
              <w:t>、项目不新增用地。</w:t>
            </w:r>
          </w:p>
        </w:tc>
        <w:tc>
          <w:tcPr>
            <w:tcW w:w="708" w:type="dxa"/>
            <w:tcBorders>
              <w:top w:val="single" w:color="auto" w:sz="4" w:space="0"/>
              <w:left w:val="single" w:color="auto" w:sz="4" w:space="0"/>
              <w:bottom w:val="single" w:color="auto" w:sz="4" w:space="0"/>
              <w:right w:val="single" w:color="auto" w:sz="4" w:space="0"/>
            </w:tcBorders>
            <w:vAlign w:val="center"/>
          </w:tcPr>
          <w:p w14:paraId="4CAF9D1F">
            <w:pPr>
              <w:wordWrap/>
              <w:overflowPunct w:val="0"/>
              <w:topLinePunct w:val="0"/>
              <w:autoSpaceDE w:val="0"/>
              <w:autoSpaceDN w:val="0"/>
              <w:snapToGrid/>
              <w:spacing w:line="240" w:lineRule="auto"/>
              <w:ind w:firstLine="0" w:firstLineChars="0"/>
              <w:jc w:val="center"/>
              <w:textAlignment w:val="baseline"/>
              <w:rPr>
                <w:rFonts w:cs="Times New Roman"/>
                <w:kern w:val="0"/>
                <w:sz w:val="21"/>
                <w:szCs w:val="21"/>
              </w:rPr>
            </w:pPr>
            <w:r>
              <w:rPr>
                <w:rFonts w:hint="eastAsia" w:cs="Times New Roman"/>
                <w:sz w:val="21"/>
                <w:szCs w:val="21"/>
              </w:rPr>
              <w:t>符合</w:t>
            </w:r>
          </w:p>
        </w:tc>
      </w:tr>
    </w:tbl>
    <w:p w14:paraId="44309389">
      <w:pPr>
        <w:pStyle w:val="2"/>
        <w:ind w:firstLine="480"/>
      </w:pPr>
    </w:p>
    <w:p w14:paraId="61D70834">
      <w:pPr>
        <w:pStyle w:val="2"/>
        <w:ind w:firstLine="480"/>
      </w:pPr>
      <w:r>
        <w:rPr>
          <w:rFonts w:hint="eastAsia"/>
        </w:rPr>
        <w:t>因此，本项目建设符合湖南衡阳松木经济开发区的“三线一单”管控要求。</w:t>
      </w:r>
    </w:p>
    <w:p w14:paraId="1331075F">
      <w:pPr>
        <w:keepNext/>
        <w:keepLines/>
        <w:ind w:firstLine="0" w:firstLineChars="0"/>
        <w:outlineLvl w:val="2"/>
        <w:rPr>
          <w:rFonts w:cs="Times New Roman"/>
          <w:b/>
          <w:bCs/>
          <w:sz w:val="28"/>
          <w:szCs w:val="32"/>
        </w:rPr>
      </w:pPr>
      <w:bookmarkStart w:id="59" w:name="_Toc90989199"/>
      <w:bookmarkStart w:id="60" w:name="_Toc90318378"/>
      <w:bookmarkStart w:id="61" w:name="_Toc89882418"/>
      <w:bookmarkStart w:id="62" w:name="_Toc90997625"/>
      <w:bookmarkStart w:id="63" w:name="_Toc89850451"/>
      <w:bookmarkStart w:id="64" w:name="_Toc121420782"/>
      <w:r>
        <w:rPr>
          <w:rFonts w:cs="Times New Roman"/>
          <w:b/>
          <w:bCs/>
          <w:sz w:val="28"/>
          <w:szCs w:val="32"/>
        </w:rPr>
        <w:t xml:space="preserve">1.4.2 </w:t>
      </w:r>
      <w:r>
        <w:rPr>
          <w:rFonts w:hint="eastAsia" w:cs="Times New Roman"/>
          <w:b/>
          <w:bCs/>
          <w:sz w:val="28"/>
          <w:szCs w:val="32"/>
        </w:rPr>
        <w:t>环保、行业政策及规划符合性分析</w:t>
      </w:r>
      <w:bookmarkEnd w:id="59"/>
      <w:bookmarkEnd w:id="60"/>
      <w:bookmarkEnd w:id="61"/>
      <w:bookmarkEnd w:id="62"/>
      <w:bookmarkEnd w:id="63"/>
      <w:bookmarkEnd w:id="64"/>
    </w:p>
    <w:p w14:paraId="02A33E3F">
      <w:pPr>
        <w:keepNext/>
        <w:keepLines/>
        <w:ind w:firstLine="0" w:firstLineChars="0"/>
        <w:outlineLvl w:val="3"/>
        <w:rPr>
          <w:rFonts w:cs="Times New Roman"/>
          <w:b/>
          <w:bCs/>
          <w:szCs w:val="28"/>
        </w:rPr>
      </w:pPr>
      <w:bookmarkStart w:id="65" w:name="_Hlk90893035"/>
      <w:r>
        <w:rPr>
          <w:rFonts w:cs="Times New Roman"/>
          <w:b/>
          <w:bCs/>
          <w:szCs w:val="28"/>
        </w:rPr>
        <w:t xml:space="preserve">1.4.2.1 </w:t>
      </w:r>
      <w:r>
        <w:rPr>
          <w:rFonts w:hint="eastAsia" w:cs="Times New Roman"/>
          <w:b/>
          <w:bCs/>
          <w:szCs w:val="28"/>
        </w:rPr>
        <w:t>与《矿山生态环境保护与污染防治技术政策》（环发</w:t>
      </w:r>
      <w:r>
        <w:rPr>
          <w:rFonts w:cs="Times New Roman"/>
          <w:b/>
          <w:bCs/>
          <w:szCs w:val="28"/>
        </w:rPr>
        <w:t>[2005]109</w:t>
      </w:r>
      <w:r>
        <w:rPr>
          <w:rFonts w:hint="eastAsia" w:cs="Times New Roman"/>
          <w:b/>
          <w:bCs/>
          <w:szCs w:val="28"/>
        </w:rPr>
        <w:t>号）的符合性分析</w:t>
      </w:r>
    </w:p>
    <w:bookmarkEnd w:id="65"/>
    <w:p w14:paraId="5A3817D0">
      <w:pPr>
        <w:ind w:firstLine="480"/>
        <w:rPr>
          <w:rFonts w:cs="Arial"/>
        </w:rPr>
      </w:pPr>
      <w:r>
        <w:rPr>
          <w:rFonts w:hint="eastAsia" w:cs="Arial"/>
        </w:rPr>
        <w:t>与《矿山生态环境保护与污染防治技术政策》（环发</w:t>
      </w:r>
      <w:r>
        <w:rPr>
          <w:rFonts w:cs="Arial"/>
        </w:rPr>
        <w:t>[2005]109</w:t>
      </w:r>
      <w:r>
        <w:rPr>
          <w:rFonts w:hint="eastAsia" w:cs="Arial"/>
        </w:rPr>
        <w:t>号）的符合性分析，详见表</w:t>
      </w:r>
      <w:r>
        <w:rPr>
          <w:rFonts w:cs="Arial"/>
        </w:rPr>
        <w:t>1.4-3</w:t>
      </w:r>
      <w:r>
        <w:rPr>
          <w:rFonts w:hint="eastAsia" w:cs="Arial"/>
        </w:rPr>
        <w:t>所示；</w:t>
      </w:r>
    </w:p>
    <w:p w14:paraId="7583E2C9">
      <w:pPr>
        <w:ind w:firstLine="480"/>
        <w:rPr>
          <w:rFonts w:cs="Arial"/>
        </w:rPr>
      </w:pPr>
      <w:r>
        <w:rPr>
          <w:rFonts w:hint="eastAsia" w:cs="Arial"/>
        </w:rPr>
        <w:t>根据分析，本项目符合矿山生态环境保护与污染防治技术政策（环发</w:t>
      </w:r>
      <w:r>
        <w:rPr>
          <w:rFonts w:cs="Arial"/>
        </w:rPr>
        <w:t>[2005]109</w:t>
      </w:r>
      <w:r>
        <w:rPr>
          <w:rFonts w:hint="eastAsia" w:cs="Arial"/>
        </w:rPr>
        <w:t>号）中相关政策要求。</w:t>
      </w:r>
    </w:p>
    <w:p w14:paraId="2CBCC72A">
      <w:pPr>
        <w:keepNext/>
        <w:keepLines/>
        <w:ind w:firstLine="0" w:firstLineChars="0"/>
        <w:outlineLvl w:val="3"/>
        <w:rPr>
          <w:rFonts w:cs="Times New Roman"/>
          <w:b/>
          <w:bCs/>
          <w:szCs w:val="28"/>
        </w:rPr>
      </w:pPr>
      <w:r>
        <w:rPr>
          <w:rFonts w:cs="Times New Roman"/>
          <w:b/>
          <w:bCs/>
          <w:szCs w:val="28"/>
        </w:rPr>
        <w:t xml:space="preserve">1.4.2.2 </w:t>
      </w:r>
      <w:r>
        <w:rPr>
          <w:rFonts w:hint="eastAsia" w:cs="Times New Roman"/>
          <w:b/>
          <w:bCs/>
          <w:szCs w:val="28"/>
        </w:rPr>
        <w:t>与《矿山生态环境保护与恢复治理技术规范（试行）》（</w:t>
      </w:r>
      <w:r>
        <w:rPr>
          <w:rFonts w:cs="Times New Roman"/>
          <w:b/>
          <w:bCs/>
          <w:szCs w:val="28"/>
        </w:rPr>
        <w:t>HJ651-2013</w:t>
      </w:r>
      <w:r>
        <w:rPr>
          <w:rFonts w:hint="eastAsia" w:cs="Times New Roman"/>
          <w:b/>
          <w:bCs/>
          <w:szCs w:val="28"/>
        </w:rPr>
        <w:t>）的符合性分析</w:t>
      </w:r>
    </w:p>
    <w:p w14:paraId="25185E4E">
      <w:pPr>
        <w:ind w:firstLine="480"/>
        <w:rPr>
          <w:rFonts w:cs="Arial"/>
        </w:rPr>
      </w:pPr>
      <w:r>
        <w:rPr>
          <w:rFonts w:hint="eastAsia" w:cs="Arial"/>
        </w:rPr>
        <w:t>与《矿山生态环境保护与恢复治理技术规范（试行）》（</w:t>
      </w:r>
      <w:r>
        <w:rPr>
          <w:rFonts w:cs="Arial"/>
        </w:rPr>
        <w:t>HJ651-2013</w:t>
      </w:r>
      <w:r>
        <w:rPr>
          <w:rFonts w:hint="eastAsia" w:cs="Arial"/>
        </w:rPr>
        <w:t>）符合性分析详见表</w:t>
      </w:r>
      <w:r>
        <w:rPr>
          <w:rFonts w:cs="Arial"/>
        </w:rPr>
        <w:t>1.4-4</w:t>
      </w:r>
      <w:r>
        <w:rPr>
          <w:rFonts w:hint="eastAsia" w:cs="Arial"/>
        </w:rPr>
        <w:t>所示。</w:t>
      </w:r>
    </w:p>
    <w:p w14:paraId="1D219B24">
      <w:pPr>
        <w:ind w:firstLine="480"/>
        <w:rPr>
          <w:rFonts w:cs="Arial"/>
        </w:rPr>
      </w:pPr>
      <w:r>
        <w:rPr>
          <w:rFonts w:hint="eastAsia" w:cs="Arial"/>
        </w:rPr>
        <w:t>根据分析，本项目符合《矿山生态环境保护与恢复治理技术规范（试行）》中相关政策要求。</w:t>
      </w:r>
    </w:p>
    <w:p w14:paraId="7E10FB9C">
      <w:pPr>
        <w:ind w:firstLine="480"/>
        <w:rPr>
          <w:rFonts w:cs="Arial"/>
        </w:rPr>
      </w:pPr>
    </w:p>
    <w:p w14:paraId="75D9AC02">
      <w:pPr>
        <w:widowControl/>
        <w:wordWrap/>
        <w:topLinePunct w:val="0"/>
        <w:adjustRightInd/>
        <w:snapToGrid/>
        <w:ind w:firstLine="0" w:firstLineChars="0"/>
        <w:jc w:val="left"/>
        <w:rPr>
          <w:rFonts w:cs="Arial"/>
        </w:rPr>
        <w:sectPr>
          <w:footerReference r:id="rId12" w:type="default"/>
          <w:pgSz w:w="11906" w:h="16838"/>
          <w:pgMar w:top="1440" w:right="1800" w:bottom="1440" w:left="1800" w:header="851" w:footer="992" w:gutter="0"/>
          <w:pgNumType w:start="1"/>
          <w:cols w:space="720" w:num="1"/>
          <w:docGrid w:type="lines" w:linePitch="312" w:charSpace="0"/>
        </w:sectPr>
      </w:pPr>
    </w:p>
    <w:p w14:paraId="31FF12EB">
      <w:pPr>
        <w:keepLines/>
        <w:ind w:firstLine="0" w:firstLineChars="0"/>
        <w:jc w:val="center"/>
        <w:outlineLvl w:val="4"/>
        <w:rPr>
          <w:rFonts w:cs="Times New Roman"/>
          <w:b/>
          <w:bCs/>
          <w:sz w:val="21"/>
          <w:szCs w:val="28"/>
        </w:rPr>
      </w:pPr>
      <w:r>
        <w:rPr>
          <w:rFonts w:hint="eastAsia" w:cs="Times New Roman"/>
          <w:b/>
          <w:bCs/>
          <w:sz w:val="21"/>
          <w:szCs w:val="28"/>
        </w:rPr>
        <w:t>表</w:t>
      </w:r>
      <w:r>
        <w:rPr>
          <w:rFonts w:cs="Times New Roman"/>
          <w:b/>
          <w:bCs/>
          <w:sz w:val="21"/>
          <w:szCs w:val="28"/>
        </w:rPr>
        <w:t xml:space="preserve">1.4-3 </w:t>
      </w:r>
      <w:r>
        <w:rPr>
          <w:rFonts w:hint="eastAsia" w:cs="Times New Roman"/>
          <w:b/>
          <w:bCs/>
          <w:sz w:val="21"/>
          <w:szCs w:val="28"/>
        </w:rPr>
        <w:t>评价项目与《矿山生态环境保护与污染防治技术政策》相符性分析</w:t>
      </w:r>
    </w:p>
    <w:tbl>
      <w:tblPr>
        <w:tblStyle w:val="29"/>
        <w:tblW w:w="141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755"/>
        <w:gridCol w:w="4718"/>
        <w:gridCol w:w="7965"/>
        <w:gridCol w:w="737"/>
      </w:tblGrid>
      <w:tr w14:paraId="30D78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tblHeader/>
          <w:jc w:val="center"/>
        </w:trPr>
        <w:tc>
          <w:tcPr>
            <w:tcW w:w="5473" w:type="dxa"/>
            <w:gridSpan w:val="2"/>
            <w:tcBorders>
              <w:top w:val="single" w:color="auto" w:sz="12" w:space="0"/>
              <w:left w:val="single" w:color="auto" w:sz="12" w:space="0"/>
              <w:bottom w:val="single" w:color="auto" w:sz="4" w:space="0"/>
              <w:right w:val="single" w:color="auto" w:sz="4" w:space="0"/>
            </w:tcBorders>
            <w:vAlign w:val="center"/>
          </w:tcPr>
          <w:p w14:paraId="3500F10B">
            <w:pPr>
              <w:spacing w:line="240" w:lineRule="auto"/>
              <w:ind w:firstLine="0" w:firstLineChars="0"/>
              <w:jc w:val="center"/>
              <w:rPr>
                <w:rFonts w:cs="Times New Roman"/>
                <w:sz w:val="21"/>
              </w:rPr>
            </w:pPr>
            <w:r>
              <w:rPr>
                <w:rFonts w:hint="eastAsia" w:cs="Times New Roman"/>
                <w:sz w:val="21"/>
              </w:rPr>
              <w:t>《矿山生态环境保护与污染防治技术政策》的相关要点</w:t>
            </w:r>
          </w:p>
        </w:tc>
        <w:tc>
          <w:tcPr>
            <w:tcW w:w="7964" w:type="dxa"/>
            <w:tcBorders>
              <w:top w:val="single" w:color="auto" w:sz="12" w:space="0"/>
              <w:left w:val="single" w:color="auto" w:sz="4" w:space="0"/>
              <w:bottom w:val="single" w:color="auto" w:sz="4" w:space="0"/>
              <w:right w:val="single" w:color="auto" w:sz="4" w:space="0"/>
            </w:tcBorders>
            <w:vAlign w:val="center"/>
          </w:tcPr>
          <w:p w14:paraId="164ED2B6">
            <w:pPr>
              <w:spacing w:line="240" w:lineRule="auto"/>
              <w:ind w:firstLine="0" w:firstLineChars="0"/>
              <w:jc w:val="center"/>
              <w:rPr>
                <w:rFonts w:cs="Times New Roman"/>
                <w:sz w:val="21"/>
              </w:rPr>
            </w:pPr>
            <w:r>
              <w:rPr>
                <w:rFonts w:hint="eastAsia" w:cs="Times New Roman"/>
                <w:sz w:val="21"/>
              </w:rPr>
              <w:t>评价项目</w:t>
            </w:r>
          </w:p>
        </w:tc>
        <w:tc>
          <w:tcPr>
            <w:tcW w:w="737" w:type="dxa"/>
            <w:tcBorders>
              <w:top w:val="single" w:color="auto" w:sz="12" w:space="0"/>
              <w:left w:val="single" w:color="auto" w:sz="4" w:space="0"/>
              <w:bottom w:val="single" w:color="auto" w:sz="4" w:space="0"/>
              <w:right w:val="single" w:color="auto" w:sz="12" w:space="0"/>
            </w:tcBorders>
            <w:vAlign w:val="center"/>
          </w:tcPr>
          <w:p w14:paraId="5B0A00E2">
            <w:pPr>
              <w:spacing w:line="240" w:lineRule="auto"/>
              <w:ind w:firstLine="0" w:firstLineChars="0"/>
              <w:jc w:val="center"/>
              <w:rPr>
                <w:rFonts w:cs="Times New Roman"/>
                <w:sz w:val="21"/>
              </w:rPr>
            </w:pPr>
            <w:r>
              <w:rPr>
                <w:rFonts w:hint="eastAsia" w:cs="Times New Roman"/>
                <w:sz w:val="21"/>
              </w:rPr>
              <w:t>相符性</w:t>
            </w:r>
          </w:p>
        </w:tc>
      </w:tr>
      <w:tr w14:paraId="6D82A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755" w:type="dxa"/>
            <w:vMerge w:val="restart"/>
            <w:tcBorders>
              <w:top w:val="single" w:color="auto" w:sz="4" w:space="0"/>
              <w:left w:val="single" w:color="auto" w:sz="12" w:space="0"/>
              <w:bottom w:val="single" w:color="auto" w:sz="4" w:space="0"/>
              <w:right w:val="single" w:color="auto" w:sz="4" w:space="0"/>
            </w:tcBorders>
            <w:vAlign w:val="center"/>
          </w:tcPr>
          <w:p w14:paraId="38A214C0">
            <w:pPr>
              <w:spacing w:line="240" w:lineRule="auto"/>
              <w:ind w:firstLine="0" w:firstLineChars="0"/>
              <w:jc w:val="center"/>
              <w:rPr>
                <w:rFonts w:cs="Times New Roman"/>
                <w:sz w:val="21"/>
              </w:rPr>
            </w:pPr>
            <w:r>
              <w:rPr>
                <w:rFonts w:hint="eastAsia" w:cs="Times New Roman"/>
                <w:sz w:val="21"/>
              </w:rPr>
              <w:t>选址规定</w:t>
            </w:r>
          </w:p>
        </w:tc>
        <w:tc>
          <w:tcPr>
            <w:tcW w:w="4718" w:type="dxa"/>
            <w:tcBorders>
              <w:top w:val="single" w:color="auto" w:sz="4" w:space="0"/>
              <w:left w:val="single" w:color="auto" w:sz="4" w:space="0"/>
              <w:bottom w:val="single" w:color="auto" w:sz="4" w:space="0"/>
              <w:right w:val="single" w:color="auto" w:sz="4" w:space="0"/>
            </w:tcBorders>
            <w:vAlign w:val="center"/>
          </w:tcPr>
          <w:p w14:paraId="5025A205">
            <w:pPr>
              <w:spacing w:line="240" w:lineRule="auto"/>
              <w:ind w:firstLine="0" w:firstLineChars="0"/>
              <w:rPr>
                <w:rFonts w:cs="Times New Roman"/>
                <w:sz w:val="21"/>
              </w:rPr>
            </w:pPr>
            <w:r>
              <w:rPr>
                <w:rFonts w:hint="eastAsia" w:cs="Times New Roman"/>
                <w:sz w:val="21"/>
              </w:rPr>
              <w:t>禁止在依法划定的自然保护区（核心区、缓冲区）、风景名胜区、森林公园、饮用水水源保护区、重要湖泊周边、文物古迹所在地、地质遗迹保护区、基本农田保护区等区域内采矿。</w:t>
            </w:r>
          </w:p>
        </w:tc>
        <w:tc>
          <w:tcPr>
            <w:tcW w:w="7964" w:type="dxa"/>
            <w:tcBorders>
              <w:top w:val="single" w:color="auto" w:sz="4" w:space="0"/>
              <w:left w:val="single" w:color="auto" w:sz="4" w:space="0"/>
              <w:bottom w:val="single" w:color="auto" w:sz="4" w:space="0"/>
              <w:right w:val="single" w:color="auto" w:sz="4" w:space="0"/>
            </w:tcBorders>
            <w:vAlign w:val="center"/>
          </w:tcPr>
          <w:p w14:paraId="1797E3D8">
            <w:pPr>
              <w:spacing w:line="240" w:lineRule="auto"/>
              <w:ind w:firstLine="0" w:firstLineChars="0"/>
              <w:rPr>
                <w:rFonts w:cs="Times New Roman"/>
                <w:sz w:val="21"/>
              </w:rPr>
            </w:pPr>
            <w:r>
              <w:rPr>
                <w:rFonts w:hint="eastAsia" w:cs="Times New Roman"/>
                <w:sz w:val="21"/>
              </w:rPr>
              <w:t>地下开采采矿范围不涉及自然保护、风景名胜区、森林公园、饮用水水源地保护区、重要湖泊周边、文物古迹所在地、地质遗迹保护区、基本农田保护区及生态红线保护区等特殊环境敏感区域。</w:t>
            </w:r>
          </w:p>
        </w:tc>
        <w:tc>
          <w:tcPr>
            <w:tcW w:w="737" w:type="dxa"/>
            <w:tcBorders>
              <w:top w:val="single" w:color="auto" w:sz="4" w:space="0"/>
              <w:left w:val="single" w:color="auto" w:sz="4" w:space="0"/>
              <w:bottom w:val="single" w:color="auto" w:sz="4" w:space="0"/>
              <w:right w:val="single" w:color="auto" w:sz="12" w:space="0"/>
            </w:tcBorders>
            <w:vAlign w:val="center"/>
          </w:tcPr>
          <w:p w14:paraId="3845B2BF">
            <w:pPr>
              <w:spacing w:line="240" w:lineRule="auto"/>
              <w:ind w:firstLine="0" w:firstLineChars="0"/>
              <w:jc w:val="center"/>
              <w:rPr>
                <w:rFonts w:cs="Times New Roman"/>
                <w:sz w:val="21"/>
              </w:rPr>
            </w:pPr>
            <w:r>
              <w:rPr>
                <w:rFonts w:hint="eastAsia" w:cs="Times New Roman"/>
                <w:sz w:val="21"/>
              </w:rPr>
              <w:t>相符</w:t>
            </w:r>
          </w:p>
        </w:tc>
      </w:tr>
      <w:tr w14:paraId="3877F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5473" w:type="dxa"/>
            <w:vMerge w:val="continue"/>
            <w:tcBorders>
              <w:top w:val="single" w:color="auto" w:sz="4" w:space="0"/>
              <w:left w:val="single" w:color="auto" w:sz="12" w:space="0"/>
              <w:bottom w:val="single" w:color="auto" w:sz="4" w:space="0"/>
              <w:right w:val="single" w:color="auto" w:sz="4" w:space="0"/>
            </w:tcBorders>
            <w:vAlign w:val="center"/>
          </w:tcPr>
          <w:p w14:paraId="75B5D948">
            <w:pPr>
              <w:widowControl/>
              <w:wordWrap/>
              <w:topLinePunct w:val="0"/>
              <w:adjustRightInd/>
              <w:snapToGrid/>
              <w:spacing w:line="240" w:lineRule="auto"/>
              <w:ind w:firstLine="0" w:firstLineChars="0"/>
              <w:jc w:val="left"/>
              <w:rPr>
                <w:rFonts w:cs="Times New Roman"/>
                <w:sz w:val="21"/>
              </w:rPr>
            </w:pPr>
          </w:p>
        </w:tc>
        <w:tc>
          <w:tcPr>
            <w:tcW w:w="4718" w:type="dxa"/>
            <w:tcBorders>
              <w:top w:val="single" w:color="auto" w:sz="4" w:space="0"/>
              <w:left w:val="single" w:color="auto" w:sz="4" w:space="0"/>
              <w:bottom w:val="single" w:color="auto" w:sz="4" w:space="0"/>
              <w:right w:val="single" w:color="auto" w:sz="4" w:space="0"/>
            </w:tcBorders>
            <w:vAlign w:val="center"/>
          </w:tcPr>
          <w:p w14:paraId="6722A7CC">
            <w:pPr>
              <w:spacing w:line="240" w:lineRule="auto"/>
              <w:ind w:firstLine="0" w:firstLineChars="0"/>
              <w:rPr>
                <w:rFonts w:cs="Times New Roman"/>
                <w:sz w:val="21"/>
              </w:rPr>
            </w:pPr>
            <w:r>
              <w:rPr>
                <w:rFonts w:hint="eastAsia" w:cs="Times New Roman"/>
                <w:sz w:val="21"/>
              </w:rPr>
              <w:t>禁止在铁路、国道、省道两侧的直观可视范围内进行露天开采</w:t>
            </w:r>
          </w:p>
        </w:tc>
        <w:tc>
          <w:tcPr>
            <w:tcW w:w="7964" w:type="dxa"/>
            <w:tcBorders>
              <w:top w:val="single" w:color="auto" w:sz="4" w:space="0"/>
              <w:left w:val="single" w:color="auto" w:sz="4" w:space="0"/>
              <w:bottom w:val="single" w:color="auto" w:sz="4" w:space="0"/>
              <w:right w:val="single" w:color="auto" w:sz="4" w:space="0"/>
            </w:tcBorders>
            <w:vAlign w:val="center"/>
          </w:tcPr>
          <w:p w14:paraId="71B89FFB">
            <w:pPr>
              <w:spacing w:line="240" w:lineRule="auto"/>
              <w:ind w:firstLine="0" w:firstLineChars="0"/>
              <w:rPr>
                <w:rFonts w:cs="Times New Roman"/>
                <w:sz w:val="21"/>
              </w:rPr>
            </w:pPr>
            <w:r>
              <w:rPr>
                <w:rFonts w:hint="eastAsia" w:cs="Times New Roman"/>
                <w:sz w:val="21"/>
              </w:rPr>
              <w:t>本项目采矿方式为地下开采方式。项目选址与衡邵高速之间有建筑阻隔，不在直观可视范围内。</w:t>
            </w:r>
          </w:p>
        </w:tc>
        <w:tc>
          <w:tcPr>
            <w:tcW w:w="737" w:type="dxa"/>
            <w:tcBorders>
              <w:top w:val="single" w:color="auto" w:sz="4" w:space="0"/>
              <w:left w:val="single" w:color="auto" w:sz="4" w:space="0"/>
              <w:bottom w:val="single" w:color="auto" w:sz="4" w:space="0"/>
              <w:right w:val="single" w:color="auto" w:sz="12" w:space="0"/>
            </w:tcBorders>
            <w:vAlign w:val="center"/>
          </w:tcPr>
          <w:p w14:paraId="6DC5313B">
            <w:pPr>
              <w:spacing w:line="240" w:lineRule="auto"/>
              <w:ind w:firstLine="0" w:firstLineChars="0"/>
              <w:jc w:val="center"/>
              <w:rPr>
                <w:rFonts w:cs="Times New Roman"/>
                <w:sz w:val="21"/>
              </w:rPr>
            </w:pPr>
            <w:r>
              <w:rPr>
                <w:rFonts w:hint="eastAsia" w:cs="Times New Roman"/>
                <w:sz w:val="21"/>
              </w:rPr>
              <w:t>相符</w:t>
            </w:r>
          </w:p>
        </w:tc>
      </w:tr>
      <w:tr w14:paraId="292DC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5473" w:type="dxa"/>
            <w:vMerge w:val="continue"/>
            <w:tcBorders>
              <w:top w:val="single" w:color="auto" w:sz="4" w:space="0"/>
              <w:left w:val="single" w:color="auto" w:sz="12" w:space="0"/>
              <w:bottom w:val="single" w:color="auto" w:sz="4" w:space="0"/>
              <w:right w:val="single" w:color="auto" w:sz="4" w:space="0"/>
            </w:tcBorders>
            <w:vAlign w:val="center"/>
          </w:tcPr>
          <w:p w14:paraId="0A4782E0">
            <w:pPr>
              <w:widowControl/>
              <w:wordWrap/>
              <w:topLinePunct w:val="0"/>
              <w:adjustRightInd/>
              <w:snapToGrid/>
              <w:spacing w:line="240" w:lineRule="auto"/>
              <w:ind w:firstLine="0" w:firstLineChars="0"/>
              <w:jc w:val="left"/>
              <w:rPr>
                <w:rFonts w:cs="Times New Roman"/>
                <w:sz w:val="21"/>
              </w:rPr>
            </w:pPr>
          </w:p>
        </w:tc>
        <w:tc>
          <w:tcPr>
            <w:tcW w:w="4718" w:type="dxa"/>
            <w:tcBorders>
              <w:top w:val="single" w:color="auto" w:sz="4" w:space="0"/>
              <w:left w:val="single" w:color="auto" w:sz="4" w:space="0"/>
              <w:bottom w:val="single" w:color="auto" w:sz="4" w:space="0"/>
              <w:right w:val="single" w:color="auto" w:sz="4" w:space="0"/>
            </w:tcBorders>
            <w:vAlign w:val="center"/>
          </w:tcPr>
          <w:p w14:paraId="3BC25308">
            <w:pPr>
              <w:spacing w:line="240" w:lineRule="auto"/>
              <w:ind w:firstLine="0" w:firstLineChars="0"/>
              <w:rPr>
                <w:rFonts w:cs="Times New Roman"/>
                <w:sz w:val="21"/>
              </w:rPr>
            </w:pPr>
            <w:r>
              <w:rPr>
                <w:rFonts w:hint="eastAsia" w:cs="Times New Roman"/>
                <w:sz w:val="21"/>
              </w:rPr>
              <w:t>禁止在地质灾害危险区开采矿产资源</w:t>
            </w:r>
          </w:p>
        </w:tc>
        <w:tc>
          <w:tcPr>
            <w:tcW w:w="7964" w:type="dxa"/>
            <w:tcBorders>
              <w:top w:val="single" w:color="auto" w:sz="4" w:space="0"/>
              <w:left w:val="single" w:color="auto" w:sz="4" w:space="0"/>
              <w:bottom w:val="single" w:color="auto" w:sz="4" w:space="0"/>
              <w:right w:val="single" w:color="auto" w:sz="4" w:space="0"/>
            </w:tcBorders>
            <w:vAlign w:val="center"/>
          </w:tcPr>
          <w:p w14:paraId="0BDC03EB">
            <w:pPr>
              <w:spacing w:line="240" w:lineRule="auto"/>
              <w:ind w:firstLine="0" w:firstLineChars="0"/>
              <w:rPr>
                <w:rFonts w:cs="Times New Roman"/>
                <w:sz w:val="21"/>
              </w:rPr>
            </w:pPr>
            <w:r>
              <w:rPr>
                <w:rFonts w:hint="eastAsia" w:cs="Times New Roman"/>
                <w:sz w:val="21"/>
              </w:rPr>
              <w:t>现状条件下，发生地质灾害的可能性小，危险性小。</w:t>
            </w:r>
          </w:p>
        </w:tc>
        <w:tc>
          <w:tcPr>
            <w:tcW w:w="737" w:type="dxa"/>
            <w:tcBorders>
              <w:top w:val="single" w:color="auto" w:sz="4" w:space="0"/>
              <w:left w:val="single" w:color="auto" w:sz="4" w:space="0"/>
              <w:bottom w:val="single" w:color="auto" w:sz="4" w:space="0"/>
              <w:right w:val="single" w:color="auto" w:sz="12" w:space="0"/>
            </w:tcBorders>
            <w:vAlign w:val="center"/>
          </w:tcPr>
          <w:p w14:paraId="462DD9AA">
            <w:pPr>
              <w:spacing w:line="240" w:lineRule="auto"/>
              <w:ind w:firstLine="0" w:firstLineChars="0"/>
              <w:jc w:val="center"/>
              <w:rPr>
                <w:rFonts w:cs="Times New Roman"/>
                <w:sz w:val="21"/>
              </w:rPr>
            </w:pPr>
            <w:r>
              <w:rPr>
                <w:rFonts w:hint="eastAsia" w:cs="Times New Roman"/>
                <w:sz w:val="21"/>
              </w:rPr>
              <w:t>相符</w:t>
            </w:r>
          </w:p>
        </w:tc>
      </w:tr>
      <w:tr w14:paraId="33A33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5473" w:type="dxa"/>
            <w:vMerge w:val="continue"/>
            <w:tcBorders>
              <w:top w:val="single" w:color="auto" w:sz="4" w:space="0"/>
              <w:left w:val="single" w:color="auto" w:sz="12" w:space="0"/>
              <w:bottom w:val="single" w:color="auto" w:sz="4" w:space="0"/>
              <w:right w:val="single" w:color="auto" w:sz="4" w:space="0"/>
            </w:tcBorders>
            <w:vAlign w:val="center"/>
          </w:tcPr>
          <w:p w14:paraId="3063D48B">
            <w:pPr>
              <w:widowControl/>
              <w:wordWrap/>
              <w:topLinePunct w:val="0"/>
              <w:adjustRightInd/>
              <w:snapToGrid/>
              <w:spacing w:line="240" w:lineRule="auto"/>
              <w:ind w:firstLine="0" w:firstLineChars="0"/>
              <w:jc w:val="left"/>
              <w:rPr>
                <w:rFonts w:cs="Times New Roman"/>
                <w:sz w:val="21"/>
              </w:rPr>
            </w:pPr>
          </w:p>
        </w:tc>
        <w:tc>
          <w:tcPr>
            <w:tcW w:w="4718" w:type="dxa"/>
            <w:tcBorders>
              <w:top w:val="single" w:color="auto" w:sz="4" w:space="0"/>
              <w:left w:val="single" w:color="auto" w:sz="4" w:space="0"/>
              <w:bottom w:val="single" w:color="auto" w:sz="4" w:space="0"/>
              <w:right w:val="single" w:color="auto" w:sz="4" w:space="0"/>
            </w:tcBorders>
            <w:vAlign w:val="center"/>
          </w:tcPr>
          <w:p w14:paraId="5E83B424">
            <w:pPr>
              <w:spacing w:line="240" w:lineRule="auto"/>
              <w:ind w:firstLine="0" w:firstLineChars="0"/>
              <w:rPr>
                <w:rFonts w:cs="Times New Roman"/>
                <w:sz w:val="21"/>
              </w:rPr>
            </w:pPr>
            <w:r>
              <w:rPr>
                <w:rFonts w:hint="eastAsia" w:cs="Times New Roman"/>
                <w:sz w:val="21"/>
              </w:rPr>
              <w:t>禁止新建对生态环境产生不可恢复利用的、产生破坏性影响的矿产资源开发项目</w:t>
            </w:r>
          </w:p>
        </w:tc>
        <w:tc>
          <w:tcPr>
            <w:tcW w:w="7964" w:type="dxa"/>
            <w:tcBorders>
              <w:top w:val="single" w:color="auto" w:sz="4" w:space="0"/>
              <w:left w:val="single" w:color="auto" w:sz="4" w:space="0"/>
              <w:bottom w:val="single" w:color="auto" w:sz="4" w:space="0"/>
              <w:right w:val="single" w:color="auto" w:sz="4" w:space="0"/>
            </w:tcBorders>
            <w:vAlign w:val="center"/>
          </w:tcPr>
          <w:p w14:paraId="417DF4B1">
            <w:pPr>
              <w:spacing w:line="240" w:lineRule="auto"/>
              <w:ind w:firstLine="0" w:firstLineChars="0"/>
              <w:rPr>
                <w:rFonts w:cs="Times New Roman"/>
                <w:sz w:val="21"/>
              </w:rPr>
            </w:pPr>
            <w:r>
              <w:rPr>
                <w:rFonts w:hint="eastAsia" w:cs="Times New Roman"/>
                <w:sz w:val="21"/>
              </w:rPr>
              <w:t>本项目为岩盐开采项目，项目实施对生态系统和生境干扰和破坏规模小，不会改变生态系统的结构或过程，不会导致该区域主要生态问题恶化。项目实施不会对生态环境产生不可恢复利用的及破坏性影响。</w:t>
            </w:r>
          </w:p>
        </w:tc>
        <w:tc>
          <w:tcPr>
            <w:tcW w:w="737" w:type="dxa"/>
            <w:tcBorders>
              <w:top w:val="single" w:color="auto" w:sz="4" w:space="0"/>
              <w:left w:val="single" w:color="auto" w:sz="4" w:space="0"/>
              <w:bottom w:val="single" w:color="auto" w:sz="4" w:space="0"/>
              <w:right w:val="single" w:color="auto" w:sz="12" w:space="0"/>
            </w:tcBorders>
            <w:vAlign w:val="center"/>
          </w:tcPr>
          <w:p w14:paraId="5831B8B2">
            <w:pPr>
              <w:spacing w:line="240" w:lineRule="auto"/>
              <w:ind w:firstLine="0" w:firstLineChars="0"/>
              <w:jc w:val="center"/>
              <w:rPr>
                <w:rFonts w:cs="Times New Roman"/>
                <w:sz w:val="21"/>
              </w:rPr>
            </w:pPr>
            <w:r>
              <w:rPr>
                <w:rFonts w:hint="eastAsia" w:cs="Times New Roman"/>
                <w:sz w:val="21"/>
              </w:rPr>
              <w:t>相符</w:t>
            </w:r>
          </w:p>
        </w:tc>
      </w:tr>
      <w:tr w14:paraId="6B5DE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5473" w:type="dxa"/>
            <w:vMerge w:val="continue"/>
            <w:tcBorders>
              <w:top w:val="single" w:color="auto" w:sz="4" w:space="0"/>
              <w:left w:val="single" w:color="auto" w:sz="12" w:space="0"/>
              <w:bottom w:val="single" w:color="auto" w:sz="4" w:space="0"/>
              <w:right w:val="single" w:color="auto" w:sz="4" w:space="0"/>
            </w:tcBorders>
            <w:vAlign w:val="center"/>
          </w:tcPr>
          <w:p w14:paraId="6372415C">
            <w:pPr>
              <w:widowControl/>
              <w:wordWrap/>
              <w:topLinePunct w:val="0"/>
              <w:adjustRightInd/>
              <w:snapToGrid/>
              <w:spacing w:line="240" w:lineRule="auto"/>
              <w:ind w:firstLine="0" w:firstLineChars="0"/>
              <w:jc w:val="left"/>
              <w:rPr>
                <w:rFonts w:cs="Times New Roman"/>
                <w:sz w:val="21"/>
              </w:rPr>
            </w:pPr>
          </w:p>
        </w:tc>
        <w:tc>
          <w:tcPr>
            <w:tcW w:w="4718" w:type="dxa"/>
            <w:tcBorders>
              <w:top w:val="single" w:color="auto" w:sz="4" w:space="0"/>
              <w:left w:val="single" w:color="auto" w:sz="4" w:space="0"/>
              <w:bottom w:val="single" w:color="auto" w:sz="4" w:space="0"/>
              <w:right w:val="single" w:color="auto" w:sz="4" w:space="0"/>
            </w:tcBorders>
            <w:vAlign w:val="center"/>
          </w:tcPr>
          <w:p w14:paraId="6511D173">
            <w:pPr>
              <w:spacing w:line="240" w:lineRule="auto"/>
              <w:ind w:firstLine="0" w:firstLineChars="0"/>
              <w:rPr>
                <w:rFonts w:cs="Times New Roman"/>
                <w:sz w:val="21"/>
              </w:rPr>
            </w:pPr>
            <w:r>
              <w:rPr>
                <w:rFonts w:hint="eastAsia" w:cs="Times New Roman"/>
                <w:sz w:val="21"/>
              </w:rPr>
              <w:t>矿产资源开发应符合国家产业政策要求，选址、布局应符合所在地的区域发展规划，并应进行环境影响评价</w:t>
            </w:r>
          </w:p>
        </w:tc>
        <w:tc>
          <w:tcPr>
            <w:tcW w:w="7964" w:type="dxa"/>
            <w:tcBorders>
              <w:top w:val="single" w:color="auto" w:sz="4" w:space="0"/>
              <w:left w:val="single" w:color="auto" w:sz="4" w:space="0"/>
              <w:bottom w:val="single" w:color="auto" w:sz="4" w:space="0"/>
              <w:right w:val="single" w:color="auto" w:sz="4" w:space="0"/>
            </w:tcBorders>
            <w:vAlign w:val="center"/>
          </w:tcPr>
          <w:p w14:paraId="3B715254">
            <w:pPr>
              <w:spacing w:line="240" w:lineRule="auto"/>
              <w:ind w:firstLine="0" w:firstLineChars="0"/>
              <w:rPr>
                <w:rFonts w:cs="Times New Roman"/>
                <w:sz w:val="21"/>
              </w:rPr>
            </w:pPr>
            <w:r>
              <w:rPr>
                <w:rFonts w:hint="eastAsia" w:cs="Times New Roman"/>
                <w:sz w:val="21"/>
              </w:rPr>
              <w:t>矿山已取得采矿许可证，开发符合国家产业政策及矿产资源规划要求，拟建项目正在进行环境影响评价</w:t>
            </w:r>
          </w:p>
        </w:tc>
        <w:tc>
          <w:tcPr>
            <w:tcW w:w="737" w:type="dxa"/>
            <w:tcBorders>
              <w:top w:val="single" w:color="auto" w:sz="4" w:space="0"/>
              <w:left w:val="single" w:color="auto" w:sz="4" w:space="0"/>
              <w:bottom w:val="single" w:color="auto" w:sz="4" w:space="0"/>
              <w:right w:val="single" w:color="auto" w:sz="12" w:space="0"/>
            </w:tcBorders>
            <w:vAlign w:val="center"/>
          </w:tcPr>
          <w:p w14:paraId="22AA1C98">
            <w:pPr>
              <w:spacing w:line="240" w:lineRule="auto"/>
              <w:ind w:firstLine="0" w:firstLineChars="0"/>
              <w:jc w:val="center"/>
              <w:rPr>
                <w:rFonts w:cs="Times New Roman"/>
                <w:sz w:val="21"/>
              </w:rPr>
            </w:pPr>
            <w:r>
              <w:rPr>
                <w:rFonts w:hint="eastAsia" w:cs="Times New Roman"/>
                <w:sz w:val="21"/>
              </w:rPr>
              <w:t>相符</w:t>
            </w:r>
          </w:p>
        </w:tc>
      </w:tr>
      <w:tr w14:paraId="51100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1216" w:hRule="atLeast"/>
          <w:jc w:val="center"/>
        </w:trPr>
        <w:tc>
          <w:tcPr>
            <w:tcW w:w="755" w:type="dxa"/>
            <w:vMerge w:val="restart"/>
            <w:tcBorders>
              <w:top w:val="single" w:color="auto" w:sz="4" w:space="0"/>
              <w:left w:val="single" w:color="auto" w:sz="12" w:space="0"/>
              <w:bottom w:val="single" w:color="auto" w:sz="4" w:space="0"/>
              <w:right w:val="single" w:color="auto" w:sz="4" w:space="0"/>
            </w:tcBorders>
            <w:vAlign w:val="center"/>
          </w:tcPr>
          <w:p w14:paraId="210648F3">
            <w:pPr>
              <w:spacing w:line="240" w:lineRule="auto"/>
              <w:ind w:firstLine="0" w:firstLineChars="0"/>
              <w:jc w:val="center"/>
              <w:rPr>
                <w:rFonts w:cs="Times New Roman"/>
                <w:sz w:val="21"/>
              </w:rPr>
            </w:pPr>
            <w:r>
              <w:rPr>
                <w:rFonts w:hint="eastAsia" w:cs="Times New Roman"/>
                <w:sz w:val="21"/>
              </w:rPr>
              <w:t>矿产资源开发设计</w:t>
            </w:r>
          </w:p>
        </w:tc>
        <w:tc>
          <w:tcPr>
            <w:tcW w:w="4718" w:type="dxa"/>
            <w:tcBorders>
              <w:top w:val="single" w:color="auto" w:sz="4" w:space="0"/>
              <w:left w:val="single" w:color="auto" w:sz="4" w:space="0"/>
              <w:bottom w:val="single" w:color="auto" w:sz="4" w:space="0"/>
              <w:right w:val="single" w:color="auto" w:sz="4" w:space="0"/>
            </w:tcBorders>
            <w:vAlign w:val="center"/>
          </w:tcPr>
          <w:p w14:paraId="4F7B0CD3">
            <w:pPr>
              <w:spacing w:line="240" w:lineRule="auto"/>
              <w:ind w:firstLine="0" w:firstLineChars="0"/>
              <w:rPr>
                <w:rFonts w:cs="Times New Roman"/>
                <w:sz w:val="21"/>
              </w:rPr>
            </w:pPr>
            <w:r>
              <w:rPr>
                <w:rFonts w:hint="eastAsia" w:cs="Times New Roman"/>
                <w:sz w:val="21"/>
              </w:rPr>
              <w:t>应优先选择废物产生量少、水重复利用率高，对矿区生态环境影响小的采、选矿生产工艺与技术</w:t>
            </w:r>
          </w:p>
        </w:tc>
        <w:tc>
          <w:tcPr>
            <w:tcW w:w="7964" w:type="dxa"/>
            <w:tcBorders>
              <w:top w:val="single" w:color="auto" w:sz="4" w:space="0"/>
              <w:left w:val="single" w:color="auto" w:sz="4" w:space="0"/>
              <w:bottom w:val="single" w:color="auto" w:sz="4" w:space="0"/>
              <w:right w:val="single" w:color="auto" w:sz="4" w:space="0"/>
            </w:tcBorders>
            <w:vAlign w:val="center"/>
          </w:tcPr>
          <w:p w14:paraId="34189045">
            <w:pPr>
              <w:spacing w:line="240" w:lineRule="auto"/>
              <w:ind w:firstLine="0" w:firstLineChars="0"/>
              <w:rPr>
                <w:rFonts w:cs="Times New Roman"/>
                <w:sz w:val="21"/>
              </w:rPr>
            </w:pPr>
            <w:r>
              <w:rPr>
                <w:rFonts w:hint="eastAsia" w:cs="Times New Roman"/>
                <w:sz w:val="21"/>
              </w:rPr>
              <w:t>本项目采用水溶法开采井盐，淡卤回用于采卤，水重复利用率高，且本项目不涉及废气、废水排放，采集卤过程均采用密闭管线。</w:t>
            </w:r>
          </w:p>
        </w:tc>
        <w:tc>
          <w:tcPr>
            <w:tcW w:w="737" w:type="dxa"/>
            <w:tcBorders>
              <w:top w:val="single" w:color="auto" w:sz="4" w:space="0"/>
              <w:left w:val="single" w:color="auto" w:sz="4" w:space="0"/>
              <w:bottom w:val="single" w:color="auto" w:sz="4" w:space="0"/>
              <w:right w:val="single" w:color="auto" w:sz="12" w:space="0"/>
            </w:tcBorders>
            <w:vAlign w:val="center"/>
          </w:tcPr>
          <w:p w14:paraId="51930F84">
            <w:pPr>
              <w:spacing w:line="240" w:lineRule="auto"/>
              <w:ind w:firstLine="0" w:firstLineChars="0"/>
              <w:jc w:val="center"/>
              <w:rPr>
                <w:rFonts w:cs="Times New Roman"/>
                <w:sz w:val="21"/>
              </w:rPr>
            </w:pPr>
            <w:r>
              <w:rPr>
                <w:rFonts w:hint="eastAsia" w:cs="Times New Roman"/>
                <w:sz w:val="21"/>
              </w:rPr>
              <w:t>相符</w:t>
            </w:r>
          </w:p>
        </w:tc>
      </w:tr>
      <w:tr w14:paraId="46901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5473" w:type="dxa"/>
            <w:vMerge w:val="continue"/>
            <w:tcBorders>
              <w:top w:val="single" w:color="auto" w:sz="4" w:space="0"/>
              <w:left w:val="single" w:color="auto" w:sz="12" w:space="0"/>
              <w:bottom w:val="single" w:color="auto" w:sz="4" w:space="0"/>
              <w:right w:val="single" w:color="auto" w:sz="4" w:space="0"/>
            </w:tcBorders>
            <w:vAlign w:val="center"/>
          </w:tcPr>
          <w:p w14:paraId="5A7C9B92">
            <w:pPr>
              <w:widowControl/>
              <w:wordWrap/>
              <w:topLinePunct w:val="0"/>
              <w:adjustRightInd/>
              <w:snapToGrid/>
              <w:spacing w:line="240" w:lineRule="auto"/>
              <w:ind w:firstLine="0" w:firstLineChars="0"/>
              <w:jc w:val="left"/>
              <w:rPr>
                <w:rFonts w:cs="Times New Roman"/>
                <w:sz w:val="21"/>
              </w:rPr>
            </w:pPr>
          </w:p>
        </w:tc>
        <w:tc>
          <w:tcPr>
            <w:tcW w:w="4718" w:type="dxa"/>
            <w:tcBorders>
              <w:top w:val="single" w:color="auto" w:sz="4" w:space="0"/>
              <w:left w:val="single" w:color="auto" w:sz="4" w:space="0"/>
              <w:bottom w:val="single" w:color="auto" w:sz="4" w:space="0"/>
              <w:right w:val="single" w:color="auto" w:sz="4" w:space="0"/>
            </w:tcBorders>
            <w:vAlign w:val="center"/>
          </w:tcPr>
          <w:p w14:paraId="4C091207">
            <w:pPr>
              <w:spacing w:line="240" w:lineRule="auto"/>
              <w:ind w:firstLine="0" w:firstLineChars="0"/>
              <w:rPr>
                <w:rFonts w:cs="Times New Roman"/>
                <w:sz w:val="21"/>
              </w:rPr>
            </w:pPr>
            <w:r>
              <w:rPr>
                <w:rFonts w:hint="eastAsia" w:cs="Times New Roman"/>
                <w:sz w:val="21"/>
              </w:rPr>
              <w:t>矿井水、选矿水和矿山其它外排水应统筹规划、分类管理、综合利用</w:t>
            </w:r>
          </w:p>
        </w:tc>
        <w:tc>
          <w:tcPr>
            <w:tcW w:w="7964" w:type="dxa"/>
            <w:tcBorders>
              <w:top w:val="single" w:color="auto" w:sz="4" w:space="0"/>
              <w:left w:val="single" w:color="auto" w:sz="4" w:space="0"/>
              <w:bottom w:val="single" w:color="auto" w:sz="4" w:space="0"/>
              <w:right w:val="single" w:color="auto" w:sz="4" w:space="0"/>
            </w:tcBorders>
            <w:vAlign w:val="center"/>
          </w:tcPr>
          <w:p w14:paraId="660E3088">
            <w:pPr>
              <w:spacing w:line="240" w:lineRule="auto"/>
              <w:ind w:firstLine="0" w:firstLineChars="0"/>
              <w:rPr>
                <w:rFonts w:cs="Times New Roman"/>
                <w:sz w:val="21"/>
              </w:rPr>
            </w:pPr>
            <w:r>
              <w:rPr>
                <w:rFonts w:hint="eastAsia" w:cs="Times New Roman"/>
                <w:sz w:val="21"/>
              </w:rPr>
              <w:t>本项目淡卤全部回用于采卤。</w:t>
            </w:r>
          </w:p>
        </w:tc>
        <w:tc>
          <w:tcPr>
            <w:tcW w:w="737" w:type="dxa"/>
            <w:tcBorders>
              <w:top w:val="single" w:color="auto" w:sz="4" w:space="0"/>
              <w:left w:val="single" w:color="auto" w:sz="4" w:space="0"/>
              <w:bottom w:val="single" w:color="auto" w:sz="4" w:space="0"/>
              <w:right w:val="single" w:color="auto" w:sz="12" w:space="0"/>
            </w:tcBorders>
            <w:vAlign w:val="center"/>
          </w:tcPr>
          <w:p w14:paraId="0FBE6EB1">
            <w:pPr>
              <w:spacing w:line="240" w:lineRule="auto"/>
              <w:ind w:firstLine="0" w:firstLineChars="0"/>
              <w:jc w:val="center"/>
              <w:rPr>
                <w:rFonts w:cs="Times New Roman"/>
                <w:sz w:val="21"/>
              </w:rPr>
            </w:pPr>
            <w:r>
              <w:rPr>
                <w:rFonts w:hint="eastAsia" w:cs="Times New Roman"/>
                <w:sz w:val="21"/>
              </w:rPr>
              <w:t>相符</w:t>
            </w:r>
          </w:p>
        </w:tc>
      </w:tr>
      <w:tr w14:paraId="24B42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5473" w:type="dxa"/>
            <w:vMerge w:val="continue"/>
            <w:tcBorders>
              <w:top w:val="single" w:color="auto" w:sz="4" w:space="0"/>
              <w:left w:val="single" w:color="auto" w:sz="12" w:space="0"/>
              <w:bottom w:val="single" w:color="auto" w:sz="4" w:space="0"/>
              <w:right w:val="single" w:color="auto" w:sz="4" w:space="0"/>
            </w:tcBorders>
            <w:vAlign w:val="center"/>
          </w:tcPr>
          <w:p w14:paraId="0BAF6125">
            <w:pPr>
              <w:widowControl/>
              <w:wordWrap/>
              <w:topLinePunct w:val="0"/>
              <w:adjustRightInd/>
              <w:snapToGrid/>
              <w:spacing w:line="240" w:lineRule="auto"/>
              <w:ind w:firstLine="0" w:firstLineChars="0"/>
              <w:jc w:val="left"/>
              <w:rPr>
                <w:rFonts w:cs="Times New Roman"/>
                <w:sz w:val="21"/>
              </w:rPr>
            </w:pPr>
          </w:p>
        </w:tc>
        <w:tc>
          <w:tcPr>
            <w:tcW w:w="4718" w:type="dxa"/>
            <w:tcBorders>
              <w:top w:val="single" w:color="auto" w:sz="4" w:space="0"/>
              <w:left w:val="single" w:color="auto" w:sz="4" w:space="0"/>
              <w:bottom w:val="single" w:color="auto" w:sz="4" w:space="0"/>
              <w:right w:val="single" w:color="auto" w:sz="4" w:space="0"/>
            </w:tcBorders>
            <w:vAlign w:val="center"/>
          </w:tcPr>
          <w:p w14:paraId="6469DB0C">
            <w:pPr>
              <w:spacing w:line="240" w:lineRule="auto"/>
              <w:ind w:firstLine="0" w:firstLineChars="0"/>
              <w:rPr>
                <w:rFonts w:cs="Times New Roman"/>
                <w:sz w:val="21"/>
              </w:rPr>
            </w:pPr>
            <w:r>
              <w:rPr>
                <w:rFonts w:hint="eastAsia" w:cs="Times New Roman"/>
                <w:sz w:val="21"/>
              </w:rPr>
              <w:t>矿山建设应尽量少占用农田和耕地，矿山建设临时性占地应及时恢复。</w:t>
            </w:r>
          </w:p>
        </w:tc>
        <w:tc>
          <w:tcPr>
            <w:tcW w:w="7964" w:type="dxa"/>
            <w:tcBorders>
              <w:top w:val="single" w:color="auto" w:sz="4" w:space="0"/>
              <w:left w:val="single" w:color="auto" w:sz="4" w:space="0"/>
              <w:bottom w:val="single" w:color="auto" w:sz="4" w:space="0"/>
              <w:right w:val="single" w:color="auto" w:sz="4" w:space="0"/>
            </w:tcBorders>
            <w:vAlign w:val="center"/>
          </w:tcPr>
          <w:p w14:paraId="2FD9415F">
            <w:pPr>
              <w:spacing w:line="240" w:lineRule="auto"/>
              <w:ind w:firstLine="0" w:firstLineChars="0"/>
              <w:rPr>
                <w:rFonts w:cs="Times New Roman"/>
                <w:sz w:val="21"/>
              </w:rPr>
            </w:pPr>
            <w:r>
              <w:rPr>
                <w:rFonts w:hint="eastAsia" w:cs="Times New Roman"/>
                <w:sz w:val="21"/>
              </w:rPr>
              <w:t>建设及生产过程中不占农田和耕地。施工结束后，各类临时占地恢复至原有状态。</w:t>
            </w:r>
          </w:p>
        </w:tc>
        <w:tc>
          <w:tcPr>
            <w:tcW w:w="737" w:type="dxa"/>
            <w:tcBorders>
              <w:top w:val="single" w:color="auto" w:sz="4" w:space="0"/>
              <w:left w:val="single" w:color="auto" w:sz="4" w:space="0"/>
              <w:bottom w:val="single" w:color="auto" w:sz="4" w:space="0"/>
              <w:right w:val="single" w:color="auto" w:sz="12" w:space="0"/>
            </w:tcBorders>
            <w:vAlign w:val="center"/>
          </w:tcPr>
          <w:p w14:paraId="11613D72">
            <w:pPr>
              <w:spacing w:line="240" w:lineRule="auto"/>
              <w:ind w:firstLine="0" w:firstLineChars="0"/>
              <w:jc w:val="center"/>
              <w:rPr>
                <w:rFonts w:cs="Times New Roman"/>
                <w:sz w:val="21"/>
              </w:rPr>
            </w:pPr>
            <w:r>
              <w:rPr>
                <w:rFonts w:hint="eastAsia" w:cs="Times New Roman"/>
                <w:sz w:val="21"/>
              </w:rPr>
              <w:t>相符</w:t>
            </w:r>
          </w:p>
        </w:tc>
      </w:tr>
      <w:tr w14:paraId="258A6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5473" w:type="dxa"/>
            <w:vMerge w:val="continue"/>
            <w:tcBorders>
              <w:top w:val="single" w:color="auto" w:sz="4" w:space="0"/>
              <w:left w:val="single" w:color="auto" w:sz="12" w:space="0"/>
              <w:bottom w:val="single" w:color="auto" w:sz="4" w:space="0"/>
              <w:right w:val="single" w:color="auto" w:sz="4" w:space="0"/>
            </w:tcBorders>
            <w:vAlign w:val="center"/>
          </w:tcPr>
          <w:p w14:paraId="137D18F9">
            <w:pPr>
              <w:widowControl/>
              <w:wordWrap/>
              <w:topLinePunct w:val="0"/>
              <w:adjustRightInd/>
              <w:snapToGrid/>
              <w:spacing w:line="240" w:lineRule="auto"/>
              <w:ind w:firstLine="0" w:firstLineChars="0"/>
              <w:jc w:val="left"/>
              <w:rPr>
                <w:rFonts w:cs="Times New Roman"/>
                <w:sz w:val="21"/>
              </w:rPr>
            </w:pPr>
          </w:p>
        </w:tc>
        <w:tc>
          <w:tcPr>
            <w:tcW w:w="4718" w:type="dxa"/>
            <w:tcBorders>
              <w:top w:val="single" w:color="auto" w:sz="4" w:space="0"/>
              <w:left w:val="single" w:color="auto" w:sz="4" w:space="0"/>
              <w:bottom w:val="single" w:color="auto" w:sz="4" w:space="0"/>
              <w:right w:val="single" w:color="auto" w:sz="4" w:space="0"/>
            </w:tcBorders>
            <w:vAlign w:val="center"/>
          </w:tcPr>
          <w:p w14:paraId="655D1487">
            <w:pPr>
              <w:spacing w:line="240" w:lineRule="auto"/>
              <w:ind w:firstLine="0" w:firstLineChars="0"/>
              <w:rPr>
                <w:rFonts w:cs="Times New Roman"/>
                <w:sz w:val="21"/>
              </w:rPr>
            </w:pPr>
            <w:r>
              <w:rPr>
                <w:rFonts w:hint="eastAsia" w:cs="Times New Roman"/>
                <w:sz w:val="21"/>
              </w:rPr>
              <w:t>推广应用充填采矿工艺技术，提倡废石不出井，利用尾砂、废石充填采空区</w:t>
            </w:r>
          </w:p>
        </w:tc>
        <w:tc>
          <w:tcPr>
            <w:tcW w:w="7964" w:type="dxa"/>
            <w:tcBorders>
              <w:top w:val="single" w:color="auto" w:sz="4" w:space="0"/>
              <w:left w:val="single" w:color="auto" w:sz="4" w:space="0"/>
              <w:bottom w:val="single" w:color="auto" w:sz="4" w:space="0"/>
              <w:right w:val="single" w:color="auto" w:sz="4" w:space="0"/>
            </w:tcBorders>
            <w:vAlign w:val="center"/>
          </w:tcPr>
          <w:p w14:paraId="02221242">
            <w:pPr>
              <w:spacing w:line="240" w:lineRule="auto"/>
              <w:ind w:firstLine="0" w:firstLineChars="0"/>
              <w:rPr>
                <w:rFonts w:cs="Times New Roman"/>
                <w:sz w:val="21"/>
              </w:rPr>
            </w:pPr>
            <w:r>
              <w:rPr>
                <w:rFonts w:hint="eastAsia" w:cs="Times New Roman"/>
                <w:sz w:val="21"/>
              </w:rPr>
              <w:t>本项目采用水溶法开采井盐，采卤过程不产生尾砂、废石。</w:t>
            </w:r>
          </w:p>
        </w:tc>
        <w:tc>
          <w:tcPr>
            <w:tcW w:w="737" w:type="dxa"/>
            <w:tcBorders>
              <w:top w:val="single" w:color="auto" w:sz="4" w:space="0"/>
              <w:left w:val="single" w:color="auto" w:sz="4" w:space="0"/>
              <w:bottom w:val="single" w:color="auto" w:sz="4" w:space="0"/>
              <w:right w:val="single" w:color="auto" w:sz="12" w:space="0"/>
            </w:tcBorders>
            <w:vAlign w:val="center"/>
          </w:tcPr>
          <w:p w14:paraId="4090AE5E">
            <w:pPr>
              <w:spacing w:line="240" w:lineRule="auto"/>
              <w:ind w:firstLine="0" w:firstLineChars="0"/>
              <w:jc w:val="center"/>
              <w:rPr>
                <w:rFonts w:cs="Times New Roman"/>
                <w:sz w:val="21"/>
              </w:rPr>
            </w:pPr>
            <w:r>
              <w:rPr>
                <w:rFonts w:hint="eastAsia" w:cs="Times New Roman"/>
                <w:sz w:val="21"/>
              </w:rPr>
              <w:t>相符</w:t>
            </w:r>
          </w:p>
        </w:tc>
      </w:tr>
      <w:tr w14:paraId="62273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755" w:type="dxa"/>
            <w:vMerge w:val="restart"/>
            <w:tcBorders>
              <w:top w:val="single" w:color="auto" w:sz="4" w:space="0"/>
              <w:left w:val="single" w:color="auto" w:sz="12" w:space="0"/>
              <w:bottom w:val="single" w:color="auto" w:sz="4" w:space="0"/>
              <w:right w:val="single" w:color="auto" w:sz="4" w:space="0"/>
            </w:tcBorders>
            <w:vAlign w:val="center"/>
          </w:tcPr>
          <w:p w14:paraId="0B30B4E1">
            <w:pPr>
              <w:spacing w:line="240" w:lineRule="auto"/>
              <w:ind w:firstLine="0" w:firstLineChars="0"/>
              <w:jc w:val="center"/>
              <w:rPr>
                <w:rFonts w:cs="Times New Roman"/>
                <w:sz w:val="21"/>
              </w:rPr>
            </w:pPr>
            <w:r>
              <w:rPr>
                <w:rFonts w:hint="eastAsia" w:cs="Times New Roman"/>
                <w:sz w:val="21"/>
              </w:rPr>
              <w:t>矿坑水的综合利用和废水、废气的处理</w:t>
            </w:r>
          </w:p>
        </w:tc>
        <w:tc>
          <w:tcPr>
            <w:tcW w:w="4718" w:type="dxa"/>
            <w:tcBorders>
              <w:top w:val="single" w:color="auto" w:sz="4" w:space="0"/>
              <w:left w:val="single" w:color="auto" w:sz="4" w:space="0"/>
              <w:bottom w:val="single" w:color="auto" w:sz="4" w:space="0"/>
              <w:right w:val="single" w:color="auto" w:sz="4" w:space="0"/>
            </w:tcBorders>
            <w:vAlign w:val="center"/>
          </w:tcPr>
          <w:p w14:paraId="58D50F3F">
            <w:pPr>
              <w:spacing w:line="240" w:lineRule="auto"/>
              <w:ind w:firstLine="0" w:firstLineChars="0"/>
              <w:rPr>
                <w:rFonts w:cs="Times New Roman"/>
                <w:sz w:val="21"/>
              </w:rPr>
            </w:pPr>
            <w:r>
              <w:rPr>
                <w:rFonts w:hint="eastAsia" w:cs="Times New Roman"/>
                <w:sz w:val="21"/>
              </w:rPr>
              <w:t>鼓励将矿坑水优先利用为生产用水，作为辅助水源加以利用</w:t>
            </w:r>
          </w:p>
        </w:tc>
        <w:tc>
          <w:tcPr>
            <w:tcW w:w="7964" w:type="dxa"/>
            <w:tcBorders>
              <w:top w:val="single" w:color="auto" w:sz="4" w:space="0"/>
              <w:left w:val="single" w:color="auto" w:sz="4" w:space="0"/>
              <w:bottom w:val="single" w:color="auto" w:sz="4" w:space="0"/>
              <w:right w:val="single" w:color="auto" w:sz="4" w:space="0"/>
            </w:tcBorders>
            <w:vAlign w:val="center"/>
          </w:tcPr>
          <w:p w14:paraId="23DD5453">
            <w:pPr>
              <w:spacing w:line="240" w:lineRule="auto"/>
              <w:ind w:firstLine="0" w:firstLineChars="0"/>
              <w:rPr>
                <w:rFonts w:cs="Times New Roman"/>
                <w:sz w:val="21"/>
              </w:rPr>
            </w:pPr>
            <w:r>
              <w:rPr>
                <w:rFonts w:hint="eastAsia" w:cs="Times New Roman"/>
                <w:sz w:val="21"/>
              </w:rPr>
              <w:t>本项目为井下开采，生产期间不存在矿坑水。</w:t>
            </w:r>
          </w:p>
        </w:tc>
        <w:tc>
          <w:tcPr>
            <w:tcW w:w="737" w:type="dxa"/>
            <w:tcBorders>
              <w:top w:val="single" w:color="auto" w:sz="4" w:space="0"/>
              <w:left w:val="single" w:color="auto" w:sz="4" w:space="0"/>
              <w:bottom w:val="single" w:color="auto" w:sz="4" w:space="0"/>
              <w:right w:val="single" w:color="auto" w:sz="12" w:space="0"/>
            </w:tcBorders>
            <w:vAlign w:val="center"/>
          </w:tcPr>
          <w:p w14:paraId="78FA4B4D">
            <w:pPr>
              <w:spacing w:line="240" w:lineRule="auto"/>
              <w:ind w:firstLine="0" w:firstLineChars="0"/>
              <w:jc w:val="center"/>
              <w:rPr>
                <w:rFonts w:cs="Times New Roman"/>
                <w:sz w:val="21"/>
              </w:rPr>
            </w:pPr>
            <w:r>
              <w:rPr>
                <w:rFonts w:hint="eastAsia" w:cs="Times New Roman"/>
                <w:sz w:val="21"/>
              </w:rPr>
              <w:t>相符</w:t>
            </w:r>
          </w:p>
        </w:tc>
      </w:tr>
      <w:tr w14:paraId="3A256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5473" w:type="dxa"/>
            <w:vMerge w:val="continue"/>
            <w:tcBorders>
              <w:top w:val="single" w:color="auto" w:sz="4" w:space="0"/>
              <w:left w:val="single" w:color="auto" w:sz="12" w:space="0"/>
              <w:bottom w:val="single" w:color="auto" w:sz="4" w:space="0"/>
              <w:right w:val="single" w:color="auto" w:sz="4" w:space="0"/>
            </w:tcBorders>
            <w:vAlign w:val="center"/>
          </w:tcPr>
          <w:p w14:paraId="02515F46">
            <w:pPr>
              <w:widowControl/>
              <w:wordWrap/>
              <w:topLinePunct w:val="0"/>
              <w:adjustRightInd/>
              <w:snapToGrid/>
              <w:spacing w:line="240" w:lineRule="auto"/>
              <w:ind w:firstLine="0" w:firstLineChars="0"/>
              <w:jc w:val="left"/>
              <w:rPr>
                <w:rFonts w:cs="Times New Roman"/>
                <w:sz w:val="21"/>
              </w:rPr>
            </w:pPr>
          </w:p>
        </w:tc>
        <w:tc>
          <w:tcPr>
            <w:tcW w:w="4718" w:type="dxa"/>
            <w:tcBorders>
              <w:top w:val="single" w:color="auto" w:sz="4" w:space="0"/>
              <w:left w:val="single" w:color="auto" w:sz="4" w:space="0"/>
              <w:bottom w:val="single" w:color="auto" w:sz="4" w:space="0"/>
              <w:right w:val="single" w:color="auto" w:sz="4" w:space="0"/>
            </w:tcBorders>
            <w:vAlign w:val="center"/>
          </w:tcPr>
          <w:p w14:paraId="0591685D">
            <w:pPr>
              <w:spacing w:line="240" w:lineRule="auto"/>
              <w:ind w:firstLine="0" w:firstLineChars="0"/>
              <w:rPr>
                <w:rFonts w:cs="Times New Roman"/>
                <w:sz w:val="21"/>
              </w:rPr>
            </w:pPr>
            <w:r>
              <w:rPr>
                <w:rFonts w:hint="eastAsia" w:cs="Times New Roman"/>
                <w:sz w:val="21"/>
              </w:rPr>
              <w:t>宜采取灌浆等工程措施，避免和减少采矿活动破坏地下水均衡系统</w:t>
            </w:r>
          </w:p>
        </w:tc>
        <w:tc>
          <w:tcPr>
            <w:tcW w:w="7964" w:type="dxa"/>
            <w:tcBorders>
              <w:top w:val="single" w:color="auto" w:sz="4" w:space="0"/>
              <w:left w:val="single" w:color="auto" w:sz="4" w:space="0"/>
              <w:bottom w:val="single" w:color="auto" w:sz="4" w:space="0"/>
              <w:right w:val="single" w:color="auto" w:sz="4" w:space="0"/>
            </w:tcBorders>
            <w:vAlign w:val="center"/>
          </w:tcPr>
          <w:p w14:paraId="4D749DB0">
            <w:pPr>
              <w:spacing w:line="240" w:lineRule="auto"/>
              <w:ind w:firstLine="0" w:firstLineChars="0"/>
              <w:rPr>
                <w:rFonts w:cs="Times New Roman"/>
                <w:sz w:val="21"/>
              </w:rPr>
            </w:pPr>
            <w:r>
              <w:rPr>
                <w:rFonts w:hint="eastAsia" w:cs="Times New Roman"/>
                <w:sz w:val="21"/>
              </w:rPr>
              <w:t>矿山在建井过程采取钢管隔水、水泥固井方法堵水，有效阻止了含水层之水涌入采卤井。</w:t>
            </w:r>
          </w:p>
        </w:tc>
        <w:tc>
          <w:tcPr>
            <w:tcW w:w="737" w:type="dxa"/>
            <w:tcBorders>
              <w:top w:val="single" w:color="auto" w:sz="4" w:space="0"/>
              <w:left w:val="single" w:color="auto" w:sz="4" w:space="0"/>
              <w:bottom w:val="single" w:color="auto" w:sz="4" w:space="0"/>
              <w:right w:val="single" w:color="auto" w:sz="12" w:space="0"/>
            </w:tcBorders>
            <w:vAlign w:val="center"/>
          </w:tcPr>
          <w:p w14:paraId="67B49F9B">
            <w:pPr>
              <w:spacing w:line="240" w:lineRule="auto"/>
              <w:ind w:firstLine="0" w:firstLineChars="0"/>
              <w:jc w:val="center"/>
              <w:rPr>
                <w:rFonts w:cs="Times New Roman"/>
                <w:sz w:val="21"/>
              </w:rPr>
            </w:pPr>
            <w:r>
              <w:rPr>
                <w:rFonts w:hint="eastAsia" w:cs="Times New Roman"/>
                <w:sz w:val="21"/>
              </w:rPr>
              <w:t>相符</w:t>
            </w:r>
          </w:p>
        </w:tc>
      </w:tr>
      <w:tr w14:paraId="5845A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5473" w:type="dxa"/>
            <w:vMerge w:val="continue"/>
            <w:tcBorders>
              <w:top w:val="single" w:color="auto" w:sz="4" w:space="0"/>
              <w:left w:val="single" w:color="auto" w:sz="12" w:space="0"/>
              <w:bottom w:val="single" w:color="auto" w:sz="4" w:space="0"/>
              <w:right w:val="single" w:color="auto" w:sz="4" w:space="0"/>
            </w:tcBorders>
            <w:vAlign w:val="center"/>
          </w:tcPr>
          <w:p w14:paraId="62E3EDCE">
            <w:pPr>
              <w:widowControl/>
              <w:wordWrap/>
              <w:topLinePunct w:val="0"/>
              <w:adjustRightInd/>
              <w:snapToGrid/>
              <w:spacing w:line="240" w:lineRule="auto"/>
              <w:ind w:firstLine="0" w:firstLineChars="0"/>
              <w:jc w:val="left"/>
              <w:rPr>
                <w:rFonts w:cs="Times New Roman"/>
                <w:sz w:val="21"/>
              </w:rPr>
            </w:pPr>
          </w:p>
        </w:tc>
        <w:tc>
          <w:tcPr>
            <w:tcW w:w="4718" w:type="dxa"/>
            <w:tcBorders>
              <w:top w:val="single" w:color="auto" w:sz="4" w:space="0"/>
              <w:left w:val="single" w:color="auto" w:sz="4" w:space="0"/>
              <w:bottom w:val="single" w:color="auto" w:sz="4" w:space="0"/>
              <w:right w:val="single" w:color="auto" w:sz="4" w:space="0"/>
            </w:tcBorders>
            <w:vAlign w:val="center"/>
          </w:tcPr>
          <w:p w14:paraId="14C4C71A">
            <w:pPr>
              <w:spacing w:line="240" w:lineRule="auto"/>
              <w:ind w:firstLine="0" w:firstLineChars="0"/>
              <w:rPr>
                <w:rFonts w:cs="Times New Roman"/>
                <w:sz w:val="21"/>
              </w:rPr>
            </w:pPr>
            <w:r>
              <w:rPr>
                <w:rFonts w:hint="eastAsia" w:cs="Times New Roman"/>
                <w:sz w:val="21"/>
              </w:rPr>
              <w:t>宜采用安装除尘装置，湿式作业，个体防护等措施，防治凿岩、铲装、运输等采矿作业中的粉尘污染</w:t>
            </w:r>
          </w:p>
        </w:tc>
        <w:tc>
          <w:tcPr>
            <w:tcW w:w="7964" w:type="dxa"/>
            <w:tcBorders>
              <w:top w:val="single" w:color="auto" w:sz="4" w:space="0"/>
              <w:left w:val="single" w:color="auto" w:sz="4" w:space="0"/>
              <w:bottom w:val="single" w:color="auto" w:sz="4" w:space="0"/>
              <w:right w:val="single" w:color="auto" w:sz="4" w:space="0"/>
            </w:tcBorders>
            <w:vAlign w:val="center"/>
          </w:tcPr>
          <w:p w14:paraId="0FB3368E">
            <w:pPr>
              <w:spacing w:line="240" w:lineRule="auto"/>
              <w:ind w:firstLine="0" w:firstLineChars="0"/>
              <w:rPr>
                <w:rFonts w:cs="Times New Roman"/>
                <w:sz w:val="21"/>
              </w:rPr>
            </w:pPr>
            <w:r>
              <w:rPr>
                <w:rFonts w:hint="eastAsia" w:cs="Times New Roman"/>
                <w:sz w:val="21"/>
              </w:rPr>
              <w:t>开采采用湿式作业、喷雾洒水等除尘等措施。</w:t>
            </w:r>
          </w:p>
        </w:tc>
        <w:tc>
          <w:tcPr>
            <w:tcW w:w="737" w:type="dxa"/>
            <w:tcBorders>
              <w:top w:val="single" w:color="auto" w:sz="4" w:space="0"/>
              <w:left w:val="single" w:color="auto" w:sz="4" w:space="0"/>
              <w:bottom w:val="single" w:color="auto" w:sz="4" w:space="0"/>
              <w:right w:val="single" w:color="auto" w:sz="12" w:space="0"/>
            </w:tcBorders>
            <w:vAlign w:val="center"/>
          </w:tcPr>
          <w:p w14:paraId="1127EB32">
            <w:pPr>
              <w:spacing w:line="240" w:lineRule="auto"/>
              <w:ind w:firstLine="0" w:firstLineChars="0"/>
              <w:jc w:val="center"/>
              <w:rPr>
                <w:rFonts w:cs="Times New Roman"/>
                <w:sz w:val="21"/>
              </w:rPr>
            </w:pPr>
            <w:r>
              <w:rPr>
                <w:rFonts w:hint="eastAsia" w:cs="Times New Roman"/>
                <w:sz w:val="21"/>
              </w:rPr>
              <w:t>相符</w:t>
            </w:r>
          </w:p>
        </w:tc>
      </w:tr>
      <w:tr w14:paraId="062B8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755" w:type="dxa"/>
            <w:tcBorders>
              <w:top w:val="single" w:color="auto" w:sz="4" w:space="0"/>
              <w:left w:val="single" w:color="auto" w:sz="12" w:space="0"/>
              <w:bottom w:val="single" w:color="auto" w:sz="4" w:space="0"/>
              <w:right w:val="single" w:color="auto" w:sz="4" w:space="0"/>
            </w:tcBorders>
            <w:vAlign w:val="center"/>
          </w:tcPr>
          <w:p w14:paraId="71E2C05E">
            <w:pPr>
              <w:spacing w:line="240" w:lineRule="auto"/>
              <w:ind w:firstLine="0" w:firstLineChars="0"/>
              <w:jc w:val="center"/>
              <w:rPr>
                <w:rFonts w:cs="Times New Roman"/>
                <w:sz w:val="21"/>
              </w:rPr>
            </w:pPr>
            <w:r>
              <w:rPr>
                <w:rFonts w:hint="eastAsia" w:cs="Times New Roman"/>
                <w:sz w:val="21"/>
              </w:rPr>
              <w:t>固体废物贮存和综合利用</w:t>
            </w:r>
          </w:p>
        </w:tc>
        <w:tc>
          <w:tcPr>
            <w:tcW w:w="4718" w:type="dxa"/>
            <w:tcBorders>
              <w:top w:val="single" w:color="auto" w:sz="4" w:space="0"/>
              <w:left w:val="single" w:color="auto" w:sz="4" w:space="0"/>
              <w:bottom w:val="single" w:color="auto" w:sz="4" w:space="0"/>
              <w:right w:val="single" w:color="auto" w:sz="4" w:space="0"/>
            </w:tcBorders>
            <w:vAlign w:val="center"/>
          </w:tcPr>
          <w:p w14:paraId="54351042">
            <w:pPr>
              <w:spacing w:line="240" w:lineRule="auto"/>
              <w:ind w:firstLine="0" w:firstLineChars="0"/>
              <w:rPr>
                <w:rFonts w:cs="Times New Roman"/>
                <w:sz w:val="21"/>
              </w:rPr>
            </w:pPr>
            <w:r>
              <w:rPr>
                <w:rFonts w:hint="eastAsia" w:cs="Times New Roman"/>
                <w:sz w:val="21"/>
              </w:rPr>
              <w:t>对采矿活动所产生的固体废物，应使用专用场所堆放，并采取有效措施防止二次环境污染及诱发次生地质灾害。大力推广采矿固体废物的综合利用技术。</w:t>
            </w:r>
          </w:p>
        </w:tc>
        <w:tc>
          <w:tcPr>
            <w:tcW w:w="7964" w:type="dxa"/>
            <w:tcBorders>
              <w:top w:val="single" w:color="auto" w:sz="4" w:space="0"/>
              <w:left w:val="single" w:color="auto" w:sz="4" w:space="0"/>
              <w:bottom w:val="single" w:color="auto" w:sz="4" w:space="0"/>
              <w:right w:val="single" w:color="auto" w:sz="4" w:space="0"/>
            </w:tcBorders>
            <w:vAlign w:val="center"/>
          </w:tcPr>
          <w:p w14:paraId="097695F3">
            <w:pPr>
              <w:spacing w:line="240" w:lineRule="auto"/>
              <w:ind w:firstLine="0" w:firstLineChars="0"/>
              <w:rPr>
                <w:rFonts w:cs="Times New Roman"/>
                <w:sz w:val="21"/>
              </w:rPr>
            </w:pPr>
            <w:r>
              <w:rPr>
                <w:rFonts w:hint="eastAsia" w:cs="Times New Roman"/>
                <w:sz w:val="21"/>
              </w:rPr>
              <w:t>本项目采用水溶法开采井盐，采矿活动无固体废物产生。</w:t>
            </w:r>
          </w:p>
        </w:tc>
        <w:tc>
          <w:tcPr>
            <w:tcW w:w="737" w:type="dxa"/>
            <w:tcBorders>
              <w:top w:val="single" w:color="auto" w:sz="4" w:space="0"/>
              <w:left w:val="single" w:color="auto" w:sz="4" w:space="0"/>
              <w:bottom w:val="single" w:color="auto" w:sz="4" w:space="0"/>
              <w:right w:val="single" w:color="auto" w:sz="12" w:space="0"/>
            </w:tcBorders>
            <w:vAlign w:val="center"/>
          </w:tcPr>
          <w:p w14:paraId="52733D65">
            <w:pPr>
              <w:spacing w:line="240" w:lineRule="auto"/>
              <w:ind w:firstLine="0" w:firstLineChars="0"/>
              <w:jc w:val="center"/>
              <w:rPr>
                <w:rFonts w:cs="Times New Roman"/>
                <w:sz w:val="21"/>
              </w:rPr>
            </w:pPr>
            <w:r>
              <w:rPr>
                <w:rFonts w:hint="eastAsia" w:cs="Times New Roman"/>
                <w:sz w:val="21"/>
              </w:rPr>
              <w:t>相符</w:t>
            </w:r>
          </w:p>
        </w:tc>
      </w:tr>
      <w:tr w14:paraId="15DE0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755" w:type="dxa"/>
            <w:vMerge w:val="restart"/>
            <w:tcBorders>
              <w:top w:val="single" w:color="auto" w:sz="4" w:space="0"/>
              <w:left w:val="single" w:color="auto" w:sz="12" w:space="0"/>
              <w:bottom w:val="single" w:color="auto" w:sz="12" w:space="0"/>
              <w:right w:val="single" w:color="auto" w:sz="4" w:space="0"/>
            </w:tcBorders>
            <w:vAlign w:val="center"/>
          </w:tcPr>
          <w:p w14:paraId="294A0369">
            <w:pPr>
              <w:spacing w:line="240" w:lineRule="auto"/>
              <w:ind w:firstLine="0" w:firstLineChars="0"/>
              <w:jc w:val="center"/>
              <w:rPr>
                <w:rFonts w:cs="Times New Roman"/>
                <w:sz w:val="21"/>
              </w:rPr>
            </w:pPr>
            <w:r>
              <w:rPr>
                <w:rFonts w:hint="eastAsia" w:cs="Times New Roman"/>
                <w:sz w:val="21"/>
              </w:rPr>
              <w:t>废弃地复垦</w:t>
            </w:r>
          </w:p>
        </w:tc>
        <w:tc>
          <w:tcPr>
            <w:tcW w:w="4718" w:type="dxa"/>
            <w:tcBorders>
              <w:top w:val="single" w:color="auto" w:sz="4" w:space="0"/>
              <w:left w:val="single" w:color="auto" w:sz="4" w:space="0"/>
              <w:bottom w:val="single" w:color="auto" w:sz="4" w:space="0"/>
              <w:right w:val="single" w:color="auto" w:sz="4" w:space="0"/>
            </w:tcBorders>
            <w:vAlign w:val="center"/>
          </w:tcPr>
          <w:p w14:paraId="2B5CE536">
            <w:pPr>
              <w:spacing w:line="240" w:lineRule="auto"/>
              <w:ind w:firstLine="0" w:firstLineChars="0"/>
              <w:rPr>
                <w:rFonts w:cs="Times New Roman"/>
                <w:sz w:val="21"/>
              </w:rPr>
            </w:pPr>
            <w:r>
              <w:rPr>
                <w:rFonts w:hint="eastAsia" w:cs="Times New Roman"/>
                <w:sz w:val="21"/>
              </w:rPr>
              <w:t>矿山开采企业应将废弃地复垦纳入矿山日常生产与管理，提倡采用采（选）矿</w:t>
            </w:r>
            <w:r>
              <w:rPr>
                <w:rFonts w:cs="Times New Roman"/>
                <w:sz w:val="21"/>
              </w:rPr>
              <w:t>—</w:t>
            </w:r>
            <w:r>
              <w:rPr>
                <w:rFonts w:hint="eastAsia" w:cs="Times New Roman"/>
                <w:sz w:val="21"/>
              </w:rPr>
              <w:t>排土（尾）</w:t>
            </w:r>
            <w:r>
              <w:rPr>
                <w:rFonts w:cs="Times New Roman"/>
                <w:sz w:val="21"/>
              </w:rPr>
              <w:t>—</w:t>
            </w:r>
            <w:r>
              <w:rPr>
                <w:rFonts w:hint="eastAsia" w:cs="Times New Roman"/>
                <w:sz w:val="21"/>
              </w:rPr>
              <w:t>造地</w:t>
            </w:r>
            <w:r>
              <w:rPr>
                <w:rFonts w:cs="Times New Roman"/>
                <w:sz w:val="21"/>
              </w:rPr>
              <w:t>—</w:t>
            </w:r>
            <w:r>
              <w:rPr>
                <w:rFonts w:hint="eastAsia" w:cs="Times New Roman"/>
                <w:sz w:val="21"/>
              </w:rPr>
              <w:t>复垦一体化技术。</w:t>
            </w:r>
            <w:r>
              <w:rPr>
                <w:rFonts w:cs="Times New Roman"/>
                <w:sz w:val="21"/>
              </w:rPr>
              <w:t>”</w:t>
            </w:r>
          </w:p>
        </w:tc>
        <w:tc>
          <w:tcPr>
            <w:tcW w:w="7964" w:type="dxa"/>
            <w:vMerge w:val="restart"/>
            <w:tcBorders>
              <w:top w:val="single" w:color="auto" w:sz="4" w:space="0"/>
              <w:left w:val="single" w:color="auto" w:sz="4" w:space="0"/>
              <w:bottom w:val="single" w:color="auto" w:sz="12" w:space="0"/>
              <w:right w:val="single" w:color="auto" w:sz="4" w:space="0"/>
            </w:tcBorders>
            <w:vAlign w:val="center"/>
          </w:tcPr>
          <w:p w14:paraId="0F468FA3">
            <w:pPr>
              <w:spacing w:line="240" w:lineRule="auto"/>
              <w:ind w:firstLine="0" w:firstLineChars="0"/>
              <w:rPr>
                <w:rFonts w:cs="Times New Roman"/>
                <w:sz w:val="21"/>
              </w:rPr>
            </w:pPr>
            <w:r>
              <w:rPr>
                <w:rFonts w:hint="eastAsia" w:cs="Times New Roman"/>
                <w:sz w:val="21"/>
              </w:rPr>
              <w:t>本项目属于岩盐开采项目，项目主体工程为卤井及采卤场，建设单位已编制《湖南省衡阳建滔化工有限公司岩盐矿矿山地质环境保护与恢复治理（含土地复垦）方案》，积极进行生态恢复。</w:t>
            </w:r>
          </w:p>
        </w:tc>
        <w:tc>
          <w:tcPr>
            <w:tcW w:w="737" w:type="dxa"/>
            <w:tcBorders>
              <w:top w:val="single" w:color="auto" w:sz="4" w:space="0"/>
              <w:left w:val="single" w:color="auto" w:sz="4" w:space="0"/>
              <w:bottom w:val="single" w:color="auto" w:sz="4" w:space="0"/>
              <w:right w:val="single" w:color="auto" w:sz="12" w:space="0"/>
            </w:tcBorders>
            <w:vAlign w:val="center"/>
          </w:tcPr>
          <w:p w14:paraId="7FA13D7B">
            <w:pPr>
              <w:spacing w:line="240" w:lineRule="auto"/>
              <w:ind w:firstLine="0" w:firstLineChars="0"/>
              <w:jc w:val="center"/>
              <w:rPr>
                <w:rFonts w:cs="Times New Roman"/>
                <w:sz w:val="21"/>
              </w:rPr>
            </w:pPr>
            <w:r>
              <w:rPr>
                <w:rFonts w:hint="eastAsia" w:cs="Times New Roman"/>
                <w:sz w:val="21"/>
              </w:rPr>
              <w:t>相符</w:t>
            </w:r>
          </w:p>
        </w:tc>
      </w:tr>
      <w:tr w14:paraId="5D5F2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510" w:hRule="atLeast"/>
          <w:jc w:val="center"/>
        </w:trPr>
        <w:tc>
          <w:tcPr>
            <w:tcW w:w="5473" w:type="dxa"/>
            <w:vMerge w:val="continue"/>
            <w:tcBorders>
              <w:top w:val="single" w:color="auto" w:sz="4" w:space="0"/>
              <w:left w:val="single" w:color="auto" w:sz="12" w:space="0"/>
              <w:bottom w:val="single" w:color="auto" w:sz="12" w:space="0"/>
              <w:right w:val="single" w:color="auto" w:sz="4" w:space="0"/>
            </w:tcBorders>
            <w:vAlign w:val="center"/>
          </w:tcPr>
          <w:p w14:paraId="765924CB">
            <w:pPr>
              <w:widowControl/>
              <w:wordWrap/>
              <w:topLinePunct w:val="0"/>
              <w:adjustRightInd/>
              <w:snapToGrid/>
              <w:spacing w:line="240" w:lineRule="auto"/>
              <w:ind w:firstLine="0" w:firstLineChars="0"/>
              <w:jc w:val="left"/>
              <w:rPr>
                <w:rFonts w:cs="Times New Roman"/>
                <w:sz w:val="21"/>
              </w:rPr>
            </w:pPr>
          </w:p>
        </w:tc>
        <w:tc>
          <w:tcPr>
            <w:tcW w:w="4718" w:type="dxa"/>
            <w:tcBorders>
              <w:top w:val="single" w:color="auto" w:sz="4" w:space="0"/>
              <w:left w:val="single" w:color="auto" w:sz="4" w:space="0"/>
              <w:bottom w:val="single" w:color="auto" w:sz="12" w:space="0"/>
              <w:right w:val="single" w:color="auto" w:sz="4" w:space="0"/>
            </w:tcBorders>
            <w:vAlign w:val="center"/>
          </w:tcPr>
          <w:p w14:paraId="0AF6E72E">
            <w:pPr>
              <w:spacing w:line="240" w:lineRule="auto"/>
              <w:ind w:firstLine="0" w:firstLineChars="0"/>
              <w:rPr>
                <w:rFonts w:cs="Times New Roman"/>
                <w:sz w:val="21"/>
              </w:rPr>
            </w:pPr>
            <w:r>
              <w:rPr>
                <w:rFonts w:hint="eastAsia" w:cs="Times New Roman"/>
                <w:sz w:val="21"/>
              </w:rPr>
              <w:t>矿山生产过程中应采取种植植物和覆盖等复垦措施，对露天坑、排土场、尾矿库等永久性坡面进行稳定化处理，防止水土流失和滑坡。排土场、尾矿库、矸石山等固废堆场服务期满后，应及时封场和复垦，防止水土流失及风蚀扬尘等。</w:t>
            </w:r>
          </w:p>
        </w:tc>
        <w:tc>
          <w:tcPr>
            <w:tcW w:w="7964" w:type="dxa"/>
            <w:vMerge w:val="continue"/>
            <w:tcBorders>
              <w:top w:val="single" w:color="auto" w:sz="4" w:space="0"/>
              <w:left w:val="single" w:color="auto" w:sz="4" w:space="0"/>
              <w:bottom w:val="single" w:color="auto" w:sz="12" w:space="0"/>
              <w:right w:val="single" w:color="auto" w:sz="4" w:space="0"/>
            </w:tcBorders>
            <w:vAlign w:val="center"/>
          </w:tcPr>
          <w:p w14:paraId="1AF9AEE0">
            <w:pPr>
              <w:widowControl/>
              <w:wordWrap/>
              <w:topLinePunct w:val="0"/>
              <w:adjustRightInd/>
              <w:snapToGrid/>
              <w:spacing w:line="240" w:lineRule="auto"/>
              <w:ind w:firstLine="0" w:firstLineChars="0"/>
              <w:jc w:val="left"/>
              <w:rPr>
                <w:rFonts w:cs="Times New Roman"/>
                <w:sz w:val="21"/>
              </w:rPr>
            </w:pPr>
          </w:p>
        </w:tc>
        <w:tc>
          <w:tcPr>
            <w:tcW w:w="737" w:type="dxa"/>
            <w:tcBorders>
              <w:top w:val="single" w:color="auto" w:sz="4" w:space="0"/>
              <w:left w:val="single" w:color="auto" w:sz="4" w:space="0"/>
              <w:bottom w:val="single" w:color="auto" w:sz="12" w:space="0"/>
              <w:right w:val="single" w:color="auto" w:sz="12" w:space="0"/>
            </w:tcBorders>
            <w:vAlign w:val="center"/>
          </w:tcPr>
          <w:p w14:paraId="48BA5331">
            <w:pPr>
              <w:spacing w:line="240" w:lineRule="auto"/>
              <w:ind w:firstLine="0" w:firstLineChars="0"/>
              <w:jc w:val="center"/>
              <w:rPr>
                <w:rFonts w:cs="Times New Roman"/>
                <w:sz w:val="21"/>
              </w:rPr>
            </w:pPr>
            <w:r>
              <w:rPr>
                <w:rFonts w:hint="eastAsia" w:cs="Times New Roman"/>
                <w:sz w:val="21"/>
              </w:rPr>
              <w:t>相符</w:t>
            </w:r>
          </w:p>
        </w:tc>
      </w:tr>
    </w:tbl>
    <w:p w14:paraId="38C8F5A9">
      <w:pPr>
        <w:ind w:firstLine="480"/>
        <w:rPr>
          <w:rFonts w:cs="Arial"/>
        </w:rPr>
      </w:pPr>
    </w:p>
    <w:p w14:paraId="6DE2DE90">
      <w:pPr>
        <w:widowControl/>
        <w:wordWrap/>
        <w:topLinePunct w:val="0"/>
        <w:adjustRightInd/>
        <w:snapToGrid/>
        <w:ind w:firstLine="0" w:firstLineChars="0"/>
        <w:jc w:val="left"/>
        <w:rPr>
          <w:rFonts w:cs="Arial"/>
        </w:rPr>
        <w:sectPr>
          <w:pgSz w:w="16838" w:h="11906" w:orient="landscape"/>
          <w:pgMar w:top="1797" w:right="1440" w:bottom="1797" w:left="1440" w:header="851" w:footer="992" w:gutter="0"/>
          <w:cols w:space="720" w:num="1"/>
          <w:docGrid w:type="linesAndChars" w:linePitch="312" w:charSpace="0"/>
        </w:sectPr>
      </w:pPr>
    </w:p>
    <w:p w14:paraId="6FD3ABCD">
      <w:pPr>
        <w:keepLines/>
        <w:ind w:firstLine="0" w:firstLineChars="0"/>
        <w:jc w:val="center"/>
        <w:outlineLvl w:val="4"/>
        <w:rPr>
          <w:rFonts w:cs="Times New Roman"/>
          <w:b/>
          <w:bCs/>
          <w:sz w:val="21"/>
          <w:szCs w:val="28"/>
        </w:rPr>
      </w:pPr>
      <w:r>
        <w:rPr>
          <w:rFonts w:hint="eastAsia" w:cs="Times New Roman"/>
          <w:b/>
          <w:bCs/>
          <w:sz w:val="21"/>
          <w:szCs w:val="28"/>
        </w:rPr>
        <w:t>表</w:t>
      </w:r>
      <w:r>
        <w:rPr>
          <w:rFonts w:cs="Times New Roman"/>
          <w:b/>
          <w:bCs/>
          <w:sz w:val="21"/>
          <w:szCs w:val="28"/>
        </w:rPr>
        <w:t xml:space="preserve">1.4-4 </w:t>
      </w:r>
      <w:r>
        <w:rPr>
          <w:rFonts w:hint="eastAsia" w:cs="Times New Roman"/>
          <w:b/>
          <w:bCs/>
          <w:sz w:val="21"/>
          <w:szCs w:val="28"/>
        </w:rPr>
        <w:t>与《矿山生态环境保护与恢复治理技术规范（试行）》符合性分析</w:t>
      </w:r>
    </w:p>
    <w:tbl>
      <w:tblPr>
        <w:tblStyle w:val="29"/>
        <w:tblW w:w="139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1217"/>
        <w:gridCol w:w="6286"/>
        <w:gridCol w:w="5712"/>
        <w:gridCol w:w="735"/>
      </w:tblGrid>
      <w:tr w14:paraId="33840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tblHeader/>
          <w:jc w:val="center"/>
        </w:trPr>
        <w:tc>
          <w:tcPr>
            <w:tcW w:w="7502" w:type="dxa"/>
            <w:gridSpan w:val="2"/>
            <w:tcBorders>
              <w:top w:val="single" w:color="auto" w:sz="12" w:space="0"/>
              <w:left w:val="single" w:color="auto" w:sz="12" w:space="0"/>
              <w:bottom w:val="single" w:color="auto" w:sz="4" w:space="0"/>
              <w:right w:val="single" w:color="auto" w:sz="4" w:space="0"/>
            </w:tcBorders>
            <w:vAlign w:val="center"/>
          </w:tcPr>
          <w:p w14:paraId="226E94EE">
            <w:pPr>
              <w:spacing w:line="240" w:lineRule="auto"/>
              <w:ind w:firstLine="0" w:firstLineChars="0"/>
              <w:jc w:val="center"/>
              <w:rPr>
                <w:rFonts w:cs="Times New Roman"/>
                <w:sz w:val="21"/>
              </w:rPr>
            </w:pPr>
            <w:r>
              <w:rPr>
                <w:rFonts w:hint="eastAsia" w:cs="Times New Roman"/>
                <w:sz w:val="21"/>
              </w:rPr>
              <w:t>《矿山生态环境保护与恢复治理技术规范（试行）》（</w:t>
            </w:r>
            <w:r>
              <w:rPr>
                <w:rFonts w:cs="Times New Roman"/>
                <w:sz w:val="21"/>
              </w:rPr>
              <w:t>HJ651-2013</w:t>
            </w:r>
            <w:r>
              <w:rPr>
                <w:rFonts w:hint="eastAsia" w:cs="Times New Roman"/>
                <w:sz w:val="21"/>
              </w:rPr>
              <w:t>）的相关要点</w:t>
            </w:r>
          </w:p>
        </w:tc>
        <w:tc>
          <w:tcPr>
            <w:tcW w:w="5711" w:type="dxa"/>
            <w:tcBorders>
              <w:top w:val="single" w:color="auto" w:sz="12" w:space="0"/>
              <w:left w:val="single" w:color="auto" w:sz="4" w:space="0"/>
              <w:bottom w:val="single" w:color="auto" w:sz="4" w:space="0"/>
              <w:right w:val="single" w:color="auto" w:sz="4" w:space="0"/>
            </w:tcBorders>
            <w:vAlign w:val="center"/>
          </w:tcPr>
          <w:p w14:paraId="1FA8129E">
            <w:pPr>
              <w:spacing w:line="240" w:lineRule="auto"/>
              <w:ind w:firstLine="0" w:firstLineChars="0"/>
              <w:jc w:val="center"/>
              <w:rPr>
                <w:rFonts w:cs="Times New Roman"/>
                <w:sz w:val="21"/>
              </w:rPr>
            </w:pPr>
            <w:r>
              <w:rPr>
                <w:rFonts w:hint="eastAsia" w:cs="Times New Roman"/>
                <w:sz w:val="21"/>
              </w:rPr>
              <w:t>拟建项目设计要点</w:t>
            </w:r>
          </w:p>
        </w:tc>
        <w:tc>
          <w:tcPr>
            <w:tcW w:w="735" w:type="dxa"/>
            <w:tcBorders>
              <w:top w:val="single" w:color="auto" w:sz="12" w:space="0"/>
              <w:left w:val="single" w:color="auto" w:sz="4" w:space="0"/>
              <w:bottom w:val="single" w:color="auto" w:sz="4" w:space="0"/>
              <w:right w:val="single" w:color="auto" w:sz="12" w:space="0"/>
            </w:tcBorders>
            <w:vAlign w:val="center"/>
          </w:tcPr>
          <w:p w14:paraId="49D6EC16">
            <w:pPr>
              <w:spacing w:line="240" w:lineRule="auto"/>
              <w:ind w:firstLine="0" w:firstLineChars="0"/>
              <w:jc w:val="center"/>
              <w:rPr>
                <w:rFonts w:cs="Times New Roman"/>
                <w:sz w:val="21"/>
              </w:rPr>
            </w:pPr>
            <w:r>
              <w:rPr>
                <w:rFonts w:hint="eastAsia" w:cs="Times New Roman"/>
                <w:sz w:val="21"/>
              </w:rPr>
              <w:t>相符性</w:t>
            </w:r>
          </w:p>
        </w:tc>
      </w:tr>
      <w:tr w14:paraId="0C65B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17" w:type="dxa"/>
            <w:vMerge w:val="restart"/>
            <w:tcBorders>
              <w:top w:val="single" w:color="auto" w:sz="4" w:space="0"/>
              <w:left w:val="single" w:color="auto" w:sz="12" w:space="0"/>
              <w:bottom w:val="single" w:color="auto" w:sz="4" w:space="0"/>
              <w:right w:val="single" w:color="auto" w:sz="4" w:space="0"/>
            </w:tcBorders>
            <w:vAlign w:val="center"/>
          </w:tcPr>
          <w:p w14:paraId="74127044">
            <w:pPr>
              <w:spacing w:line="240" w:lineRule="auto"/>
              <w:ind w:firstLine="0" w:firstLineChars="0"/>
              <w:jc w:val="center"/>
              <w:rPr>
                <w:rFonts w:cs="Times New Roman"/>
                <w:sz w:val="21"/>
              </w:rPr>
            </w:pPr>
            <w:r>
              <w:rPr>
                <w:rFonts w:hint="eastAsia" w:cs="Times New Roman"/>
                <w:sz w:val="21"/>
              </w:rPr>
              <w:t>一般要求</w:t>
            </w:r>
          </w:p>
        </w:tc>
        <w:tc>
          <w:tcPr>
            <w:tcW w:w="6285" w:type="dxa"/>
            <w:tcBorders>
              <w:top w:val="single" w:color="auto" w:sz="4" w:space="0"/>
              <w:left w:val="single" w:color="auto" w:sz="4" w:space="0"/>
              <w:bottom w:val="single" w:color="auto" w:sz="4" w:space="0"/>
              <w:right w:val="single" w:color="auto" w:sz="4" w:space="0"/>
            </w:tcBorders>
            <w:vAlign w:val="center"/>
          </w:tcPr>
          <w:p w14:paraId="51E54326">
            <w:pPr>
              <w:spacing w:line="240" w:lineRule="auto"/>
              <w:ind w:firstLine="0" w:firstLineChars="0"/>
              <w:jc w:val="center"/>
              <w:rPr>
                <w:rFonts w:cs="Times New Roman"/>
                <w:sz w:val="21"/>
              </w:rPr>
            </w:pPr>
            <w:r>
              <w:rPr>
                <w:rFonts w:hint="eastAsia" w:cs="Times New Roman"/>
                <w:sz w:val="21"/>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5711" w:type="dxa"/>
            <w:tcBorders>
              <w:top w:val="single" w:color="auto" w:sz="4" w:space="0"/>
              <w:left w:val="single" w:color="auto" w:sz="4" w:space="0"/>
              <w:bottom w:val="single" w:color="auto" w:sz="4" w:space="0"/>
              <w:right w:val="single" w:color="auto" w:sz="4" w:space="0"/>
            </w:tcBorders>
            <w:vAlign w:val="center"/>
          </w:tcPr>
          <w:p w14:paraId="7A2E1E5C">
            <w:pPr>
              <w:spacing w:line="240" w:lineRule="auto"/>
              <w:ind w:firstLine="0" w:firstLineChars="0"/>
              <w:jc w:val="center"/>
              <w:rPr>
                <w:rFonts w:cs="Times New Roman"/>
                <w:sz w:val="21"/>
              </w:rPr>
            </w:pPr>
            <w:r>
              <w:rPr>
                <w:rFonts w:hint="eastAsia" w:cs="Times New Roman"/>
                <w:sz w:val="21"/>
              </w:rPr>
              <w:t>本项目为井下开采，项目矿区不涉及生态敏感区，不会对重要道路、航道两侧及重要生态环境敏感目标造成景观破坏。</w:t>
            </w:r>
          </w:p>
        </w:tc>
        <w:tc>
          <w:tcPr>
            <w:tcW w:w="735" w:type="dxa"/>
            <w:tcBorders>
              <w:top w:val="single" w:color="auto" w:sz="4" w:space="0"/>
              <w:left w:val="single" w:color="auto" w:sz="4" w:space="0"/>
              <w:bottom w:val="single" w:color="auto" w:sz="4" w:space="0"/>
              <w:right w:val="single" w:color="auto" w:sz="12" w:space="0"/>
            </w:tcBorders>
            <w:vAlign w:val="center"/>
          </w:tcPr>
          <w:p w14:paraId="77984184">
            <w:pPr>
              <w:spacing w:line="240" w:lineRule="auto"/>
              <w:ind w:firstLine="0" w:firstLineChars="0"/>
              <w:jc w:val="center"/>
              <w:rPr>
                <w:rFonts w:cs="Times New Roman"/>
                <w:sz w:val="21"/>
              </w:rPr>
            </w:pPr>
            <w:r>
              <w:rPr>
                <w:rFonts w:hint="eastAsia" w:cs="Times New Roman"/>
                <w:sz w:val="21"/>
              </w:rPr>
              <w:t>相符</w:t>
            </w:r>
          </w:p>
        </w:tc>
      </w:tr>
      <w:tr w14:paraId="1D32A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7502" w:type="dxa"/>
            <w:vMerge w:val="continue"/>
            <w:tcBorders>
              <w:top w:val="single" w:color="auto" w:sz="4" w:space="0"/>
              <w:left w:val="single" w:color="auto" w:sz="12" w:space="0"/>
              <w:bottom w:val="single" w:color="auto" w:sz="4" w:space="0"/>
              <w:right w:val="single" w:color="auto" w:sz="4" w:space="0"/>
            </w:tcBorders>
            <w:vAlign w:val="center"/>
          </w:tcPr>
          <w:p w14:paraId="2B10E1DC">
            <w:pPr>
              <w:widowControl/>
              <w:wordWrap/>
              <w:topLinePunct w:val="0"/>
              <w:adjustRightInd/>
              <w:snapToGrid/>
              <w:spacing w:line="240" w:lineRule="auto"/>
              <w:ind w:firstLine="0" w:firstLineChars="0"/>
              <w:jc w:val="left"/>
              <w:rPr>
                <w:rFonts w:cs="Times New Roman"/>
                <w:sz w:val="21"/>
              </w:rPr>
            </w:pPr>
          </w:p>
        </w:tc>
        <w:tc>
          <w:tcPr>
            <w:tcW w:w="6285" w:type="dxa"/>
            <w:tcBorders>
              <w:top w:val="single" w:color="auto" w:sz="4" w:space="0"/>
              <w:left w:val="single" w:color="auto" w:sz="4" w:space="0"/>
              <w:bottom w:val="single" w:color="auto" w:sz="4" w:space="0"/>
              <w:right w:val="single" w:color="auto" w:sz="4" w:space="0"/>
            </w:tcBorders>
            <w:vAlign w:val="center"/>
          </w:tcPr>
          <w:p w14:paraId="2FB2DCC6">
            <w:pPr>
              <w:spacing w:line="240" w:lineRule="auto"/>
              <w:ind w:firstLine="0" w:firstLineChars="0"/>
              <w:jc w:val="center"/>
              <w:rPr>
                <w:rFonts w:cs="Times New Roman"/>
                <w:sz w:val="21"/>
              </w:rPr>
            </w:pPr>
            <w:r>
              <w:rPr>
                <w:rFonts w:hint="eastAsia" w:cs="Times New Roman"/>
                <w:sz w:val="21"/>
              </w:rPr>
              <w:t>矿产资源开发活动应符合国家和区域主体功能区规划、生态功能区划、生态环境保护规划的要求，采取有效预防和保护措施，避免或减轻矿产资源开发活动造成的生态破坏和环境污染。</w:t>
            </w:r>
          </w:p>
        </w:tc>
        <w:tc>
          <w:tcPr>
            <w:tcW w:w="5711" w:type="dxa"/>
            <w:tcBorders>
              <w:top w:val="single" w:color="auto" w:sz="4" w:space="0"/>
              <w:left w:val="single" w:color="auto" w:sz="4" w:space="0"/>
              <w:bottom w:val="single" w:color="auto" w:sz="4" w:space="0"/>
              <w:right w:val="single" w:color="auto" w:sz="4" w:space="0"/>
            </w:tcBorders>
            <w:vAlign w:val="center"/>
          </w:tcPr>
          <w:p w14:paraId="683FEA71">
            <w:pPr>
              <w:spacing w:line="240" w:lineRule="auto"/>
              <w:ind w:firstLine="0" w:firstLineChars="0"/>
              <w:jc w:val="center"/>
              <w:rPr>
                <w:rFonts w:cs="Times New Roman"/>
                <w:sz w:val="21"/>
              </w:rPr>
            </w:pPr>
            <w:r>
              <w:rPr>
                <w:rFonts w:hint="eastAsia" w:cs="Times New Roman"/>
                <w:sz w:val="21"/>
              </w:rPr>
              <w:t>项目符合国家和当地的生态功能规划、主体功能规划、环境功能规划。采取有效预防和保护措施。</w:t>
            </w:r>
          </w:p>
        </w:tc>
        <w:tc>
          <w:tcPr>
            <w:tcW w:w="735" w:type="dxa"/>
            <w:tcBorders>
              <w:top w:val="single" w:color="auto" w:sz="4" w:space="0"/>
              <w:left w:val="single" w:color="auto" w:sz="4" w:space="0"/>
              <w:bottom w:val="single" w:color="auto" w:sz="4" w:space="0"/>
              <w:right w:val="single" w:color="auto" w:sz="12" w:space="0"/>
            </w:tcBorders>
            <w:vAlign w:val="center"/>
          </w:tcPr>
          <w:p w14:paraId="7D2E0974">
            <w:pPr>
              <w:spacing w:line="240" w:lineRule="auto"/>
              <w:ind w:firstLine="0" w:firstLineChars="0"/>
              <w:jc w:val="center"/>
              <w:rPr>
                <w:rFonts w:cs="Times New Roman"/>
                <w:sz w:val="21"/>
              </w:rPr>
            </w:pPr>
            <w:r>
              <w:rPr>
                <w:rFonts w:hint="eastAsia" w:cs="Times New Roman"/>
                <w:sz w:val="21"/>
              </w:rPr>
              <w:t>相符</w:t>
            </w:r>
          </w:p>
        </w:tc>
      </w:tr>
      <w:tr w14:paraId="77C42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7502" w:type="dxa"/>
            <w:vMerge w:val="continue"/>
            <w:tcBorders>
              <w:top w:val="single" w:color="auto" w:sz="4" w:space="0"/>
              <w:left w:val="single" w:color="auto" w:sz="12" w:space="0"/>
              <w:bottom w:val="single" w:color="auto" w:sz="4" w:space="0"/>
              <w:right w:val="single" w:color="auto" w:sz="4" w:space="0"/>
            </w:tcBorders>
            <w:vAlign w:val="center"/>
          </w:tcPr>
          <w:p w14:paraId="5315AEFB">
            <w:pPr>
              <w:widowControl/>
              <w:wordWrap/>
              <w:topLinePunct w:val="0"/>
              <w:adjustRightInd/>
              <w:snapToGrid/>
              <w:spacing w:line="240" w:lineRule="auto"/>
              <w:ind w:firstLine="0" w:firstLineChars="0"/>
              <w:jc w:val="left"/>
              <w:rPr>
                <w:rFonts w:cs="Times New Roman"/>
                <w:sz w:val="21"/>
              </w:rPr>
            </w:pPr>
          </w:p>
        </w:tc>
        <w:tc>
          <w:tcPr>
            <w:tcW w:w="6285" w:type="dxa"/>
            <w:tcBorders>
              <w:top w:val="single" w:color="auto" w:sz="4" w:space="0"/>
              <w:left w:val="single" w:color="auto" w:sz="4" w:space="0"/>
              <w:bottom w:val="single" w:color="auto" w:sz="4" w:space="0"/>
              <w:right w:val="single" w:color="auto" w:sz="4" w:space="0"/>
            </w:tcBorders>
            <w:vAlign w:val="center"/>
          </w:tcPr>
          <w:p w14:paraId="2AED025A">
            <w:pPr>
              <w:spacing w:line="240" w:lineRule="auto"/>
              <w:ind w:firstLine="0" w:firstLineChars="0"/>
              <w:jc w:val="center"/>
              <w:rPr>
                <w:rFonts w:cs="Times New Roman"/>
                <w:sz w:val="21"/>
              </w:rPr>
            </w:pPr>
            <w:r>
              <w:rPr>
                <w:rFonts w:hint="eastAsia" w:cs="Times New Roman"/>
                <w:sz w:val="21"/>
              </w:rPr>
              <w:t>坚持</w:t>
            </w:r>
            <w:r>
              <w:rPr>
                <w:rFonts w:cs="Times New Roman"/>
                <w:sz w:val="21"/>
              </w:rPr>
              <w:t>“</w:t>
            </w:r>
            <w:r>
              <w:rPr>
                <w:rFonts w:hint="eastAsia" w:cs="Times New Roman"/>
                <w:sz w:val="21"/>
              </w:rPr>
              <w:t>预防为主，防治结合，过程控制</w:t>
            </w:r>
            <w:r>
              <w:rPr>
                <w:rFonts w:cs="Times New Roman"/>
                <w:sz w:val="21"/>
              </w:rPr>
              <w:t>”</w:t>
            </w:r>
            <w:r>
              <w:rPr>
                <w:rFonts w:hint="eastAsia" w:cs="Times New Roman"/>
                <w:sz w:val="21"/>
              </w:rPr>
              <w:t>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5711" w:type="dxa"/>
            <w:tcBorders>
              <w:top w:val="single" w:color="auto" w:sz="4" w:space="0"/>
              <w:left w:val="single" w:color="auto" w:sz="4" w:space="0"/>
              <w:bottom w:val="single" w:color="auto" w:sz="4" w:space="0"/>
              <w:right w:val="single" w:color="auto" w:sz="4" w:space="0"/>
            </w:tcBorders>
            <w:vAlign w:val="center"/>
          </w:tcPr>
          <w:p w14:paraId="46DE3B21">
            <w:pPr>
              <w:spacing w:line="240" w:lineRule="auto"/>
              <w:ind w:firstLine="0" w:firstLineChars="0"/>
              <w:jc w:val="center"/>
              <w:rPr>
                <w:rFonts w:cs="Times New Roman"/>
                <w:sz w:val="21"/>
              </w:rPr>
            </w:pPr>
            <w:r>
              <w:rPr>
                <w:rFonts w:hint="eastAsia" w:cs="Times New Roman"/>
                <w:sz w:val="21"/>
              </w:rPr>
              <w:t>井下开采规划建设与过程中采取合理措施如：合理规划生产布局，减少损毁范围；建设单位已编制《湖南省衡阳建滔化工有限公司岩盐矿矿山地质环境保护与恢复治理（含土地复垦）方案》积极进行生态恢复。</w:t>
            </w:r>
          </w:p>
        </w:tc>
        <w:tc>
          <w:tcPr>
            <w:tcW w:w="735" w:type="dxa"/>
            <w:tcBorders>
              <w:top w:val="single" w:color="auto" w:sz="4" w:space="0"/>
              <w:left w:val="single" w:color="auto" w:sz="4" w:space="0"/>
              <w:bottom w:val="single" w:color="auto" w:sz="4" w:space="0"/>
              <w:right w:val="single" w:color="auto" w:sz="12" w:space="0"/>
            </w:tcBorders>
            <w:vAlign w:val="center"/>
          </w:tcPr>
          <w:p w14:paraId="46A885D4">
            <w:pPr>
              <w:spacing w:line="240" w:lineRule="auto"/>
              <w:ind w:firstLine="0" w:firstLineChars="0"/>
              <w:jc w:val="center"/>
              <w:rPr>
                <w:rFonts w:cs="Times New Roman"/>
                <w:sz w:val="21"/>
              </w:rPr>
            </w:pPr>
            <w:r>
              <w:rPr>
                <w:rFonts w:hint="eastAsia" w:cs="Times New Roman"/>
                <w:sz w:val="21"/>
              </w:rPr>
              <w:t>相符</w:t>
            </w:r>
          </w:p>
        </w:tc>
      </w:tr>
      <w:tr w14:paraId="5C52C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7502" w:type="dxa"/>
            <w:vMerge w:val="continue"/>
            <w:tcBorders>
              <w:top w:val="single" w:color="auto" w:sz="4" w:space="0"/>
              <w:left w:val="single" w:color="auto" w:sz="12" w:space="0"/>
              <w:bottom w:val="single" w:color="auto" w:sz="4" w:space="0"/>
              <w:right w:val="single" w:color="auto" w:sz="4" w:space="0"/>
            </w:tcBorders>
            <w:vAlign w:val="center"/>
          </w:tcPr>
          <w:p w14:paraId="4E5F8184">
            <w:pPr>
              <w:widowControl/>
              <w:wordWrap/>
              <w:topLinePunct w:val="0"/>
              <w:adjustRightInd/>
              <w:snapToGrid/>
              <w:spacing w:line="240" w:lineRule="auto"/>
              <w:ind w:firstLine="0" w:firstLineChars="0"/>
              <w:jc w:val="left"/>
              <w:rPr>
                <w:rFonts w:cs="Times New Roman"/>
                <w:sz w:val="21"/>
              </w:rPr>
            </w:pPr>
          </w:p>
        </w:tc>
        <w:tc>
          <w:tcPr>
            <w:tcW w:w="6285" w:type="dxa"/>
            <w:tcBorders>
              <w:top w:val="single" w:color="auto" w:sz="4" w:space="0"/>
              <w:left w:val="single" w:color="auto" w:sz="4" w:space="0"/>
              <w:bottom w:val="single" w:color="auto" w:sz="4" w:space="0"/>
              <w:right w:val="single" w:color="auto" w:sz="4" w:space="0"/>
            </w:tcBorders>
            <w:vAlign w:val="center"/>
          </w:tcPr>
          <w:p w14:paraId="1C7603BD">
            <w:pPr>
              <w:spacing w:line="240" w:lineRule="auto"/>
              <w:ind w:firstLine="0" w:firstLineChars="0"/>
              <w:jc w:val="center"/>
              <w:rPr>
                <w:rFonts w:cs="Times New Roman"/>
                <w:sz w:val="21"/>
              </w:rPr>
            </w:pPr>
            <w:r>
              <w:rPr>
                <w:rFonts w:hint="eastAsia" w:cs="Times New Roman"/>
                <w:sz w:val="21"/>
              </w:rPr>
              <w:t>所有矿山企业均应对照本标准各项要求，编制实施矿山生态环境保护与恢复治理方案。</w:t>
            </w:r>
          </w:p>
        </w:tc>
        <w:tc>
          <w:tcPr>
            <w:tcW w:w="5711" w:type="dxa"/>
            <w:tcBorders>
              <w:top w:val="single" w:color="auto" w:sz="4" w:space="0"/>
              <w:left w:val="single" w:color="auto" w:sz="4" w:space="0"/>
              <w:bottom w:val="single" w:color="auto" w:sz="4" w:space="0"/>
              <w:right w:val="single" w:color="auto" w:sz="4" w:space="0"/>
            </w:tcBorders>
            <w:vAlign w:val="center"/>
          </w:tcPr>
          <w:p w14:paraId="0B7D53D0">
            <w:pPr>
              <w:spacing w:line="240" w:lineRule="auto"/>
              <w:ind w:firstLine="0" w:firstLineChars="0"/>
              <w:jc w:val="center"/>
              <w:rPr>
                <w:rFonts w:cs="Times New Roman"/>
                <w:sz w:val="21"/>
              </w:rPr>
            </w:pPr>
            <w:r>
              <w:rPr>
                <w:rFonts w:hint="eastAsia" w:cs="Times New Roman"/>
                <w:sz w:val="21"/>
              </w:rPr>
              <w:t>建设单位已编制《湖南省衡阳建滔化工有限公司岩盐矿矿山地质环境保护与恢复治理（含土地复垦）方案》积极进行生态恢复</w:t>
            </w:r>
          </w:p>
        </w:tc>
        <w:tc>
          <w:tcPr>
            <w:tcW w:w="735" w:type="dxa"/>
            <w:tcBorders>
              <w:top w:val="single" w:color="auto" w:sz="4" w:space="0"/>
              <w:left w:val="single" w:color="auto" w:sz="4" w:space="0"/>
              <w:bottom w:val="single" w:color="auto" w:sz="4" w:space="0"/>
              <w:right w:val="single" w:color="auto" w:sz="12" w:space="0"/>
            </w:tcBorders>
            <w:vAlign w:val="center"/>
          </w:tcPr>
          <w:p w14:paraId="45DFB60E">
            <w:pPr>
              <w:spacing w:line="240" w:lineRule="auto"/>
              <w:ind w:firstLine="0" w:firstLineChars="0"/>
              <w:jc w:val="center"/>
              <w:rPr>
                <w:rFonts w:cs="Times New Roman"/>
                <w:sz w:val="21"/>
              </w:rPr>
            </w:pPr>
            <w:r>
              <w:rPr>
                <w:rFonts w:hint="eastAsia" w:cs="Times New Roman"/>
                <w:sz w:val="21"/>
              </w:rPr>
              <w:t>相符</w:t>
            </w:r>
          </w:p>
        </w:tc>
      </w:tr>
      <w:tr w14:paraId="1661A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7502" w:type="dxa"/>
            <w:vMerge w:val="continue"/>
            <w:tcBorders>
              <w:top w:val="single" w:color="auto" w:sz="4" w:space="0"/>
              <w:left w:val="single" w:color="auto" w:sz="12" w:space="0"/>
              <w:bottom w:val="single" w:color="auto" w:sz="4" w:space="0"/>
              <w:right w:val="single" w:color="auto" w:sz="4" w:space="0"/>
            </w:tcBorders>
            <w:vAlign w:val="center"/>
          </w:tcPr>
          <w:p w14:paraId="6175266A">
            <w:pPr>
              <w:widowControl/>
              <w:wordWrap/>
              <w:topLinePunct w:val="0"/>
              <w:adjustRightInd/>
              <w:snapToGrid/>
              <w:spacing w:line="240" w:lineRule="auto"/>
              <w:ind w:firstLine="0" w:firstLineChars="0"/>
              <w:jc w:val="left"/>
              <w:rPr>
                <w:rFonts w:cs="Times New Roman"/>
                <w:sz w:val="21"/>
              </w:rPr>
            </w:pPr>
          </w:p>
        </w:tc>
        <w:tc>
          <w:tcPr>
            <w:tcW w:w="6285" w:type="dxa"/>
            <w:tcBorders>
              <w:top w:val="single" w:color="auto" w:sz="4" w:space="0"/>
              <w:left w:val="single" w:color="auto" w:sz="4" w:space="0"/>
              <w:bottom w:val="single" w:color="auto" w:sz="4" w:space="0"/>
              <w:right w:val="single" w:color="auto" w:sz="4" w:space="0"/>
            </w:tcBorders>
            <w:vAlign w:val="center"/>
          </w:tcPr>
          <w:p w14:paraId="6DE6CAE8">
            <w:pPr>
              <w:spacing w:line="240" w:lineRule="auto"/>
              <w:ind w:firstLine="0" w:firstLineChars="0"/>
              <w:jc w:val="center"/>
              <w:rPr>
                <w:rFonts w:cs="Times New Roman"/>
                <w:sz w:val="21"/>
              </w:rPr>
            </w:pPr>
            <w:r>
              <w:rPr>
                <w:rFonts w:hint="eastAsia" w:cs="Times New Roman"/>
                <w:sz w:val="21"/>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5711" w:type="dxa"/>
            <w:tcBorders>
              <w:top w:val="single" w:color="auto" w:sz="4" w:space="0"/>
              <w:left w:val="single" w:color="auto" w:sz="4" w:space="0"/>
              <w:bottom w:val="single" w:color="auto" w:sz="4" w:space="0"/>
              <w:right w:val="single" w:color="auto" w:sz="4" w:space="0"/>
            </w:tcBorders>
            <w:vAlign w:val="center"/>
          </w:tcPr>
          <w:p w14:paraId="3C4BE5E7">
            <w:pPr>
              <w:spacing w:line="240" w:lineRule="auto"/>
              <w:ind w:firstLine="0" w:firstLineChars="0"/>
              <w:jc w:val="center"/>
              <w:rPr>
                <w:rFonts w:cs="Times New Roman"/>
                <w:sz w:val="21"/>
              </w:rPr>
            </w:pPr>
            <w:r>
              <w:rPr>
                <w:rFonts w:hint="eastAsia" w:cs="Times New Roman"/>
                <w:sz w:val="21"/>
              </w:rPr>
              <w:t>通过分析，项目对周边生态环境影响较小，矿山按照《湖南省衡阳建滔化工有限公司岩盐矿矿山地质环境保护与恢复治理（含土地复垦）方案》实施矿山地质环境保护与恢复治理工作，区域整体生态功能得到保护和恢复。</w:t>
            </w:r>
          </w:p>
        </w:tc>
        <w:tc>
          <w:tcPr>
            <w:tcW w:w="735" w:type="dxa"/>
            <w:tcBorders>
              <w:top w:val="single" w:color="auto" w:sz="4" w:space="0"/>
              <w:left w:val="single" w:color="auto" w:sz="4" w:space="0"/>
              <w:bottom w:val="single" w:color="auto" w:sz="4" w:space="0"/>
              <w:right w:val="single" w:color="auto" w:sz="12" w:space="0"/>
            </w:tcBorders>
            <w:vAlign w:val="center"/>
          </w:tcPr>
          <w:p w14:paraId="2440B15B">
            <w:pPr>
              <w:spacing w:line="240" w:lineRule="auto"/>
              <w:ind w:firstLine="0" w:firstLineChars="0"/>
              <w:jc w:val="center"/>
              <w:rPr>
                <w:rFonts w:cs="Times New Roman"/>
                <w:sz w:val="21"/>
              </w:rPr>
            </w:pPr>
            <w:r>
              <w:rPr>
                <w:rFonts w:hint="eastAsia" w:cs="Times New Roman"/>
                <w:sz w:val="21"/>
              </w:rPr>
              <w:t>相符</w:t>
            </w:r>
          </w:p>
        </w:tc>
      </w:tr>
      <w:tr w14:paraId="6DC78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17" w:type="dxa"/>
            <w:tcBorders>
              <w:top w:val="single" w:color="auto" w:sz="4" w:space="0"/>
              <w:left w:val="single" w:color="auto" w:sz="12" w:space="0"/>
              <w:bottom w:val="single" w:color="auto" w:sz="4" w:space="0"/>
              <w:right w:val="single" w:color="auto" w:sz="4" w:space="0"/>
            </w:tcBorders>
            <w:vAlign w:val="center"/>
          </w:tcPr>
          <w:p w14:paraId="220250B7">
            <w:pPr>
              <w:spacing w:line="240" w:lineRule="auto"/>
              <w:ind w:firstLine="0" w:firstLineChars="0"/>
              <w:jc w:val="center"/>
              <w:rPr>
                <w:rFonts w:cs="Times New Roman"/>
                <w:sz w:val="21"/>
              </w:rPr>
            </w:pPr>
            <w:r>
              <w:rPr>
                <w:rFonts w:hint="eastAsia" w:cs="Times New Roman"/>
                <w:sz w:val="21"/>
              </w:rPr>
              <w:t>矿区运输道路生态恢复</w:t>
            </w:r>
          </w:p>
        </w:tc>
        <w:tc>
          <w:tcPr>
            <w:tcW w:w="6285" w:type="dxa"/>
            <w:tcBorders>
              <w:top w:val="single" w:color="auto" w:sz="4" w:space="0"/>
              <w:left w:val="single" w:color="auto" w:sz="4" w:space="0"/>
              <w:bottom w:val="single" w:color="auto" w:sz="4" w:space="0"/>
              <w:right w:val="single" w:color="auto" w:sz="4" w:space="0"/>
            </w:tcBorders>
            <w:vAlign w:val="center"/>
          </w:tcPr>
          <w:p w14:paraId="03FD9820">
            <w:pPr>
              <w:spacing w:line="240" w:lineRule="auto"/>
              <w:ind w:firstLine="0" w:firstLineChars="0"/>
              <w:jc w:val="center"/>
              <w:rPr>
                <w:rFonts w:cs="Times New Roman"/>
                <w:sz w:val="21"/>
              </w:rPr>
            </w:pPr>
            <w:r>
              <w:rPr>
                <w:rFonts w:hint="eastAsia" w:cs="Times New Roman"/>
                <w:sz w:val="21"/>
              </w:rPr>
              <w:t>矿区专用道路取弃土工程结束后，取弃土场应及时回</w:t>
            </w:r>
          </w:p>
          <w:p w14:paraId="1594D39B">
            <w:pPr>
              <w:spacing w:line="240" w:lineRule="auto"/>
              <w:ind w:firstLine="0" w:firstLineChars="0"/>
              <w:jc w:val="center"/>
              <w:rPr>
                <w:rFonts w:cs="Times New Roman"/>
                <w:sz w:val="21"/>
              </w:rPr>
            </w:pPr>
            <w:r>
              <w:rPr>
                <w:rFonts w:hint="eastAsia" w:cs="Times New Roman"/>
                <w:sz w:val="21"/>
              </w:rPr>
              <w:t>填、整平、压实，并利用堆存的表土进行植被和景观恢复。</w:t>
            </w:r>
          </w:p>
        </w:tc>
        <w:tc>
          <w:tcPr>
            <w:tcW w:w="5711" w:type="dxa"/>
            <w:tcBorders>
              <w:top w:val="single" w:color="auto" w:sz="4" w:space="0"/>
              <w:left w:val="single" w:color="auto" w:sz="4" w:space="0"/>
              <w:bottom w:val="single" w:color="auto" w:sz="4" w:space="0"/>
              <w:right w:val="single" w:color="auto" w:sz="4" w:space="0"/>
            </w:tcBorders>
            <w:vAlign w:val="center"/>
          </w:tcPr>
          <w:p w14:paraId="155C8467">
            <w:pPr>
              <w:spacing w:line="240" w:lineRule="auto"/>
              <w:ind w:firstLine="0" w:firstLineChars="0"/>
              <w:jc w:val="center"/>
              <w:rPr>
                <w:rFonts w:cs="Times New Roman"/>
                <w:sz w:val="21"/>
              </w:rPr>
            </w:pPr>
            <w:r>
              <w:rPr>
                <w:rFonts w:hint="eastAsia" w:cs="Times New Roman"/>
                <w:sz w:val="21"/>
              </w:rPr>
              <w:t>项目不新建矿区道路，矿区道路依托松木经济开发区及建滔</w:t>
            </w:r>
            <w:r>
              <w:rPr>
                <w:rFonts w:cs="Times New Roman"/>
                <w:sz w:val="21"/>
              </w:rPr>
              <w:t>(</w:t>
            </w:r>
            <w:r>
              <w:rPr>
                <w:rFonts w:hint="eastAsia" w:cs="Times New Roman"/>
                <w:sz w:val="21"/>
              </w:rPr>
              <w:t>衡阳</w:t>
            </w:r>
            <w:r>
              <w:rPr>
                <w:rFonts w:cs="Times New Roman"/>
                <w:sz w:val="21"/>
              </w:rPr>
              <w:t>)</w:t>
            </w:r>
            <w:r>
              <w:rPr>
                <w:rFonts w:hint="eastAsia" w:cs="Times New Roman"/>
                <w:sz w:val="21"/>
              </w:rPr>
              <w:t>实业有限公司。</w:t>
            </w:r>
          </w:p>
        </w:tc>
        <w:tc>
          <w:tcPr>
            <w:tcW w:w="735" w:type="dxa"/>
            <w:tcBorders>
              <w:top w:val="single" w:color="auto" w:sz="4" w:space="0"/>
              <w:left w:val="single" w:color="auto" w:sz="4" w:space="0"/>
              <w:bottom w:val="single" w:color="auto" w:sz="4" w:space="0"/>
              <w:right w:val="single" w:color="auto" w:sz="12" w:space="0"/>
            </w:tcBorders>
            <w:vAlign w:val="center"/>
          </w:tcPr>
          <w:p w14:paraId="2336FEA9">
            <w:pPr>
              <w:spacing w:line="240" w:lineRule="auto"/>
              <w:ind w:firstLine="0" w:firstLineChars="0"/>
              <w:jc w:val="center"/>
              <w:rPr>
                <w:rFonts w:cs="Times New Roman"/>
                <w:sz w:val="21"/>
              </w:rPr>
            </w:pPr>
            <w:r>
              <w:rPr>
                <w:rFonts w:hint="eastAsia" w:cs="Times New Roman"/>
                <w:sz w:val="21"/>
              </w:rPr>
              <w:t>相符</w:t>
            </w:r>
          </w:p>
        </w:tc>
      </w:tr>
      <w:tr w14:paraId="65C9A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217" w:type="dxa"/>
            <w:tcBorders>
              <w:top w:val="single" w:color="auto" w:sz="4" w:space="0"/>
              <w:left w:val="single" w:color="auto" w:sz="12" w:space="0"/>
              <w:bottom w:val="single" w:color="auto" w:sz="12" w:space="0"/>
              <w:right w:val="single" w:color="auto" w:sz="4" w:space="0"/>
            </w:tcBorders>
            <w:vAlign w:val="center"/>
          </w:tcPr>
          <w:p w14:paraId="60BC3283">
            <w:pPr>
              <w:spacing w:line="240" w:lineRule="auto"/>
              <w:ind w:firstLine="0" w:firstLineChars="0"/>
              <w:jc w:val="center"/>
              <w:rPr>
                <w:rFonts w:cs="Times New Roman"/>
                <w:sz w:val="21"/>
              </w:rPr>
            </w:pPr>
            <w:r>
              <w:rPr>
                <w:rFonts w:hint="eastAsia" w:cs="Times New Roman"/>
                <w:sz w:val="21"/>
              </w:rPr>
              <w:t>工业场地生态恢复</w:t>
            </w:r>
          </w:p>
        </w:tc>
        <w:tc>
          <w:tcPr>
            <w:tcW w:w="6285" w:type="dxa"/>
            <w:tcBorders>
              <w:top w:val="single" w:color="auto" w:sz="4" w:space="0"/>
              <w:left w:val="single" w:color="auto" w:sz="4" w:space="0"/>
              <w:bottom w:val="single" w:color="auto" w:sz="12" w:space="0"/>
              <w:right w:val="single" w:color="auto" w:sz="4" w:space="0"/>
            </w:tcBorders>
            <w:vAlign w:val="center"/>
          </w:tcPr>
          <w:p w14:paraId="4122C316">
            <w:pPr>
              <w:spacing w:line="240" w:lineRule="auto"/>
              <w:ind w:firstLine="0" w:firstLineChars="0"/>
              <w:jc w:val="center"/>
              <w:rPr>
                <w:rFonts w:cs="Times New Roman"/>
                <w:sz w:val="21"/>
              </w:rPr>
            </w:pPr>
            <w:r>
              <w:rPr>
                <w:rFonts w:hint="eastAsia" w:cs="Times New Roman"/>
                <w:sz w:val="21"/>
              </w:rPr>
              <w:t>矿山工业场地不再使用的厂房、堆料场、沉沙设施、垃圾池、管线等各项建（构）筑物和基础设施应全部拆除，并进行景观和植被恢复。地下开采的矿山闭矿后应将井口封堵完整，采取遮挡和防护措施，并设立警示牌。</w:t>
            </w:r>
          </w:p>
        </w:tc>
        <w:tc>
          <w:tcPr>
            <w:tcW w:w="5711" w:type="dxa"/>
            <w:tcBorders>
              <w:top w:val="single" w:color="auto" w:sz="4" w:space="0"/>
              <w:left w:val="single" w:color="auto" w:sz="4" w:space="0"/>
              <w:bottom w:val="single" w:color="auto" w:sz="12" w:space="0"/>
              <w:right w:val="single" w:color="auto" w:sz="4" w:space="0"/>
            </w:tcBorders>
            <w:vAlign w:val="center"/>
          </w:tcPr>
          <w:p w14:paraId="53301270">
            <w:pPr>
              <w:spacing w:line="240" w:lineRule="auto"/>
              <w:ind w:firstLine="0" w:firstLineChars="0"/>
              <w:jc w:val="center"/>
              <w:rPr>
                <w:rFonts w:cs="Times New Roman"/>
                <w:sz w:val="21"/>
              </w:rPr>
            </w:pPr>
            <w:r>
              <w:rPr>
                <w:rFonts w:hint="eastAsia" w:cs="Times New Roman"/>
                <w:sz w:val="21"/>
              </w:rPr>
              <w:t>建设单位已编制《湖南省衡阳建滔化工有限公司岩盐矿矿山地质环境保护与恢复治理（含土地复垦）方案》积极进行生态恢复。对于已闭矿的卤井，均已委托有资质单位进行封井</w:t>
            </w:r>
          </w:p>
        </w:tc>
        <w:tc>
          <w:tcPr>
            <w:tcW w:w="735" w:type="dxa"/>
            <w:tcBorders>
              <w:top w:val="single" w:color="auto" w:sz="4" w:space="0"/>
              <w:left w:val="single" w:color="auto" w:sz="4" w:space="0"/>
              <w:bottom w:val="single" w:color="auto" w:sz="12" w:space="0"/>
              <w:right w:val="single" w:color="auto" w:sz="12" w:space="0"/>
            </w:tcBorders>
            <w:vAlign w:val="center"/>
          </w:tcPr>
          <w:p w14:paraId="57FEF54D">
            <w:pPr>
              <w:spacing w:line="240" w:lineRule="auto"/>
              <w:ind w:firstLine="0" w:firstLineChars="0"/>
              <w:jc w:val="center"/>
              <w:rPr>
                <w:rFonts w:cs="Times New Roman"/>
                <w:sz w:val="21"/>
              </w:rPr>
            </w:pPr>
            <w:r>
              <w:rPr>
                <w:rFonts w:hint="eastAsia" w:cs="Times New Roman"/>
                <w:sz w:val="21"/>
              </w:rPr>
              <w:t>相符</w:t>
            </w:r>
          </w:p>
        </w:tc>
      </w:tr>
    </w:tbl>
    <w:p w14:paraId="55004250">
      <w:pPr>
        <w:widowControl/>
        <w:wordWrap/>
        <w:topLinePunct w:val="0"/>
        <w:adjustRightInd/>
        <w:snapToGrid/>
        <w:ind w:firstLine="0" w:firstLineChars="0"/>
        <w:jc w:val="left"/>
        <w:rPr>
          <w:rFonts w:cs="Arial"/>
        </w:rPr>
        <w:sectPr>
          <w:pgSz w:w="16838" w:h="11906" w:orient="landscape"/>
          <w:pgMar w:top="1797" w:right="1440" w:bottom="1797" w:left="1440" w:header="851" w:footer="992" w:gutter="0"/>
          <w:cols w:space="720" w:num="1"/>
          <w:docGrid w:type="linesAndChars" w:linePitch="326" w:charSpace="0"/>
        </w:sectPr>
      </w:pPr>
    </w:p>
    <w:p w14:paraId="3DBBFDDA">
      <w:pPr>
        <w:keepNext/>
        <w:keepLines/>
        <w:ind w:firstLine="0" w:firstLineChars="0"/>
        <w:outlineLvl w:val="3"/>
        <w:rPr>
          <w:rFonts w:cs="Times New Roman"/>
          <w:b/>
          <w:bCs/>
          <w:szCs w:val="28"/>
        </w:rPr>
      </w:pPr>
      <w:r>
        <w:rPr>
          <w:rFonts w:cs="Times New Roman"/>
          <w:b/>
          <w:bCs/>
          <w:szCs w:val="28"/>
        </w:rPr>
        <w:t xml:space="preserve">1.4.2.3 </w:t>
      </w:r>
      <w:r>
        <w:rPr>
          <w:rFonts w:hint="eastAsia" w:cs="Times New Roman"/>
          <w:b/>
          <w:bCs/>
          <w:szCs w:val="28"/>
        </w:rPr>
        <w:t>与《全国主体功能区规划》（国发</w:t>
      </w:r>
      <w:r>
        <w:rPr>
          <w:rFonts w:cs="Times New Roman"/>
          <w:b/>
          <w:bCs/>
          <w:szCs w:val="28"/>
        </w:rPr>
        <w:t>[2010]46</w:t>
      </w:r>
      <w:r>
        <w:rPr>
          <w:rFonts w:hint="eastAsia" w:cs="Times New Roman"/>
          <w:b/>
          <w:bCs/>
          <w:szCs w:val="28"/>
        </w:rPr>
        <w:t>号）的符合性</w:t>
      </w:r>
    </w:p>
    <w:p w14:paraId="2831CF7A">
      <w:pPr>
        <w:ind w:firstLine="519"/>
        <w:rPr>
          <w:rFonts w:cs="Arial"/>
        </w:rPr>
      </w:pPr>
      <w:r>
        <w:rPr>
          <w:rFonts w:hint="eastAsia" w:cs="Arial"/>
        </w:rPr>
        <w:t>根据《全国主体功能区规划》，该地区规划为国家重点开发区域中的长江中游地区。</w:t>
      </w:r>
    </w:p>
    <w:p w14:paraId="48B1C04D">
      <w:pPr>
        <w:ind w:firstLine="519"/>
        <w:rPr>
          <w:rFonts w:cs="Arial"/>
        </w:rPr>
      </w:pPr>
      <w:r>
        <w:rPr>
          <w:rFonts w:hint="eastAsia" w:cs="Arial"/>
        </w:rPr>
        <w:t>该区域的功能定位是：国家重点开发区域的功能定位是：支撑全国经济增长的重要增长极，落实区域发展总体战略、促进区域协调发展的重要支撑点，全国重要的人口和经济密集区。经综合评价，国家重点开发区域包括冀中南地区、太原城市群、长江中游地区等</w:t>
      </w:r>
      <w:r>
        <w:rPr>
          <w:rFonts w:cs="Arial"/>
        </w:rPr>
        <w:t xml:space="preserve"> 18 </w:t>
      </w:r>
      <w:r>
        <w:rPr>
          <w:rFonts w:hint="eastAsia" w:cs="Arial"/>
        </w:rPr>
        <w:t>个地区。</w:t>
      </w:r>
    </w:p>
    <w:p w14:paraId="353B83CC">
      <w:pPr>
        <w:ind w:firstLine="519"/>
        <w:rPr>
          <w:rFonts w:cs="Arial"/>
        </w:rPr>
      </w:pPr>
      <w:r>
        <w:rPr>
          <w:rFonts w:hint="eastAsia" w:cs="Arial"/>
        </w:rPr>
        <w:t>重点开发区域应在优化结构、提高效益、降低消耗、保护环境的基础上推动经济可持续发展；推进新型工业化进程，提高自主创新能力，聚集创新要素，增强产业集聚能力，积极承接国际及国内优化开发区域产业转移，形成分工协作的现代产业体系；加快推进城镇化，壮大城市综合实力，改善人居环境，提高集聚人口的能力；发挥区位优势，加快沿边地区对外开放，加强国际通道和口岸建设，形成我国对外开放新的窗口和战略空间。</w:t>
      </w:r>
    </w:p>
    <w:p w14:paraId="7693B129">
      <w:pPr>
        <w:ind w:firstLine="519"/>
        <w:rPr>
          <w:rFonts w:cs="Arial"/>
        </w:rPr>
      </w:pPr>
      <w:r>
        <w:rPr>
          <w:rFonts w:hint="eastAsia" w:cs="Arial"/>
        </w:rPr>
        <w:t>本项目为岩盐矿开采项目，项目建设地位于衡阳松木经济开发区，项目主要产品为建滔（衡阳）实业有限公司离子膜烧碱项目提供原卤资源保障，项目的建设符合《全国主体功能区规划》相关规划要求。</w:t>
      </w:r>
    </w:p>
    <w:p w14:paraId="02789249">
      <w:pPr>
        <w:keepNext/>
        <w:keepLines/>
        <w:ind w:firstLine="0" w:firstLineChars="0"/>
        <w:outlineLvl w:val="3"/>
        <w:rPr>
          <w:rFonts w:cs="Times New Roman"/>
          <w:b/>
          <w:bCs/>
          <w:szCs w:val="28"/>
        </w:rPr>
      </w:pPr>
      <w:r>
        <w:rPr>
          <w:rFonts w:cs="Times New Roman"/>
          <w:b/>
          <w:bCs/>
          <w:szCs w:val="28"/>
        </w:rPr>
        <w:t xml:space="preserve">1.4.2.4 </w:t>
      </w:r>
      <w:r>
        <w:rPr>
          <w:rFonts w:hint="eastAsia" w:cs="Times New Roman"/>
          <w:b/>
          <w:bCs/>
          <w:szCs w:val="28"/>
        </w:rPr>
        <w:t>与《全国生态功能区划》的符合性</w:t>
      </w:r>
    </w:p>
    <w:p w14:paraId="11E9BBCF">
      <w:pPr>
        <w:ind w:firstLine="519"/>
        <w:rPr>
          <w:rFonts w:cs="Arial"/>
        </w:rPr>
      </w:pPr>
      <w:r>
        <w:rPr>
          <w:rFonts w:hint="eastAsia" w:cs="Arial"/>
        </w:rPr>
        <w:t>根据《全国生态功能区划（</w:t>
      </w:r>
      <w:r>
        <w:rPr>
          <w:rFonts w:cs="Arial"/>
        </w:rPr>
        <w:t>2015</w:t>
      </w:r>
      <w:r>
        <w:rPr>
          <w:rFonts w:hint="eastAsia" w:cs="Arial"/>
        </w:rPr>
        <w:t>年修编）》（环保部中科院公告</w:t>
      </w:r>
      <w:r>
        <w:rPr>
          <w:rFonts w:cs="Arial"/>
        </w:rPr>
        <w:t>2015</w:t>
      </w:r>
      <w:r>
        <w:rPr>
          <w:rFonts w:hint="eastAsia" w:cs="Arial"/>
        </w:rPr>
        <w:t>年第</w:t>
      </w:r>
      <w:r>
        <w:rPr>
          <w:rFonts w:cs="Arial"/>
        </w:rPr>
        <w:t>61</w:t>
      </w:r>
      <w:r>
        <w:rPr>
          <w:rFonts w:hint="eastAsia" w:cs="Arial"/>
        </w:rPr>
        <w:t>号），本项目所在生态功能区为</w:t>
      </w:r>
      <w:r>
        <w:rPr>
          <w:rFonts w:cs="Arial"/>
        </w:rPr>
        <w:fldChar w:fldCharType="begin"/>
      </w:r>
      <w:r>
        <w:rPr>
          <w:rFonts w:cs="Arial"/>
        </w:rPr>
        <w:instrText xml:space="preserve"> = 3 \* ROMAN </w:instrText>
      </w:r>
      <w:r>
        <w:rPr>
          <w:rFonts w:cs="Arial"/>
        </w:rPr>
        <w:fldChar w:fldCharType="separate"/>
      </w:r>
      <w:r>
        <w:rPr>
          <w:rFonts w:cs="Arial"/>
        </w:rPr>
        <w:t>III</w:t>
      </w:r>
      <w:r>
        <w:rPr>
          <w:rFonts w:cs="Arial"/>
        </w:rPr>
        <w:fldChar w:fldCharType="end"/>
      </w:r>
      <w:r>
        <w:rPr>
          <w:rFonts w:cs="Arial"/>
        </w:rPr>
        <w:t>-02-15</w:t>
      </w:r>
      <w:r>
        <w:rPr>
          <w:rFonts w:hint="eastAsia" w:cs="Arial"/>
        </w:rPr>
        <w:t>长株潭城镇群。</w:t>
      </w:r>
    </w:p>
    <w:p w14:paraId="1D54840A">
      <w:pPr>
        <w:ind w:firstLine="519"/>
        <w:rPr>
          <w:rFonts w:cs="Arial"/>
        </w:rPr>
      </w:pPr>
      <w:r>
        <w:rPr>
          <w:rFonts w:hint="eastAsia" w:cs="Arial"/>
        </w:rPr>
        <w:t>《全国生态功能区划（</w:t>
      </w:r>
      <w:r>
        <w:rPr>
          <w:rFonts w:cs="Arial"/>
        </w:rPr>
        <w:t>2015</w:t>
      </w:r>
      <w:r>
        <w:rPr>
          <w:rFonts w:hint="eastAsia" w:cs="Arial"/>
        </w:rPr>
        <w:t>年修编）》对该区提出生态保护主要方向：以生态环境承载力为基础，规划城市发展规模、产业方向；建设生态城市，优化产业结构，发展循环经济，提高资源利用效率；加快城市环境保护基础设施建设，加强城乡环境综合整治；城镇发展坚持以人为本，从长计议，节约资源，保护环境，科学规划。</w:t>
      </w:r>
    </w:p>
    <w:p w14:paraId="43CFE68C">
      <w:pPr>
        <w:ind w:firstLine="519"/>
        <w:rPr>
          <w:rFonts w:cs="Arial"/>
        </w:rPr>
      </w:pPr>
      <w:r>
        <w:rPr>
          <w:rFonts w:hint="eastAsia" w:cs="Arial"/>
        </w:rPr>
        <w:t>故本项目符合《全国生态功能区划（</w:t>
      </w:r>
      <w:r>
        <w:rPr>
          <w:rFonts w:cs="Arial"/>
        </w:rPr>
        <w:t>2015</w:t>
      </w:r>
      <w:r>
        <w:rPr>
          <w:rFonts w:hint="eastAsia" w:cs="Arial"/>
        </w:rPr>
        <w:t>年修编）》要求。</w:t>
      </w:r>
    </w:p>
    <w:p w14:paraId="3A6D25DE">
      <w:pPr>
        <w:keepNext/>
        <w:keepLines/>
        <w:ind w:firstLine="0" w:firstLineChars="0"/>
        <w:outlineLvl w:val="3"/>
        <w:rPr>
          <w:rFonts w:cs="Times New Roman"/>
          <w:b/>
          <w:bCs/>
          <w:szCs w:val="28"/>
        </w:rPr>
      </w:pPr>
      <w:r>
        <w:rPr>
          <w:rFonts w:hint="eastAsia" w:cs="Times New Roman"/>
          <w:b/>
          <w:bCs/>
          <w:szCs w:val="28"/>
        </w:rPr>
        <w:t>1.</w:t>
      </w:r>
      <w:r>
        <w:rPr>
          <w:rFonts w:cs="Times New Roman"/>
          <w:b/>
          <w:bCs/>
          <w:szCs w:val="28"/>
        </w:rPr>
        <w:t>4</w:t>
      </w:r>
      <w:r>
        <w:rPr>
          <w:rFonts w:hint="eastAsia" w:cs="Times New Roman"/>
          <w:b/>
          <w:bCs/>
          <w:szCs w:val="28"/>
        </w:rPr>
        <w:t>.</w:t>
      </w:r>
      <w:r>
        <w:rPr>
          <w:rFonts w:cs="Times New Roman"/>
          <w:b/>
          <w:bCs/>
          <w:szCs w:val="28"/>
        </w:rPr>
        <w:t>2</w:t>
      </w:r>
      <w:r>
        <w:rPr>
          <w:rFonts w:hint="eastAsia" w:cs="Times New Roman"/>
          <w:b/>
          <w:bCs/>
          <w:szCs w:val="28"/>
        </w:rPr>
        <w:t>.</w:t>
      </w:r>
      <w:r>
        <w:rPr>
          <w:rFonts w:cs="Times New Roman"/>
          <w:b/>
          <w:bCs/>
          <w:szCs w:val="28"/>
        </w:rPr>
        <w:t xml:space="preserve">5 </w:t>
      </w:r>
      <w:r>
        <w:rPr>
          <w:rFonts w:hint="eastAsia" w:cs="Times New Roman"/>
          <w:b/>
          <w:bCs/>
          <w:szCs w:val="28"/>
        </w:rPr>
        <w:t>与《长江经济带生态环境保护规划》的符合性分析</w:t>
      </w:r>
    </w:p>
    <w:p w14:paraId="26C55BAA">
      <w:pPr>
        <w:pStyle w:val="3"/>
        <w:ind w:firstLine="519"/>
      </w:pPr>
      <w:r>
        <w:rPr>
          <w:rFonts w:hint="eastAsia"/>
        </w:rPr>
        <w:t>根据《长江经济带生态环境保护规划》文件的规定，确立水资源利用上线：强化水资源总量红线约束，促进区域经济布局与结构优化调整。严格总量指标管理，严格控制高耗水行业发展。强化水功能区水质达标管理。严守生态保护红线：将生态保护红线作为空间规划编制的重要基础，相关规划要符合生态保护红线空间管控要求，不符合的要及时进行调整。生态保护红线原则上按禁止开发区域的要求进行管理， 严禁不符合主体功能定位的各类开发活动，严禁任意改变用途。 坚守环境质量底线：建立水环境质量底线管理制度，坚持点源、面源和流动源综合防治策略，突出抓好良好水体保护和严重污染水体治理。全面推进环境污染治理。强化突发环境事故预防应对，严格管控环境风险。</w:t>
      </w:r>
    </w:p>
    <w:p w14:paraId="262D69D1">
      <w:pPr>
        <w:pStyle w:val="3"/>
        <w:ind w:firstLine="519"/>
      </w:pPr>
      <w:r>
        <w:rPr>
          <w:rFonts w:hint="eastAsia"/>
        </w:rPr>
        <w:t>本项目营运期无外排废水，且本项目位于衡阳松木经开区，不属于禁止开发区域，不在生态保护红线范围内。</w:t>
      </w:r>
    </w:p>
    <w:p w14:paraId="2B4657FE">
      <w:pPr>
        <w:pStyle w:val="3"/>
        <w:ind w:firstLine="519"/>
      </w:pPr>
      <w:r>
        <w:rPr>
          <w:rFonts w:hint="eastAsia"/>
        </w:rPr>
        <w:t>综上，本项目建设与《长江经济带生态环境保护规划》相符。</w:t>
      </w:r>
    </w:p>
    <w:p w14:paraId="1A543767">
      <w:pPr>
        <w:keepNext/>
        <w:keepLines/>
        <w:ind w:firstLine="0" w:firstLineChars="0"/>
        <w:outlineLvl w:val="3"/>
        <w:rPr>
          <w:rFonts w:cs="Times New Roman"/>
          <w:b/>
          <w:bCs/>
          <w:szCs w:val="28"/>
        </w:rPr>
      </w:pPr>
      <w:r>
        <w:rPr>
          <w:rFonts w:cs="Times New Roman"/>
          <w:b/>
          <w:bCs/>
          <w:szCs w:val="28"/>
        </w:rPr>
        <w:t xml:space="preserve">1.4.2.6 </w:t>
      </w:r>
      <w:r>
        <w:rPr>
          <w:rFonts w:hint="eastAsia" w:cs="Times New Roman"/>
          <w:b/>
          <w:bCs/>
          <w:szCs w:val="28"/>
        </w:rPr>
        <w:t>与《湖南省主体功能区规划》的符合性分析</w:t>
      </w:r>
    </w:p>
    <w:p w14:paraId="1B1196D6">
      <w:pPr>
        <w:ind w:firstLine="519"/>
        <w:rPr>
          <w:rFonts w:cs="Arial"/>
        </w:rPr>
      </w:pPr>
      <w:r>
        <w:rPr>
          <w:rFonts w:hint="eastAsia" w:cs="Arial"/>
        </w:rPr>
        <w:t>根据《湖南省主体功能区规划》湖南省主体功能区划分为重点开发区域、限制开发区域和禁止开发区域三类。</w:t>
      </w:r>
    </w:p>
    <w:p w14:paraId="3CC21943">
      <w:pPr>
        <w:ind w:firstLine="519"/>
        <w:rPr>
          <w:rFonts w:cs="Arial"/>
        </w:rPr>
      </w:pPr>
      <w:r>
        <w:rPr>
          <w:rFonts w:hint="eastAsia" w:cs="Arial"/>
        </w:rPr>
        <w:t>本项目位于重点开发区域中环长株潭城市群</w:t>
      </w:r>
      <w:r>
        <w:rPr>
          <w:rFonts w:cs="Arial"/>
        </w:rPr>
        <w:t>-</w:t>
      </w:r>
      <w:r>
        <w:rPr>
          <w:rFonts w:hint="eastAsia" w:cs="Arial"/>
        </w:rPr>
        <w:t>衡阳，该区域重点发展输变电装备、汽车零部件、矿产开发及深加工、盐化工及精细化工、物流、旅游等优势产业以及生物医药、新能源、新材料、电子信息、节能环保等新兴产业，大力发展加工贸易产业，建成全省重要的综合制造业基地、重化工基地、能源基地、物流基地、旅游休闲基地和承接产业转移基地。推进“西南云大”都市经济圈建设，打造湘中南地区重要中心城市。构建以湘江、耒水、蒸水、洣水和衡山山脉为主体的城市生态体系。</w:t>
      </w:r>
    </w:p>
    <w:p w14:paraId="0D6B41B3">
      <w:pPr>
        <w:ind w:firstLine="519"/>
        <w:rPr>
          <w:rFonts w:cs="Arial"/>
        </w:rPr>
      </w:pPr>
      <w:r>
        <w:rPr>
          <w:rFonts w:hint="eastAsia" w:cs="Arial"/>
        </w:rPr>
        <w:t>本项目位于重点开发区域，为岩盐矿开发，且本项目主要产品为建滔（衡阳）实业有限公司盐化工项目提供原卤资源保障，本项目符合《湖南省主体功能区规划》相关要求。</w:t>
      </w:r>
    </w:p>
    <w:p w14:paraId="4CBBEA0A">
      <w:pPr>
        <w:keepNext/>
        <w:keepLines/>
        <w:ind w:firstLine="0" w:firstLineChars="0"/>
        <w:outlineLvl w:val="3"/>
        <w:rPr>
          <w:rFonts w:cs="Times New Roman"/>
          <w:b/>
          <w:bCs/>
          <w:szCs w:val="28"/>
        </w:rPr>
      </w:pPr>
      <w:r>
        <w:rPr>
          <w:rFonts w:hint="eastAsia" w:cs="Times New Roman"/>
          <w:b/>
          <w:bCs/>
          <w:szCs w:val="28"/>
        </w:rPr>
        <w:t>1.</w:t>
      </w:r>
      <w:r>
        <w:rPr>
          <w:rFonts w:cs="Times New Roman"/>
          <w:b/>
          <w:bCs/>
          <w:szCs w:val="28"/>
        </w:rPr>
        <w:t>4</w:t>
      </w:r>
      <w:r>
        <w:rPr>
          <w:rFonts w:hint="eastAsia" w:cs="Times New Roman"/>
          <w:b/>
          <w:bCs/>
          <w:szCs w:val="28"/>
        </w:rPr>
        <w:t>.</w:t>
      </w:r>
      <w:r>
        <w:rPr>
          <w:rFonts w:cs="Times New Roman"/>
          <w:b/>
          <w:bCs/>
          <w:szCs w:val="28"/>
        </w:rPr>
        <w:t>2</w:t>
      </w:r>
      <w:r>
        <w:rPr>
          <w:rFonts w:hint="eastAsia" w:cs="Times New Roman"/>
          <w:b/>
          <w:bCs/>
          <w:szCs w:val="28"/>
        </w:rPr>
        <w:t>.</w:t>
      </w:r>
      <w:r>
        <w:rPr>
          <w:rFonts w:cs="Times New Roman"/>
          <w:b/>
          <w:bCs/>
          <w:szCs w:val="28"/>
        </w:rPr>
        <w:t xml:space="preserve">7 </w:t>
      </w:r>
      <w:r>
        <w:rPr>
          <w:rFonts w:hint="eastAsia" w:cs="Times New Roman"/>
          <w:b/>
          <w:bCs/>
          <w:szCs w:val="28"/>
        </w:rPr>
        <w:t>与《湖南省长江经济带发展负面清单实施细则（试行，2</w:t>
      </w:r>
      <w:r>
        <w:rPr>
          <w:rFonts w:cs="Times New Roman"/>
          <w:b/>
          <w:bCs/>
          <w:szCs w:val="28"/>
        </w:rPr>
        <w:t>022</w:t>
      </w:r>
      <w:r>
        <w:rPr>
          <w:rFonts w:hint="eastAsia" w:cs="Times New Roman"/>
          <w:b/>
          <w:bCs/>
          <w:szCs w:val="28"/>
        </w:rPr>
        <w:t>年版）》符合性分析</w:t>
      </w:r>
    </w:p>
    <w:p w14:paraId="2C0B278F">
      <w:pPr>
        <w:pStyle w:val="3"/>
        <w:ind w:firstLine="519"/>
      </w:pPr>
      <w:r>
        <w:rPr>
          <w:rFonts w:hint="eastAsia"/>
        </w:rPr>
        <w:t>根据《湖南省长江经济带发展负面清单实施细则（试行，2022年版）》，禁止在水产种质资源保护区的岸线和河段范围内新建排污口、实施非法围垦河道和围湖造田造地等投资建设项目；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填湖造地、围湖造田及非法围垦河道，禁止非法建设矮围网围、填埋湿地等侵占河湖水域或者违法利用、占用河湖岸线的行为。禁止未经许可在长江干支流及湖泊新设、改设或扩大排污口。禁止在洞庭湖、湘江、资江、沅江、澧水干流和4</w:t>
      </w:r>
      <w:r>
        <w:t>5</w:t>
      </w:r>
      <w:r>
        <w:rPr>
          <w:rFonts w:hint="eastAsia"/>
        </w:rPr>
        <w:t>个水生生物保护区开展生产性捕捞。在相关自然保护区域和</w:t>
      </w:r>
      <w:bookmarkStart w:id="66" w:name="_Hlk116200676"/>
      <w:r>
        <w:rPr>
          <w:rFonts w:hint="eastAsia"/>
        </w:rPr>
        <w:t>禁猎（渔）</w:t>
      </w:r>
      <w:bookmarkEnd w:id="66"/>
      <w:r>
        <w:rPr>
          <w:rFonts w:hint="eastAsia"/>
        </w:rPr>
        <w:t>区、禁猎（渔）期内，禁止猎捕以及其他妨碍野生动物生息繁衍的活动，但法律法规另有规定的除外。禁止在长江湖南段和洞庭湖、</w:t>
      </w:r>
      <w:bookmarkStart w:id="67" w:name="_Hlk116200859"/>
      <w:r>
        <w:rPr>
          <w:rFonts w:hint="eastAsia"/>
        </w:rPr>
        <w:t>湘江、资江、沅江、澧水干流岸线1公里范围内新建、扩建</w:t>
      </w:r>
      <w:bookmarkEnd w:id="67"/>
      <w:r>
        <w:rPr>
          <w:rFonts w:hint="eastAsia"/>
        </w:rPr>
        <w:t>化工园区和化工项目。禁止在长江湖南段岸线</w:t>
      </w:r>
      <w:r>
        <w:t>3</w:t>
      </w:r>
      <w:r>
        <w:rPr>
          <w:rFonts w:hint="eastAsia"/>
        </w:rPr>
        <w:t>公里范围内和湘江、资江、沅江、澧水干流岸线1公里范围内新建、改建、扩建尾矿库、冶炼渣库和磷石膏库，以提升安全、生态环境保护水平为目的的改建除外。禁止在合规园区外新建、扩建钢铁、石化、化工、焦化、建材、有色、制浆造纸等高污染项目。高污染项目严格按照生态环境部《环境保护综合名录（2</w:t>
      </w:r>
      <w:r>
        <w:t>021</w:t>
      </w:r>
      <w:r>
        <w:rPr>
          <w:rFonts w:hint="eastAsia"/>
        </w:rPr>
        <w:t>年版）》有关要求执行。禁止新建、扩建法律法规和相关政策明令禁止的落后产能项目；对不符合要求的落后产能存量项目依法依规退出。禁止新建、扩建不符合国家产能置换要求的</w:t>
      </w:r>
      <w:bookmarkStart w:id="68" w:name="_Hlk116201964"/>
      <w:r>
        <w:rPr>
          <w:rFonts w:hint="eastAsia"/>
        </w:rPr>
        <w:t>严重过剩产能行业</w:t>
      </w:r>
      <w:bookmarkEnd w:id="68"/>
      <w:r>
        <w:rPr>
          <w:rFonts w:hint="eastAsia"/>
        </w:rPr>
        <w:t>（钢铁、水泥、电解铝、平板玻璃、船舶等行业）的项目。对确有必要新建、扩建的，必须严格执行产能置换实施办法，实施减量或等量置换，依法依规办理有关手续。禁止新建、扩建不符合要求的高耗能高排放项目。</w:t>
      </w:r>
    </w:p>
    <w:p w14:paraId="421D6BDF">
      <w:pPr>
        <w:pStyle w:val="3"/>
        <w:ind w:firstLine="519"/>
      </w:pPr>
      <w:r>
        <w:rPr>
          <w:rFonts w:hint="eastAsia"/>
        </w:rPr>
        <w:t>本项目正常工况下，无废水产生，本项目不新增工作人员，无生活污水产生。本项目属于岩盐矿开采，不属于高污染项目，不属于落后产能及严重过剩产能行业的项目。</w:t>
      </w:r>
    </w:p>
    <w:p w14:paraId="0D8BC93F">
      <w:pPr>
        <w:pStyle w:val="3"/>
        <w:ind w:firstLine="519"/>
      </w:pPr>
      <w:r>
        <w:rPr>
          <w:rFonts w:hint="eastAsia"/>
        </w:rPr>
        <w:t>综上，项目建设与《湖南省长江经济带发展负面清单实施细则（试行，2022年版）》相符。</w:t>
      </w:r>
    </w:p>
    <w:p w14:paraId="59E21D92">
      <w:pPr>
        <w:keepNext/>
        <w:keepLines/>
        <w:ind w:firstLine="0" w:firstLineChars="0"/>
        <w:outlineLvl w:val="3"/>
        <w:rPr>
          <w:rFonts w:cs="Times New Roman"/>
          <w:b/>
          <w:bCs/>
          <w:szCs w:val="28"/>
        </w:rPr>
      </w:pPr>
      <w:r>
        <w:rPr>
          <w:rFonts w:hint="eastAsia" w:cs="Times New Roman"/>
          <w:b/>
          <w:bCs/>
          <w:szCs w:val="28"/>
        </w:rPr>
        <w:t>1.</w:t>
      </w:r>
      <w:r>
        <w:rPr>
          <w:rFonts w:cs="Times New Roman"/>
          <w:b/>
          <w:bCs/>
          <w:szCs w:val="28"/>
        </w:rPr>
        <w:t>4</w:t>
      </w:r>
      <w:r>
        <w:rPr>
          <w:rFonts w:hint="eastAsia" w:cs="Times New Roman"/>
          <w:b/>
          <w:bCs/>
          <w:szCs w:val="28"/>
        </w:rPr>
        <w:t>.2.</w:t>
      </w:r>
      <w:r>
        <w:rPr>
          <w:rFonts w:cs="Times New Roman"/>
          <w:b/>
          <w:bCs/>
          <w:szCs w:val="28"/>
        </w:rPr>
        <w:t xml:space="preserve">8 </w:t>
      </w:r>
      <w:r>
        <w:rPr>
          <w:rFonts w:hint="eastAsia" w:cs="Times New Roman"/>
          <w:b/>
          <w:bCs/>
          <w:szCs w:val="28"/>
        </w:rPr>
        <w:t>与《湖南省沿江化工企业搬迁改造实施方案》符合性分析</w:t>
      </w:r>
    </w:p>
    <w:p w14:paraId="6D22774B">
      <w:pPr>
        <w:pStyle w:val="2"/>
        <w:ind w:firstLine="519"/>
      </w:pPr>
      <w:r>
        <w:rPr>
          <w:rFonts w:hint="eastAsia"/>
        </w:rPr>
        <w:t>根据《湖南省沿江化工企业搬迁改造实施方案》，我省沿江岸线1公里范围内，严禁新建、扩建化工园区、化工生产项目；严禁现有合规化工园区在沿江岸线1公里范围内靠江扩建； 安全环保达标的化工企业因生产需要可向背江一面逐步搬迁。对沿江岸线1公里范围内化工生产企业开展风险评估，2020年重点关闭退出落后产能和安全环保不达标的化工生产企业。引导化工生产企业通过调结构搬迁到沿江1公里范围外的合规化工园区，坚定不移到2025年底完成搬迁改造任务。对1公里范围内部分有市场前景、且极端事故情况下满足安全环保要求的化工生产企业适当保留，并采取更加严格的措施进行监管，确保江河湖水安全。对我省沿江岸线1公里范围外现有的化工生产企业，各市州人民政府要加大监管力度。 鼓励沿江岸线1公里范围外且不在合规园区内的化工生产企业搬迁进入合规园区。</w:t>
      </w:r>
    </w:p>
    <w:p w14:paraId="69A61FE1">
      <w:pPr>
        <w:pStyle w:val="2"/>
        <w:ind w:firstLine="519"/>
      </w:pPr>
      <w:r>
        <w:rPr>
          <w:rFonts w:hint="eastAsia"/>
        </w:rPr>
        <w:t>本项目位于衡阳市松木经济开发区，</w:t>
      </w:r>
      <w:bookmarkStart w:id="69" w:name="_Hlk116205613"/>
      <w:r>
        <w:rPr>
          <w:rFonts w:hint="eastAsia"/>
        </w:rPr>
        <w:t>本项目仅涉及到矿山开采，不属于沿江1公里的化工企业。</w:t>
      </w:r>
      <w:bookmarkEnd w:id="69"/>
      <w:bookmarkStart w:id="70" w:name="_Hlk116205628"/>
      <w:r>
        <w:rPr>
          <w:rFonts w:hint="eastAsia"/>
        </w:rPr>
        <w:t>本次卤水开采项目主要为配套建滔（衡阳）实业有限公司厂区现有的离子膜烧碱生产线用卤需求，不属于新建、扩建化工项目。</w:t>
      </w:r>
      <w:bookmarkEnd w:id="70"/>
      <w:r>
        <w:rPr>
          <w:rFonts w:hint="eastAsia"/>
        </w:rPr>
        <w:t xml:space="preserve"> </w:t>
      </w:r>
      <w:bookmarkStart w:id="71" w:name="_Hlk90220776"/>
      <w:r>
        <w:rPr>
          <w:rFonts w:hint="eastAsia"/>
        </w:rPr>
        <w:t>衡阳建滔化工有限公司</w:t>
      </w:r>
      <w:bookmarkEnd w:id="71"/>
      <w:r>
        <w:rPr>
          <w:rFonts w:hint="eastAsia"/>
        </w:rPr>
        <w:t>岩盐矿已取得湖南省应急管理厅的《安全生产许可证》，并在有限期内。衡阳建滔化工有限公司不属于湖南省工信厅发布的</w:t>
      </w:r>
      <w:bookmarkStart w:id="72" w:name="_Hlk90277069"/>
      <w:r>
        <w:rPr>
          <w:rFonts w:hint="eastAsia"/>
        </w:rPr>
        <w:t>《关于发布湖南省沿江1公里范围内化工生产企业搬迁改造名单的公告》企业名单</w:t>
      </w:r>
      <w:bookmarkEnd w:id="72"/>
      <w:r>
        <w:rPr>
          <w:rFonts w:hint="eastAsia"/>
        </w:rPr>
        <w:t>中企业，本项目配套企业建滔（衡阳）实业有限公司属于《关于发布湖南省沿江1公里范围内化工生产企业搬迁改造名单的公告》湖南省沿江岸线1公里范围内保留类化工生产企业名单中的42家企业之一。</w:t>
      </w:r>
    </w:p>
    <w:p w14:paraId="4C33FC3F">
      <w:pPr>
        <w:pStyle w:val="2"/>
        <w:ind w:firstLine="519"/>
      </w:pPr>
      <w:r>
        <w:rPr>
          <w:rFonts w:hint="eastAsia"/>
        </w:rPr>
        <w:t>综上， 项目建设与《湖南省沿江化工企业搬迁改造实施方案》 相符。</w:t>
      </w:r>
    </w:p>
    <w:p w14:paraId="11C630E1">
      <w:pPr>
        <w:keepNext/>
        <w:keepLines/>
        <w:ind w:firstLine="0" w:firstLineChars="0"/>
        <w:outlineLvl w:val="3"/>
        <w:rPr>
          <w:rFonts w:cs="Times New Roman"/>
          <w:b/>
          <w:bCs/>
          <w:szCs w:val="28"/>
        </w:rPr>
      </w:pPr>
      <w:bookmarkStart w:id="73" w:name="_Hlk116202555"/>
      <w:r>
        <w:rPr>
          <w:rFonts w:cs="Times New Roman"/>
          <w:b/>
          <w:bCs/>
          <w:szCs w:val="28"/>
        </w:rPr>
        <w:t xml:space="preserve">1.4.2.9 </w:t>
      </w:r>
      <w:r>
        <w:rPr>
          <w:rFonts w:hint="eastAsia" w:cs="Times New Roman"/>
          <w:b/>
          <w:bCs/>
          <w:szCs w:val="28"/>
        </w:rPr>
        <w:t>与《衡阳市矿产资源总体规划（</w:t>
      </w:r>
      <w:r>
        <w:rPr>
          <w:rFonts w:cs="Times New Roman"/>
          <w:b/>
          <w:bCs/>
          <w:szCs w:val="28"/>
        </w:rPr>
        <w:t>2016-2020</w:t>
      </w:r>
      <w:r>
        <w:rPr>
          <w:rFonts w:hint="eastAsia" w:cs="Times New Roman"/>
          <w:b/>
          <w:bCs/>
          <w:szCs w:val="28"/>
        </w:rPr>
        <w:t>年）》的符合性</w:t>
      </w:r>
      <w:bookmarkEnd w:id="73"/>
    </w:p>
    <w:p w14:paraId="63918944">
      <w:pPr>
        <w:ind w:firstLine="519"/>
        <w:rPr>
          <w:rFonts w:cs="Arial"/>
        </w:rPr>
      </w:pPr>
      <w:r>
        <w:rPr>
          <w:rFonts w:hint="eastAsia" w:cs="Arial"/>
        </w:rPr>
        <w:t>（</w:t>
      </w:r>
      <w:r>
        <w:rPr>
          <w:rFonts w:cs="Arial"/>
        </w:rPr>
        <w:t>1</w:t>
      </w:r>
      <w:r>
        <w:rPr>
          <w:rFonts w:hint="eastAsia" w:cs="Arial"/>
        </w:rPr>
        <w:t>）矿业产值目标和园区建设</w:t>
      </w:r>
    </w:p>
    <w:p w14:paraId="513DDA78">
      <w:pPr>
        <w:ind w:firstLine="519"/>
        <w:rPr>
          <w:rFonts w:cs="Arial"/>
        </w:rPr>
      </w:pPr>
      <w:r>
        <w:rPr>
          <w:rFonts w:hint="eastAsia" w:cs="Arial"/>
        </w:rPr>
        <w:t>以特色矿产资源为支撑，以现有工业为基础，以大中型企业集团为龙头，以政策措施为导向，以内联外引为方式，以集中开发利用为手段，通过实施产业升级、生产要素聚集、结构优化调整，提高精深加工能力，重点发展具有特色的矿业工业园区或基地。</w:t>
      </w:r>
    </w:p>
    <w:p w14:paraId="4666CE8C">
      <w:pPr>
        <w:ind w:firstLine="519"/>
        <w:rPr>
          <w:rFonts w:cs="Arial"/>
        </w:rPr>
      </w:pPr>
      <w:r>
        <w:rPr>
          <w:rFonts w:hint="eastAsia" w:cs="Arial"/>
        </w:rPr>
        <w:t>规划期内重点发展以铜铅锌深加工产品为主的水口山有色金属工业基地，以钨矿、萤石深加工产品为主导的衡东萤石、钨产品深加工基地、耒阳市煤炭资源为能源基地，以盐卤化工产品为主的松木经济开发区，以界牌陶瓷总厂为核心陶瓷产品基地等</w:t>
      </w:r>
      <w:r>
        <w:rPr>
          <w:rFonts w:cs="Arial"/>
        </w:rPr>
        <w:t>6</w:t>
      </w:r>
      <w:r>
        <w:rPr>
          <w:rFonts w:hint="eastAsia" w:cs="Arial"/>
        </w:rPr>
        <w:t>个园区或基地。以衡阳市境内石英砂、白云石、石灰石、钠长石等资源为基础，打造中建材南方水泥玻璃陶瓷基地。力争实现矿业总产值</w:t>
      </w:r>
      <w:r>
        <w:rPr>
          <w:rFonts w:cs="Arial"/>
        </w:rPr>
        <w:t>1500</w:t>
      </w:r>
      <w:r>
        <w:rPr>
          <w:rFonts w:hint="eastAsia" w:cs="Arial"/>
        </w:rPr>
        <w:t>亿发展目标。</w:t>
      </w:r>
    </w:p>
    <w:p w14:paraId="74C76097">
      <w:pPr>
        <w:ind w:firstLine="519"/>
        <w:rPr>
          <w:rFonts w:cs="Arial"/>
        </w:rPr>
      </w:pPr>
      <w:r>
        <w:rPr>
          <w:rFonts w:hint="eastAsia" w:cs="Arial"/>
        </w:rPr>
        <w:t>（</w:t>
      </w:r>
      <w:r>
        <w:rPr>
          <w:rFonts w:cs="Arial"/>
        </w:rPr>
        <w:t>2</w:t>
      </w:r>
      <w:r>
        <w:rPr>
          <w:rFonts w:hint="eastAsia" w:cs="Arial"/>
        </w:rPr>
        <w:t>）相符性</w:t>
      </w:r>
    </w:p>
    <w:p w14:paraId="2682517E">
      <w:pPr>
        <w:ind w:firstLine="519"/>
        <w:rPr>
          <w:rFonts w:cs="Arial"/>
        </w:rPr>
      </w:pPr>
      <w:r>
        <w:rPr>
          <w:rFonts w:hint="eastAsia" w:cs="Arial"/>
        </w:rPr>
        <w:t>衡阳建滔化工有限公司岩盐矿属于石鼓松木—珠晖茶山坳—衡南咸塘盐卤化工生产加工经济区，本项目主要为建滔</w:t>
      </w:r>
      <w:r>
        <w:rPr>
          <w:rFonts w:cs="Arial"/>
        </w:rPr>
        <w:t>(</w:t>
      </w:r>
      <w:r>
        <w:rPr>
          <w:rFonts w:hint="eastAsia" w:cs="Arial"/>
        </w:rPr>
        <w:t>衡阳</w:t>
      </w:r>
      <w:r>
        <w:rPr>
          <w:rFonts w:cs="Arial"/>
        </w:rPr>
        <w:t>)</w:t>
      </w:r>
      <w:r>
        <w:rPr>
          <w:rFonts w:hint="eastAsia" w:cs="Arial"/>
        </w:rPr>
        <w:t>实业有限公司盐化工项目提供原卤资源保障，本项目建设地位于衡阳建滔化工有限公司岩盐矿内，属于《衡阳市矿产资源总体规划（</w:t>
      </w:r>
      <w:r>
        <w:rPr>
          <w:rFonts w:cs="Arial"/>
        </w:rPr>
        <w:t>2016-2020</w:t>
      </w:r>
      <w:r>
        <w:rPr>
          <w:rFonts w:hint="eastAsia" w:cs="Arial"/>
        </w:rPr>
        <w:t>年）》重点矿区</w:t>
      </w:r>
      <w:r>
        <w:rPr>
          <w:rFonts w:cs="Arial"/>
        </w:rPr>
        <w:t>-</w:t>
      </w:r>
      <w:r>
        <w:rPr>
          <w:rFonts w:hint="eastAsia" w:cs="Arial"/>
        </w:rPr>
        <w:t>石鼓桐山—衡南咸塘岩盐、芒硝、石膏非金属矿重点矿区，重点开采矿种为岩盐、芒硝、石膏。本项目符合《衡阳市矿产资源总体规划（</w:t>
      </w:r>
      <w:r>
        <w:rPr>
          <w:rFonts w:cs="Arial"/>
        </w:rPr>
        <w:t>2016-2020</w:t>
      </w:r>
      <w:r>
        <w:rPr>
          <w:rFonts w:hint="eastAsia" w:cs="Arial"/>
        </w:rPr>
        <w:t>年）》的要求。</w:t>
      </w:r>
    </w:p>
    <w:p w14:paraId="18B73906">
      <w:pPr>
        <w:keepNext/>
        <w:keepLines/>
        <w:ind w:firstLine="0" w:firstLineChars="0"/>
        <w:outlineLvl w:val="3"/>
        <w:rPr>
          <w:rFonts w:cs="Times New Roman"/>
          <w:b/>
          <w:bCs/>
          <w:szCs w:val="28"/>
        </w:rPr>
      </w:pPr>
      <w:r>
        <w:rPr>
          <w:rFonts w:cs="Times New Roman"/>
          <w:b/>
          <w:bCs/>
          <w:szCs w:val="28"/>
        </w:rPr>
        <w:t xml:space="preserve">1.4.2.10 </w:t>
      </w:r>
      <w:r>
        <w:rPr>
          <w:rFonts w:hint="eastAsia" w:cs="Times New Roman"/>
          <w:b/>
          <w:bCs/>
          <w:szCs w:val="28"/>
        </w:rPr>
        <w:t>与《湖南衡阳松木经济开发区扩区规划（2020-2030）环境影响报告书》及其审查意见的符合性</w:t>
      </w:r>
    </w:p>
    <w:p w14:paraId="25A156D5">
      <w:pPr>
        <w:pStyle w:val="3"/>
        <w:ind w:firstLine="519"/>
      </w:pPr>
      <w:r>
        <w:rPr>
          <w:rFonts w:hint="eastAsia"/>
        </w:rPr>
        <w:t>根据《湖南衡阳松木经济开发区扩区规划环境影响评价报告书》及规划环评批复。</w:t>
      </w:r>
    </w:p>
    <w:p w14:paraId="28362B36">
      <w:pPr>
        <w:pStyle w:val="3"/>
        <w:ind w:firstLine="519"/>
      </w:pPr>
      <w:r>
        <w:rPr>
          <w:rFonts w:hint="eastAsia"/>
        </w:rPr>
        <w:t>①用地规划</w:t>
      </w:r>
    </w:p>
    <w:p w14:paraId="15154A7B">
      <w:pPr>
        <w:pStyle w:val="3"/>
        <w:ind w:firstLine="519"/>
      </w:pPr>
      <w:r>
        <w:rPr>
          <w:rFonts w:hint="eastAsia"/>
        </w:rPr>
        <w:t>项目位于湖南衡阳松木经济开发区规划保留的工业用地，用地符合规划要求。</w:t>
      </w:r>
    </w:p>
    <w:p w14:paraId="7C38AE09">
      <w:pPr>
        <w:pStyle w:val="3"/>
        <w:ind w:firstLine="519"/>
      </w:pPr>
      <w:r>
        <w:rPr>
          <w:rFonts w:hint="eastAsia"/>
        </w:rPr>
        <w:t>②产业定位</w:t>
      </w:r>
    </w:p>
    <w:p w14:paraId="2DE8F3FB">
      <w:pPr>
        <w:pStyle w:val="3"/>
        <w:ind w:firstLine="519"/>
      </w:pPr>
      <w:r>
        <w:rPr>
          <w:rFonts w:hint="eastAsia"/>
        </w:rPr>
        <w:t>松木经济开发区主导产业为盐卤化工及精细化工（含医药化工和制药）、新能源、新材料。本项目为岩盐矿开采项目，项目开采配套建滔（衡阳）实业有限公司盐化工项目。</w:t>
      </w:r>
    </w:p>
    <w:p w14:paraId="4FBA53ED">
      <w:pPr>
        <w:pStyle w:val="3"/>
        <w:ind w:firstLine="519"/>
      </w:pPr>
      <w:r>
        <w:rPr>
          <w:rFonts w:hint="eastAsia"/>
        </w:rPr>
        <w:t>③产业布局</w:t>
      </w:r>
    </w:p>
    <w:p w14:paraId="6175E73A">
      <w:pPr>
        <w:pStyle w:val="3"/>
        <w:ind w:firstLine="519"/>
      </w:pPr>
      <w:r>
        <w:rPr>
          <w:rFonts w:hint="eastAsia"/>
        </w:rPr>
        <w:t>在经开区各类产业用地进行布局调整的同时，结合园区发展需要和用地条件，进行各产业用地的扩区规划，拟划分为三个片区7个功能产业区。盐卤化工及精细化工产业区（含医药化工和制药）全部布设在湘江岸线1公里以外，对于保留的11家化工企业，不再在湘江岸线1公里范围内新建、扩建化工项目；沿湘江岸线1公里以内布设装备制造和现代物流产业区。本项目不属于沿江1公里的化工企业；本次卤水开采项目主要为配套建滔（衡阳）实业有限公司厂区现有的离子膜烧碱生产线用卤需求，不属于新建、扩建化工项目；本项目配套企业建滔（衡阳）实业有限公司属于《关于发布湖南省沿江1公里范围内化工生产企业搬迁改造名单的公告》湖南省沿江岸线1公里范围内保留类化工生产企业。综上，本项目符合园区产业布局规划。</w:t>
      </w:r>
    </w:p>
    <w:p w14:paraId="06BD1FF6">
      <w:pPr>
        <w:pStyle w:val="3"/>
        <w:ind w:firstLine="519"/>
      </w:pPr>
      <w:r>
        <w:rPr>
          <w:rFonts w:hint="eastAsia"/>
        </w:rPr>
        <w:t>③准入条件</w:t>
      </w:r>
    </w:p>
    <w:p w14:paraId="18096966">
      <w:pPr>
        <w:pStyle w:val="3"/>
        <w:ind w:firstLine="519"/>
      </w:pPr>
      <w:r>
        <w:rPr>
          <w:rFonts w:hint="eastAsia"/>
        </w:rPr>
        <w:t>根据《湖南衡阳松木经济开发区扩区规划环境影响评价报告书》及规划环评批复。</w:t>
      </w:r>
    </w:p>
    <w:p w14:paraId="7B2B50FD">
      <w:pPr>
        <w:pStyle w:val="3"/>
        <w:ind w:firstLine="519"/>
      </w:pPr>
      <w:r>
        <w:rPr>
          <w:rFonts w:hint="eastAsia"/>
        </w:rPr>
        <w:t>对于化工片区（盐卤化工及精细化工产业园区（含医药化工和制药））:</w:t>
      </w:r>
    </w:p>
    <w:p w14:paraId="663F7C39">
      <w:pPr>
        <w:pStyle w:val="3"/>
        <w:ind w:firstLine="519"/>
      </w:pPr>
      <w:r>
        <w:rPr>
          <w:rFonts w:hint="eastAsia"/>
        </w:rPr>
        <w:t>禁止类：严格执行《长江保护法》、《长江经济带发展负面清单》、《湘江保护条例》相关禁止性规定。化工产业中单纯混合或分装除外的农药制造C263；炸药、火工及焰火产品制造C267；化学纤维制造业C28；医药制造业中的兽用药品制造C275；电镀（除原批复的电镀产能外）；制革和毛皮鞣制（C191、C193）；化学制浆和造纸C222；炼油、炼焦工业（C251、C252）；食品工业的禽畜初加工（包括屠宰）C135；味精、发酵酿造C146；致癌、致畸、致突变产品生产项目；国家明文禁止的“十五小”和“新五小”项目中的化工项目。。</w:t>
      </w:r>
    </w:p>
    <w:p w14:paraId="4BBDEF0C">
      <w:pPr>
        <w:pStyle w:val="3"/>
        <w:ind w:firstLine="519"/>
      </w:pPr>
      <w:r>
        <w:rPr>
          <w:rFonts w:hint="eastAsia"/>
        </w:rPr>
        <w:t>限制类：新建纯碱（井下循环制碱、天然碱除外）、烧碱（废盐综合利用的离子膜烧碱装置除外）、30万吨/年以下硫磺制酸（单项金属离子≤100ppb 的电子级硫酸除外）、20万吨/年以下硫铁矿制酸、常压法及综合法硝酸、电石（以大型先进工艺设备进行等量替换的除外）、单线产能 5 万吨/年以下氢氧化钾生产装置；排放量大，以氨气为主要特征污染物的企业；水耗、能耗较高的化工项目；现有生产力大、市场容量小的化工项目等；大量增加SO</w:t>
      </w:r>
      <w:r>
        <w:rPr>
          <w:rFonts w:hint="eastAsia"/>
          <w:vertAlign w:val="subscript"/>
        </w:rPr>
        <w:t>2</w:t>
      </w:r>
      <w:r>
        <w:rPr>
          <w:rFonts w:hint="eastAsia"/>
        </w:rPr>
        <w:t>和TSP、氯气、氯化氢排放的化工项目。</w:t>
      </w:r>
    </w:p>
    <w:p w14:paraId="76954DB3">
      <w:pPr>
        <w:pStyle w:val="3"/>
        <w:ind w:firstLine="519"/>
      </w:pPr>
      <w:r>
        <w:rPr>
          <w:rFonts w:hint="eastAsia"/>
        </w:rPr>
        <w:t>对于其他（新能源、新材料和装备制造）：</w:t>
      </w:r>
    </w:p>
    <w:p w14:paraId="7CC81772">
      <w:pPr>
        <w:ind w:firstLine="519"/>
      </w:pPr>
      <w:r>
        <w:rPr>
          <w:rFonts w:hint="eastAsia"/>
        </w:rPr>
        <w:t>禁止类：严格执行《长江保护法》、《长江经济带发展负面清单》、《湘江保护条例》相关禁止性规定。禁止C2511原油加工及石油制品制造、C2522煤制合成气生产、C2523煤制液体燃料生产、C26化学原料和化学制品制造业（不包括C267炸药、火工及焰火产品制造和C268日用化学产品制造）、C291橡胶制品业等属于化工行业管理范畴的项目准入，禁止使用高挥发分涂料的企业准入，禁止电镀生产项目以及其他涉及排放重金属废水的项目准入。</w:t>
      </w:r>
    </w:p>
    <w:p w14:paraId="660E12A8">
      <w:pPr>
        <w:pStyle w:val="2"/>
        <w:ind w:firstLine="519"/>
      </w:pPr>
      <w:r>
        <w:rPr>
          <w:rFonts w:hint="eastAsia"/>
        </w:rPr>
        <w:t>限制类：以恶臭为主要特征污染物且排放量大的行业，重点气型污染排放企业。</w:t>
      </w:r>
    </w:p>
    <w:p w14:paraId="4D2AE5C0">
      <w:pPr>
        <w:pStyle w:val="3"/>
        <w:ind w:firstLine="519"/>
      </w:pPr>
      <w:r>
        <w:rPr>
          <w:rFonts w:hint="eastAsia"/>
        </w:rPr>
        <w:t>本项目仅涉及到矿山开采，不属于沿江1公里的化工企业。本次卤水开采项目主要为配套建滔（衡阳）实业有限公司厂区现有的离子膜烧碱生产线用卤需求，不属于新建、扩建化工项目。项目生产废水全部回用，不外排，运营期无废气产生。项目满足《长江保护法》、《长江经济带发展负面清单》、《湘江保护条例》相关禁止性规定，因此，本项目和《湖南衡阳松木经济开发区扩区规划（2020-2030）环境影响报告书》及其审查意见的要求不冲突。</w:t>
      </w:r>
    </w:p>
    <w:p w14:paraId="25D93C0F">
      <w:pPr>
        <w:keepNext/>
        <w:keepLines/>
        <w:ind w:firstLine="0" w:firstLineChars="0"/>
        <w:outlineLvl w:val="2"/>
        <w:rPr>
          <w:rFonts w:cs="Times New Roman"/>
          <w:b/>
          <w:bCs/>
          <w:sz w:val="28"/>
          <w:szCs w:val="32"/>
        </w:rPr>
      </w:pPr>
      <w:bookmarkStart w:id="74" w:name="_Toc90318379"/>
      <w:bookmarkStart w:id="75" w:name="_Toc90997626"/>
      <w:bookmarkStart w:id="76" w:name="_Toc121420783"/>
      <w:bookmarkStart w:id="77" w:name="_Toc89882419"/>
      <w:bookmarkStart w:id="78" w:name="_Toc90989200"/>
      <w:bookmarkStart w:id="79" w:name="_Toc89850452"/>
      <w:r>
        <w:rPr>
          <w:rFonts w:cs="Times New Roman"/>
          <w:b/>
          <w:bCs/>
          <w:sz w:val="28"/>
          <w:szCs w:val="32"/>
        </w:rPr>
        <w:t xml:space="preserve">1.4.3 </w:t>
      </w:r>
      <w:r>
        <w:rPr>
          <w:rFonts w:hint="eastAsia" w:cs="Times New Roman"/>
          <w:b/>
          <w:bCs/>
          <w:sz w:val="28"/>
          <w:szCs w:val="32"/>
        </w:rPr>
        <w:t>选址合理性分析</w:t>
      </w:r>
      <w:bookmarkEnd w:id="74"/>
      <w:bookmarkEnd w:id="75"/>
      <w:bookmarkEnd w:id="76"/>
      <w:bookmarkEnd w:id="77"/>
      <w:bookmarkEnd w:id="78"/>
      <w:bookmarkEnd w:id="79"/>
    </w:p>
    <w:p w14:paraId="66BDD218">
      <w:pPr>
        <w:keepNext/>
        <w:keepLines/>
        <w:ind w:firstLine="0" w:firstLineChars="0"/>
        <w:outlineLvl w:val="3"/>
        <w:rPr>
          <w:rFonts w:cs="Times New Roman"/>
          <w:b/>
          <w:bCs/>
          <w:szCs w:val="28"/>
        </w:rPr>
      </w:pPr>
      <w:r>
        <w:rPr>
          <w:rFonts w:cs="Times New Roman"/>
          <w:b/>
          <w:bCs/>
          <w:szCs w:val="28"/>
        </w:rPr>
        <w:t xml:space="preserve">1.4.3.1 </w:t>
      </w:r>
      <w:r>
        <w:rPr>
          <w:rFonts w:hint="eastAsia" w:cs="Times New Roman"/>
          <w:b/>
          <w:bCs/>
          <w:szCs w:val="28"/>
        </w:rPr>
        <w:t>环保角度项目选址合理性分析</w:t>
      </w:r>
    </w:p>
    <w:p w14:paraId="60AD9F5F">
      <w:pPr>
        <w:ind w:firstLine="519"/>
        <w:rPr>
          <w:rFonts w:cs="Arial"/>
        </w:rPr>
      </w:pPr>
      <w:r>
        <w:rPr>
          <w:rFonts w:hint="eastAsia" w:cs="Arial"/>
        </w:rPr>
        <w:t>（</w:t>
      </w:r>
      <w:r>
        <w:rPr>
          <w:rFonts w:cs="Arial"/>
        </w:rPr>
        <w:t>1</w:t>
      </w:r>
      <w:r>
        <w:rPr>
          <w:rFonts w:hint="eastAsia" w:cs="Arial"/>
        </w:rPr>
        <w:t>）区域环境质量现状</w:t>
      </w:r>
    </w:p>
    <w:p w14:paraId="1869AB35">
      <w:pPr>
        <w:ind w:firstLine="519"/>
        <w:rPr>
          <w:rFonts w:cs="Arial"/>
        </w:rPr>
      </w:pPr>
      <w:r>
        <w:rPr>
          <w:rFonts w:hint="eastAsia" w:cs="Arial"/>
        </w:rPr>
        <w:t>环境空气质量：根据衡阳市环境空气质量常规监测点衡阳化工总厂</w:t>
      </w:r>
      <w:r>
        <w:rPr>
          <w:rFonts w:cs="Arial"/>
        </w:rPr>
        <w:t>2021</w:t>
      </w:r>
      <w:r>
        <w:rPr>
          <w:rFonts w:hint="eastAsia" w:cs="Arial"/>
        </w:rPr>
        <w:t>年空气监测数据，松木经开区为环境空气“不达标区域”。</w:t>
      </w:r>
      <w:r>
        <w:rPr>
          <w:rFonts w:hint="eastAsia"/>
        </w:rPr>
        <w:t>根据</w:t>
      </w:r>
      <w:r>
        <w:rPr>
          <w:rFonts w:hint="eastAsia" w:cs="Times New Roman"/>
          <w:szCs w:val="24"/>
        </w:rPr>
        <w:t>2022年4月发布《衡阳市“十四五”空气质量改善规划》（衡环函【2022】16号），到2025年松木经开区目标PM</w:t>
      </w:r>
      <w:r>
        <w:rPr>
          <w:rFonts w:hint="eastAsia" w:cs="Times New Roman"/>
          <w:szCs w:val="24"/>
          <w:vertAlign w:val="subscript"/>
        </w:rPr>
        <w:t>2.5</w:t>
      </w:r>
      <w:r>
        <w:rPr>
          <w:rFonts w:hint="eastAsia" w:cs="Times New Roman"/>
          <w:szCs w:val="24"/>
        </w:rPr>
        <w:t>年平均浓度下降至</w:t>
      </w:r>
      <w:r>
        <w:rPr>
          <w:rFonts w:cs="Times New Roman"/>
          <w:szCs w:val="24"/>
        </w:rPr>
        <w:t>33μg/m</w:t>
      </w:r>
      <w:r>
        <w:rPr>
          <w:rFonts w:cs="Times New Roman"/>
          <w:szCs w:val="24"/>
          <w:vertAlign w:val="superscript"/>
        </w:rPr>
        <w:t>3</w:t>
      </w:r>
      <w:r>
        <w:rPr>
          <w:rFonts w:hint="eastAsia" w:cs="Times New Roman"/>
          <w:szCs w:val="24"/>
        </w:rPr>
        <w:t>。</w:t>
      </w:r>
    </w:p>
    <w:p w14:paraId="3DED611B">
      <w:pPr>
        <w:ind w:firstLine="519"/>
        <w:rPr>
          <w:rFonts w:cs="Arial"/>
        </w:rPr>
      </w:pPr>
      <w:r>
        <w:rPr>
          <w:rFonts w:hint="eastAsia" w:cs="Arial"/>
        </w:rPr>
        <w:t>地表水：各监测断面水质各项指标均满足</w:t>
      </w:r>
      <w:r>
        <w:rPr>
          <w:rFonts w:cs="Arial"/>
        </w:rPr>
        <w:t>GB3838-2002</w:t>
      </w:r>
      <w:r>
        <w:rPr>
          <w:rFonts w:hint="eastAsia" w:cs="Arial"/>
        </w:rPr>
        <w:t>中</w:t>
      </w:r>
      <w:r>
        <w:rPr>
          <w:rFonts w:cs="Arial"/>
        </w:rPr>
        <w:t>III</w:t>
      </w:r>
      <w:r>
        <w:rPr>
          <w:rFonts w:hint="eastAsia" w:cs="Arial"/>
        </w:rPr>
        <w:t>类水质标准限值要求，水质较好。</w:t>
      </w:r>
    </w:p>
    <w:p w14:paraId="2CF47A4D">
      <w:pPr>
        <w:ind w:firstLine="519"/>
        <w:rPr>
          <w:rFonts w:cs="Arial"/>
        </w:rPr>
      </w:pPr>
      <w:r>
        <w:rPr>
          <w:rFonts w:hint="eastAsia" w:cs="Arial"/>
        </w:rPr>
        <w:t>地下水：</w:t>
      </w:r>
      <w:r>
        <w:rPr>
          <w:rFonts w:hint="eastAsia" w:cs="Times New Roman"/>
        </w:rPr>
        <w:t>各监测因子均满足执行《地下水质量标准》（</w:t>
      </w:r>
      <w:r>
        <w:rPr>
          <w:rFonts w:cs="Times New Roman"/>
        </w:rPr>
        <w:t>GB/T14848-2017</w:t>
      </w:r>
      <w:r>
        <w:rPr>
          <w:rFonts w:hint="eastAsia" w:cs="Times New Roman"/>
        </w:rPr>
        <w:t>）</w:t>
      </w:r>
      <w:r>
        <w:rPr>
          <w:rFonts w:cs="Times New Roman"/>
        </w:rPr>
        <w:t>III</w:t>
      </w:r>
      <w:r>
        <w:rPr>
          <w:rFonts w:hint="eastAsia" w:cs="Times New Roman"/>
        </w:rPr>
        <w:t>类标准</w:t>
      </w:r>
      <w:r>
        <w:rPr>
          <w:rFonts w:hint="eastAsia" w:cs="Arial"/>
        </w:rPr>
        <w:t>。</w:t>
      </w:r>
    </w:p>
    <w:p w14:paraId="6182CFE7">
      <w:pPr>
        <w:ind w:firstLine="519"/>
        <w:rPr>
          <w:rFonts w:cs="Arial"/>
        </w:rPr>
      </w:pPr>
      <w:r>
        <w:rPr>
          <w:rFonts w:hint="eastAsia" w:cs="Arial"/>
        </w:rPr>
        <w:t>噪声：矿区周边各噪声测点等效连续</w:t>
      </w:r>
      <w:r>
        <w:rPr>
          <w:rFonts w:cs="Arial"/>
        </w:rPr>
        <w:t>A</w:t>
      </w:r>
      <w:r>
        <w:rPr>
          <w:rFonts w:hint="eastAsia" w:cs="Arial"/>
        </w:rPr>
        <w:t>声级均低于《声环境质量标准》（</w:t>
      </w:r>
      <w:r>
        <w:rPr>
          <w:rFonts w:cs="Arial"/>
        </w:rPr>
        <w:t>GB3096-2008</w:t>
      </w:r>
      <w:r>
        <w:rPr>
          <w:rFonts w:hint="eastAsia" w:cs="Arial"/>
        </w:rPr>
        <w:t>）中的</w:t>
      </w:r>
      <w:r>
        <w:rPr>
          <w:rFonts w:cs="Arial"/>
        </w:rPr>
        <w:t>3</w:t>
      </w:r>
      <w:r>
        <w:rPr>
          <w:rFonts w:hint="eastAsia" w:cs="Arial"/>
        </w:rPr>
        <w:t>类及</w:t>
      </w:r>
      <w:r>
        <w:rPr>
          <w:rFonts w:cs="Arial"/>
        </w:rPr>
        <w:t>4a</w:t>
      </w:r>
      <w:r>
        <w:rPr>
          <w:rFonts w:hint="eastAsia" w:cs="Arial"/>
        </w:rPr>
        <w:t>类标准。总体来说本矿所在区域声环境质量较好。</w:t>
      </w:r>
    </w:p>
    <w:p w14:paraId="51003862">
      <w:pPr>
        <w:ind w:firstLine="519"/>
        <w:rPr>
          <w:rFonts w:cs="Arial"/>
        </w:rPr>
      </w:pPr>
      <w:r>
        <w:rPr>
          <w:rFonts w:hint="eastAsia" w:cs="Arial"/>
        </w:rPr>
        <w:t>总体来说，评价区环境质量现状对项目的建设和运营无明显制约影响。</w:t>
      </w:r>
    </w:p>
    <w:p w14:paraId="7BA9689C">
      <w:pPr>
        <w:ind w:firstLine="519"/>
        <w:rPr>
          <w:rFonts w:cs="Arial"/>
        </w:rPr>
      </w:pPr>
      <w:r>
        <w:rPr>
          <w:rFonts w:hint="eastAsia" w:cs="Arial"/>
        </w:rPr>
        <w:t>（</w:t>
      </w:r>
      <w:r>
        <w:rPr>
          <w:rFonts w:cs="Arial"/>
        </w:rPr>
        <w:t>2</w:t>
      </w:r>
      <w:r>
        <w:rPr>
          <w:rFonts w:hint="eastAsia" w:cs="Arial"/>
        </w:rPr>
        <w:t>）项目选址与污染影响评价</w:t>
      </w:r>
    </w:p>
    <w:p w14:paraId="0A631030">
      <w:pPr>
        <w:ind w:firstLine="519"/>
        <w:rPr>
          <w:rFonts w:cs="Arial"/>
        </w:rPr>
      </w:pPr>
      <w:r>
        <w:rPr>
          <w:rFonts w:hint="eastAsia" w:cs="Arial"/>
        </w:rPr>
        <w:t>本项目不涉及废气、废水排放，不新增噪声源，选址周边声环境现状满足《声环境质量标准》（</w:t>
      </w:r>
      <w:r>
        <w:rPr>
          <w:rFonts w:cs="Arial"/>
        </w:rPr>
        <w:t>GB3096-2008</w:t>
      </w:r>
      <w:r>
        <w:rPr>
          <w:rFonts w:hint="eastAsia" w:cs="Arial"/>
        </w:rPr>
        <w:t>）相关标准要求，本项目固体废物有合理的处理处置措施，对环境影响较小。</w:t>
      </w:r>
    </w:p>
    <w:p w14:paraId="02699F4F">
      <w:pPr>
        <w:ind w:firstLine="519"/>
        <w:rPr>
          <w:rFonts w:cs="Arial"/>
        </w:rPr>
      </w:pPr>
      <w:r>
        <w:rPr>
          <w:rFonts w:hint="eastAsia" w:cs="Arial"/>
        </w:rPr>
        <w:t>地下水环境：本项目针对可能造成的地下水污染，本项目从源头控制与过程控制采取相应防治措施，并提出了地下水环境跟踪监测计划。</w:t>
      </w:r>
    </w:p>
    <w:p w14:paraId="6F9EDD7F">
      <w:pPr>
        <w:ind w:firstLine="519"/>
        <w:rPr>
          <w:rFonts w:cs="Arial"/>
        </w:rPr>
      </w:pPr>
      <w:r>
        <w:rPr>
          <w:rFonts w:hint="eastAsia" w:cs="Arial"/>
        </w:rPr>
        <w:t>环境风险：（</w:t>
      </w:r>
      <w:r>
        <w:rPr>
          <w:rFonts w:cs="Arial"/>
        </w:rPr>
        <w:t>1</w:t>
      </w:r>
      <w:r>
        <w:rPr>
          <w:rFonts w:hint="eastAsia" w:cs="Arial"/>
        </w:rPr>
        <w:t>）井场：卤井井壁套管中技术套管外有固井套管和固井水泥层，在采集卤工程安装有自动监测系统，监测回卤井回卤压力和回卤量；（</w:t>
      </w:r>
      <w:r>
        <w:rPr>
          <w:rFonts w:cs="Arial"/>
        </w:rPr>
        <w:t>2</w:t>
      </w:r>
      <w:r>
        <w:rPr>
          <w:rFonts w:hint="eastAsia" w:cs="Arial"/>
        </w:rPr>
        <w:t>）采卤场：采卤中心地面全部进行硬化处理，设防污沟收集泄漏卤水，卤水池、淡卤池作防渗处理。（</w:t>
      </w:r>
      <w:r>
        <w:rPr>
          <w:rFonts w:cs="Arial"/>
        </w:rPr>
        <w:t>3</w:t>
      </w:r>
      <w:r>
        <w:rPr>
          <w:rFonts w:hint="eastAsia" w:cs="Arial"/>
        </w:rPr>
        <w:t>）管线：管廊在建设时应采取防渗措施，在回卤管道沿途设置压力检测器、控制阀等。在建设单位严格落实环评提出的各项防范措施和应急预案编制要求后，其环境风险可控。</w:t>
      </w:r>
    </w:p>
    <w:p w14:paraId="26F682DE">
      <w:pPr>
        <w:ind w:firstLine="519"/>
        <w:rPr>
          <w:rFonts w:cs="Arial"/>
        </w:rPr>
      </w:pPr>
      <w:r>
        <w:rPr>
          <w:rFonts w:hint="eastAsia" w:cs="Arial"/>
        </w:rPr>
        <w:t>（</w:t>
      </w:r>
      <w:r>
        <w:rPr>
          <w:rFonts w:cs="Arial"/>
        </w:rPr>
        <w:t>3</w:t>
      </w:r>
      <w:r>
        <w:rPr>
          <w:rFonts w:hint="eastAsia" w:cs="Arial"/>
        </w:rPr>
        <w:t>）项目周边环境敏感点分布</w:t>
      </w:r>
    </w:p>
    <w:p w14:paraId="0AFBDF2F">
      <w:pPr>
        <w:ind w:firstLine="519"/>
        <w:rPr>
          <w:rFonts w:cs="Arial"/>
        </w:rPr>
      </w:pPr>
      <w:r>
        <w:rPr>
          <w:rFonts w:hint="eastAsia" w:cs="Arial"/>
        </w:rPr>
        <w:t>评价范围内无自然保护区、风景名胜区和水源地等环境敏感目标。</w:t>
      </w:r>
    </w:p>
    <w:p w14:paraId="5B88936B">
      <w:pPr>
        <w:ind w:firstLine="519"/>
        <w:rPr>
          <w:rFonts w:cs="Arial"/>
        </w:rPr>
      </w:pPr>
      <w:r>
        <w:rPr>
          <w:rFonts w:hint="eastAsia" w:cs="Arial"/>
        </w:rPr>
        <w:t>综上，本项目从环保角度选址合理。</w:t>
      </w:r>
    </w:p>
    <w:p w14:paraId="6AB5DD93">
      <w:pPr>
        <w:keepNext/>
        <w:keepLines/>
        <w:ind w:firstLine="0" w:firstLineChars="0"/>
        <w:outlineLvl w:val="3"/>
        <w:rPr>
          <w:rFonts w:cs="Times New Roman"/>
          <w:b/>
          <w:bCs/>
          <w:szCs w:val="28"/>
        </w:rPr>
      </w:pPr>
      <w:r>
        <w:rPr>
          <w:rFonts w:cs="Times New Roman"/>
          <w:b/>
          <w:bCs/>
          <w:szCs w:val="28"/>
        </w:rPr>
        <w:t>11.2.2</w:t>
      </w:r>
      <w:r>
        <w:rPr>
          <w:rFonts w:hint="eastAsia" w:cs="Times New Roman"/>
          <w:b/>
          <w:bCs/>
          <w:szCs w:val="28"/>
        </w:rPr>
        <w:t>选址选线合理性分析</w:t>
      </w:r>
    </w:p>
    <w:p w14:paraId="033ED682">
      <w:pPr>
        <w:ind w:firstLine="519"/>
        <w:rPr>
          <w:rFonts w:cs="Arial"/>
        </w:rPr>
      </w:pPr>
      <w:r>
        <w:rPr>
          <w:rFonts w:hint="eastAsia" w:cs="Arial"/>
        </w:rPr>
        <w:t>本项目建设范围不涉及自然保护区、森林公园、饮用水源保护区、湿地公园等环境敏感区，不属于生态保护红线范围。采集卤管线采用地埋方式，沿园区道路布置，方便管线巡查和维修；</w:t>
      </w:r>
      <w:r>
        <w:rPr>
          <w:rFonts w:hint="eastAsia" w:cs="Times New Roman"/>
        </w:rPr>
        <w:t>矿区</w:t>
      </w:r>
      <w:r>
        <w:rPr>
          <w:rFonts w:cs="Times New Roman"/>
        </w:rPr>
        <w:t>总面积1.32km</w:t>
      </w:r>
      <w:r>
        <w:rPr>
          <w:rFonts w:cs="Times New Roman"/>
          <w:vertAlign w:val="superscript"/>
        </w:rPr>
        <w:t>2</w:t>
      </w:r>
      <w:r>
        <w:rPr>
          <w:rFonts w:hint="eastAsia" w:cs="Times New Roman"/>
        </w:rPr>
        <w:t>，</w:t>
      </w:r>
      <w:r>
        <w:rPr>
          <w:rFonts w:hint="eastAsia" w:cs="Arial"/>
        </w:rPr>
        <w:t>矿区现有采卤井8组，沿矿区东侧自东向西分布，参照开发利用方案，矿区开采推进方向沿矿体走向自东向西，本次新建卤井均位于矿区内现有卤井西侧，符合开发利用方案开采方向要求，新建卤井井组布置形式按常用的对井布置形式，即两口井为一井组，采用垂直和倾斜混合对接钻孔开拓，卤井垂直深度</w:t>
      </w:r>
      <w:r>
        <w:rPr>
          <w:rFonts w:cs="Arial"/>
        </w:rPr>
        <w:t>7</w:t>
      </w:r>
      <w:r>
        <w:rPr>
          <w:rFonts w:hint="eastAsia" w:cs="Arial"/>
        </w:rPr>
        <w:t>50m，井距</w:t>
      </w:r>
      <w:r>
        <w:rPr>
          <w:rFonts w:cs="Arial"/>
        </w:rPr>
        <w:t>280m~300m</w:t>
      </w:r>
      <w:r>
        <w:rPr>
          <w:rFonts w:hint="eastAsia" w:cs="Arial"/>
        </w:rPr>
        <w:t>，保证了溶腔尺寸。卤井及管线布置合理，且本项目矿井为临时工程，占地面积极小，管线部分无永久占地，施工后将进行复垦回填，不改变原土地性质。因此本项目选址选线合理。</w:t>
      </w:r>
    </w:p>
    <w:p w14:paraId="5405D03B">
      <w:pPr>
        <w:pStyle w:val="6"/>
        <w:spacing w:before="170" w:after="170"/>
        <w:rPr>
          <w:rFonts w:cs="Times New Roman"/>
        </w:rPr>
      </w:pPr>
      <w:bookmarkStart w:id="80" w:name="_Toc121420784"/>
      <w:r>
        <w:rPr>
          <w:rFonts w:cs="Times New Roman"/>
        </w:rPr>
        <w:t>1.5 评价结论</w:t>
      </w:r>
      <w:bookmarkEnd w:id="44"/>
      <w:bookmarkEnd w:id="45"/>
      <w:bookmarkEnd w:id="80"/>
    </w:p>
    <w:p w14:paraId="2874B1DD">
      <w:pPr>
        <w:ind w:firstLine="519"/>
        <w:rPr>
          <w:rFonts w:cs="Times New Roman"/>
        </w:rPr>
      </w:pPr>
      <w:r>
        <w:rPr>
          <w:rFonts w:cs="Times New Roman"/>
        </w:rPr>
        <w:t>本项目建设符合国家及地方产业政策，选址符合相关要求，在认真落实报告书提出的各项环保措施前提下，</w:t>
      </w:r>
      <w:r>
        <w:rPr>
          <w:rFonts w:hint="eastAsia" w:cs="Times New Roman"/>
        </w:rPr>
        <w:t>废水、废气、噪声可得到有效处理</w:t>
      </w:r>
      <w:r>
        <w:rPr>
          <w:rFonts w:cs="Times New Roman"/>
        </w:rPr>
        <w:t>，环境风险可接受，项目建设及运营对周边环境的影响满足环境功能规划的要求。从环境保护角度而言，项目在拟定厂址建设可行。</w:t>
      </w:r>
      <w:r>
        <w:rPr>
          <w:rFonts w:cs="Times New Roman"/>
        </w:rPr>
        <w:br w:type="page"/>
      </w:r>
    </w:p>
    <w:p w14:paraId="627812FD">
      <w:pPr>
        <w:pStyle w:val="5"/>
        <w:spacing w:before="170" w:after="170"/>
        <w:rPr>
          <w:rFonts w:ascii="Times New Roman" w:hAnsi="Times New Roman"/>
        </w:rPr>
      </w:pPr>
      <w:bookmarkStart w:id="81" w:name="_Toc121420785"/>
      <w:r>
        <w:rPr>
          <w:rFonts w:ascii="Times New Roman" w:hAnsi="Times New Roman"/>
        </w:rPr>
        <w:t>第2章 总则</w:t>
      </w:r>
      <w:bookmarkEnd w:id="81"/>
    </w:p>
    <w:p w14:paraId="347196CF">
      <w:pPr>
        <w:pStyle w:val="6"/>
        <w:spacing w:before="170" w:after="170"/>
        <w:rPr>
          <w:rFonts w:cs="Times New Roman"/>
        </w:rPr>
      </w:pPr>
      <w:bookmarkStart w:id="82" w:name="_Toc121420786"/>
      <w:bookmarkStart w:id="83" w:name="_Toc63257106"/>
      <w:bookmarkStart w:id="84" w:name="_Toc58965760"/>
      <w:bookmarkStart w:id="85" w:name="_Toc187719203"/>
      <w:bookmarkStart w:id="86" w:name="_Toc231951053"/>
      <w:bookmarkStart w:id="87" w:name="_Toc243190808"/>
      <w:bookmarkStart w:id="88" w:name="_Toc27377389"/>
      <w:bookmarkStart w:id="89" w:name="_Toc55742512"/>
      <w:bookmarkStart w:id="90" w:name="_Toc50662062"/>
      <w:bookmarkStart w:id="91" w:name="_Toc230520978"/>
      <w:r>
        <w:rPr>
          <w:rFonts w:cs="Times New Roman"/>
        </w:rPr>
        <w:t>2.1 编制目的</w:t>
      </w:r>
      <w:bookmarkEnd w:id="82"/>
      <w:bookmarkEnd w:id="83"/>
      <w:bookmarkEnd w:id="84"/>
    </w:p>
    <w:p w14:paraId="41AC0CDE">
      <w:pPr>
        <w:ind w:firstLine="519"/>
        <w:rPr>
          <w:rFonts w:cs="Times New Roman"/>
        </w:rPr>
      </w:pPr>
      <w:r>
        <w:rPr>
          <w:rFonts w:cs="Times New Roman"/>
        </w:rPr>
        <w:t>开展“衡阳建滔化工有限公司采卤井项目”环境影响评价，按照《中华人民共和国环境保护法》、《中华人民共和国环境影响评价法》和《建设项目环境保护管理条例》要求，定性、定量评价工程建设过程中对环境的影响范围和程度，在对环境影响预测和环境经济损益分析的基础上，提出合理可行的环境保护措施，为项目下阶段建设和环境管理提供科学依据，使项目在取得经济效益的同时最大程度减轻项目建设带来的不利影响。</w:t>
      </w:r>
    </w:p>
    <w:p w14:paraId="281B8696">
      <w:pPr>
        <w:ind w:firstLine="519"/>
        <w:rPr>
          <w:rFonts w:cs="Times New Roman"/>
        </w:rPr>
      </w:pPr>
      <w:r>
        <w:rPr>
          <w:rFonts w:cs="Times New Roman"/>
        </w:rPr>
        <w:t>（1）通过现场实地调查、收集资料、数据分析，对评价区域的生态环境、地表水环境、地下水环境、大气环境、声环境、土壤环境现状做出客观评价。</w:t>
      </w:r>
    </w:p>
    <w:p w14:paraId="67702187">
      <w:pPr>
        <w:ind w:firstLine="519"/>
        <w:rPr>
          <w:rFonts w:cs="Times New Roman"/>
        </w:rPr>
      </w:pPr>
      <w:r>
        <w:rPr>
          <w:rFonts w:cs="Times New Roman"/>
        </w:rPr>
        <w:t>（2）通过对建设项目工程内容和生产工艺的分析，掌握项目营运期污染物产生及排放情况，结合区域环境特征及敏感点分布情况，选用适当的环境影响预测模型，预测项目营运期对环境的影响程度及范围，得出项目的环境可行性；</w:t>
      </w:r>
    </w:p>
    <w:p w14:paraId="2DF83A4B">
      <w:pPr>
        <w:ind w:firstLine="519"/>
        <w:rPr>
          <w:rFonts w:cs="Times New Roman"/>
        </w:rPr>
      </w:pPr>
      <w:r>
        <w:rPr>
          <w:rFonts w:cs="Times New Roman"/>
        </w:rPr>
        <w:t>（3）从国家产业政策、区域环境现状、环境影响预测评价结果、工程环保措施的技术经济可行性等方面，论证工程建设的可行性。</w:t>
      </w:r>
    </w:p>
    <w:p w14:paraId="57E77E2F">
      <w:pPr>
        <w:pStyle w:val="6"/>
        <w:spacing w:before="170" w:after="170"/>
        <w:rPr>
          <w:rFonts w:cs="Times New Roman"/>
        </w:rPr>
      </w:pPr>
      <w:bookmarkStart w:id="92" w:name="_Toc63257107"/>
      <w:bookmarkStart w:id="93" w:name="_Toc121420787"/>
      <w:r>
        <w:rPr>
          <w:rFonts w:cs="Times New Roman"/>
        </w:rPr>
        <w:t>2.2 编制依据</w:t>
      </w:r>
      <w:bookmarkEnd w:id="85"/>
      <w:bookmarkEnd w:id="86"/>
      <w:bookmarkEnd w:id="87"/>
      <w:bookmarkEnd w:id="88"/>
      <w:bookmarkEnd w:id="89"/>
      <w:bookmarkEnd w:id="90"/>
      <w:bookmarkEnd w:id="91"/>
      <w:bookmarkEnd w:id="92"/>
      <w:bookmarkEnd w:id="93"/>
    </w:p>
    <w:p w14:paraId="4B969020">
      <w:pPr>
        <w:pStyle w:val="7"/>
      </w:pPr>
      <w:bookmarkStart w:id="94" w:name="_Toc70341767"/>
      <w:bookmarkStart w:id="95" w:name="_Toc187719204"/>
      <w:bookmarkStart w:id="96" w:name="_Toc121420788"/>
      <w:bookmarkStart w:id="97" w:name="_Toc90318384"/>
      <w:bookmarkStart w:id="98" w:name="_Toc186012793"/>
      <w:bookmarkStart w:id="99" w:name="_Toc63257108"/>
      <w:bookmarkStart w:id="100" w:name="_Toc89882424"/>
      <w:bookmarkStart w:id="101" w:name="_Toc90997631"/>
      <w:bookmarkStart w:id="102" w:name="_Toc89786099"/>
      <w:bookmarkStart w:id="103" w:name="_Toc86852247"/>
      <w:bookmarkStart w:id="104" w:name="_Toc90989205"/>
      <w:r>
        <w:t>2.2.1 国家法律、法规、政策</w:t>
      </w:r>
      <w:bookmarkEnd w:id="94"/>
      <w:bookmarkEnd w:id="95"/>
      <w:bookmarkEnd w:id="96"/>
      <w:bookmarkEnd w:id="97"/>
      <w:bookmarkEnd w:id="98"/>
      <w:bookmarkEnd w:id="99"/>
      <w:bookmarkEnd w:id="100"/>
      <w:bookmarkEnd w:id="101"/>
      <w:bookmarkEnd w:id="102"/>
      <w:bookmarkEnd w:id="103"/>
      <w:bookmarkEnd w:id="104"/>
    </w:p>
    <w:p w14:paraId="1C342E86">
      <w:pPr>
        <w:ind w:firstLine="519"/>
        <w:rPr>
          <w:rFonts w:cs="Times New Roman"/>
        </w:rPr>
      </w:pPr>
      <w:r>
        <w:rPr>
          <w:rFonts w:cs="Times New Roman"/>
        </w:rPr>
        <w:t>（1）《中华人民共和国环境保护法》，2015年1月1日实施；</w:t>
      </w:r>
    </w:p>
    <w:p w14:paraId="6EB8FA8C">
      <w:pPr>
        <w:ind w:firstLine="519"/>
        <w:rPr>
          <w:rFonts w:cs="Times New Roman"/>
        </w:rPr>
      </w:pPr>
      <w:r>
        <w:rPr>
          <w:rFonts w:cs="Times New Roman"/>
        </w:rPr>
        <w:t>（2）《中华人民共和国环境影响评价法》</w:t>
      </w:r>
      <w:r>
        <w:rPr>
          <w:rFonts w:hint="eastAsia" w:cs="Times New Roman"/>
        </w:rPr>
        <w:t>，</w:t>
      </w:r>
      <w:r>
        <w:rPr>
          <w:rFonts w:cs="Times New Roman"/>
        </w:rPr>
        <w:t>2018</w:t>
      </w:r>
      <w:r>
        <w:rPr>
          <w:rFonts w:hint="eastAsia" w:cs="Times New Roman"/>
        </w:rPr>
        <w:t>年</w:t>
      </w:r>
      <w:r>
        <w:rPr>
          <w:rFonts w:cs="Times New Roman"/>
        </w:rPr>
        <w:t>12</w:t>
      </w:r>
      <w:r>
        <w:rPr>
          <w:rFonts w:hint="eastAsia" w:cs="Times New Roman"/>
        </w:rPr>
        <w:t>月</w:t>
      </w:r>
      <w:r>
        <w:rPr>
          <w:rFonts w:cs="Times New Roman"/>
        </w:rPr>
        <w:t xml:space="preserve">29 </w:t>
      </w:r>
      <w:r>
        <w:rPr>
          <w:rFonts w:hint="eastAsia" w:cs="Times New Roman"/>
        </w:rPr>
        <w:t>日</w:t>
      </w:r>
      <w:r>
        <w:rPr>
          <w:rFonts w:cs="Times New Roman"/>
        </w:rPr>
        <w:t>修正；</w:t>
      </w:r>
    </w:p>
    <w:p w14:paraId="54ADE163">
      <w:pPr>
        <w:ind w:firstLine="519"/>
        <w:rPr>
          <w:rFonts w:cs="Times New Roman"/>
        </w:rPr>
      </w:pPr>
      <w:r>
        <w:rPr>
          <w:rFonts w:cs="Times New Roman"/>
        </w:rPr>
        <w:t>（3）《中华人民共和国水污染防治法》</w:t>
      </w:r>
      <w:r>
        <w:rPr>
          <w:rFonts w:hint="eastAsia" w:cs="Times New Roman"/>
        </w:rPr>
        <w:t>，2017年6月27日修正，自2018年1月1日起施行</w:t>
      </w:r>
      <w:r>
        <w:rPr>
          <w:rFonts w:cs="Times New Roman"/>
        </w:rPr>
        <w:t>；</w:t>
      </w:r>
    </w:p>
    <w:p w14:paraId="70B65B24">
      <w:pPr>
        <w:ind w:firstLine="519"/>
        <w:rPr>
          <w:rFonts w:cs="Times New Roman"/>
        </w:rPr>
      </w:pPr>
      <w:r>
        <w:rPr>
          <w:rFonts w:cs="Times New Roman"/>
        </w:rPr>
        <w:t>（4）《中华人民共和国大气污染防治法》</w:t>
      </w:r>
      <w:r>
        <w:rPr>
          <w:rFonts w:hint="eastAsia" w:cs="Times New Roman"/>
        </w:rPr>
        <w:t>，2018年10月26日修订</w:t>
      </w:r>
      <w:r>
        <w:rPr>
          <w:rFonts w:cs="Times New Roman"/>
        </w:rPr>
        <w:t>；</w:t>
      </w:r>
    </w:p>
    <w:p w14:paraId="4A6B7484">
      <w:pPr>
        <w:ind w:firstLine="519"/>
        <w:rPr>
          <w:rFonts w:cs="Times New Roman"/>
        </w:rPr>
      </w:pPr>
      <w:r>
        <w:rPr>
          <w:rFonts w:cs="Times New Roman"/>
        </w:rPr>
        <w:t>（5）《中华人民共和国环境噪声污染防治法》</w:t>
      </w:r>
      <w:r>
        <w:rPr>
          <w:rFonts w:hint="eastAsia" w:cs="Times New Roman"/>
        </w:rPr>
        <w:t>，2021年12月24日通过，自2022年6月5日起施行</w:t>
      </w:r>
      <w:r>
        <w:rPr>
          <w:rFonts w:cs="Times New Roman"/>
        </w:rPr>
        <w:t>；</w:t>
      </w:r>
    </w:p>
    <w:p w14:paraId="45FFAC3C">
      <w:pPr>
        <w:ind w:firstLine="519"/>
        <w:rPr>
          <w:rFonts w:cs="Times New Roman"/>
        </w:rPr>
      </w:pPr>
      <w:r>
        <w:rPr>
          <w:rFonts w:cs="Times New Roman"/>
        </w:rPr>
        <w:t>（6）《中华人民共和国固体废物污染环境防治法》</w:t>
      </w:r>
      <w:r>
        <w:rPr>
          <w:rFonts w:hint="eastAsia" w:cs="Times New Roman"/>
        </w:rPr>
        <w:t>，</w:t>
      </w:r>
      <w:r>
        <w:rPr>
          <w:rFonts w:cs="Times New Roman"/>
        </w:rPr>
        <w:t>2020</w:t>
      </w:r>
      <w:r>
        <w:rPr>
          <w:rFonts w:hint="eastAsia" w:cs="Times New Roman"/>
        </w:rPr>
        <w:t>年</w:t>
      </w:r>
      <w:r>
        <w:rPr>
          <w:rFonts w:cs="Times New Roman"/>
        </w:rPr>
        <w:t>9</w:t>
      </w:r>
      <w:r>
        <w:rPr>
          <w:rFonts w:hint="eastAsia" w:cs="Times New Roman"/>
        </w:rPr>
        <w:t>月</w:t>
      </w:r>
      <w:r>
        <w:rPr>
          <w:rFonts w:cs="Times New Roman"/>
        </w:rPr>
        <w:t>1</w:t>
      </w:r>
      <w:r>
        <w:rPr>
          <w:rFonts w:hint="eastAsia" w:cs="Times New Roman"/>
        </w:rPr>
        <w:t>日</w:t>
      </w:r>
      <w:r>
        <w:rPr>
          <w:rFonts w:cs="Times New Roman"/>
        </w:rPr>
        <w:t>施行；</w:t>
      </w:r>
    </w:p>
    <w:p w14:paraId="260EFCF0">
      <w:pPr>
        <w:ind w:firstLine="519"/>
        <w:jc w:val="left"/>
        <w:rPr>
          <w:rFonts w:cs="Times New Roman"/>
          <w:szCs w:val="24"/>
        </w:rPr>
      </w:pPr>
      <w:r>
        <w:rPr>
          <w:rFonts w:cs="Times New Roman"/>
          <w:szCs w:val="24"/>
        </w:rPr>
        <w:t>（7）《中华人民共和国土壤污染防治法》</w:t>
      </w:r>
      <w:r>
        <w:rPr>
          <w:rFonts w:hint="eastAsia" w:cs="Times New Roman"/>
          <w:szCs w:val="24"/>
        </w:rPr>
        <w:t>，</w:t>
      </w:r>
      <w:r>
        <w:rPr>
          <w:rFonts w:cs="Times New Roman"/>
          <w:szCs w:val="24"/>
        </w:rPr>
        <w:t>2019</w:t>
      </w:r>
      <w:r>
        <w:rPr>
          <w:rFonts w:hint="eastAsia" w:cs="Times New Roman"/>
          <w:szCs w:val="24"/>
        </w:rPr>
        <w:t>年</w:t>
      </w:r>
      <w:r>
        <w:rPr>
          <w:rFonts w:cs="Times New Roman"/>
          <w:szCs w:val="24"/>
        </w:rPr>
        <w:t>1</w:t>
      </w:r>
      <w:r>
        <w:rPr>
          <w:rFonts w:hint="eastAsia" w:cs="Times New Roman"/>
          <w:szCs w:val="24"/>
        </w:rPr>
        <w:t>月</w:t>
      </w:r>
      <w:r>
        <w:rPr>
          <w:rFonts w:cs="Times New Roman"/>
          <w:szCs w:val="24"/>
        </w:rPr>
        <w:t>1</w:t>
      </w:r>
      <w:r>
        <w:rPr>
          <w:rFonts w:hint="eastAsia" w:cs="Times New Roman"/>
          <w:szCs w:val="24"/>
        </w:rPr>
        <w:t>日</w:t>
      </w:r>
      <w:r>
        <w:rPr>
          <w:rFonts w:cs="Times New Roman"/>
          <w:szCs w:val="24"/>
        </w:rPr>
        <w:t>；</w:t>
      </w:r>
    </w:p>
    <w:p w14:paraId="657DCF2E">
      <w:pPr>
        <w:ind w:firstLine="519"/>
        <w:jc w:val="left"/>
        <w:rPr>
          <w:rFonts w:cs="Times New Roman"/>
          <w:szCs w:val="24"/>
        </w:rPr>
      </w:pPr>
      <w:r>
        <w:rPr>
          <w:rFonts w:cs="Times New Roman"/>
          <w:szCs w:val="24"/>
        </w:rPr>
        <w:t>（8）《中华人民共和国矿产资源法》，2009</w:t>
      </w:r>
      <w:r>
        <w:rPr>
          <w:rFonts w:hint="eastAsia" w:cs="Times New Roman"/>
          <w:szCs w:val="24"/>
        </w:rPr>
        <w:t>年</w:t>
      </w:r>
      <w:r>
        <w:rPr>
          <w:rFonts w:cs="Times New Roman"/>
          <w:szCs w:val="24"/>
        </w:rPr>
        <w:t>8</w:t>
      </w:r>
      <w:r>
        <w:rPr>
          <w:rFonts w:hint="eastAsia" w:cs="Times New Roman"/>
          <w:szCs w:val="24"/>
        </w:rPr>
        <w:t>月</w:t>
      </w:r>
      <w:r>
        <w:rPr>
          <w:rFonts w:cs="Times New Roman"/>
          <w:szCs w:val="24"/>
        </w:rPr>
        <w:t>27</w:t>
      </w:r>
      <w:r>
        <w:rPr>
          <w:rFonts w:hint="eastAsia" w:cs="Times New Roman"/>
          <w:szCs w:val="24"/>
        </w:rPr>
        <w:t>日；</w:t>
      </w:r>
    </w:p>
    <w:p w14:paraId="3E94DB63">
      <w:pPr>
        <w:ind w:firstLine="519"/>
        <w:jc w:val="left"/>
        <w:rPr>
          <w:rFonts w:cs="Times New Roman"/>
          <w:szCs w:val="24"/>
        </w:rPr>
      </w:pPr>
      <w:r>
        <w:rPr>
          <w:rFonts w:cs="Times New Roman"/>
          <w:szCs w:val="24"/>
        </w:rPr>
        <w:t>（9）《中华人民共和国水土保持法》，2011</w:t>
      </w:r>
      <w:r>
        <w:rPr>
          <w:rFonts w:hint="eastAsia" w:cs="Times New Roman"/>
          <w:szCs w:val="24"/>
        </w:rPr>
        <w:t>年</w:t>
      </w:r>
      <w:r>
        <w:rPr>
          <w:rFonts w:cs="Times New Roman"/>
          <w:szCs w:val="24"/>
        </w:rPr>
        <w:t>3</w:t>
      </w:r>
      <w:r>
        <w:rPr>
          <w:rFonts w:hint="eastAsia" w:cs="Times New Roman"/>
          <w:szCs w:val="24"/>
        </w:rPr>
        <w:t>月</w:t>
      </w:r>
      <w:r>
        <w:rPr>
          <w:rFonts w:cs="Times New Roman"/>
          <w:szCs w:val="24"/>
        </w:rPr>
        <w:t>1</w:t>
      </w:r>
      <w:r>
        <w:rPr>
          <w:rFonts w:hint="eastAsia" w:cs="Times New Roman"/>
          <w:szCs w:val="24"/>
        </w:rPr>
        <w:t>日</w:t>
      </w:r>
      <w:r>
        <w:rPr>
          <w:rFonts w:cs="Times New Roman"/>
          <w:szCs w:val="24"/>
        </w:rPr>
        <w:t>；</w:t>
      </w:r>
    </w:p>
    <w:p w14:paraId="7A936754">
      <w:pPr>
        <w:ind w:firstLine="519"/>
        <w:jc w:val="left"/>
        <w:rPr>
          <w:rFonts w:cs="Times New Roman"/>
          <w:szCs w:val="24"/>
        </w:rPr>
      </w:pPr>
      <w:r>
        <w:rPr>
          <w:rFonts w:cs="Times New Roman"/>
          <w:szCs w:val="24"/>
        </w:rPr>
        <w:t>（10）《建设项目环境保护管理条例》</w:t>
      </w:r>
      <w:r>
        <w:rPr>
          <w:rFonts w:hint="eastAsia" w:cs="Times New Roman"/>
          <w:szCs w:val="24"/>
        </w:rPr>
        <w:t>，2017年10月1日起施行</w:t>
      </w:r>
      <w:r>
        <w:rPr>
          <w:rFonts w:cs="Times New Roman"/>
          <w:szCs w:val="24"/>
        </w:rPr>
        <w:t>；</w:t>
      </w:r>
    </w:p>
    <w:p w14:paraId="5A32328D">
      <w:pPr>
        <w:ind w:firstLine="519"/>
        <w:jc w:val="left"/>
        <w:rPr>
          <w:rFonts w:cs="Times New Roman"/>
          <w:szCs w:val="24"/>
        </w:rPr>
      </w:pPr>
      <w:r>
        <w:rPr>
          <w:rFonts w:cs="Times New Roman"/>
          <w:szCs w:val="24"/>
        </w:rPr>
        <w:t xml:space="preserve">（11）《建设项目环境影响评价分类管理名录（2021年版）》； </w:t>
      </w:r>
    </w:p>
    <w:p w14:paraId="3122A008">
      <w:pPr>
        <w:ind w:firstLine="519"/>
        <w:jc w:val="left"/>
        <w:rPr>
          <w:rFonts w:cs="Times New Roman"/>
          <w:szCs w:val="24"/>
        </w:rPr>
      </w:pPr>
      <w:r>
        <w:rPr>
          <w:rFonts w:cs="Times New Roman"/>
          <w:szCs w:val="24"/>
        </w:rPr>
        <w:t>（12）《关于进一步加强环境影响评价管理防范环境风险的通知》，</w:t>
      </w:r>
      <w:r>
        <w:rPr>
          <w:rFonts w:hint="eastAsia" w:cs="Times New Roman"/>
          <w:szCs w:val="24"/>
          <w:lang w:eastAsia="zh-CN"/>
        </w:rPr>
        <w:t>生态环境部</w:t>
      </w:r>
      <w:r>
        <w:rPr>
          <w:rFonts w:cs="Times New Roman"/>
          <w:szCs w:val="24"/>
        </w:rPr>
        <w:t xml:space="preserve">环发[2012]77号，2012年7月3日； </w:t>
      </w:r>
    </w:p>
    <w:p w14:paraId="46DB3CD8">
      <w:pPr>
        <w:ind w:firstLine="519"/>
        <w:jc w:val="left"/>
        <w:rPr>
          <w:rFonts w:cs="Times New Roman"/>
          <w:szCs w:val="24"/>
        </w:rPr>
      </w:pPr>
      <w:r>
        <w:rPr>
          <w:rFonts w:cs="Times New Roman"/>
          <w:szCs w:val="24"/>
        </w:rPr>
        <w:t>（13）《关于切实加强风险防范严格环境影响评价管理的通知》，</w:t>
      </w:r>
      <w:r>
        <w:rPr>
          <w:rFonts w:hint="eastAsia" w:cs="Times New Roman"/>
          <w:szCs w:val="24"/>
          <w:lang w:eastAsia="zh-CN"/>
        </w:rPr>
        <w:t>生态环境部</w:t>
      </w:r>
      <w:r>
        <w:rPr>
          <w:rFonts w:cs="Times New Roman"/>
          <w:szCs w:val="24"/>
        </w:rPr>
        <w:t xml:space="preserve">环发[2012]98号，2012年8月8日； </w:t>
      </w:r>
    </w:p>
    <w:p w14:paraId="13308560">
      <w:pPr>
        <w:ind w:firstLine="519"/>
        <w:jc w:val="left"/>
        <w:rPr>
          <w:rFonts w:cs="Times New Roman"/>
          <w:szCs w:val="24"/>
        </w:rPr>
      </w:pPr>
      <w:r>
        <w:rPr>
          <w:rFonts w:cs="Times New Roman"/>
          <w:szCs w:val="24"/>
        </w:rPr>
        <w:t>（14）《环境影响评价公众参与办法》</w:t>
      </w:r>
      <w:r>
        <w:rPr>
          <w:rFonts w:hint="eastAsia" w:cs="Times New Roman"/>
          <w:szCs w:val="24"/>
        </w:rPr>
        <w:t>，</w:t>
      </w:r>
      <w:r>
        <w:rPr>
          <w:rFonts w:cs="Times New Roman"/>
          <w:szCs w:val="24"/>
        </w:rPr>
        <w:t>生态环境部部令 第4号；</w:t>
      </w:r>
    </w:p>
    <w:p w14:paraId="66E3C7BE">
      <w:pPr>
        <w:ind w:firstLine="519"/>
        <w:jc w:val="left"/>
        <w:rPr>
          <w:rFonts w:cs="Times New Roman"/>
          <w:szCs w:val="24"/>
        </w:rPr>
      </w:pPr>
      <w:r>
        <w:rPr>
          <w:rFonts w:cs="Times New Roman"/>
          <w:szCs w:val="24"/>
        </w:rPr>
        <w:t>（15）《关于发布&lt;矿山生态环境保护与污染防治技术政策&gt;的通知》，环发[2005]109</w:t>
      </w:r>
      <w:r>
        <w:rPr>
          <w:rFonts w:hint="eastAsia" w:cs="Times New Roman"/>
          <w:szCs w:val="24"/>
        </w:rPr>
        <w:t>号</w:t>
      </w:r>
      <w:r>
        <w:rPr>
          <w:rFonts w:cs="Times New Roman"/>
          <w:szCs w:val="24"/>
        </w:rPr>
        <w:t>；</w:t>
      </w:r>
    </w:p>
    <w:p w14:paraId="07D1AC6E">
      <w:pPr>
        <w:ind w:firstLine="519"/>
        <w:jc w:val="left"/>
        <w:rPr>
          <w:rFonts w:cs="Times New Roman"/>
          <w:szCs w:val="24"/>
        </w:rPr>
      </w:pPr>
      <w:r>
        <w:rPr>
          <w:rFonts w:cs="Times New Roman"/>
          <w:szCs w:val="24"/>
        </w:rPr>
        <w:t>（16）《全国生态环境保护纲要》，国务院国发[2000]38号，2000年11月26日；</w:t>
      </w:r>
    </w:p>
    <w:p w14:paraId="305F7255">
      <w:pPr>
        <w:ind w:firstLine="519"/>
        <w:jc w:val="left"/>
        <w:rPr>
          <w:rFonts w:cs="Times New Roman"/>
          <w:szCs w:val="24"/>
        </w:rPr>
      </w:pPr>
      <w:r>
        <w:rPr>
          <w:rFonts w:cs="Times New Roman"/>
          <w:szCs w:val="24"/>
        </w:rPr>
        <w:t>（17）《国家重点生态功能保护区规划纲要》，中华人民共和国</w:t>
      </w:r>
      <w:r>
        <w:rPr>
          <w:rFonts w:hint="eastAsia" w:cs="Times New Roman"/>
          <w:szCs w:val="24"/>
          <w:lang w:eastAsia="zh-CN"/>
        </w:rPr>
        <w:t>生态环境部</w:t>
      </w:r>
      <w:r>
        <w:rPr>
          <w:rFonts w:cs="Times New Roman"/>
          <w:szCs w:val="24"/>
        </w:rPr>
        <w:t>环发[2007]165号，2007年10月30日；</w:t>
      </w:r>
    </w:p>
    <w:p w14:paraId="70F31B97">
      <w:pPr>
        <w:ind w:firstLine="519"/>
        <w:jc w:val="left"/>
        <w:rPr>
          <w:rFonts w:cs="Times New Roman"/>
          <w:szCs w:val="24"/>
        </w:rPr>
      </w:pPr>
      <w:r>
        <w:rPr>
          <w:rFonts w:cs="Times New Roman"/>
          <w:szCs w:val="24"/>
        </w:rPr>
        <w:t>（18）《国务院关于印发大气污染防治行动计划的通知》，国发〔2013〕37号，2013年9月10日；</w:t>
      </w:r>
    </w:p>
    <w:p w14:paraId="38EBE164">
      <w:pPr>
        <w:ind w:firstLine="519"/>
        <w:jc w:val="left"/>
        <w:rPr>
          <w:rFonts w:cs="Times New Roman"/>
          <w:szCs w:val="24"/>
        </w:rPr>
      </w:pPr>
      <w:r>
        <w:rPr>
          <w:rFonts w:cs="Times New Roman"/>
          <w:szCs w:val="24"/>
        </w:rPr>
        <w:t>（19）《国务院关于印发土壤污染防治行动计划的通知》，国发〔2016〕31号，2016年5月28日；</w:t>
      </w:r>
    </w:p>
    <w:p w14:paraId="58176FEF">
      <w:pPr>
        <w:ind w:firstLine="519"/>
        <w:jc w:val="left"/>
        <w:rPr>
          <w:rFonts w:cs="Times New Roman"/>
          <w:szCs w:val="24"/>
        </w:rPr>
      </w:pPr>
      <w:r>
        <w:rPr>
          <w:rFonts w:cs="Times New Roman"/>
          <w:szCs w:val="24"/>
        </w:rPr>
        <w:t>（20）《国务院关于印发水污染防治行动计划的通知》，国发〔2015〕17号，2015年4月2日；</w:t>
      </w:r>
    </w:p>
    <w:p w14:paraId="419A501E">
      <w:pPr>
        <w:ind w:firstLine="519"/>
        <w:jc w:val="left"/>
        <w:rPr>
          <w:rFonts w:cs="Times New Roman"/>
          <w:szCs w:val="24"/>
        </w:rPr>
      </w:pPr>
      <w:r>
        <w:rPr>
          <w:rFonts w:cs="Times New Roman"/>
          <w:szCs w:val="24"/>
        </w:rPr>
        <w:t>（21）《国务院关于印发打赢蓝天保卫战三年行动计划的通知》（国发[2018]22号文），2018年6月27日发布；</w:t>
      </w:r>
    </w:p>
    <w:p w14:paraId="0AC0221D">
      <w:pPr>
        <w:ind w:firstLine="519"/>
        <w:jc w:val="left"/>
        <w:rPr>
          <w:rFonts w:cs="Times New Roman"/>
          <w:szCs w:val="24"/>
        </w:rPr>
      </w:pPr>
      <w:r>
        <w:rPr>
          <w:rFonts w:cs="Times New Roman"/>
          <w:szCs w:val="24"/>
        </w:rPr>
        <w:t>（22）《产业结构调整指导目录（2019年本）》中华人民共和国国家发展和改革委员会令第29号，2020年1月1日施行；</w:t>
      </w:r>
    </w:p>
    <w:p w14:paraId="4A22C2B3">
      <w:pPr>
        <w:ind w:firstLine="519"/>
        <w:jc w:val="left"/>
        <w:rPr>
          <w:rFonts w:cs="Times New Roman"/>
          <w:szCs w:val="24"/>
        </w:rPr>
      </w:pPr>
      <w:r>
        <w:rPr>
          <w:rFonts w:cs="Times New Roman"/>
          <w:szCs w:val="24"/>
        </w:rPr>
        <w:t>（23）</w:t>
      </w:r>
      <w:r>
        <w:rPr>
          <w:rFonts w:hint="eastAsia" w:cs="Times New Roman"/>
          <w:szCs w:val="24"/>
        </w:rPr>
        <w:t>《国家发展改革委关于修改〈产业结构调整指导目录（2019年本）〉的决定》中华人民共和国国家发展和改革委员会令第49号, 自2021年12月</w:t>
      </w:r>
      <w:r>
        <w:rPr>
          <w:rFonts w:cs="Times New Roman"/>
          <w:szCs w:val="24"/>
        </w:rPr>
        <w:t>30</w:t>
      </w:r>
      <w:r>
        <w:rPr>
          <w:rFonts w:hint="eastAsia" w:cs="Times New Roman"/>
          <w:szCs w:val="24"/>
        </w:rPr>
        <w:t>日起施行;</w:t>
      </w:r>
    </w:p>
    <w:p w14:paraId="55DCE775">
      <w:pPr>
        <w:ind w:firstLine="519"/>
        <w:jc w:val="left"/>
        <w:rPr>
          <w:rFonts w:cs="Times New Roman"/>
          <w:szCs w:val="24"/>
        </w:rPr>
      </w:pPr>
      <w:r>
        <w:rPr>
          <w:rFonts w:cs="Times New Roman"/>
          <w:szCs w:val="24"/>
        </w:rPr>
        <w:t>（24</w:t>
      </w:r>
      <w:r>
        <w:rPr>
          <w:rFonts w:hint="eastAsia" w:cs="Times New Roman"/>
          <w:szCs w:val="24"/>
        </w:rPr>
        <w:t>）</w:t>
      </w:r>
      <w:r>
        <w:rPr>
          <w:rFonts w:cs="Times New Roman"/>
          <w:szCs w:val="24"/>
        </w:rPr>
        <w:t>《国务院关于加强环境保护重点工作的意见》，国发[2011]35号，2011年9月17日；</w:t>
      </w:r>
    </w:p>
    <w:p w14:paraId="7C448338">
      <w:pPr>
        <w:ind w:firstLine="519"/>
        <w:jc w:val="left"/>
        <w:rPr>
          <w:rFonts w:cs="Times New Roman"/>
          <w:szCs w:val="24"/>
        </w:rPr>
      </w:pPr>
      <w:r>
        <w:rPr>
          <w:rFonts w:cs="Times New Roman"/>
          <w:szCs w:val="24"/>
        </w:rPr>
        <w:t>（25）《关于进一步加强生态保护工作的意见》</w:t>
      </w:r>
      <w:r>
        <w:rPr>
          <w:rFonts w:hint="eastAsia" w:cs="Times New Roman"/>
          <w:szCs w:val="24"/>
        </w:rPr>
        <w:t>，</w:t>
      </w:r>
      <w:r>
        <w:rPr>
          <w:rFonts w:cs="Times New Roman"/>
          <w:szCs w:val="24"/>
        </w:rPr>
        <w:t>环发[2007]37号</w:t>
      </w:r>
      <w:r>
        <w:rPr>
          <w:rFonts w:hint="eastAsia" w:cs="Times New Roman"/>
          <w:szCs w:val="24"/>
        </w:rPr>
        <w:t>；</w:t>
      </w:r>
    </w:p>
    <w:p w14:paraId="1F0BE599">
      <w:pPr>
        <w:ind w:firstLine="519"/>
        <w:jc w:val="left"/>
        <w:rPr>
          <w:rFonts w:cs="Times New Roman"/>
          <w:szCs w:val="24"/>
        </w:rPr>
      </w:pPr>
      <w:r>
        <w:rPr>
          <w:rFonts w:cs="Times New Roman"/>
          <w:szCs w:val="24"/>
        </w:rPr>
        <w:t>（26）《全国生态功能区划》（修编版）</w:t>
      </w:r>
      <w:r>
        <w:rPr>
          <w:rFonts w:hint="eastAsia" w:cs="Times New Roman"/>
          <w:szCs w:val="24"/>
        </w:rPr>
        <w:t>，</w:t>
      </w:r>
      <w:r>
        <w:rPr>
          <w:rFonts w:cs="Times New Roman"/>
          <w:szCs w:val="24"/>
        </w:rPr>
        <w:t>2015年11月；</w:t>
      </w:r>
    </w:p>
    <w:p w14:paraId="3E6BC8F2">
      <w:pPr>
        <w:ind w:firstLine="519"/>
        <w:jc w:val="left"/>
        <w:rPr>
          <w:rFonts w:cs="Times New Roman"/>
          <w:szCs w:val="24"/>
        </w:rPr>
      </w:pPr>
      <w:r>
        <w:rPr>
          <w:rFonts w:cs="Times New Roman"/>
          <w:szCs w:val="24"/>
        </w:rPr>
        <w:t>（27）《生态文明体制改革总体方案》</w:t>
      </w:r>
      <w:r>
        <w:rPr>
          <w:rFonts w:hint="eastAsia" w:cs="Times New Roman"/>
          <w:szCs w:val="24"/>
        </w:rPr>
        <w:t>，</w:t>
      </w:r>
      <w:r>
        <w:rPr>
          <w:rFonts w:cs="Times New Roman"/>
          <w:szCs w:val="24"/>
        </w:rPr>
        <w:t>2015年9月</w:t>
      </w:r>
      <w:r>
        <w:rPr>
          <w:rFonts w:hint="eastAsia" w:cs="Times New Roman"/>
          <w:szCs w:val="24"/>
        </w:rPr>
        <w:t>；</w:t>
      </w:r>
    </w:p>
    <w:p w14:paraId="29E85D9A">
      <w:pPr>
        <w:ind w:firstLine="519"/>
        <w:jc w:val="left"/>
        <w:rPr>
          <w:rFonts w:cs="Times New Roman"/>
          <w:szCs w:val="24"/>
        </w:rPr>
      </w:pPr>
      <w:r>
        <w:rPr>
          <w:rFonts w:cs="Times New Roman"/>
          <w:szCs w:val="24"/>
        </w:rPr>
        <w:t>（28）《建设项目竣工环境保护验收暂行办法》</w:t>
      </w:r>
      <w:r>
        <w:rPr>
          <w:rFonts w:hint="eastAsia" w:cs="Times New Roman"/>
          <w:szCs w:val="24"/>
        </w:rPr>
        <w:t>，</w:t>
      </w:r>
      <w:r>
        <w:rPr>
          <w:rFonts w:cs="Times New Roman"/>
          <w:szCs w:val="24"/>
        </w:rPr>
        <w:t>国环规环评[2017]4号；</w:t>
      </w:r>
    </w:p>
    <w:p w14:paraId="7EB73498">
      <w:pPr>
        <w:ind w:firstLine="519"/>
        <w:jc w:val="left"/>
        <w:rPr>
          <w:rFonts w:cs="Times New Roman"/>
          <w:szCs w:val="24"/>
        </w:rPr>
      </w:pPr>
      <w:r>
        <w:rPr>
          <w:rFonts w:cs="Times New Roman"/>
          <w:szCs w:val="24"/>
        </w:rPr>
        <w:t>（29）《矿产资源开采登记管理办法》</w:t>
      </w:r>
      <w:r>
        <w:rPr>
          <w:rFonts w:hint="eastAsia" w:cs="Times New Roman"/>
          <w:szCs w:val="24"/>
        </w:rPr>
        <w:t>，</w:t>
      </w:r>
      <w:r>
        <w:rPr>
          <w:rFonts w:cs="Times New Roman"/>
          <w:szCs w:val="24"/>
        </w:rPr>
        <w:t>中华人民共和国国务院令第241号；</w:t>
      </w:r>
    </w:p>
    <w:p w14:paraId="45A7DBAB">
      <w:pPr>
        <w:ind w:firstLine="519"/>
        <w:jc w:val="left"/>
        <w:rPr>
          <w:rFonts w:cs="Times New Roman"/>
          <w:szCs w:val="24"/>
        </w:rPr>
      </w:pPr>
      <w:r>
        <w:rPr>
          <w:rFonts w:cs="Times New Roman"/>
          <w:szCs w:val="24"/>
        </w:rPr>
        <w:t>（30）《国土资源部关于完善矿产资源开采审批登记管理有关事项的通知》</w:t>
      </w:r>
      <w:r>
        <w:rPr>
          <w:rFonts w:hint="eastAsia" w:cs="Times New Roman"/>
          <w:szCs w:val="24"/>
        </w:rPr>
        <w:t>，</w:t>
      </w:r>
      <w:r>
        <w:rPr>
          <w:rFonts w:cs="Times New Roman"/>
          <w:szCs w:val="24"/>
        </w:rPr>
        <w:t>国土资规〔2017〕16号</w:t>
      </w:r>
      <w:r>
        <w:rPr>
          <w:rFonts w:hint="eastAsia" w:cs="Times New Roman"/>
          <w:szCs w:val="24"/>
        </w:rPr>
        <w:t>。</w:t>
      </w:r>
    </w:p>
    <w:p w14:paraId="6E2847F7">
      <w:pPr>
        <w:pStyle w:val="7"/>
      </w:pPr>
      <w:bookmarkStart w:id="105" w:name="_Toc89786100"/>
      <w:bookmarkStart w:id="106" w:name="_Toc86852248"/>
      <w:bookmarkStart w:id="107" w:name="_Toc90318385"/>
      <w:bookmarkStart w:id="108" w:name="_Toc63257109"/>
      <w:bookmarkStart w:id="109" w:name="_Toc89882425"/>
      <w:bookmarkStart w:id="110" w:name="_Toc90997632"/>
      <w:bookmarkStart w:id="111" w:name="_Toc121420789"/>
      <w:bookmarkStart w:id="112" w:name="_Toc90989206"/>
      <w:r>
        <w:t>2.2.3 地方法规、政策、规划</w:t>
      </w:r>
      <w:bookmarkEnd w:id="105"/>
      <w:bookmarkEnd w:id="106"/>
      <w:bookmarkEnd w:id="107"/>
      <w:bookmarkEnd w:id="108"/>
      <w:bookmarkEnd w:id="109"/>
      <w:bookmarkEnd w:id="110"/>
      <w:bookmarkEnd w:id="111"/>
      <w:bookmarkEnd w:id="112"/>
    </w:p>
    <w:p w14:paraId="7BBDBA1D">
      <w:pPr>
        <w:ind w:firstLine="519"/>
        <w:jc w:val="left"/>
        <w:rPr>
          <w:rFonts w:cs="Times New Roman"/>
          <w:szCs w:val="24"/>
        </w:rPr>
      </w:pPr>
      <w:r>
        <w:rPr>
          <w:rFonts w:cs="Times New Roman"/>
          <w:szCs w:val="24"/>
        </w:rPr>
        <w:t>（1）《湖南省人民政府关于公布湖南省县级以上地表水集中饮用水水源保护区划定方案的通知》，湘政函[2016]176号；</w:t>
      </w:r>
    </w:p>
    <w:p w14:paraId="566B1C63">
      <w:pPr>
        <w:ind w:firstLine="519"/>
        <w:jc w:val="left"/>
        <w:rPr>
          <w:rFonts w:cs="Times New Roman"/>
          <w:szCs w:val="24"/>
        </w:rPr>
      </w:pPr>
      <w:r>
        <w:rPr>
          <w:rFonts w:cs="Times New Roman"/>
          <w:szCs w:val="24"/>
        </w:rPr>
        <w:t>（2）《湖南省大气污染防治条例》，2017年6月1日实施；</w:t>
      </w:r>
    </w:p>
    <w:p w14:paraId="5B06F4EC">
      <w:pPr>
        <w:ind w:firstLine="519"/>
        <w:jc w:val="left"/>
        <w:rPr>
          <w:rFonts w:cs="Times New Roman"/>
          <w:szCs w:val="24"/>
        </w:rPr>
      </w:pPr>
      <w:r>
        <w:rPr>
          <w:rFonts w:cs="Times New Roman"/>
          <w:szCs w:val="24"/>
        </w:rPr>
        <w:t>（3）《</w:t>
      </w:r>
      <w:r>
        <w:rPr>
          <w:rFonts w:hint="eastAsia" w:cs="Times New Roman"/>
          <w:szCs w:val="24"/>
        </w:rPr>
        <w:t>湖南省矿产资源总体规划</w:t>
      </w:r>
      <w:r>
        <w:rPr>
          <w:rFonts w:cs="Times New Roman"/>
          <w:szCs w:val="24"/>
        </w:rPr>
        <w:t>》（2016~2020年）；</w:t>
      </w:r>
    </w:p>
    <w:p w14:paraId="337D4851">
      <w:pPr>
        <w:ind w:firstLine="519"/>
        <w:jc w:val="left"/>
        <w:rPr>
          <w:rFonts w:cs="Times New Roman"/>
          <w:szCs w:val="24"/>
        </w:rPr>
      </w:pPr>
      <w:r>
        <w:rPr>
          <w:rFonts w:cs="Times New Roman"/>
          <w:szCs w:val="24"/>
        </w:rPr>
        <w:t>（4）湖南省人民政府办公厅关于印发《湖南省“十四五”生态环境保护规划》的通知，湘政办发[2021]61号；</w:t>
      </w:r>
    </w:p>
    <w:p w14:paraId="55998DAF">
      <w:pPr>
        <w:ind w:firstLine="519"/>
        <w:jc w:val="left"/>
        <w:rPr>
          <w:rFonts w:cs="Times New Roman"/>
          <w:szCs w:val="24"/>
        </w:rPr>
      </w:pPr>
      <w:r>
        <w:rPr>
          <w:rFonts w:cs="Times New Roman"/>
          <w:szCs w:val="24"/>
        </w:rPr>
        <w:t>（5）《衡阳市矿产资源总体规划》（2016-2020年）；</w:t>
      </w:r>
    </w:p>
    <w:p w14:paraId="20B1D628">
      <w:pPr>
        <w:ind w:firstLine="519"/>
        <w:jc w:val="left"/>
        <w:rPr>
          <w:rFonts w:cs="Times New Roman"/>
          <w:szCs w:val="24"/>
        </w:rPr>
      </w:pPr>
      <w:r>
        <w:rPr>
          <w:rFonts w:cs="Times New Roman"/>
          <w:szCs w:val="24"/>
        </w:rPr>
        <w:t>（6）《湖南省环境保护条例》，2019年修订。</w:t>
      </w:r>
    </w:p>
    <w:p w14:paraId="0F4437CA">
      <w:pPr>
        <w:pStyle w:val="7"/>
      </w:pPr>
      <w:bookmarkStart w:id="113" w:name="_Toc86852249"/>
      <w:bookmarkStart w:id="114" w:name="_Toc90989207"/>
      <w:bookmarkStart w:id="115" w:name="_Toc89882426"/>
      <w:bookmarkStart w:id="116" w:name="_Toc63257110"/>
      <w:bookmarkStart w:id="117" w:name="_Toc121420790"/>
      <w:bookmarkStart w:id="118" w:name="_Toc90997633"/>
      <w:bookmarkStart w:id="119" w:name="_Toc89786101"/>
      <w:bookmarkStart w:id="120" w:name="_Toc90318386"/>
      <w:r>
        <w:t>2.2.4 评价技术导则及规范</w:t>
      </w:r>
      <w:bookmarkEnd w:id="113"/>
      <w:bookmarkEnd w:id="114"/>
      <w:bookmarkEnd w:id="115"/>
      <w:bookmarkEnd w:id="116"/>
      <w:bookmarkEnd w:id="117"/>
      <w:bookmarkEnd w:id="118"/>
      <w:bookmarkEnd w:id="119"/>
      <w:bookmarkEnd w:id="120"/>
    </w:p>
    <w:p w14:paraId="0CDE24B9">
      <w:pPr>
        <w:ind w:firstLine="519"/>
        <w:rPr>
          <w:rFonts w:cs="Times New Roman"/>
        </w:rPr>
      </w:pPr>
      <w:r>
        <w:rPr>
          <w:rFonts w:cs="Times New Roman"/>
        </w:rPr>
        <w:t>（1）《建设项目环境影响评价技术导则 总纲》 HJ2.1-2016；</w:t>
      </w:r>
    </w:p>
    <w:p w14:paraId="292EC51D">
      <w:pPr>
        <w:ind w:firstLine="519"/>
        <w:rPr>
          <w:rFonts w:cs="Times New Roman"/>
        </w:rPr>
      </w:pPr>
      <w:r>
        <w:rPr>
          <w:rFonts w:cs="Times New Roman"/>
        </w:rPr>
        <w:t>（2）《环境影响评价技术导则 大气环境》 HJ2.2-2018；</w:t>
      </w:r>
    </w:p>
    <w:p w14:paraId="0BF47AB0">
      <w:pPr>
        <w:ind w:firstLine="519"/>
        <w:rPr>
          <w:rFonts w:cs="Times New Roman"/>
        </w:rPr>
      </w:pPr>
      <w:r>
        <w:rPr>
          <w:rFonts w:cs="Times New Roman"/>
        </w:rPr>
        <w:t>（3）《环境影响评价技术导则 地表水环境》HJ2.3-2018；</w:t>
      </w:r>
    </w:p>
    <w:p w14:paraId="455B4065">
      <w:pPr>
        <w:ind w:firstLine="519"/>
        <w:rPr>
          <w:rFonts w:cs="Times New Roman"/>
        </w:rPr>
      </w:pPr>
      <w:r>
        <w:rPr>
          <w:rFonts w:cs="Times New Roman"/>
        </w:rPr>
        <w:t>（4）《环境影响评价技术导则 声环境》 HJ2.4-2021；</w:t>
      </w:r>
    </w:p>
    <w:p w14:paraId="485505E5">
      <w:pPr>
        <w:ind w:firstLine="519"/>
        <w:rPr>
          <w:rFonts w:cs="Times New Roman"/>
        </w:rPr>
      </w:pPr>
      <w:r>
        <w:rPr>
          <w:rFonts w:cs="Times New Roman"/>
        </w:rPr>
        <w:t>（5）《环境影响评价技术导则 生态环境》 HJ19-2022；</w:t>
      </w:r>
    </w:p>
    <w:p w14:paraId="73E0F9B1">
      <w:pPr>
        <w:ind w:firstLine="519"/>
        <w:rPr>
          <w:rFonts w:cs="Times New Roman"/>
        </w:rPr>
      </w:pPr>
      <w:r>
        <w:rPr>
          <w:rFonts w:cs="Times New Roman"/>
        </w:rPr>
        <w:t>（6）《环境影响评价技术导则 地下水环境》 HJ610-2016；</w:t>
      </w:r>
    </w:p>
    <w:p w14:paraId="55EED817">
      <w:pPr>
        <w:ind w:firstLine="519"/>
        <w:rPr>
          <w:rFonts w:cs="Times New Roman"/>
        </w:rPr>
      </w:pPr>
      <w:r>
        <w:rPr>
          <w:rFonts w:cs="Times New Roman"/>
        </w:rPr>
        <w:t>（7）《建设项目环境风险评价技术导则》HJ169-2018；</w:t>
      </w:r>
    </w:p>
    <w:p w14:paraId="2A4CBADE">
      <w:pPr>
        <w:ind w:firstLine="519"/>
        <w:rPr>
          <w:rFonts w:cs="Times New Roman"/>
        </w:rPr>
      </w:pPr>
      <w:r>
        <w:rPr>
          <w:rFonts w:cs="Times New Roman"/>
        </w:rPr>
        <w:t>（8）《环境影响评价技术导则 土壤环境（试行）》HJ964-2018；</w:t>
      </w:r>
    </w:p>
    <w:p w14:paraId="56DE77B5">
      <w:pPr>
        <w:ind w:firstLine="519"/>
        <w:rPr>
          <w:rFonts w:cs="Times New Roman"/>
        </w:rPr>
      </w:pPr>
      <w:r>
        <w:rPr>
          <w:rFonts w:cs="Times New Roman"/>
        </w:rPr>
        <w:t>（9）《生态环境状况评价技术规范》 HJ192-2015；</w:t>
      </w:r>
    </w:p>
    <w:p w14:paraId="2D71E6EA">
      <w:pPr>
        <w:ind w:firstLine="519"/>
        <w:rPr>
          <w:rFonts w:cs="Times New Roman"/>
        </w:rPr>
      </w:pPr>
      <w:r>
        <w:rPr>
          <w:rFonts w:cs="Times New Roman"/>
        </w:rPr>
        <w:t>（10）《污染源源强核算技术指南 准则》HJ 884-2018）；</w:t>
      </w:r>
    </w:p>
    <w:p w14:paraId="00E60FE7">
      <w:pPr>
        <w:ind w:firstLine="519"/>
        <w:rPr>
          <w:rFonts w:cs="Times New Roman"/>
        </w:rPr>
      </w:pPr>
      <w:r>
        <w:rPr>
          <w:rFonts w:cs="Times New Roman"/>
        </w:rPr>
        <w:t>（11）《矿山生态环境保护与恢复治理方案编制导则》</w:t>
      </w:r>
      <w:r>
        <w:rPr>
          <w:rFonts w:hint="eastAsia" w:cs="Times New Roman"/>
        </w:rPr>
        <w:t>，</w:t>
      </w:r>
      <w:r>
        <w:rPr>
          <w:rFonts w:cs="Times New Roman"/>
        </w:rPr>
        <w:t>环办[2012]154 号；</w:t>
      </w:r>
    </w:p>
    <w:p w14:paraId="22ADF789">
      <w:pPr>
        <w:ind w:firstLine="519"/>
        <w:rPr>
          <w:rFonts w:cs="Times New Roman"/>
        </w:rPr>
      </w:pPr>
      <w:r>
        <w:rPr>
          <w:rFonts w:cs="Times New Roman"/>
        </w:rPr>
        <w:t>（12）《矿山生态环境保护与恢复治理技术规范（试行）》HJ 651-2013；</w:t>
      </w:r>
    </w:p>
    <w:p w14:paraId="13CB4195">
      <w:pPr>
        <w:ind w:firstLine="519"/>
        <w:rPr>
          <w:rFonts w:cs="Times New Roman"/>
        </w:rPr>
      </w:pPr>
      <w:r>
        <w:rPr>
          <w:rFonts w:cs="Times New Roman"/>
        </w:rPr>
        <w:t>（13）《国家危险废物名录（2021年版）》；</w:t>
      </w:r>
    </w:p>
    <w:p w14:paraId="406ECB86">
      <w:pPr>
        <w:ind w:firstLine="519"/>
        <w:rPr>
          <w:rFonts w:cs="Times New Roman"/>
        </w:rPr>
      </w:pPr>
      <w:r>
        <w:rPr>
          <w:rFonts w:cs="Times New Roman"/>
        </w:rPr>
        <w:t>（14）《固体废物鉴别标准 通则》GB34330-2017；</w:t>
      </w:r>
    </w:p>
    <w:p w14:paraId="57B28A29">
      <w:pPr>
        <w:ind w:firstLine="519"/>
        <w:rPr>
          <w:rFonts w:cs="Times New Roman"/>
        </w:rPr>
      </w:pPr>
      <w:r>
        <w:rPr>
          <w:rFonts w:cs="Times New Roman"/>
        </w:rPr>
        <w:t>（15）《危险废物鉴别标准 通则》GB5085.7-2019；</w:t>
      </w:r>
    </w:p>
    <w:p w14:paraId="74A2E5B4">
      <w:pPr>
        <w:ind w:firstLine="519"/>
        <w:rPr>
          <w:rFonts w:cs="Times New Roman"/>
        </w:rPr>
      </w:pPr>
      <w:r>
        <w:rPr>
          <w:rFonts w:cs="Times New Roman"/>
        </w:rPr>
        <w:t>（16）《建设项目环境影响评价政府信息公开指南》</w:t>
      </w:r>
      <w:r>
        <w:rPr>
          <w:rFonts w:hint="eastAsia" w:cs="Times New Roman"/>
        </w:rPr>
        <w:t>，</w:t>
      </w:r>
      <w:r>
        <w:rPr>
          <w:rFonts w:cs="Times New Roman"/>
        </w:rPr>
        <w:t>环办[2013]103号；</w:t>
      </w:r>
    </w:p>
    <w:p w14:paraId="08126753">
      <w:pPr>
        <w:ind w:firstLine="519"/>
        <w:rPr>
          <w:rFonts w:cs="Times New Roman"/>
        </w:rPr>
      </w:pPr>
      <w:r>
        <w:rPr>
          <w:rFonts w:cs="Times New Roman"/>
        </w:rPr>
        <w:t>（17）《土壤侵蚀分类分级标准》 SL190-2007；</w:t>
      </w:r>
    </w:p>
    <w:p w14:paraId="5277F072">
      <w:pPr>
        <w:ind w:firstLine="519"/>
        <w:rPr>
          <w:rFonts w:cs="Times New Roman"/>
        </w:rPr>
      </w:pPr>
      <w:r>
        <w:rPr>
          <w:rFonts w:cs="Times New Roman"/>
        </w:rPr>
        <w:t>（18）《危险化学品重大危险源辨识》 GB18218-2018；</w:t>
      </w:r>
    </w:p>
    <w:p w14:paraId="28C35B49">
      <w:pPr>
        <w:ind w:firstLine="519"/>
        <w:rPr>
          <w:rFonts w:cs="Times New Roman"/>
        </w:rPr>
      </w:pPr>
      <w:r>
        <w:rPr>
          <w:rFonts w:cs="Times New Roman"/>
        </w:rPr>
        <w:t>（19）《水土保持综合治理技术规范》 GB16453.1~16453.6-2008。</w:t>
      </w:r>
    </w:p>
    <w:p w14:paraId="62F0269C">
      <w:pPr>
        <w:pStyle w:val="7"/>
      </w:pPr>
      <w:bookmarkStart w:id="121" w:name="_Toc121420791"/>
      <w:bookmarkStart w:id="122" w:name="_Toc89786102"/>
      <w:bookmarkStart w:id="123" w:name="_Toc90997634"/>
      <w:bookmarkStart w:id="124" w:name="_Toc63257111"/>
      <w:bookmarkStart w:id="125" w:name="_Toc86852250"/>
      <w:bookmarkStart w:id="126" w:name="_Toc89882427"/>
      <w:bookmarkStart w:id="127" w:name="_Toc90318387"/>
      <w:bookmarkStart w:id="128" w:name="_Toc90989208"/>
      <w:r>
        <w:t>2.2.5 项目相关文件</w:t>
      </w:r>
      <w:bookmarkEnd w:id="121"/>
      <w:bookmarkEnd w:id="122"/>
      <w:bookmarkEnd w:id="123"/>
      <w:bookmarkEnd w:id="124"/>
      <w:bookmarkEnd w:id="125"/>
      <w:bookmarkEnd w:id="126"/>
      <w:bookmarkEnd w:id="127"/>
      <w:bookmarkEnd w:id="128"/>
    </w:p>
    <w:p w14:paraId="578DBF5C">
      <w:pPr>
        <w:ind w:firstLine="519"/>
        <w:jc w:val="left"/>
        <w:rPr>
          <w:rFonts w:cs="Times New Roman"/>
          <w:szCs w:val="24"/>
        </w:rPr>
      </w:pPr>
      <w:r>
        <w:rPr>
          <w:rFonts w:cs="Times New Roman"/>
          <w:szCs w:val="24"/>
        </w:rPr>
        <w:t>（1）环评委托书；</w:t>
      </w:r>
    </w:p>
    <w:p w14:paraId="3C967C50">
      <w:pPr>
        <w:ind w:firstLine="519"/>
        <w:jc w:val="left"/>
        <w:rPr>
          <w:rFonts w:cs="Times New Roman"/>
          <w:szCs w:val="24"/>
        </w:rPr>
      </w:pPr>
      <w:r>
        <w:rPr>
          <w:rFonts w:cs="Times New Roman"/>
          <w:szCs w:val="24"/>
        </w:rPr>
        <w:t>（2）《湖南省衡阳市石鼓区建滔岩盐矿资源开发利用方案》；</w:t>
      </w:r>
    </w:p>
    <w:p w14:paraId="71579521">
      <w:pPr>
        <w:ind w:firstLine="519"/>
        <w:jc w:val="left"/>
        <w:rPr>
          <w:rFonts w:cs="Times New Roman"/>
          <w:szCs w:val="24"/>
        </w:rPr>
      </w:pPr>
      <w:r>
        <w:rPr>
          <w:rFonts w:cs="Times New Roman"/>
          <w:szCs w:val="24"/>
        </w:rPr>
        <w:t>（3）《湖南省衡阳市松木经济开发区衡阳盐矿区桐山—松木塘矿段建滔岩盐矿资源量核实报告》；</w:t>
      </w:r>
    </w:p>
    <w:p w14:paraId="6672A573">
      <w:pPr>
        <w:ind w:firstLine="519"/>
        <w:jc w:val="left"/>
        <w:rPr>
          <w:rFonts w:cs="Times New Roman"/>
          <w:szCs w:val="24"/>
        </w:rPr>
      </w:pPr>
      <w:r>
        <w:rPr>
          <w:rFonts w:cs="Times New Roman"/>
          <w:szCs w:val="24"/>
        </w:rPr>
        <w:t>（4）《湖南省衡阳市松木经开区衡阳盐矿区桐山—松木塘矿段建滔岩盐矿矿山储量年报（2021年1月～2021年12月）》；</w:t>
      </w:r>
    </w:p>
    <w:p w14:paraId="284B6822">
      <w:pPr>
        <w:ind w:firstLine="519"/>
        <w:jc w:val="left"/>
        <w:rPr>
          <w:rFonts w:cs="Times New Roman"/>
          <w:szCs w:val="24"/>
        </w:rPr>
      </w:pPr>
      <w:r>
        <w:rPr>
          <w:rFonts w:cs="Times New Roman"/>
          <w:szCs w:val="24"/>
        </w:rPr>
        <w:t>（5）《衡阳建滔化工有限公司岩盐矿矿山开采地质灾害安全性论证》；</w:t>
      </w:r>
    </w:p>
    <w:p w14:paraId="280FE328">
      <w:pPr>
        <w:pStyle w:val="2"/>
        <w:ind w:firstLine="519"/>
        <w:rPr>
          <w:rFonts w:cs="Times New Roman"/>
        </w:rPr>
      </w:pPr>
      <w:r>
        <w:rPr>
          <w:rFonts w:cs="Times New Roman"/>
        </w:rPr>
        <w:t>（6）《地质环境保护与恢复治理（含土地复垦）方案》；</w:t>
      </w:r>
    </w:p>
    <w:p w14:paraId="5743785E">
      <w:pPr>
        <w:ind w:firstLine="519"/>
        <w:jc w:val="left"/>
        <w:rPr>
          <w:rFonts w:cs="Times New Roman"/>
          <w:szCs w:val="24"/>
        </w:rPr>
      </w:pPr>
      <w:r>
        <w:rPr>
          <w:rFonts w:cs="Times New Roman"/>
          <w:szCs w:val="24"/>
        </w:rPr>
        <w:t>（7）建设方提供的其它资料。</w:t>
      </w:r>
    </w:p>
    <w:p w14:paraId="2FBA021D">
      <w:pPr>
        <w:pStyle w:val="6"/>
        <w:spacing w:before="170" w:after="170"/>
        <w:rPr>
          <w:rFonts w:cs="Times New Roman"/>
        </w:rPr>
      </w:pPr>
      <w:bookmarkStart w:id="129" w:name="_Toc63257112"/>
      <w:bookmarkStart w:id="130" w:name="_Toc55742513"/>
      <w:bookmarkStart w:id="131" w:name="_Toc121420792"/>
      <w:r>
        <w:rPr>
          <w:rFonts w:cs="Times New Roman"/>
        </w:rPr>
        <w:t>2.3</w:t>
      </w:r>
      <w:bookmarkEnd w:id="129"/>
      <w:bookmarkEnd w:id="130"/>
      <w:r>
        <w:rPr>
          <w:rFonts w:cs="Times New Roman"/>
        </w:rPr>
        <w:t xml:space="preserve"> 环境影响因素识别和评价因子筛选</w:t>
      </w:r>
      <w:bookmarkEnd w:id="131"/>
    </w:p>
    <w:p w14:paraId="00D7076A">
      <w:pPr>
        <w:pStyle w:val="7"/>
      </w:pPr>
      <w:bookmarkStart w:id="132" w:name="_Toc89786104"/>
      <w:bookmarkStart w:id="133" w:name="_Toc86852252"/>
      <w:bookmarkStart w:id="134" w:name="_Toc90997636"/>
      <w:bookmarkStart w:id="135" w:name="_Toc90318389"/>
      <w:bookmarkStart w:id="136" w:name="_Toc90989210"/>
      <w:bookmarkStart w:id="137" w:name="_Toc121420793"/>
      <w:bookmarkStart w:id="138" w:name="_Toc89882429"/>
      <w:r>
        <w:t>2.3.1环境影响因素识别</w:t>
      </w:r>
      <w:bookmarkEnd w:id="132"/>
      <w:bookmarkEnd w:id="133"/>
      <w:bookmarkEnd w:id="134"/>
      <w:bookmarkEnd w:id="135"/>
      <w:bookmarkEnd w:id="136"/>
      <w:bookmarkEnd w:id="137"/>
      <w:bookmarkEnd w:id="138"/>
    </w:p>
    <w:p w14:paraId="388BB76D">
      <w:pPr>
        <w:ind w:firstLine="519"/>
        <w:rPr>
          <w:rFonts w:cs="Times New Roman" w:eastAsiaTheme="minorEastAsia"/>
        </w:rPr>
      </w:pPr>
      <w:r>
        <w:rPr>
          <w:rFonts w:cs="Times New Roman" w:eastAsiaTheme="minorEastAsia"/>
        </w:rPr>
        <w:t>经过对项目的建设、运行特点的初步分析，结合项目当地的环境特征，对可能受项目开发、运行影响的环境要素进行识别，确定项目建设期、营运期、</w:t>
      </w:r>
      <w:r>
        <w:rPr>
          <w:rFonts w:hint="eastAsia" w:cs="Times New Roman" w:eastAsiaTheme="minorEastAsia"/>
        </w:rPr>
        <w:t>服务期满</w:t>
      </w:r>
      <w:r>
        <w:rPr>
          <w:rFonts w:cs="Times New Roman" w:eastAsiaTheme="minorEastAsia"/>
        </w:rPr>
        <w:t>对各方面环境可能带来的影响，详见下表。</w:t>
      </w:r>
    </w:p>
    <w:p w14:paraId="5A1064FA">
      <w:pPr>
        <w:pStyle w:val="9"/>
      </w:pPr>
      <w:r>
        <w:t>表2.3-1  环境影响要素识别一览表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49"/>
        <w:gridCol w:w="1202"/>
        <w:gridCol w:w="621"/>
        <w:gridCol w:w="614"/>
        <w:gridCol w:w="577"/>
        <w:gridCol w:w="653"/>
        <w:gridCol w:w="614"/>
        <w:gridCol w:w="614"/>
        <w:gridCol w:w="614"/>
        <w:gridCol w:w="614"/>
        <w:gridCol w:w="581"/>
        <w:gridCol w:w="559"/>
        <w:gridCol w:w="556"/>
      </w:tblGrid>
      <w:tr w14:paraId="3CBD8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blHeader/>
        </w:trPr>
        <w:tc>
          <w:tcPr>
            <w:tcW w:w="1046" w:type="pct"/>
            <w:gridSpan w:val="2"/>
            <w:vMerge w:val="restart"/>
            <w:vAlign w:val="center"/>
          </w:tcPr>
          <w:p w14:paraId="15BCCAEA">
            <w:pPr>
              <w:pStyle w:val="48"/>
            </w:pPr>
            <w:r>
              <w:t>阶段</w:t>
            </w:r>
          </w:p>
          <w:p w14:paraId="370FC472">
            <w:pPr>
              <w:pStyle w:val="48"/>
            </w:pPr>
            <w:r>
              <w:t>影响要素</w:t>
            </w:r>
          </w:p>
        </w:tc>
        <w:tc>
          <w:tcPr>
            <w:tcW w:w="1083" w:type="pct"/>
            <w:gridSpan w:val="3"/>
            <w:vAlign w:val="center"/>
          </w:tcPr>
          <w:p w14:paraId="02F0771A">
            <w:pPr>
              <w:pStyle w:val="48"/>
            </w:pPr>
            <w:r>
              <w:t>建设期</w:t>
            </w:r>
          </w:p>
        </w:tc>
        <w:tc>
          <w:tcPr>
            <w:tcW w:w="2539" w:type="pct"/>
            <w:gridSpan w:val="7"/>
            <w:vAlign w:val="center"/>
          </w:tcPr>
          <w:p w14:paraId="5127DD92">
            <w:pPr>
              <w:pStyle w:val="48"/>
            </w:pPr>
            <w:r>
              <w:t>营运期</w:t>
            </w:r>
          </w:p>
        </w:tc>
        <w:tc>
          <w:tcPr>
            <w:tcW w:w="332" w:type="pct"/>
            <w:vAlign w:val="center"/>
          </w:tcPr>
          <w:p w14:paraId="57A15D0C">
            <w:pPr>
              <w:pStyle w:val="48"/>
            </w:pPr>
            <w:r>
              <w:rPr>
                <w:rFonts w:hint="eastAsia"/>
              </w:rPr>
              <w:t>服务期满</w:t>
            </w:r>
          </w:p>
        </w:tc>
      </w:tr>
      <w:tr w14:paraId="64361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blHeader/>
        </w:trPr>
        <w:tc>
          <w:tcPr>
            <w:tcW w:w="1046" w:type="pct"/>
            <w:gridSpan w:val="2"/>
            <w:vMerge w:val="continue"/>
            <w:vAlign w:val="center"/>
          </w:tcPr>
          <w:p w14:paraId="38460438">
            <w:pPr>
              <w:pStyle w:val="48"/>
            </w:pPr>
          </w:p>
        </w:tc>
        <w:tc>
          <w:tcPr>
            <w:tcW w:w="371" w:type="pct"/>
            <w:vAlign w:val="center"/>
          </w:tcPr>
          <w:p w14:paraId="329C7C1E">
            <w:pPr>
              <w:pStyle w:val="48"/>
            </w:pPr>
            <w:r>
              <w:t>占地</w:t>
            </w:r>
          </w:p>
        </w:tc>
        <w:tc>
          <w:tcPr>
            <w:tcW w:w="367" w:type="pct"/>
            <w:vAlign w:val="center"/>
          </w:tcPr>
          <w:p w14:paraId="529B8B67">
            <w:pPr>
              <w:pStyle w:val="48"/>
            </w:pPr>
            <w:r>
              <w:t>基础工程</w:t>
            </w:r>
          </w:p>
        </w:tc>
        <w:tc>
          <w:tcPr>
            <w:tcW w:w="345" w:type="pct"/>
            <w:vAlign w:val="center"/>
          </w:tcPr>
          <w:p w14:paraId="64754E93">
            <w:pPr>
              <w:pStyle w:val="48"/>
            </w:pPr>
            <w:r>
              <w:t>运输</w:t>
            </w:r>
          </w:p>
        </w:tc>
        <w:tc>
          <w:tcPr>
            <w:tcW w:w="390" w:type="pct"/>
            <w:vAlign w:val="center"/>
          </w:tcPr>
          <w:p w14:paraId="05F5FFEA">
            <w:pPr>
              <w:pStyle w:val="48"/>
            </w:pPr>
            <w:r>
              <w:t>卤水开采</w:t>
            </w:r>
          </w:p>
        </w:tc>
        <w:tc>
          <w:tcPr>
            <w:tcW w:w="367" w:type="pct"/>
            <w:vAlign w:val="center"/>
          </w:tcPr>
          <w:p w14:paraId="35D11D12">
            <w:pPr>
              <w:pStyle w:val="48"/>
            </w:pPr>
            <w:r>
              <w:t>卤水运输</w:t>
            </w:r>
          </w:p>
        </w:tc>
        <w:tc>
          <w:tcPr>
            <w:tcW w:w="367" w:type="pct"/>
            <w:vAlign w:val="center"/>
          </w:tcPr>
          <w:p w14:paraId="78516364">
            <w:pPr>
              <w:pStyle w:val="48"/>
            </w:pPr>
            <w:r>
              <w:t>废水排放</w:t>
            </w:r>
          </w:p>
        </w:tc>
        <w:tc>
          <w:tcPr>
            <w:tcW w:w="367" w:type="pct"/>
            <w:vAlign w:val="center"/>
          </w:tcPr>
          <w:p w14:paraId="4C74FB90">
            <w:pPr>
              <w:pStyle w:val="48"/>
            </w:pPr>
            <w:r>
              <w:t>废气排放</w:t>
            </w:r>
          </w:p>
        </w:tc>
        <w:tc>
          <w:tcPr>
            <w:tcW w:w="367" w:type="pct"/>
            <w:vAlign w:val="center"/>
          </w:tcPr>
          <w:p w14:paraId="12159D26">
            <w:pPr>
              <w:pStyle w:val="48"/>
            </w:pPr>
            <w:r>
              <w:t>生产</w:t>
            </w:r>
          </w:p>
          <w:p w14:paraId="00E52F64">
            <w:pPr>
              <w:pStyle w:val="48"/>
            </w:pPr>
            <w:r>
              <w:t>噪声</w:t>
            </w:r>
          </w:p>
        </w:tc>
        <w:tc>
          <w:tcPr>
            <w:tcW w:w="347" w:type="pct"/>
            <w:vAlign w:val="center"/>
          </w:tcPr>
          <w:p w14:paraId="1D1F975A">
            <w:pPr>
              <w:pStyle w:val="48"/>
            </w:pPr>
            <w:r>
              <w:t>固废堆存</w:t>
            </w:r>
          </w:p>
        </w:tc>
        <w:tc>
          <w:tcPr>
            <w:tcW w:w="334" w:type="pct"/>
            <w:vAlign w:val="center"/>
          </w:tcPr>
          <w:p w14:paraId="1FEF64FC">
            <w:pPr>
              <w:pStyle w:val="48"/>
            </w:pPr>
            <w:r>
              <w:t>事故风险</w:t>
            </w:r>
          </w:p>
        </w:tc>
        <w:tc>
          <w:tcPr>
            <w:tcW w:w="332" w:type="pct"/>
            <w:vAlign w:val="center"/>
          </w:tcPr>
          <w:p w14:paraId="00CF945D">
            <w:pPr>
              <w:pStyle w:val="48"/>
            </w:pPr>
            <w:r>
              <w:rPr>
                <w:rFonts w:hint="eastAsia"/>
              </w:rPr>
              <w:t>封堵工程</w:t>
            </w:r>
          </w:p>
        </w:tc>
      </w:tr>
      <w:tr w14:paraId="20A0B6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restart"/>
            <w:vAlign w:val="center"/>
          </w:tcPr>
          <w:p w14:paraId="438E5011">
            <w:pPr>
              <w:pStyle w:val="48"/>
            </w:pPr>
            <w:r>
              <w:t>社会环境</w:t>
            </w:r>
          </w:p>
        </w:tc>
        <w:tc>
          <w:tcPr>
            <w:tcW w:w="717" w:type="pct"/>
            <w:vAlign w:val="center"/>
          </w:tcPr>
          <w:p w14:paraId="48927962">
            <w:pPr>
              <w:pStyle w:val="48"/>
            </w:pPr>
            <w:r>
              <w:t>劳动就业</w:t>
            </w:r>
          </w:p>
        </w:tc>
        <w:tc>
          <w:tcPr>
            <w:tcW w:w="371" w:type="pct"/>
            <w:vAlign w:val="center"/>
          </w:tcPr>
          <w:p w14:paraId="61A05EEE">
            <w:pPr>
              <w:pStyle w:val="48"/>
            </w:pPr>
          </w:p>
        </w:tc>
        <w:tc>
          <w:tcPr>
            <w:tcW w:w="367" w:type="pct"/>
            <w:vAlign w:val="center"/>
          </w:tcPr>
          <w:p w14:paraId="2BA95551">
            <w:pPr>
              <w:pStyle w:val="48"/>
            </w:pPr>
            <w:r>
              <w:rPr>
                <w:rFonts w:ascii="Cambria Math" w:hAnsi="Cambria Math" w:cs="Cambria Math"/>
              </w:rPr>
              <w:t>△</w:t>
            </w:r>
          </w:p>
        </w:tc>
        <w:tc>
          <w:tcPr>
            <w:tcW w:w="345" w:type="pct"/>
            <w:vAlign w:val="center"/>
          </w:tcPr>
          <w:p w14:paraId="0BC7F31A">
            <w:pPr>
              <w:pStyle w:val="48"/>
            </w:pPr>
            <w:r>
              <w:rPr>
                <w:rFonts w:ascii="Cambria Math" w:hAnsi="Cambria Math" w:cs="Cambria Math"/>
              </w:rPr>
              <w:t>△</w:t>
            </w:r>
          </w:p>
        </w:tc>
        <w:tc>
          <w:tcPr>
            <w:tcW w:w="390" w:type="pct"/>
            <w:vAlign w:val="center"/>
          </w:tcPr>
          <w:p w14:paraId="40964397">
            <w:pPr>
              <w:pStyle w:val="48"/>
            </w:pPr>
            <w:r>
              <w:rPr>
                <w:rFonts w:hint="eastAsia" w:ascii="宋体" w:hAnsi="宋体" w:cs="宋体"/>
              </w:rPr>
              <w:t>☆</w:t>
            </w:r>
          </w:p>
        </w:tc>
        <w:tc>
          <w:tcPr>
            <w:tcW w:w="367" w:type="pct"/>
            <w:vAlign w:val="center"/>
          </w:tcPr>
          <w:p w14:paraId="62945C13">
            <w:pPr>
              <w:pStyle w:val="48"/>
            </w:pPr>
            <w:r>
              <w:rPr>
                <w:rFonts w:hint="eastAsia" w:ascii="宋体" w:hAnsi="宋体" w:cs="宋体"/>
              </w:rPr>
              <w:t>☆</w:t>
            </w:r>
          </w:p>
        </w:tc>
        <w:tc>
          <w:tcPr>
            <w:tcW w:w="367" w:type="pct"/>
            <w:vAlign w:val="center"/>
          </w:tcPr>
          <w:p w14:paraId="1ED5031F">
            <w:pPr>
              <w:pStyle w:val="48"/>
            </w:pPr>
          </w:p>
        </w:tc>
        <w:tc>
          <w:tcPr>
            <w:tcW w:w="367" w:type="pct"/>
            <w:vAlign w:val="center"/>
          </w:tcPr>
          <w:p w14:paraId="733B154B">
            <w:pPr>
              <w:pStyle w:val="48"/>
            </w:pPr>
          </w:p>
        </w:tc>
        <w:tc>
          <w:tcPr>
            <w:tcW w:w="367" w:type="pct"/>
            <w:vAlign w:val="center"/>
          </w:tcPr>
          <w:p w14:paraId="45A64053">
            <w:pPr>
              <w:pStyle w:val="48"/>
            </w:pPr>
          </w:p>
        </w:tc>
        <w:tc>
          <w:tcPr>
            <w:tcW w:w="347" w:type="pct"/>
            <w:vAlign w:val="center"/>
          </w:tcPr>
          <w:p w14:paraId="3432B6C3">
            <w:pPr>
              <w:pStyle w:val="48"/>
            </w:pPr>
          </w:p>
        </w:tc>
        <w:tc>
          <w:tcPr>
            <w:tcW w:w="334" w:type="pct"/>
            <w:vAlign w:val="center"/>
          </w:tcPr>
          <w:p w14:paraId="388988AB">
            <w:pPr>
              <w:pStyle w:val="48"/>
            </w:pPr>
          </w:p>
        </w:tc>
        <w:tc>
          <w:tcPr>
            <w:tcW w:w="332" w:type="pct"/>
            <w:vAlign w:val="center"/>
          </w:tcPr>
          <w:p w14:paraId="56900E54">
            <w:pPr>
              <w:pStyle w:val="48"/>
            </w:pPr>
            <w:r>
              <w:rPr>
                <w:rFonts w:ascii="Cambria Math" w:hAnsi="Cambria Math" w:cs="Cambria Math"/>
              </w:rPr>
              <w:t>△</w:t>
            </w:r>
          </w:p>
        </w:tc>
      </w:tr>
      <w:tr w14:paraId="4275A3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continue"/>
            <w:vAlign w:val="center"/>
          </w:tcPr>
          <w:p w14:paraId="63F80F36">
            <w:pPr>
              <w:pStyle w:val="48"/>
            </w:pPr>
          </w:p>
        </w:tc>
        <w:tc>
          <w:tcPr>
            <w:tcW w:w="717" w:type="pct"/>
            <w:vAlign w:val="center"/>
          </w:tcPr>
          <w:p w14:paraId="5035612A">
            <w:pPr>
              <w:pStyle w:val="48"/>
            </w:pPr>
            <w:r>
              <w:t>经济收入</w:t>
            </w:r>
          </w:p>
        </w:tc>
        <w:tc>
          <w:tcPr>
            <w:tcW w:w="371" w:type="pct"/>
            <w:vAlign w:val="center"/>
          </w:tcPr>
          <w:p w14:paraId="58D1B55E">
            <w:pPr>
              <w:pStyle w:val="48"/>
            </w:pPr>
          </w:p>
        </w:tc>
        <w:tc>
          <w:tcPr>
            <w:tcW w:w="367" w:type="pct"/>
            <w:vAlign w:val="center"/>
          </w:tcPr>
          <w:p w14:paraId="602EE5A1">
            <w:pPr>
              <w:pStyle w:val="48"/>
            </w:pPr>
            <w:r>
              <w:rPr>
                <w:rFonts w:ascii="Cambria Math" w:hAnsi="Cambria Math" w:cs="Cambria Math"/>
              </w:rPr>
              <w:t>△</w:t>
            </w:r>
          </w:p>
        </w:tc>
        <w:tc>
          <w:tcPr>
            <w:tcW w:w="345" w:type="pct"/>
            <w:vAlign w:val="center"/>
          </w:tcPr>
          <w:p w14:paraId="4F499BA5">
            <w:pPr>
              <w:pStyle w:val="48"/>
            </w:pPr>
            <w:r>
              <w:rPr>
                <w:rFonts w:ascii="Cambria Math" w:hAnsi="Cambria Math" w:cs="Cambria Math"/>
              </w:rPr>
              <w:t>△</w:t>
            </w:r>
          </w:p>
        </w:tc>
        <w:tc>
          <w:tcPr>
            <w:tcW w:w="390" w:type="pct"/>
            <w:vAlign w:val="center"/>
          </w:tcPr>
          <w:p w14:paraId="5BDFEF53">
            <w:pPr>
              <w:pStyle w:val="48"/>
            </w:pPr>
            <w:r>
              <w:rPr>
                <w:rFonts w:hint="eastAsia" w:ascii="宋体" w:hAnsi="宋体" w:cs="宋体"/>
              </w:rPr>
              <w:t>☆</w:t>
            </w:r>
          </w:p>
        </w:tc>
        <w:tc>
          <w:tcPr>
            <w:tcW w:w="367" w:type="pct"/>
            <w:vAlign w:val="center"/>
          </w:tcPr>
          <w:p w14:paraId="270B226F">
            <w:pPr>
              <w:pStyle w:val="48"/>
            </w:pPr>
            <w:r>
              <w:rPr>
                <w:rFonts w:hint="eastAsia" w:ascii="宋体" w:hAnsi="宋体" w:cs="宋体"/>
              </w:rPr>
              <w:t>☆</w:t>
            </w:r>
          </w:p>
        </w:tc>
        <w:tc>
          <w:tcPr>
            <w:tcW w:w="367" w:type="pct"/>
            <w:vAlign w:val="center"/>
          </w:tcPr>
          <w:p w14:paraId="101533E8">
            <w:pPr>
              <w:pStyle w:val="48"/>
            </w:pPr>
          </w:p>
        </w:tc>
        <w:tc>
          <w:tcPr>
            <w:tcW w:w="367" w:type="pct"/>
            <w:vAlign w:val="center"/>
          </w:tcPr>
          <w:p w14:paraId="0BDB39D8">
            <w:pPr>
              <w:pStyle w:val="48"/>
            </w:pPr>
          </w:p>
        </w:tc>
        <w:tc>
          <w:tcPr>
            <w:tcW w:w="367" w:type="pct"/>
            <w:vAlign w:val="center"/>
          </w:tcPr>
          <w:p w14:paraId="1B1CAB33">
            <w:pPr>
              <w:pStyle w:val="48"/>
            </w:pPr>
          </w:p>
        </w:tc>
        <w:tc>
          <w:tcPr>
            <w:tcW w:w="347" w:type="pct"/>
            <w:vAlign w:val="center"/>
          </w:tcPr>
          <w:p w14:paraId="01FEACBF">
            <w:pPr>
              <w:pStyle w:val="48"/>
            </w:pPr>
          </w:p>
        </w:tc>
        <w:tc>
          <w:tcPr>
            <w:tcW w:w="334" w:type="pct"/>
            <w:vAlign w:val="center"/>
          </w:tcPr>
          <w:p w14:paraId="17677BC7">
            <w:pPr>
              <w:pStyle w:val="48"/>
            </w:pPr>
          </w:p>
        </w:tc>
        <w:tc>
          <w:tcPr>
            <w:tcW w:w="332" w:type="pct"/>
            <w:vAlign w:val="center"/>
          </w:tcPr>
          <w:p w14:paraId="14AC4152">
            <w:pPr>
              <w:pStyle w:val="48"/>
            </w:pPr>
            <w:r>
              <w:rPr>
                <w:rFonts w:ascii="Cambria Math" w:hAnsi="Cambria Math" w:cs="Cambria Math"/>
              </w:rPr>
              <w:t>△</w:t>
            </w:r>
          </w:p>
        </w:tc>
      </w:tr>
      <w:tr w14:paraId="0EFD7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continue"/>
            <w:vAlign w:val="center"/>
          </w:tcPr>
          <w:p w14:paraId="3DE32696">
            <w:pPr>
              <w:pStyle w:val="48"/>
            </w:pPr>
          </w:p>
        </w:tc>
        <w:tc>
          <w:tcPr>
            <w:tcW w:w="717" w:type="pct"/>
            <w:vAlign w:val="center"/>
          </w:tcPr>
          <w:p w14:paraId="19E30867">
            <w:pPr>
              <w:pStyle w:val="48"/>
            </w:pPr>
            <w:r>
              <w:t>社会安定</w:t>
            </w:r>
          </w:p>
        </w:tc>
        <w:tc>
          <w:tcPr>
            <w:tcW w:w="371" w:type="pct"/>
            <w:vAlign w:val="center"/>
          </w:tcPr>
          <w:p w14:paraId="5C922083">
            <w:pPr>
              <w:pStyle w:val="48"/>
            </w:pPr>
          </w:p>
        </w:tc>
        <w:tc>
          <w:tcPr>
            <w:tcW w:w="367" w:type="pct"/>
            <w:vAlign w:val="center"/>
          </w:tcPr>
          <w:p w14:paraId="56E64391">
            <w:pPr>
              <w:pStyle w:val="48"/>
            </w:pPr>
            <w:r>
              <w:rPr>
                <w:rFonts w:ascii="Cambria Math" w:hAnsi="Cambria Math" w:cs="Cambria Math"/>
              </w:rPr>
              <w:t>△</w:t>
            </w:r>
          </w:p>
        </w:tc>
        <w:tc>
          <w:tcPr>
            <w:tcW w:w="345" w:type="pct"/>
            <w:vAlign w:val="center"/>
          </w:tcPr>
          <w:p w14:paraId="1911B7FF">
            <w:pPr>
              <w:pStyle w:val="48"/>
            </w:pPr>
            <w:r>
              <w:rPr>
                <w:rFonts w:ascii="Cambria Math" w:hAnsi="Cambria Math" w:cs="Cambria Math"/>
              </w:rPr>
              <w:t>△</w:t>
            </w:r>
          </w:p>
        </w:tc>
        <w:tc>
          <w:tcPr>
            <w:tcW w:w="390" w:type="pct"/>
            <w:vAlign w:val="center"/>
          </w:tcPr>
          <w:p w14:paraId="3D9DC704">
            <w:pPr>
              <w:pStyle w:val="48"/>
            </w:pPr>
            <w:r>
              <w:rPr>
                <w:rFonts w:hint="eastAsia" w:ascii="宋体" w:hAnsi="宋体" w:cs="宋体"/>
              </w:rPr>
              <w:t>☆</w:t>
            </w:r>
          </w:p>
        </w:tc>
        <w:tc>
          <w:tcPr>
            <w:tcW w:w="367" w:type="pct"/>
            <w:vAlign w:val="center"/>
          </w:tcPr>
          <w:p w14:paraId="0C553E05">
            <w:pPr>
              <w:pStyle w:val="48"/>
            </w:pPr>
            <w:r>
              <w:rPr>
                <w:rFonts w:hint="eastAsia" w:ascii="宋体" w:hAnsi="宋体" w:cs="宋体"/>
              </w:rPr>
              <w:t>☆</w:t>
            </w:r>
          </w:p>
        </w:tc>
        <w:tc>
          <w:tcPr>
            <w:tcW w:w="367" w:type="pct"/>
            <w:vAlign w:val="center"/>
          </w:tcPr>
          <w:p w14:paraId="21232535">
            <w:pPr>
              <w:pStyle w:val="48"/>
            </w:pPr>
          </w:p>
        </w:tc>
        <w:tc>
          <w:tcPr>
            <w:tcW w:w="367" w:type="pct"/>
            <w:vAlign w:val="center"/>
          </w:tcPr>
          <w:p w14:paraId="61B7B508">
            <w:pPr>
              <w:pStyle w:val="48"/>
            </w:pPr>
          </w:p>
        </w:tc>
        <w:tc>
          <w:tcPr>
            <w:tcW w:w="367" w:type="pct"/>
            <w:vAlign w:val="center"/>
          </w:tcPr>
          <w:p w14:paraId="1ECFCE30">
            <w:pPr>
              <w:pStyle w:val="48"/>
            </w:pPr>
          </w:p>
        </w:tc>
        <w:tc>
          <w:tcPr>
            <w:tcW w:w="347" w:type="pct"/>
            <w:vAlign w:val="center"/>
          </w:tcPr>
          <w:p w14:paraId="0EFF1859">
            <w:pPr>
              <w:pStyle w:val="48"/>
            </w:pPr>
          </w:p>
        </w:tc>
        <w:tc>
          <w:tcPr>
            <w:tcW w:w="334" w:type="pct"/>
            <w:vAlign w:val="center"/>
          </w:tcPr>
          <w:p w14:paraId="0157D136">
            <w:pPr>
              <w:pStyle w:val="48"/>
            </w:pPr>
            <w:r>
              <w:t>▲</w:t>
            </w:r>
          </w:p>
        </w:tc>
        <w:tc>
          <w:tcPr>
            <w:tcW w:w="332" w:type="pct"/>
            <w:vAlign w:val="center"/>
          </w:tcPr>
          <w:p w14:paraId="19174304">
            <w:pPr>
              <w:pStyle w:val="48"/>
            </w:pPr>
            <w:r>
              <w:rPr>
                <w:rFonts w:ascii="Cambria Math" w:hAnsi="Cambria Math" w:cs="Cambria Math"/>
              </w:rPr>
              <w:t>△</w:t>
            </w:r>
          </w:p>
        </w:tc>
      </w:tr>
      <w:tr w14:paraId="185F6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continue"/>
            <w:vAlign w:val="center"/>
          </w:tcPr>
          <w:p w14:paraId="1ABEBCAA">
            <w:pPr>
              <w:pStyle w:val="48"/>
            </w:pPr>
          </w:p>
        </w:tc>
        <w:tc>
          <w:tcPr>
            <w:tcW w:w="717" w:type="pct"/>
            <w:vAlign w:val="center"/>
          </w:tcPr>
          <w:p w14:paraId="3C88B6C6">
            <w:pPr>
              <w:pStyle w:val="48"/>
            </w:pPr>
            <w:r>
              <w:t>交通条件</w:t>
            </w:r>
          </w:p>
        </w:tc>
        <w:tc>
          <w:tcPr>
            <w:tcW w:w="371" w:type="pct"/>
            <w:vAlign w:val="center"/>
          </w:tcPr>
          <w:p w14:paraId="4C9A1361">
            <w:pPr>
              <w:pStyle w:val="48"/>
            </w:pPr>
          </w:p>
        </w:tc>
        <w:tc>
          <w:tcPr>
            <w:tcW w:w="367" w:type="pct"/>
            <w:vAlign w:val="center"/>
          </w:tcPr>
          <w:p w14:paraId="0B113B3B">
            <w:pPr>
              <w:pStyle w:val="48"/>
            </w:pPr>
          </w:p>
        </w:tc>
        <w:tc>
          <w:tcPr>
            <w:tcW w:w="345" w:type="pct"/>
            <w:vAlign w:val="center"/>
          </w:tcPr>
          <w:p w14:paraId="5A859D86">
            <w:pPr>
              <w:pStyle w:val="48"/>
            </w:pPr>
            <w:r>
              <w:t>▲</w:t>
            </w:r>
          </w:p>
        </w:tc>
        <w:tc>
          <w:tcPr>
            <w:tcW w:w="390" w:type="pct"/>
            <w:vAlign w:val="center"/>
          </w:tcPr>
          <w:p w14:paraId="08DEB043">
            <w:pPr>
              <w:pStyle w:val="48"/>
            </w:pPr>
          </w:p>
        </w:tc>
        <w:tc>
          <w:tcPr>
            <w:tcW w:w="367" w:type="pct"/>
            <w:vAlign w:val="center"/>
          </w:tcPr>
          <w:p w14:paraId="7F55CCB9">
            <w:pPr>
              <w:pStyle w:val="48"/>
            </w:pPr>
          </w:p>
        </w:tc>
        <w:tc>
          <w:tcPr>
            <w:tcW w:w="367" w:type="pct"/>
            <w:vAlign w:val="center"/>
          </w:tcPr>
          <w:p w14:paraId="372DE669">
            <w:pPr>
              <w:pStyle w:val="48"/>
            </w:pPr>
          </w:p>
        </w:tc>
        <w:tc>
          <w:tcPr>
            <w:tcW w:w="367" w:type="pct"/>
            <w:vAlign w:val="center"/>
          </w:tcPr>
          <w:p w14:paraId="0A74B996">
            <w:pPr>
              <w:pStyle w:val="48"/>
            </w:pPr>
          </w:p>
        </w:tc>
        <w:tc>
          <w:tcPr>
            <w:tcW w:w="367" w:type="pct"/>
            <w:vAlign w:val="center"/>
          </w:tcPr>
          <w:p w14:paraId="51C9AD5F">
            <w:pPr>
              <w:pStyle w:val="48"/>
            </w:pPr>
          </w:p>
        </w:tc>
        <w:tc>
          <w:tcPr>
            <w:tcW w:w="347" w:type="pct"/>
            <w:vAlign w:val="center"/>
          </w:tcPr>
          <w:p w14:paraId="0CA3BF64">
            <w:pPr>
              <w:pStyle w:val="48"/>
            </w:pPr>
          </w:p>
        </w:tc>
        <w:tc>
          <w:tcPr>
            <w:tcW w:w="334" w:type="pct"/>
            <w:vAlign w:val="center"/>
          </w:tcPr>
          <w:p w14:paraId="22872491">
            <w:pPr>
              <w:pStyle w:val="48"/>
            </w:pPr>
          </w:p>
        </w:tc>
        <w:tc>
          <w:tcPr>
            <w:tcW w:w="332" w:type="pct"/>
            <w:vAlign w:val="center"/>
          </w:tcPr>
          <w:p w14:paraId="23363133">
            <w:pPr>
              <w:pStyle w:val="48"/>
            </w:pPr>
            <w:r>
              <w:t>▲</w:t>
            </w:r>
          </w:p>
        </w:tc>
      </w:tr>
      <w:tr w14:paraId="20D3C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restart"/>
            <w:vAlign w:val="center"/>
          </w:tcPr>
          <w:p w14:paraId="3BB64407">
            <w:pPr>
              <w:pStyle w:val="48"/>
            </w:pPr>
            <w:r>
              <w:t>区域环境</w:t>
            </w:r>
          </w:p>
        </w:tc>
        <w:tc>
          <w:tcPr>
            <w:tcW w:w="717" w:type="pct"/>
            <w:vAlign w:val="center"/>
          </w:tcPr>
          <w:p w14:paraId="798C402D">
            <w:pPr>
              <w:pStyle w:val="48"/>
            </w:pPr>
            <w:r>
              <w:t>环境空气</w:t>
            </w:r>
          </w:p>
        </w:tc>
        <w:tc>
          <w:tcPr>
            <w:tcW w:w="371" w:type="pct"/>
            <w:vAlign w:val="center"/>
          </w:tcPr>
          <w:p w14:paraId="69F441D1">
            <w:pPr>
              <w:pStyle w:val="48"/>
            </w:pPr>
          </w:p>
        </w:tc>
        <w:tc>
          <w:tcPr>
            <w:tcW w:w="367" w:type="pct"/>
            <w:vAlign w:val="center"/>
          </w:tcPr>
          <w:p w14:paraId="7DD8348E">
            <w:pPr>
              <w:pStyle w:val="48"/>
            </w:pPr>
            <w:r>
              <w:t>▲</w:t>
            </w:r>
          </w:p>
        </w:tc>
        <w:tc>
          <w:tcPr>
            <w:tcW w:w="345" w:type="pct"/>
            <w:vAlign w:val="center"/>
          </w:tcPr>
          <w:p w14:paraId="5D524692">
            <w:pPr>
              <w:pStyle w:val="48"/>
            </w:pPr>
          </w:p>
        </w:tc>
        <w:tc>
          <w:tcPr>
            <w:tcW w:w="390" w:type="pct"/>
            <w:vAlign w:val="center"/>
          </w:tcPr>
          <w:p w14:paraId="0201836E">
            <w:pPr>
              <w:pStyle w:val="48"/>
            </w:pPr>
          </w:p>
        </w:tc>
        <w:tc>
          <w:tcPr>
            <w:tcW w:w="367" w:type="pct"/>
            <w:vAlign w:val="center"/>
          </w:tcPr>
          <w:p w14:paraId="0BA239EA">
            <w:pPr>
              <w:pStyle w:val="48"/>
            </w:pPr>
          </w:p>
        </w:tc>
        <w:tc>
          <w:tcPr>
            <w:tcW w:w="367" w:type="pct"/>
            <w:vAlign w:val="center"/>
          </w:tcPr>
          <w:p w14:paraId="1BD92BB8">
            <w:pPr>
              <w:pStyle w:val="48"/>
            </w:pPr>
          </w:p>
        </w:tc>
        <w:tc>
          <w:tcPr>
            <w:tcW w:w="367" w:type="pct"/>
            <w:vAlign w:val="center"/>
          </w:tcPr>
          <w:p w14:paraId="541724A7">
            <w:pPr>
              <w:pStyle w:val="48"/>
            </w:pPr>
          </w:p>
        </w:tc>
        <w:tc>
          <w:tcPr>
            <w:tcW w:w="367" w:type="pct"/>
            <w:vAlign w:val="center"/>
          </w:tcPr>
          <w:p w14:paraId="07EC83DC">
            <w:pPr>
              <w:pStyle w:val="48"/>
            </w:pPr>
          </w:p>
        </w:tc>
        <w:tc>
          <w:tcPr>
            <w:tcW w:w="347" w:type="pct"/>
            <w:vAlign w:val="center"/>
          </w:tcPr>
          <w:p w14:paraId="5DBE36F3">
            <w:pPr>
              <w:pStyle w:val="48"/>
            </w:pPr>
          </w:p>
        </w:tc>
        <w:tc>
          <w:tcPr>
            <w:tcW w:w="334" w:type="pct"/>
            <w:vAlign w:val="center"/>
          </w:tcPr>
          <w:p w14:paraId="020C23FB">
            <w:pPr>
              <w:pStyle w:val="48"/>
            </w:pPr>
          </w:p>
        </w:tc>
        <w:tc>
          <w:tcPr>
            <w:tcW w:w="332" w:type="pct"/>
            <w:vAlign w:val="center"/>
          </w:tcPr>
          <w:p w14:paraId="1E8350F1">
            <w:pPr>
              <w:pStyle w:val="48"/>
            </w:pPr>
            <w:r>
              <w:t>▲</w:t>
            </w:r>
          </w:p>
        </w:tc>
      </w:tr>
      <w:tr w14:paraId="15D9D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continue"/>
            <w:vAlign w:val="center"/>
          </w:tcPr>
          <w:p w14:paraId="6CA72B3E">
            <w:pPr>
              <w:pStyle w:val="48"/>
            </w:pPr>
          </w:p>
        </w:tc>
        <w:tc>
          <w:tcPr>
            <w:tcW w:w="717" w:type="pct"/>
            <w:vAlign w:val="center"/>
          </w:tcPr>
          <w:p w14:paraId="300FC6DC">
            <w:pPr>
              <w:pStyle w:val="48"/>
            </w:pPr>
            <w:r>
              <w:t>地表水质</w:t>
            </w:r>
          </w:p>
        </w:tc>
        <w:tc>
          <w:tcPr>
            <w:tcW w:w="371" w:type="pct"/>
            <w:vAlign w:val="center"/>
          </w:tcPr>
          <w:p w14:paraId="089C168B">
            <w:pPr>
              <w:pStyle w:val="48"/>
            </w:pPr>
          </w:p>
        </w:tc>
        <w:tc>
          <w:tcPr>
            <w:tcW w:w="367" w:type="pct"/>
            <w:vAlign w:val="center"/>
          </w:tcPr>
          <w:p w14:paraId="4EB89BC6">
            <w:pPr>
              <w:pStyle w:val="48"/>
            </w:pPr>
          </w:p>
        </w:tc>
        <w:tc>
          <w:tcPr>
            <w:tcW w:w="345" w:type="pct"/>
            <w:vAlign w:val="center"/>
          </w:tcPr>
          <w:p w14:paraId="100CE22A">
            <w:pPr>
              <w:pStyle w:val="48"/>
            </w:pPr>
          </w:p>
        </w:tc>
        <w:tc>
          <w:tcPr>
            <w:tcW w:w="390" w:type="pct"/>
            <w:vAlign w:val="center"/>
          </w:tcPr>
          <w:p w14:paraId="7904626D">
            <w:pPr>
              <w:pStyle w:val="48"/>
            </w:pPr>
          </w:p>
        </w:tc>
        <w:tc>
          <w:tcPr>
            <w:tcW w:w="367" w:type="pct"/>
            <w:vAlign w:val="center"/>
          </w:tcPr>
          <w:p w14:paraId="7FA18E09">
            <w:pPr>
              <w:pStyle w:val="48"/>
            </w:pPr>
          </w:p>
        </w:tc>
        <w:tc>
          <w:tcPr>
            <w:tcW w:w="367" w:type="pct"/>
            <w:vAlign w:val="center"/>
          </w:tcPr>
          <w:p w14:paraId="261F3246">
            <w:pPr>
              <w:pStyle w:val="48"/>
            </w:pPr>
          </w:p>
        </w:tc>
        <w:tc>
          <w:tcPr>
            <w:tcW w:w="367" w:type="pct"/>
            <w:vAlign w:val="center"/>
          </w:tcPr>
          <w:p w14:paraId="6B881CB0">
            <w:pPr>
              <w:pStyle w:val="48"/>
            </w:pPr>
          </w:p>
        </w:tc>
        <w:tc>
          <w:tcPr>
            <w:tcW w:w="367" w:type="pct"/>
            <w:vAlign w:val="center"/>
          </w:tcPr>
          <w:p w14:paraId="5615566B">
            <w:pPr>
              <w:pStyle w:val="48"/>
            </w:pPr>
          </w:p>
        </w:tc>
        <w:tc>
          <w:tcPr>
            <w:tcW w:w="347" w:type="pct"/>
            <w:vAlign w:val="center"/>
          </w:tcPr>
          <w:p w14:paraId="1EEEDCFE">
            <w:pPr>
              <w:pStyle w:val="48"/>
            </w:pPr>
          </w:p>
        </w:tc>
        <w:tc>
          <w:tcPr>
            <w:tcW w:w="334" w:type="pct"/>
            <w:vAlign w:val="center"/>
          </w:tcPr>
          <w:p w14:paraId="2253C3F9">
            <w:pPr>
              <w:pStyle w:val="48"/>
            </w:pPr>
            <w:r>
              <w:t>▲</w:t>
            </w:r>
          </w:p>
        </w:tc>
        <w:tc>
          <w:tcPr>
            <w:tcW w:w="332" w:type="pct"/>
            <w:vAlign w:val="center"/>
          </w:tcPr>
          <w:p w14:paraId="67BC6627">
            <w:pPr>
              <w:pStyle w:val="48"/>
            </w:pPr>
          </w:p>
        </w:tc>
      </w:tr>
      <w:tr w14:paraId="5106E0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continue"/>
            <w:vAlign w:val="center"/>
          </w:tcPr>
          <w:p w14:paraId="71305F02">
            <w:pPr>
              <w:pStyle w:val="48"/>
            </w:pPr>
          </w:p>
        </w:tc>
        <w:tc>
          <w:tcPr>
            <w:tcW w:w="717" w:type="pct"/>
            <w:vAlign w:val="center"/>
          </w:tcPr>
          <w:p w14:paraId="48D65D8C">
            <w:pPr>
              <w:pStyle w:val="48"/>
            </w:pPr>
            <w:r>
              <w:t>地下水质</w:t>
            </w:r>
          </w:p>
        </w:tc>
        <w:tc>
          <w:tcPr>
            <w:tcW w:w="371" w:type="pct"/>
            <w:vAlign w:val="center"/>
          </w:tcPr>
          <w:p w14:paraId="7FEA46CE">
            <w:pPr>
              <w:pStyle w:val="48"/>
            </w:pPr>
          </w:p>
        </w:tc>
        <w:tc>
          <w:tcPr>
            <w:tcW w:w="367" w:type="pct"/>
            <w:vAlign w:val="center"/>
          </w:tcPr>
          <w:p w14:paraId="64888AE8">
            <w:pPr>
              <w:pStyle w:val="48"/>
            </w:pPr>
          </w:p>
        </w:tc>
        <w:tc>
          <w:tcPr>
            <w:tcW w:w="345" w:type="pct"/>
            <w:vAlign w:val="center"/>
          </w:tcPr>
          <w:p w14:paraId="3CA9FAA0">
            <w:pPr>
              <w:pStyle w:val="48"/>
            </w:pPr>
          </w:p>
        </w:tc>
        <w:tc>
          <w:tcPr>
            <w:tcW w:w="390" w:type="pct"/>
            <w:vAlign w:val="center"/>
          </w:tcPr>
          <w:p w14:paraId="52A8458D">
            <w:pPr>
              <w:pStyle w:val="48"/>
            </w:pPr>
          </w:p>
        </w:tc>
        <w:tc>
          <w:tcPr>
            <w:tcW w:w="367" w:type="pct"/>
            <w:vAlign w:val="center"/>
          </w:tcPr>
          <w:p w14:paraId="55EC6CB2">
            <w:pPr>
              <w:pStyle w:val="48"/>
            </w:pPr>
          </w:p>
        </w:tc>
        <w:tc>
          <w:tcPr>
            <w:tcW w:w="367" w:type="pct"/>
            <w:vAlign w:val="center"/>
          </w:tcPr>
          <w:p w14:paraId="16CBACF1">
            <w:pPr>
              <w:pStyle w:val="48"/>
            </w:pPr>
          </w:p>
        </w:tc>
        <w:tc>
          <w:tcPr>
            <w:tcW w:w="367" w:type="pct"/>
            <w:vAlign w:val="center"/>
          </w:tcPr>
          <w:p w14:paraId="0B7C76FF">
            <w:pPr>
              <w:pStyle w:val="48"/>
            </w:pPr>
          </w:p>
        </w:tc>
        <w:tc>
          <w:tcPr>
            <w:tcW w:w="367" w:type="pct"/>
            <w:vAlign w:val="center"/>
          </w:tcPr>
          <w:p w14:paraId="2346824D">
            <w:pPr>
              <w:pStyle w:val="48"/>
            </w:pPr>
          </w:p>
        </w:tc>
        <w:tc>
          <w:tcPr>
            <w:tcW w:w="347" w:type="pct"/>
            <w:vAlign w:val="center"/>
          </w:tcPr>
          <w:p w14:paraId="1D87AAC8">
            <w:pPr>
              <w:pStyle w:val="48"/>
            </w:pPr>
          </w:p>
        </w:tc>
        <w:tc>
          <w:tcPr>
            <w:tcW w:w="334" w:type="pct"/>
            <w:vAlign w:val="center"/>
          </w:tcPr>
          <w:p w14:paraId="5A1CAAB1">
            <w:pPr>
              <w:pStyle w:val="48"/>
            </w:pPr>
            <w:r>
              <w:t>▲</w:t>
            </w:r>
          </w:p>
        </w:tc>
        <w:tc>
          <w:tcPr>
            <w:tcW w:w="332" w:type="pct"/>
            <w:vAlign w:val="center"/>
          </w:tcPr>
          <w:p w14:paraId="0A5E095F">
            <w:pPr>
              <w:pStyle w:val="48"/>
            </w:pPr>
          </w:p>
        </w:tc>
      </w:tr>
      <w:tr w14:paraId="1D8E2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continue"/>
            <w:vAlign w:val="center"/>
          </w:tcPr>
          <w:p w14:paraId="0FE83602">
            <w:pPr>
              <w:pStyle w:val="48"/>
            </w:pPr>
          </w:p>
        </w:tc>
        <w:tc>
          <w:tcPr>
            <w:tcW w:w="717" w:type="pct"/>
            <w:vAlign w:val="center"/>
          </w:tcPr>
          <w:p w14:paraId="58864C17">
            <w:pPr>
              <w:pStyle w:val="48"/>
            </w:pPr>
            <w:r>
              <w:t>声环境</w:t>
            </w:r>
          </w:p>
        </w:tc>
        <w:tc>
          <w:tcPr>
            <w:tcW w:w="371" w:type="pct"/>
            <w:vAlign w:val="center"/>
          </w:tcPr>
          <w:p w14:paraId="3CC6F660">
            <w:pPr>
              <w:pStyle w:val="48"/>
            </w:pPr>
          </w:p>
        </w:tc>
        <w:tc>
          <w:tcPr>
            <w:tcW w:w="367" w:type="pct"/>
            <w:vAlign w:val="center"/>
          </w:tcPr>
          <w:p w14:paraId="38C95A58">
            <w:pPr>
              <w:pStyle w:val="48"/>
            </w:pPr>
            <w:r>
              <w:t>▲</w:t>
            </w:r>
          </w:p>
        </w:tc>
        <w:tc>
          <w:tcPr>
            <w:tcW w:w="345" w:type="pct"/>
            <w:vAlign w:val="center"/>
          </w:tcPr>
          <w:p w14:paraId="2B684E6F">
            <w:pPr>
              <w:pStyle w:val="48"/>
            </w:pPr>
          </w:p>
        </w:tc>
        <w:tc>
          <w:tcPr>
            <w:tcW w:w="390" w:type="pct"/>
            <w:vAlign w:val="center"/>
          </w:tcPr>
          <w:p w14:paraId="6B218B1A">
            <w:pPr>
              <w:pStyle w:val="48"/>
            </w:pPr>
            <w:r>
              <w:rPr>
                <w:rFonts w:hint="eastAsia" w:ascii="宋体" w:hAnsi="宋体" w:cs="宋体"/>
              </w:rPr>
              <w:t>★</w:t>
            </w:r>
          </w:p>
        </w:tc>
        <w:tc>
          <w:tcPr>
            <w:tcW w:w="367" w:type="pct"/>
            <w:vAlign w:val="center"/>
          </w:tcPr>
          <w:p w14:paraId="63915530">
            <w:pPr>
              <w:pStyle w:val="48"/>
            </w:pPr>
          </w:p>
        </w:tc>
        <w:tc>
          <w:tcPr>
            <w:tcW w:w="367" w:type="pct"/>
            <w:vAlign w:val="center"/>
          </w:tcPr>
          <w:p w14:paraId="30CF484A">
            <w:pPr>
              <w:pStyle w:val="48"/>
            </w:pPr>
          </w:p>
        </w:tc>
        <w:tc>
          <w:tcPr>
            <w:tcW w:w="367" w:type="pct"/>
            <w:vAlign w:val="center"/>
          </w:tcPr>
          <w:p w14:paraId="2CB5A5F5">
            <w:pPr>
              <w:pStyle w:val="48"/>
            </w:pPr>
          </w:p>
        </w:tc>
        <w:tc>
          <w:tcPr>
            <w:tcW w:w="367" w:type="pct"/>
            <w:vAlign w:val="center"/>
          </w:tcPr>
          <w:p w14:paraId="700FD909">
            <w:pPr>
              <w:pStyle w:val="48"/>
            </w:pPr>
            <w:r>
              <w:rPr>
                <w:rFonts w:hint="eastAsia" w:ascii="宋体" w:hAnsi="宋体" w:cs="宋体"/>
              </w:rPr>
              <w:t>★</w:t>
            </w:r>
          </w:p>
        </w:tc>
        <w:tc>
          <w:tcPr>
            <w:tcW w:w="347" w:type="pct"/>
            <w:vAlign w:val="center"/>
          </w:tcPr>
          <w:p w14:paraId="44A2FCA6">
            <w:pPr>
              <w:pStyle w:val="48"/>
            </w:pPr>
          </w:p>
        </w:tc>
        <w:tc>
          <w:tcPr>
            <w:tcW w:w="334" w:type="pct"/>
            <w:vAlign w:val="center"/>
          </w:tcPr>
          <w:p w14:paraId="39571736">
            <w:pPr>
              <w:pStyle w:val="48"/>
            </w:pPr>
          </w:p>
        </w:tc>
        <w:tc>
          <w:tcPr>
            <w:tcW w:w="332" w:type="pct"/>
            <w:vAlign w:val="center"/>
          </w:tcPr>
          <w:p w14:paraId="6C76D756">
            <w:pPr>
              <w:pStyle w:val="48"/>
            </w:pPr>
            <w:r>
              <w:t>▲</w:t>
            </w:r>
          </w:p>
        </w:tc>
      </w:tr>
      <w:tr w14:paraId="635A5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continue"/>
            <w:vAlign w:val="center"/>
          </w:tcPr>
          <w:p w14:paraId="5169E937">
            <w:pPr>
              <w:pStyle w:val="48"/>
            </w:pPr>
          </w:p>
        </w:tc>
        <w:tc>
          <w:tcPr>
            <w:tcW w:w="717" w:type="pct"/>
            <w:vAlign w:val="center"/>
          </w:tcPr>
          <w:p w14:paraId="13DBF846">
            <w:pPr>
              <w:pStyle w:val="48"/>
            </w:pPr>
            <w:r>
              <w:t>土壤环境</w:t>
            </w:r>
          </w:p>
        </w:tc>
        <w:tc>
          <w:tcPr>
            <w:tcW w:w="371" w:type="pct"/>
            <w:vAlign w:val="center"/>
          </w:tcPr>
          <w:p w14:paraId="604AFB71">
            <w:pPr>
              <w:pStyle w:val="48"/>
            </w:pPr>
          </w:p>
        </w:tc>
        <w:tc>
          <w:tcPr>
            <w:tcW w:w="367" w:type="pct"/>
            <w:vAlign w:val="center"/>
          </w:tcPr>
          <w:p w14:paraId="3BDBA7A4">
            <w:pPr>
              <w:pStyle w:val="48"/>
            </w:pPr>
          </w:p>
        </w:tc>
        <w:tc>
          <w:tcPr>
            <w:tcW w:w="345" w:type="pct"/>
            <w:vAlign w:val="center"/>
          </w:tcPr>
          <w:p w14:paraId="070882B6">
            <w:pPr>
              <w:pStyle w:val="48"/>
            </w:pPr>
          </w:p>
        </w:tc>
        <w:tc>
          <w:tcPr>
            <w:tcW w:w="390" w:type="pct"/>
            <w:vAlign w:val="center"/>
          </w:tcPr>
          <w:p w14:paraId="1A3CDD96">
            <w:pPr>
              <w:pStyle w:val="48"/>
            </w:pPr>
          </w:p>
        </w:tc>
        <w:tc>
          <w:tcPr>
            <w:tcW w:w="367" w:type="pct"/>
            <w:vAlign w:val="center"/>
          </w:tcPr>
          <w:p w14:paraId="42F48069">
            <w:pPr>
              <w:pStyle w:val="48"/>
            </w:pPr>
          </w:p>
        </w:tc>
        <w:tc>
          <w:tcPr>
            <w:tcW w:w="367" w:type="pct"/>
            <w:vAlign w:val="center"/>
          </w:tcPr>
          <w:p w14:paraId="6DA61C27">
            <w:pPr>
              <w:pStyle w:val="48"/>
            </w:pPr>
          </w:p>
        </w:tc>
        <w:tc>
          <w:tcPr>
            <w:tcW w:w="367" w:type="pct"/>
            <w:vAlign w:val="center"/>
          </w:tcPr>
          <w:p w14:paraId="171494AE">
            <w:pPr>
              <w:pStyle w:val="48"/>
            </w:pPr>
          </w:p>
        </w:tc>
        <w:tc>
          <w:tcPr>
            <w:tcW w:w="367" w:type="pct"/>
            <w:vAlign w:val="center"/>
          </w:tcPr>
          <w:p w14:paraId="1B968A4F">
            <w:pPr>
              <w:pStyle w:val="48"/>
            </w:pPr>
          </w:p>
        </w:tc>
        <w:tc>
          <w:tcPr>
            <w:tcW w:w="347" w:type="pct"/>
            <w:vAlign w:val="center"/>
          </w:tcPr>
          <w:p w14:paraId="4CFF28DD">
            <w:pPr>
              <w:pStyle w:val="48"/>
            </w:pPr>
          </w:p>
        </w:tc>
        <w:tc>
          <w:tcPr>
            <w:tcW w:w="334" w:type="pct"/>
            <w:vAlign w:val="center"/>
          </w:tcPr>
          <w:p w14:paraId="34735406">
            <w:pPr>
              <w:pStyle w:val="48"/>
            </w:pPr>
            <w:r>
              <w:t>▲</w:t>
            </w:r>
          </w:p>
        </w:tc>
        <w:tc>
          <w:tcPr>
            <w:tcW w:w="332" w:type="pct"/>
            <w:vAlign w:val="center"/>
          </w:tcPr>
          <w:p w14:paraId="42721630">
            <w:pPr>
              <w:pStyle w:val="48"/>
            </w:pPr>
          </w:p>
        </w:tc>
      </w:tr>
      <w:tr w14:paraId="24CBCD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restart"/>
            <w:vAlign w:val="center"/>
          </w:tcPr>
          <w:p w14:paraId="5B9BB851">
            <w:pPr>
              <w:pStyle w:val="48"/>
            </w:pPr>
            <w:r>
              <w:t>生态环境</w:t>
            </w:r>
          </w:p>
        </w:tc>
        <w:tc>
          <w:tcPr>
            <w:tcW w:w="717" w:type="pct"/>
            <w:vAlign w:val="center"/>
          </w:tcPr>
          <w:p w14:paraId="01C80A9C">
            <w:pPr>
              <w:pStyle w:val="48"/>
            </w:pPr>
            <w:r>
              <w:t>土地占用</w:t>
            </w:r>
          </w:p>
        </w:tc>
        <w:tc>
          <w:tcPr>
            <w:tcW w:w="371" w:type="pct"/>
            <w:vAlign w:val="center"/>
          </w:tcPr>
          <w:p w14:paraId="5E0F725D">
            <w:pPr>
              <w:pStyle w:val="48"/>
            </w:pPr>
            <w:r>
              <w:rPr>
                <w:rFonts w:hint="eastAsia" w:ascii="宋体" w:hAnsi="宋体" w:cs="宋体"/>
              </w:rPr>
              <w:t>★</w:t>
            </w:r>
          </w:p>
        </w:tc>
        <w:tc>
          <w:tcPr>
            <w:tcW w:w="367" w:type="pct"/>
            <w:vAlign w:val="center"/>
          </w:tcPr>
          <w:p w14:paraId="129D9305">
            <w:pPr>
              <w:pStyle w:val="48"/>
            </w:pPr>
          </w:p>
        </w:tc>
        <w:tc>
          <w:tcPr>
            <w:tcW w:w="345" w:type="pct"/>
            <w:vAlign w:val="center"/>
          </w:tcPr>
          <w:p w14:paraId="69421D1A">
            <w:pPr>
              <w:pStyle w:val="48"/>
            </w:pPr>
          </w:p>
        </w:tc>
        <w:tc>
          <w:tcPr>
            <w:tcW w:w="390" w:type="pct"/>
            <w:vAlign w:val="center"/>
          </w:tcPr>
          <w:p w14:paraId="55BA4505">
            <w:pPr>
              <w:pStyle w:val="48"/>
            </w:pPr>
          </w:p>
        </w:tc>
        <w:tc>
          <w:tcPr>
            <w:tcW w:w="367" w:type="pct"/>
            <w:vAlign w:val="center"/>
          </w:tcPr>
          <w:p w14:paraId="07024FBB">
            <w:pPr>
              <w:pStyle w:val="48"/>
            </w:pPr>
          </w:p>
        </w:tc>
        <w:tc>
          <w:tcPr>
            <w:tcW w:w="367" w:type="pct"/>
            <w:vAlign w:val="center"/>
          </w:tcPr>
          <w:p w14:paraId="32622EAB">
            <w:pPr>
              <w:pStyle w:val="48"/>
            </w:pPr>
          </w:p>
        </w:tc>
        <w:tc>
          <w:tcPr>
            <w:tcW w:w="367" w:type="pct"/>
            <w:vAlign w:val="center"/>
          </w:tcPr>
          <w:p w14:paraId="7635873D">
            <w:pPr>
              <w:pStyle w:val="48"/>
            </w:pPr>
          </w:p>
        </w:tc>
        <w:tc>
          <w:tcPr>
            <w:tcW w:w="367" w:type="pct"/>
            <w:vAlign w:val="center"/>
          </w:tcPr>
          <w:p w14:paraId="71EF0C38">
            <w:pPr>
              <w:pStyle w:val="48"/>
            </w:pPr>
          </w:p>
        </w:tc>
        <w:tc>
          <w:tcPr>
            <w:tcW w:w="347" w:type="pct"/>
            <w:vAlign w:val="center"/>
          </w:tcPr>
          <w:p w14:paraId="38E5B3E4">
            <w:pPr>
              <w:pStyle w:val="48"/>
            </w:pPr>
          </w:p>
        </w:tc>
        <w:tc>
          <w:tcPr>
            <w:tcW w:w="334" w:type="pct"/>
            <w:vAlign w:val="center"/>
          </w:tcPr>
          <w:p w14:paraId="0F3D328B">
            <w:pPr>
              <w:pStyle w:val="48"/>
            </w:pPr>
          </w:p>
        </w:tc>
        <w:tc>
          <w:tcPr>
            <w:tcW w:w="332" w:type="pct"/>
            <w:vAlign w:val="center"/>
          </w:tcPr>
          <w:p w14:paraId="6FA1F748">
            <w:pPr>
              <w:pStyle w:val="48"/>
            </w:pPr>
          </w:p>
        </w:tc>
      </w:tr>
      <w:tr w14:paraId="12D59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continue"/>
            <w:vAlign w:val="center"/>
          </w:tcPr>
          <w:p w14:paraId="163FDA4B">
            <w:pPr>
              <w:pStyle w:val="48"/>
            </w:pPr>
          </w:p>
        </w:tc>
        <w:tc>
          <w:tcPr>
            <w:tcW w:w="717" w:type="pct"/>
            <w:vAlign w:val="center"/>
          </w:tcPr>
          <w:p w14:paraId="155D42FF">
            <w:pPr>
              <w:pStyle w:val="48"/>
            </w:pPr>
            <w:r>
              <w:t>水土流失</w:t>
            </w:r>
          </w:p>
        </w:tc>
        <w:tc>
          <w:tcPr>
            <w:tcW w:w="371" w:type="pct"/>
            <w:vAlign w:val="center"/>
          </w:tcPr>
          <w:p w14:paraId="4C46024D">
            <w:pPr>
              <w:pStyle w:val="48"/>
            </w:pPr>
            <w:r>
              <w:t>▲</w:t>
            </w:r>
          </w:p>
        </w:tc>
        <w:tc>
          <w:tcPr>
            <w:tcW w:w="367" w:type="pct"/>
            <w:vAlign w:val="center"/>
          </w:tcPr>
          <w:p w14:paraId="6B9C0111">
            <w:pPr>
              <w:pStyle w:val="48"/>
            </w:pPr>
          </w:p>
        </w:tc>
        <w:tc>
          <w:tcPr>
            <w:tcW w:w="345" w:type="pct"/>
            <w:vAlign w:val="center"/>
          </w:tcPr>
          <w:p w14:paraId="5BA6BC97">
            <w:pPr>
              <w:pStyle w:val="48"/>
            </w:pPr>
          </w:p>
        </w:tc>
        <w:tc>
          <w:tcPr>
            <w:tcW w:w="390" w:type="pct"/>
            <w:vAlign w:val="center"/>
          </w:tcPr>
          <w:p w14:paraId="40ED8606">
            <w:pPr>
              <w:pStyle w:val="48"/>
            </w:pPr>
          </w:p>
        </w:tc>
        <w:tc>
          <w:tcPr>
            <w:tcW w:w="367" w:type="pct"/>
            <w:vAlign w:val="center"/>
          </w:tcPr>
          <w:p w14:paraId="654BD10B">
            <w:pPr>
              <w:pStyle w:val="48"/>
            </w:pPr>
          </w:p>
        </w:tc>
        <w:tc>
          <w:tcPr>
            <w:tcW w:w="367" w:type="pct"/>
            <w:vAlign w:val="center"/>
          </w:tcPr>
          <w:p w14:paraId="4B891943">
            <w:pPr>
              <w:pStyle w:val="48"/>
            </w:pPr>
          </w:p>
        </w:tc>
        <w:tc>
          <w:tcPr>
            <w:tcW w:w="367" w:type="pct"/>
            <w:vAlign w:val="center"/>
          </w:tcPr>
          <w:p w14:paraId="4B988CD5">
            <w:pPr>
              <w:pStyle w:val="48"/>
            </w:pPr>
          </w:p>
        </w:tc>
        <w:tc>
          <w:tcPr>
            <w:tcW w:w="367" w:type="pct"/>
            <w:vAlign w:val="center"/>
          </w:tcPr>
          <w:p w14:paraId="214DF0A5">
            <w:pPr>
              <w:pStyle w:val="48"/>
            </w:pPr>
          </w:p>
        </w:tc>
        <w:tc>
          <w:tcPr>
            <w:tcW w:w="347" w:type="pct"/>
            <w:vAlign w:val="center"/>
          </w:tcPr>
          <w:p w14:paraId="778C729B">
            <w:pPr>
              <w:pStyle w:val="48"/>
            </w:pPr>
          </w:p>
        </w:tc>
        <w:tc>
          <w:tcPr>
            <w:tcW w:w="334" w:type="pct"/>
            <w:vAlign w:val="center"/>
          </w:tcPr>
          <w:p w14:paraId="11C3D668">
            <w:pPr>
              <w:pStyle w:val="48"/>
            </w:pPr>
          </w:p>
        </w:tc>
        <w:tc>
          <w:tcPr>
            <w:tcW w:w="332" w:type="pct"/>
            <w:vAlign w:val="center"/>
          </w:tcPr>
          <w:p w14:paraId="4F9BCD4C">
            <w:pPr>
              <w:pStyle w:val="48"/>
            </w:pPr>
          </w:p>
        </w:tc>
      </w:tr>
      <w:tr w14:paraId="5B66F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328" w:type="pct"/>
            <w:vMerge w:val="continue"/>
            <w:vAlign w:val="center"/>
          </w:tcPr>
          <w:p w14:paraId="4B5BFBCE">
            <w:pPr>
              <w:pStyle w:val="48"/>
            </w:pPr>
          </w:p>
        </w:tc>
        <w:tc>
          <w:tcPr>
            <w:tcW w:w="717" w:type="pct"/>
            <w:vAlign w:val="center"/>
          </w:tcPr>
          <w:p w14:paraId="6949286D">
            <w:pPr>
              <w:pStyle w:val="48"/>
            </w:pPr>
            <w:r>
              <w:t>植被破坏</w:t>
            </w:r>
          </w:p>
        </w:tc>
        <w:tc>
          <w:tcPr>
            <w:tcW w:w="371" w:type="pct"/>
            <w:vAlign w:val="center"/>
          </w:tcPr>
          <w:p w14:paraId="2A42CF39">
            <w:pPr>
              <w:pStyle w:val="48"/>
            </w:pPr>
            <w:r>
              <w:rPr>
                <w:rFonts w:hint="eastAsia" w:ascii="宋体" w:hAnsi="宋体" w:cs="宋体"/>
              </w:rPr>
              <w:t>★</w:t>
            </w:r>
          </w:p>
        </w:tc>
        <w:tc>
          <w:tcPr>
            <w:tcW w:w="367" w:type="pct"/>
            <w:vAlign w:val="center"/>
          </w:tcPr>
          <w:p w14:paraId="289B81C1">
            <w:pPr>
              <w:pStyle w:val="48"/>
            </w:pPr>
          </w:p>
        </w:tc>
        <w:tc>
          <w:tcPr>
            <w:tcW w:w="345" w:type="pct"/>
            <w:vAlign w:val="center"/>
          </w:tcPr>
          <w:p w14:paraId="0768E73F">
            <w:pPr>
              <w:pStyle w:val="48"/>
            </w:pPr>
          </w:p>
        </w:tc>
        <w:tc>
          <w:tcPr>
            <w:tcW w:w="390" w:type="pct"/>
            <w:vAlign w:val="center"/>
          </w:tcPr>
          <w:p w14:paraId="70B1129C">
            <w:pPr>
              <w:pStyle w:val="48"/>
            </w:pPr>
          </w:p>
        </w:tc>
        <w:tc>
          <w:tcPr>
            <w:tcW w:w="367" w:type="pct"/>
            <w:vAlign w:val="center"/>
          </w:tcPr>
          <w:p w14:paraId="454CB714">
            <w:pPr>
              <w:pStyle w:val="48"/>
            </w:pPr>
          </w:p>
        </w:tc>
        <w:tc>
          <w:tcPr>
            <w:tcW w:w="367" w:type="pct"/>
            <w:vAlign w:val="center"/>
          </w:tcPr>
          <w:p w14:paraId="3710769D">
            <w:pPr>
              <w:pStyle w:val="48"/>
            </w:pPr>
          </w:p>
        </w:tc>
        <w:tc>
          <w:tcPr>
            <w:tcW w:w="367" w:type="pct"/>
            <w:vAlign w:val="center"/>
          </w:tcPr>
          <w:p w14:paraId="4061C7C9">
            <w:pPr>
              <w:pStyle w:val="48"/>
            </w:pPr>
          </w:p>
        </w:tc>
        <w:tc>
          <w:tcPr>
            <w:tcW w:w="367" w:type="pct"/>
            <w:vAlign w:val="center"/>
          </w:tcPr>
          <w:p w14:paraId="23AACFBD">
            <w:pPr>
              <w:pStyle w:val="48"/>
            </w:pPr>
          </w:p>
        </w:tc>
        <w:tc>
          <w:tcPr>
            <w:tcW w:w="347" w:type="pct"/>
            <w:vAlign w:val="center"/>
          </w:tcPr>
          <w:p w14:paraId="12428C70">
            <w:pPr>
              <w:pStyle w:val="48"/>
            </w:pPr>
          </w:p>
        </w:tc>
        <w:tc>
          <w:tcPr>
            <w:tcW w:w="334" w:type="pct"/>
            <w:vAlign w:val="center"/>
          </w:tcPr>
          <w:p w14:paraId="0515928A">
            <w:pPr>
              <w:pStyle w:val="48"/>
            </w:pPr>
          </w:p>
        </w:tc>
        <w:tc>
          <w:tcPr>
            <w:tcW w:w="332" w:type="pct"/>
            <w:vAlign w:val="center"/>
          </w:tcPr>
          <w:p w14:paraId="668E6509">
            <w:pPr>
              <w:pStyle w:val="48"/>
            </w:pPr>
          </w:p>
        </w:tc>
      </w:tr>
      <w:tr w14:paraId="332677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continue"/>
            <w:vAlign w:val="center"/>
          </w:tcPr>
          <w:p w14:paraId="46FF1748">
            <w:pPr>
              <w:pStyle w:val="48"/>
            </w:pPr>
          </w:p>
        </w:tc>
        <w:tc>
          <w:tcPr>
            <w:tcW w:w="717" w:type="pct"/>
            <w:vAlign w:val="center"/>
          </w:tcPr>
          <w:p w14:paraId="66E05D22">
            <w:pPr>
              <w:pStyle w:val="48"/>
            </w:pPr>
            <w:r>
              <w:t>地质危害</w:t>
            </w:r>
          </w:p>
        </w:tc>
        <w:tc>
          <w:tcPr>
            <w:tcW w:w="371" w:type="pct"/>
            <w:vAlign w:val="center"/>
          </w:tcPr>
          <w:p w14:paraId="02B13A3A">
            <w:pPr>
              <w:pStyle w:val="48"/>
            </w:pPr>
            <w:r>
              <w:t>▲</w:t>
            </w:r>
          </w:p>
        </w:tc>
        <w:tc>
          <w:tcPr>
            <w:tcW w:w="367" w:type="pct"/>
            <w:vAlign w:val="center"/>
          </w:tcPr>
          <w:p w14:paraId="33D72BEA">
            <w:pPr>
              <w:pStyle w:val="48"/>
            </w:pPr>
          </w:p>
        </w:tc>
        <w:tc>
          <w:tcPr>
            <w:tcW w:w="345" w:type="pct"/>
            <w:vAlign w:val="center"/>
          </w:tcPr>
          <w:p w14:paraId="6CC6F518">
            <w:pPr>
              <w:pStyle w:val="48"/>
            </w:pPr>
          </w:p>
        </w:tc>
        <w:tc>
          <w:tcPr>
            <w:tcW w:w="390" w:type="pct"/>
            <w:vAlign w:val="center"/>
          </w:tcPr>
          <w:p w14:paraId="20088927">
            <w:pPr>
              <w:pStyle w:val="48"/>
            </w:pPr>
          </w:p>
        </w:tc>
        <w:tc>
          <w:tcPr>
            <w:tcW w:w="367" w:type="pct"/>
            <w:vAlign w:val="center"/>
          </w:tcPr>
          <w:p w14:paraId="6181C964">
            <w:pPr>
              <w:pStyle w:val="48"/>
            </w:pPr>
          </w:p>
        </w:tc>
        <w:tc>
          <w:tcPr>
            <w:tcW w:w="367" w:type="pct"/>
            <w:vAlign w:val="center"/>
          </w:tcPr>
          <w:p w14:paraId="166249D8">
            <w:pPr>
              <w:pStyle w:val="48"/>
            </w:pPr>
          </w:p>
        </w:tc>
        <w:tc>
          <w:tcPr>
            <w:tcW w:w="367" w:type="pct"/>
            <w:vAlign w:val="center"/>
          </w:tcPr>
          <w:p w14:paraId="35F36EAF">
            <w:pPr>
              <w:pStyle w:val="48"/>
            </w:pPr>
          </w:p>
        </w:tc>
        <w:tc>
          <w:tcPr>
            <w:tcW w:w="367" w:type="pct"/>
            <w:vAlign w:val="center"/>
          </w:tcPr>
          <w:p w14:paraId="5B6F5B4A">
            <w:pPr>
              <w:pStyle w:val="48"/>
            </w:pPr>
          </w:p>
        </w:tc>
        <w:tc>
          <w:tcPr>
            <w:tcW w:w="347" w:type="pct"/>
            <w:vAlign w:val="center"/>
          </w:tcPr>
          <w:p w14:paraId="4604ECF8">
            <w:pPr>
              <w:pStyle w:val="48"/>
            </w:pPr>
          </w:p>
        </w:tc>
        <w:tc>
          <w:tcPr>
            <w:tcW w:w="334" w:type="pct"/>
            <w:vAlign w:val="center"/>
          </w:tcPr>
          <w:p w14:paraId="1184B493">
            <w:pPr>
              <w:pStyle w:val="48"/>
            </w:pPr>
          </w:p>
        </w:tc>
        <w:tc>
          <w:tcPr>
            <w:tcW w:w="332" w:type="pct"/>
            <w:vAlign w:val="center"/>
          </w:tcPr>
          <w:p w14:paraId="791775DD">
            <w:pPr>
              <w:pStyle w:val="48"/>
            </w:pPr>
          </w:p>
        </w:tc>
      </w:tr>
      <w:tr w14:paraId="12E637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28" w:type="pct"/>
            <w:vMerge w:val="continue"/>
            <w:vAlign w:val="center"/>
          </w:tcPr>
          <w:p w14:paraId="18D5A9BB">
            <w:pPr>
              <w:pStyle w:val="48"/>
            </w:pPr>
          </w:p>
        </w:tc>
        <w:tc>
          <w:tcPr>
            <w:tcW w:w="717" w:type="pct"/>
            <w:vAlign w:val="center"/>
          </w:tcPr>
          <w:p w14:paraId="3D5B3974">
            <w:pPr>
              <w:pStyle w:val="48"/>
            </w:pPr>
            <w:r>
              <w:t>自然景观</w:t>
            </w:r>
          </w:p>
        </w:tc>
        <w:tc>
          <w:tcPr>
            <w:tcW w:w="371" w:type="pct"/>
            <w:vAlign w:val="center"/>
          </w:tcPr>
          <w:p w14:paraId="16260CE2">
            <w:pPr>
              <w:pStyle w:val="48"/>
            </w:pPr>
            <w:r>
              <w:rPr>
                <w:rFonts w:hint="eastAsia" w:ascii="宋体" w:hAnsi="宋体" w:cs="宋体"/>
              </w:rPr>
              <w:t>★</w:t>
            </w:r>
          </w:p>
        </w:tc>
        <w:tc>
          <w:tcPr>
            <w:tcW w:w="367" w:type="pct"/>
            <w:vAlign w:val="center"/>
          </w:tcPr>
          <w:p w14:paraId="213B7A6E">
            <w:pPr>
              <w:pStyle w:val="48"/>
            </w:pPr>
          </w:p>
        </w:tc>
        <w:tc>
          <w:tcPr>
            <w:tcW w:w="345" w:type="pct"/>
            <w:vAlign w:val="center"/>
          </w:tcPr>
          <w:p w14:paraId="226ECE15">
            <w:pPr>
              <w:pStyle w:val="48"/>
            </w:pPr>
          </w:p>
        </w:tc>
        <w:tc>
          <w:tcPr>
            <w:tcW w:w="390" w:type="pct"/>
            <w:vAlign w:val="center"/>
          </w:tcPr>
          <w:p w14:paraId="2CB7DFFC">
            <w:pPr>
              <w:pStyle w:val="48"/>
            </w:pPr>
          </w:p>
        </w:tc>
        <w:tc>
          <w:tcPr>
            <w:tcW w:w="367" w:type="pct"/>
            <w:vAlign w:val="center"/>
          </w:tcPr>
          <w:p w14:paraId="22C31CEE">
            <w:pPr>
              <w:pStyle w:val="48"/>
            </w:pPr>
          </w:p>
        </w:tc>
        <w:tc>
          <w:tcPr>
            <w:tcW w:w="367" w:type="pct"/>
            <w:vAlign w:val="center"/>
          </w:tcPr>
          <w:p w14:paraId="5DCEB381">
            <w:pPr>
              <w:pStyle w:val="48"/>
            </w:pPr>
          </w:p>
        </w:tc>
        <w:tc>
          <w:tcPr>
            <w:tcW w:w="367" w:type="pct"/>
            <w:vAlign w:val="center"/>
          </w:tcPr>
          <w:p w14:paraId="559BCBD0">
            <w:pPr>
              <w:pStyle w:val="48"/>
            </w:pPr>
          </w:p>
        </w:tc>
        <w:tc>
          <w:tcPr>
            <w:tcW w:w="367" w:type="pct"/>
            <w:vAlign w:val="center"/>
          </w:tcPr>
          <w:p w14:paraId="5F30EE7A">
            <w:pPr>
              <w:pStyle w:val="48"/>
            </w:pPr>
          </w:p>
        </w:tc>
        <w:tc>
          <w:tcPr>
            <w:tcW w:w="347" w:type="pct"/>
            <w:vAlign w:val="center"/>
          </w:tcPr>
          <w:p w14:paraId="1CFC07F1">
            <w:pPr>
              <w:pStyle w:val="48"/>
            </w:pPr>
          </w:p>
        </w:tc>
        <w:tc>
          <w:tcPr>
            <w:tcW w:w="334" w:type="pct"/>
            <w:vAlign w:val="center"/>
          </w:tcPr>
          <w:p w14:paraId="77EF36F8">
            <w:pPr>
              <w:pStyle w:val="48"/>
            </w:pPr>
          </w:p>
        </w:tc>
        <w:tc>
          <w:tcPr>
            <w:tcW w:w="332" w:type="pct"/>
            <w:vAlign w:val="center"/>
          </w:tcPr>
          <w:p w14:paraId="51190FBB">
            <w:pPr>
              <w:pStyle w:val="48"/>
            </w:pPr>
          </w:p>
        </w:tc>
      </w:tr>
    </w:tbl>
    <w:p w14:paraId="4F9F2F49">
      <w:pPr>
        <w:ind w:firstLine="459"/>
        <w:rPr>
          <w:rFonts w:cs="Times New Roman"/>
        </w:rPr>
      </w:pPr>
      <w:r>
        <w:rPr>
          <w:rFonts w:cs="Times New Roman"/>
          <w:sz w:val="21"/>
        </w:rPr>
        <w:t>备注：</w:t>
      </w:r>
      <w:r>
        <w:rPr>
          <w:rFonts w:hint="eastAsia" w:ascii="宋体" w:hAnsi="宋体" w:cs="宋体"/>
          <w:sz w:val="21"/>
        </w:rPr>
        <w:t>☆</w:t>
      </w:r>
      <w:r>
        <w:rPr>
          <w:rFonts w:cs="Times New Roman"/>
          <w:sz w:val="21"/>
        </w:rPr>
        <w:t>/</w:t>
      </w:r>
      <w:r>
        <w:rPr>
          <w:rFonts w:hint="eastAsia" w:ascii="宋体" w:hAnsi="宋体" w:cs="宋体"/>
          <w:sz w:val="21"/>
        </w:rPr>
        <w:t>★</w:t>
      </w:r>
      <w:r>
        <w:rPr>
          <w:rFonts w:cs="Times New Roman"/>
          <w:sz w:val="21"/>
        </w:rPr>
        <w:t>为长期有利/长期不利影响；</w:t>
      </w:r>
      <w:r>
        <w:rPr>
          <w:rFonts w:ascii="Cambria Math" w:hAnsi="Cambria Math" w:cs="Cambria Math"/>
          <w:sz w:val="21"/>
        </w:rPr>
        <w:t>△</w:t>
      </w:r>
      <w:r>
        <w:rPr>
          <w:rFonts w:cs="Times New Roman"/>
          <w:sz w:val="21"/>
        </w:rPr>
        <w:t>/▲为短期有利/短期不利影响；空格为无影响。</w:t>
      </w:r>
    </w:p>
    <w:p w14:paraId="6193C18B">
      <w:pPr>
        <w:ind w:firstLine="519"/>
        <w:rPr>
          <w:rFonts w:cs="Times New Roman" w:eastAsiaTheme="minorEastAsia"/>
        </w:rPr>
      </w:pPr>
      <w:r>
        <w:rPr>
          <w:rFonts w:cs="Times New Roman" w:eastAsiaTheme="minorEastAsia"/>
        </w:rPr>
        <w:t>由上表可以看出：</w:t>
      </w:r>
    </w:p>
    <w:p w14:paraId="2F07B2F2">
      <w:pPr>
        <w:ind w:firstLine="519"/>
        <w:rPr>
          <w:rFonts w:cs="Times New Roman" w:eastAsiaTheme="minorEastAsia"/>
        </w:rPr>
      </w:pPr>
      <w:r>
        <w:rPr>
          <w:rFonts w:cs="Times New Roman" w:eastAsiaTheme="minorEastAsia"/>
        </w:rPr>
        <w:t>（1）工程建设期由于对地表植被的破坏及对部分自然资源的占用，将对自然景观、生态环境产生影响；对区域空气环境和声环境质量产生短期不利影响。</w:t>
      </w:r>
    </w:p>
    <w:p w14:paraId="14DF99FA">
      <w:pPr>
        <w:ind w:firstLine="519"/>
        <w:rPr>
          <w:rFonts w:cs="Times New Roman" w:eastAsiaTheme="minorEastAsia"/>
        </w:rPr>
      </w:pPr>
      <w:r>
        <w:rPr>
          <w:rFonts w:cs="Times New Roman" w:eastAsiaTheme="minorEastAsia"/>
        </w:rPr>
        <w:t>（2）营运期对环境的影响主要为：</w:t>
      </w:r>
      <w:r>
        <w:rPr>
          <w:rFonts w:hint="eastAsia" w:ascii="宋体" w:hAnsi="宋体" w:cs="宋体"/>
        </w:rPr>
        <w:t>①</w:t>
      </w:r>
      <w:r>
        <w:rPr>
          <w:rFonts w:cs="Times New Roman" w:eastAsiaTheme="minorEastAsia"/>
        </w:rPr>
        <w:t>工程噪声对声环境的影响；</w:t>
      </w:r>
      <w:r>
        <w:rPr>
          <w:rFonts w:hint="eastAsia" w:ascii="宋体" w:hAnsi="宋体" w:cs="宋体"/>
        </w:rPr>
        <w:t>②</w:t>
      </w:r>
      <w:bookmarkStart w:id="139" w:name="_Hlk88468063"/>
      <w:r>
        <w:rPr>
          <w:rFonts w:cs="Times New Roman"/>
        </w:rPr>
        <w:t>营运过程中卤水井套管及地埋式输卤管道破损导致的泄露对地表水、地下水环境的影响</w:t>
      </w:r>
      <w:bookmarkEnd w:id="139"/>
      <w:r>
        <w:rPr>
          <w:rFonts w:cs="Times New Roman" w:eastAsiaTheme="minorEastAsia"/>
        </w:rPr>
        <w:t>。</w:t>
      </w:r>
    </w:p>
    <w:p w14:paraId="369A8A01">
      <w:pPr>
        <w:pStyle w:val="7"/>
      </w:pPr>
      <w:bookmarkStart w:id="140" w:name="_Toc121420794"/>
      <w:bookmarkStart w:id="141" w:name="_Toc90989211"/>
      <w:bookmarkStart w:id="142" w:name="_Toc89882430"/>
      <w:bookmarkStart w:id="143" w:name="_Toc89786105"/>
      <w:bookmarkStart w:id="144" w:name="_Toc90318390"/>
      <w:bookmarkStart w:id="145" w:name="_Toc90997637"/>
      <w:bookmarkStart w:id="146" w:name="_Toc86852253"/>
      <w:bookmarkStart w:id="147" w:name="_Hlk22808616"/>
      <w:r>
        <w:t>2.3.2 评价因子筛选</w:t>
      </w:r>
      <w:bookmarkEnd w:id="140"/>
      <w:bookmarkEnd w:id="141"/>
      <w:bookmarkEnd w:id="142"/>
      <w:bookmarkEnd w:id="143"/>
      <w:bookmarkEnd w:id="144"/>
      <w:bookmarkEnd w:id="145"/>
      <w:bookmarkEnd w:id="146"/>
    </w:p>
    <w:bookmarkEnd w:id="147"/>
    <w:p w14:paraId="1A04E675">
      <w:pPr>
        <w:ind w:firstLine="519"/>
        <w:rPr>
          <w:rFonts w:cs="Times New Roman" w:eastAsiaTheme="minorEastAsia"/>
        </w:rPr>
      </w:pPr>
      <w:r>
        <w:rPr>
          <w:rFonts w:cs="Times New Roman" w:eastAsiaTheme="minorEastAsia"/>
        </w:rPr>
        <w:t>根据上述环境要素识别和工程性质、污染物排放特点，确定项目评价因子。评价因子见下表。</w:t>
      </w:r>
    </w:p>
    <w:p w14:paraId="4F84770C">
      <w:pPr>
        <w:pStyle w:val="9"/>
      </w:pPr>
      <w:r>
        <w:t>表2.3-2  评价因子的确定</w:t>
      </w:r>
    </w:p>
    <w:tbl>
      <w:tblPr>
        <w:tblStyle w:val="29"/>
        <w:tblW w:w="85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9"/>
        <w:gridCol w:w="1243"/>
        <w:gridCol w:w="4678"/>
        <w:gridCol w:w="1910"/>
      </w:tblGrid>
      <w:tr w14:paraId="3E052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719" w:type="dxa"/>
            <w:vAlign w:val="center"/>
          </w:tcPr>
          <w:p w14:paraId="4C5E1C00">
            <w:pPr>
              <w:pStyle w:val="48"/>
            </w:pPr>
            <w:r>
              <w:t>序号</w:t>
            </w:r>
          </w:p>
        </w:tc>
        <w:tc>
          <w:tcPr>
            <w:tcW w:w="1243" w:type="dxa"/>
            <w:vAlign w:val="center"/>
          </w:tcPr>
          <w:p w14:paraId="7DB0657D">
            <w:pPr>
              <w:pStyle w:val="48"/>
            </w:pPr>
            <w:r>
              <w:t>项目</w:t>
            </w:r>
          </w:p>
        </w:tc>
        <w:tc>
          <w:tcPr>
            <w:tcW w:w="4678" w:type="dxa"/>
            <w:vAlign w:val="center"/>
          </w:tcPr>
          <w:p w14:paraId="3CB803E8">
            <w:pPr>
              <w:pStyle w:val="48"/>
            </w:pPr>
            <w:r>
              <w:t>现状评价因子</w:t>
            </w:r>
          </w:p>
        </w:tc>
        <w:tc>
          <w:tcPr>
            <w:tcW w:w="1910" w:type="dxa"/>
            <w:vAlign w:val="center"/>
          </w:tcPr>
          <w:p w14:paraId="1E525878">
            <w:pPr>
              <w:pStyle w:val="48"/>
            </w:pPr>
            <w:r>
              <w:t>预测因子</w:t>
            </w:r>
          </w:p>
        </w:tc>
      </w:tr>
      <w:tr w14:paraId="5C741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19" w:type="dxa"/>
            <w:vAlign w:val="center"/>
          </w:tcPr>
          <w:p w14:paraId="09BA262B">
            <w:pPr>
              <w:pStyle w:val="48"/>
            </w:pPr>
            <w:r>
              <w:t>1</w:t>
            </w:r>
          </w:p>
        </w:tc>
        <w:tc>
          <w:tcPr>
            <w:tcW w:w="1243" w:type="dxa"/>
            <w:vAlign w:val="center"/>
          </w:tcPr>
          <w:p w14:paraId="5A047CB8">
            <w:pPr>
              <w:pStyle w:val="48"/>
            </w:pPr>
            <w:r>
              <w:t>大气环境</w:t>
            </w:r>
          </w:p>
        </w:tc>
        <w:tc>
          <w:tcPr>
            <w:tcW w:w="4678" w:type="dxa"/>
            <w:vAlign w:val="center"/>
          </w:tcPr>
          <w:p w14:paraId="0098D571">
            <w:pPr>
              <w:pStyle w:val="48"/>
            </w:pPr>
            <w:r>
              <w:t>SO</w:t>
            </w:r>
            <w:r>
              <w:rPr>
                <w:vertAlign w:val="subscript"/>
              </w:rPr>
              <w:t>2</w:t>
            </w:r>
            <w:r>
              <w:t>、NO</w:t>
            </w:r>
            <w:r>
              <w:rPr>
                <w:vertAlign w:val="subscript"/>
              </w:rPr>
              <w:t>2</w:t>
            </w:r>
            <w:r>
              <w:t>、PM</w:t>
            </w:r>
            <w:r>
              <w:rPr>
                <w:vertAlign w:val="subscript"/>
              </w:rPr>
              <w:t>10</w:t>
            </w:r>
            <w:r>
              <w:t>、PM</w:t>
            </w:r>
            <w:r>
              <w:rPr>
                <w:vertAlign w:val="subscript"/>
              </w:rPr>
              <w:t>2.5</w:t>
            </w:r>
            <w:r>
              <w:t>、CO、O</w:t>
            </w:r>
            <w:r>
              <w:rPr>
                <w:vertAlign w:val="subscript"/>
              </w:rPr>
              <w:t>3</w:t>
            </w:r>
          </w:p>
        </w:tc>
        <w:tc>
          <w:tcPr>
            <w:tcW w:w="1910" w:type="dxa"/>
            <w:vAlign w:val="center"/>
          </w:tcPr>
          <w:p w14:paraId="06085769">
            <w:pPr>
              <w:pStyle w:val="48"/>
            </w:pPr>
            <w:r>
              <w:t>--</w:t>
            </w:r>
          </w:p>
        </w:tc>
      </w:tr>
      <w:tr w14:paraId="2E61A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19" w:type="dxa"/>
            <w:vAlign w:val="center"/>
          </w:tcPr>
          <w:p w14:paraId="447B6C44">
            <w:pPr>
              <w:pStyle w:val="48"/>
            </w:pPr>
            <w:r>
              <w:t>2</w:t>
            </w:r>
          </w:p>
        </w:tc>
        <w:tc>
          <w:tcPr>
            <w:tcW w:w="1243" w:type="dxa"/>
            <w:vAlign w:val="center"/>
          </w:tcPr>
          <w:p w14:paraId="12046F56">
            <w:pPr>
              <w:pStyle w:val="48"/>
            </w:pPr>
            <w:r>
              <w:t>地表水</w:t>
            </w:r>
          </w:p>
        </w:tc>
        <w:tc>
          <w:tcPr>
            <w:tcW w:w="4678" w:type="dxa"/>
            <w:vAlign w:val="center"/>
          </w:tcPr>
          <w:p w14:paraId="0F0D1E92">
            <w:pPr>
              <w:pStyle w:val="48"/>
            </w:pPr>
            <w:r>
              <w:t>pH、COD、BOD</w:t>
            </w:r>
            <w:r>
              <w:rPr>
                <w:vertAlign w:val="subscript"/>
              </w:rPr>
              <w:t>5</w:t>
            </w:r>
            <w:r>
              <w:t>、氨氮、总磷</w:t>
            </w:r>
            <w:r>
              <w:rPr>
                <w:rFonts w:hint="eastAsia"/>
              </w:rPr>
              <w:t>、Pb、Zn、 Ni、Cd、Cr</w:t>
            </w:r>
            <w:r>
              <w:rPr>
                <w:rFonts w:hint="eastAsia"/>
                <w:vertAlign w:val="superscript"/>
              </w:rPr>
              <w:t>6+</w:t>
            </w:r>
            <w:r>
              <w:rPr>
                <w:rFonts w:hint="eastAsia"/>
              </w:rPr>
              <w:t>、As、Hg</w:t>
            </w:r>
            <w:r>
              <w:t>氯化物、硫酸盐</w:t>
            </w:r>
          </w:p>
        </w:tc>
        <w:tc>
          <w:tcPr>
            <w:tcW w:w="1910" w:type="dxa"/>
            <w:vAlign w:val="center"/>
          </w:tcPr>
          <w:p w14:paraId="4C1CC63A">
            <w:pPr>
              <w:pStyle w:val="48"/>
            </w:pPr>
            <w:r>
              <w:t>--</w:t>
            </w:r>
          </w:p>
        </w:tc>
      </w:tr>
      <w:tr w14:paraId="01BEE2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19" w:type="dxa"/>
            <w:vAlign w:val="center"/>
          </w:tcPr>
          <w:p w14:paraId="47BEC5A4">
            <w:pPr>
              <w:pStyle w:val="48"/>
            </w:pPr>
            <w:r>
              <w:t>3</w:t>
            </w:r>
          </w:p>
        </w:tc>
        <w:tc>
          <w:tcPr>
            <w:tcW w:w="1243" w:type="dxa"/>
            <w:vAlign w:val="center"/>
          </w:tcPr>
          <w:p w14:paraId="1409C5FC">
            <w:pPr>
              <w:pStyle w:val="48"/>
            </w:pPr>
            <w:r>
              <w:t>地下水</w:t>
            </w:r>
          </w:p>
        </w:tc>
        <w:tc>
          <w:tcPr>
            <w:tcW w:w="4678" w:type="dxa"/>
            <w:vAlign w:val="center"/>
          </w:tcPr>
          <w:p w14:paraId="284A1E3B">
            <w:pPr>
              <w:pStyle w:val="48"/>
              <w:rPr>
                <w:szCs w:val="21"/>
              </w:rPr>
            </w:pPr>
            <w:r>
              <w:t>pH值（无量纲）</w:t>
            </w:r>
            <w:r>
              <w:rPr>
                <w:szCs w:val="21"/>
              </w:rPr>
              <w:t>、氨氮、硝酸盐、亚硝酸盐、挥发性酚类、氰化物、高锰酸盐指数、溶解性总固体、氯化物、硫化物、K</w:t>
            </w:r>
            <w:r>
              <w:rPr>
                <w:szCs w:val="21"/>
                <w:vertAlign w:val="superscript"/>
              </w:rPr>
              <w:t>+</w:t>
            </w:r>
            <w:r>
              <w:rPr>
                <w:szCs w:val="21"/>
              </w:rPr>
              <w:t>、Na</w:t>
            </w:r>
            <w:r>
              <w:rPr>
                <w:szCs w:val="21"/>
                <w:vertAlign w:val="superscript"/>
              </w:rPr>
              <w:t>+</w:t>
            </w:r>
            <w:r>
              <w:rPr>
                <w:szCs w:val="21"/>
              </w:rPr>
              <w:t>、Ca</w:t>
            </w:r>
            <w:r>
              <w:rPr>
                <w:szCs w:val="21"/>
                <w:vertAlign w:val="superscript"/>
              </w:rPr>
              <w:t>2+</w:t>
            </w:r>
            <w:r>
              <w:rPr>
                <w:szCs w:val="21"/>
              </w:rPr>
              <w:t>、Mg</w:t>
            </w:r>
            <w:r>
              <w:rPr>
                <w:szCs w:val="21"/>
                <w:vertAlign w:val="superscript"/>
              </w:rPr>
              <w:t>2+</w:t>
            </w:r>
            <w:r>
              <w:rPr>
                <w:szCs w:val="21"/>
              </w:rPr>
              <w:t>、CO</w:t>
            </w:r>
            <w:r>
              <w:rPr>
                <w:szCs w:val="21"/>
                <w:vertAlign w:val="subscript"/>
              </w:rPr>
              <w:t>3</w:t>
            </w:r>
            <w:r>
              <w:rPr>
                <w:szCs w:val="21"/>
                <w:vertAlign w:val="superscript"/>
              </w:rPr>
              <w:t>2-</w:t>
            </w:r>
            <w:r>
              <w:rPr>
                <w:szCs w:val="21"/>
              </w:rPr>
              <w:t>、HCO</w:t>
            </w:r>
            <w:r>
              <w:rPr>
                <w:szCs w:val="21"/>
                <w:vertAlign w:val="subscript"/>
              </w:rPr>
              <w:t>3</w:t>
            </w:r>
            <w:r>
              <w:rPr>
                <w:szCs w:val="21"/>
                <w:vertAlign w:val="superscript"/>
              </w:rPr>
              <w:t>-</w:t>
            </w:r>
            <w:r>
              <w:rPr>
                <w:szCs w:val="21"/>
              </w:rPr>
              <w:t>、Cl</w:t>
            </w:r>
            <w:r>
              <w:rPr>
                <w:szCs w:val="21"/>
                <w:vertAlign w:val="superscript"/>
              </w:rPr>
              <w:t>-</w:t>
            </w:r>
            <w:r>
              <w:rPr>
                <w:szCs w:val="21"/>
              </w:rPr>
              <w:t>、SO</w:t>
            </w:r>
            <w:r>
              <w:rPr>
                <w:szCs w:val="21"/>
                <w:vertAlign w:val="subscript"/>
              </w:rPr>
              <w:t>4</w:t>
            </w:r>
            <w:r>
              <w:rPr>
                <w:szCs w:val="21"/>
                <w:vertAlign w:val="superscript"/>
              </w:rPr>
              <w:t>2-</w:t>
            </w:r>
          </w:p>
        </w:tc>
        <w:tc>
          <w:tcPr>
            <w:tcW w:w="1910" w:type="dxa"/>
            <w:vAlign w:val="center"/>
          </w:tcPr>
          <w:p w14:paraId="0AB69DBD">
            <w:pPr>
              <w:pStyle w:val="48"/>
            </w:pPr>
            <w:r>
              <w:rPr>
                <w:szCs w:val="21"/>
              </w:rPr>
              <w:t>Cl</w:t>
            </w:r>
            <w:r>
              <w:rPr>
                <w:szCs w:val="21"/>
                <w:vertAlign w:val="superscript"/>
              </w:rPr>
              <w:t>-</w:t>
            </w:r>
            <w:r>
              <w:rPr>
                <w:szCs w:val="21"/>
              </w:rPr>
              <w:t>、SO</w:t>
            </w:r>
            <w:r>
              <w:rPr>
                <w:szCs w:val="21"/>
                <w:vertAlign w:val="subscript"/>
              </w:rPr>
              <w:t>4</w:t>
            </w:r>
            <w:r>
              <w:rPr>
                <w:szCs w:val="21"/>
                <w:vertAlign w:val="superscript"/>
              </w:rPr>
              <w:t>2-</w:t>
            </w:r>
          </w:p>
        </w:tc>
      </w:tr>
      <w:tr w14:paraId="00C5BD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719" w:type="dxa"/>
            <w:vAlign w:val="center"/>
          </w:tcPr>
          <w:p w14:paraId="6E06B511">
            <w:pPr>
              <w:pStyle w:val="48"/>
            </w:pPr>
            <w:r>
              <w:t>4</w:t>
            </w:r>
          </w:p>
        </w:tc>
        <w:tc>
          <w:tcPr>
            <w:tcW w:w="1243" w:type="dxa"/>
            <w:vAlign w:val="center"/>
          </w:tcPr>
          <w:p w14:paraId="1996E04E">
            <w:pPr>
              <w:pStyle w:val="48"/>
            </w:pPr>
            <w:r>
              <w:t>声环境</w:t>
            </w:r>
          </w:p>
        </w:tc>
        <w:tc>
          <w:tcPr>
            <w:tcW w:w="4678" w:type="dxa"/>
            <w:vAlign w:val="center"/>
          </w:tcPr>
          <w:p w14:paraId="5A2F2FA7">
            <w:pPr>
              <w:pStyle w:val="48"/>
            </w:pPr>
            <w:r>
              <w:t>dB（A）</w:t>
            </w:r>
          </w:p>
        </w:tc>
        <w:tc>
          <w:tcPr>
            <w:tcW w:w="1910" w:type="dxa"/>
            <w:vAlign w:val="center"/>
          </w:tcPr>
          <w:p w14:paraId="694CF34D">
            <w:pPr>
              <w:pStyle w:val="48"/>
            </w:pPr>
            <w:r>
              <w:t>--</w:t>
            </w:r>
          </w:p>
        </w:tc>
      </w:tr>
      <w:tr w14:paraId="5B43C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19" w:type="dxa"/>
            <w:vAlign w:val="center"/>
          </w:tcPr>
          <w:p w14:paraId="07F7E860">
            <w:pPr>
              <w:pStyle w:val="48"/>
            </w:pPr>
            <w:r>
              <w:rPr>
                <w:rFonts w:hint="eastAsia"/>
              </w:rPr>
              <w:t>5</w:t>
            </w:r>
          </w:p>
        </w:tc>
        <w:tc>
          <w:tcPr>
            <w:tcW w:w="1243" w:type="dxa"/>
            <w:vAlign w:val="center"/>
          </w:tcPr>
          <w:p w14:paraId="27ADA4E2">
            <w:pPr>
              <w:pStyle w:val="48"/>
            </w:pPr>
            <w:r>
              <w:rPr>
                <w:rFonts w:hint="eastAsia"/>
              </w:rPr>
              <w:t>生态环境</w:t>
            </w:r>
          </w:p>
        </w:tc>
        <w:tc>
          <w:tcPr>
            <w:tcW w:w="6588" w:type="dxa"/>
            <w:gridSpan w:val="2"/>
            <w:vAlign w:val="center"/>
          </w:tcPr>
          <w:p w14:paraId="6DABEA02">
            <w:pPr>
              <w:pStyle w:val="48"/>
            </w:pPr>
            <w:r>
              <w:rPr>
                <w:rFonts w:hint="eastAsia"/>
              </w:rPr>
              <w:t>地形地貌、土地利用、植被类型、生态系统等</w:t>
            </w:r>
          </w:p>
        </w:tc>
      </w:tr>
      <w:tr w14:paraId="5F503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19" w:type="dxa"/>
            <w:vAlign w:val="center"/>
          </w:tcPr>
          <w:p w14:paraId="2A1105B0">
            <w:pPr>
              <w:pStyle w:val="48"/>
            </w:pPr>
            <w:r>
              <w:rPr>
                <w:rFonts w:hint="eastAsia"/>
              </w:rPr>
              <w:t>6</w:t>
            </w:r>
          </w:p>
        </w:tc>
        <w:tc>
          <w:tcPr>
            <w:tcW w:w="1243" w:type="dxa"/>
            <w:vAlign w:val="center"/>
          </w:tcPr>
          <w:p w14:paraId="11EE0E98">
            <w:pPr>
              <w:pStyle w:val="48"/>
            </w:pPr>
            <w:r>
              <w:rPr>
                <w:rFonts w:hint="eastAsia"/>
              </w:rPr>
              <w:t>环境风险</w:t>
            </w:r>
          </w:p>
        </w:tc>
        <w:tc>
          <w:tcPr>
            <w:tcW w:w="6588" w:type="dxa"/>
            <w:gridSpan w:val="2"/>
            <w:vAlign w:val="center"/>
          </w:tcPr>
          <w:p w14:paraId="2691F5E3">
            <w:pPr>
              <w:pStyle w:val="48"/>
            </w:pPr>
            <w:r>
              <w:rPr>
                <w:rFonts w:hint="eastAsia"/>
              </w:rPr>
              <w:t>卤水池、卤井井筒或采输卤管道泄漏风险、采卤地表塌陷环境风险</w:t>
            </w:r>
          </w:p>
        </w:tc>
      </w:tr>
    </w:tbl>
    <w:p w14:paraId="2C102208">
      <w:pPr>
        <w:pStyle w:val="6"/>
        <w:spacing w:before="170" w:after="170"/>
        <w:rPr>
          <w:rFonts w:cs="Times New Roman"/>
        </w:rPr>
      </w:pPr>
      <w:bookmarkStart w:id="148" w:name="_Toc121420795"/>
      <w:r>
        <w:rPr>
          <w:rFonts w:cs="Times New Roman"/>
        </w:rPr>
        <w:t>2.4 评价标准</w:t>
      </w:r>
      <w:bookmarkEnd w:id="148"/>
    </w:p>
    <w:p w14:paraId="21EAD920">
      <w:pPr>
        <w:pStyle w:val="7"/>
      </w:pPr>
      <w:bookmarkStart w:id="149" w:name="_Toc89786107"/>
      <w:bookmarkStart w:id="150" w:name="_Toc63257113"/>
      <w:bookmarkStart w:id="151" w:name="_Toc90989213"/>
      <w:bookmarkStart w:id="152" w:name="_Toc90997639"/>
      <w:bookmarkStart w:id="153" w:name="_Toc121420796"/>
      <w:bookmarkStart w:id="154" w:name="_Toc89882432"/>
      <w:bookmarkStart w:id="155" w:name="_Toc90318392"/>
      <w:bookmarkStart w:id="156" w:name="_Toc86852255"/>
      <w:r>
        <w:t>2.4.1 环境质量标准</w:t>
      </w:r>
      <w:bookmarkEnd w:id="149"/>
      <w:bookmarkEnd w:id="150"/>
      <w:bookmarkEnd w:id="151"/>
      <w:bookmarkEnd w:id="152"/>
      <w:bookmarkEnd w:id="153"/>
      <w:bookmarkEnd w:id="154"/>
      <w:bookmarkEnd w:id="155"/>
      <w:bookmarkEnd w:id="156"/>
    </w:p>
    <w:p w14:paraId="6AD354CD">
      <w:pPr>
        <w:pStyle w:val="8"/>
        <w:ind w:firstLine="521"/>
        <w:rPr>
          <w:rFonts w:cs="Times New Roman"/>
        </w:rPr>
      </w:pPr>
      <w:r>
        <w:rPr>
          <w:rFonts w:cs="Times New Roman"/>
        </w:rPr>
        <w:t>2.4.1.1环境空气</w:t>
      </w:r>
    </w:p>
    <w:p w14:paraId="0EEE71DA">
      <w:pPr>
        <w:ind w:firstLine="519"/>
        <w:rPr>
          <w:rFonts w:cs="Times New Roman" w:eastAsiaTheme="minorEastAsia"/>
        </w:rPr>
      </w:pPr>
      <w:r>
        <w:rPr>
          <w:rFonts w:cs="Times New Roman" w:eastAsiaTheme="minorEastAsia"/>
        </w:rPr>
        <w:t>本项目环境空气执行《环境空气质量标准》（GB3095-2012）中的二级标准及其2018修改单，标准限值见下表所示。</w:t>
      </w:r>
    </w:p>
    <w:p w14:paraId="03CD5240">
      <w:pPr>
        <w:pStyle w:val="9"/>
      </w:pPr>
      <w:r>
        <w:t>表2.4-1  环境空气执行标准限值</w:t>
      </w:r>
    </w:p>
    <w:tbl>
      <w:tblPr>
        <w:tblStyle w:val="29"/>
        <w:tblW w:w="89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431"/>
        <w:gridCol w:w="2063"/>
        <w:gridCol w:w="1485"/>
        <w:gridCol w:w="1590"/>
        <w:gridCol w:w="1380"/>
      </w:tblGrid>
      <w:tr w14:paraId="78B17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restart"/>
            <w:vAlign w:val="center"/>
          </w:tcPr>
          <w:p w14:paraId="08455EAA">
            <w:pPr>
              <w:pStyle w:val="48"/>
            </w:pPr>
            <w:r>
              <w:t>序号</w:t>
            </w:r>
          </w:p>
        </w:tc>
        <w:tc>
          <w:tcPr>
            <w:tcW w:w="1431" w:type="dxa"/>
            <w:vMerge w:val="restart"/>
            <w:vAlign w:val="center"/>
          </w:tcPr>
          <w:p w14:paraId="0849FED1">
            <w:pPr>
              <w:pStyle w:val="48"/>
            </w:pPr>
            <w:r>
              <w:t>污染物项目</w:t>
            </w:r>
          </w:p>
        </w:tc>
        <w:tc>
          <w:tcPr>
            <w:tcW w:w="2063" w:type="dxa"/>
            <w:vMerge w:val="restart"/>
            <w:vAlign w:val="center"/>
          </w:tcPr>
          <w:p w14:paraId="7CD69144">
            <w:pPr>
              <w:pStyle w:val="48"/>
            </w:pPr>
            <w:r>
              <w:t>平均时间</w:t>
            </w:r>
          </w:p>
        </w:tc>
        <w:tc>
          <w:tcPr>
            <w:tcW w:w="3075" w:type="dxa"/>
            <w:gridSpan w:val="2"/>
            <w:vAlign w:val="center"/>
          </w:tcPr>
          <w:p w14:paraId="4F012AC7">
            <w:pPr>
              <w:pStyle w:val="48"/>
            </w:pPr>
            <w:r>
              <w:t>浓度限值</w:t>
            </w:r>
          </w:p>
        </w:tc>
        <w:tc>
          <w:tcPr>
            <w:tcW w:w="1380" w:type="dxa"/>
            <w:vMerge w:val="restart"/>
            <w:vAlign w:val="center"/>
          </w:tcPr>
          <w:p w14:paraId="711321B8">
            <w:pPr>
              <w:pStyle w:val="48"/>
            </w:pPr>
            <w:r>
              <w:t>单位</w:t>
            </w:r>
          </w:p>
        </w:tc>
      </w:tr>
      <w:tr w14:paraId="7A11A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continue"/>
            <w:vAlign w:val="center"/>
          </w:tcPr>
          <w:p w14:paraId="3A1C1892">
            <w:pPr>
              <w:pStyle w:val="48"/>
            </w:pPr>
          </w:p>
        </w:tc>
        <w:tc>
          <w:tcPr>
            <w:tcW w:w="1431" w:type="dxa"/>
            <w:vMerge w:val="continue"/>
            <w:vAlign w:val="center"/>
          </w:tcPr>
          <w:p w14:paraId="139984B3">
            <w:pPr>
              <w:pStyle w:val="48"/>
            </w:pPr>
          </w:p>
        </w:tc>
        <w:tc>
          <w:tcPr>
            <w:tcW w:w="2063" w:type="dxa"/>
            <w:vMerge w:val="continue"/>
            <w:vAlign w:val="center"/>
          </w:tcPr>
          <w:p w14:paraId="50C48689">
            <w:pPr>
              <w:pStyle w:val="48"/>
            </w:pPr>
          </w:p>
        </w:tc>
        <w:tc>
          <w:tcPr>
            <w:tcW w:w="1485" w:type="dxa"/>
            <w:vAlign w:val="center"/>
          </w:tcPr>
          <w:p w14:paraId="07312C22">
            <w:pPr>
              <w:pStyle w:val="48"/>
            </w:pPr>
            <w:r>
              <w:t>一级</w:t>
            </w:r>
          </w:p>
        </w:tc>
        <w:tc>
          <w:tcPr>
            <w:tcW w:w="1590" w:type="dxa"/>
            <w:vAlign w:val="center"/>
          </w:tcPr>
          <w:p w14:paraId="596514CC">
            <w:pPr>
              <w:pStyle w:val="48"/>
            </w:pPr>
            <w:r>
              <w:t>二级</w:t>
            </w:r>
          </w:p>
        </w:tc>
        <w:tc>
          <w:tcPr>
            <w:tcW w:w="1380" w:type="dxa"/>
            <w:vMerge w:val="continue"/>
            <w:vAlign w:val="center"/>
          </w:tcPr>
          <w:p w14:paraId="16E4D42E">
            <w:pPr>
              <w:pStyle w:val="48"/>
            </w:pPr>
          </w:p>
        </w:tc>
      </w:tr>
      <w:tr w14:paraId="54690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restart"/>
            <w:vAlign w:val="center"/>
          </w:tcPr>
          <w:p w14:paraId="72E55E23">
            <w:pPr>
              <w:pStyle w:val="48"/>
            </w:pPr>
            <w:r>
              <w:t>1</w:t>
            </w:r>
          </w:p>
        </w:tc>
        <w:tc>
          <w:tcPr>
            <w:tcW w:w="1431" w:type="dxa"/>
            <w:vMerge w:val="restart"/>
            <w:vAlign w:val="center"/>
          </w:tcPr>
          <w:p w14:paraId="10416604">
            <w:pPr>
              <w:pStyle w:val="48"/>
            </w:pPr>
            <w:r>
              <w:t>SO</w:t>
            </w:r>
            <w:r>
              <w:rPr>
                <w:vertAlign w:val="subscript"/>
              </w:rPr>
              <w:t>2</w:t>
            </w:r>
          </w:p>
        </w:tc>
        <w:tc>
          <w:tcPr>
            <w:tcW w:w="2063" w:type="dxa"/>
            <w:vAlign w:val="center"/>
          </w:tcPr>
          <w:p w14:paraId="57ECCB66">
            <w:pPr>
              <w:pStyle w:val="48"/>
            </w:pPr>
            <w:r>
              <w:t>年平均</w:t>
            </w:r>
          </w:p>
        </w:tc>
        <w:tc>
          <w:tcPr>
            <w:tcW w:w="1485" w:type="dxa"/>
            <w:vAlign w:val="center"/>
          </w:tcPr>
          <w:p w14:paraId="63B5F324">
            <w:pPr>
              <w:pStyle w:val="48"/>
            </w:pPr>
            <w:r>
              <w:t>20</w:t>
            </w:r>
          </w:p>
        </w:tc>
        <w:tc>
          <w:tcPr>
            <w:tcW w:w="1590" w:type="dxa"/>
            <w:vAlign w:val="center"/>
          </w:tcPr>
          <w:p w14:paraId="725668EF">
            <w:pPr>
              <w:pStyle w:val="48"/>
            </w:pPr>
            <w:r>
              <w:t>60</w:t>
            </w:r>
          </w:p>
        </w:tc>
        <w:tc>
          <w:tcPr>
            <w:tcW w:w="1380" w:type="dxa"/>
            <w:vMerge w:val="restart"/>
            <w:vAlign w:val="center"/>
          </w:tcPr>
          <w:p w14:paraId="4D72714C">
            <w:pPr>
              <w:pStyle w:val="48"/>
            </w:pPr>
            <w:r>
              <w:t>ug/m</w:t>
            </w:r>
            <w:r>
              <w:rPr>
                <w:vertAlign w:val="superscript"/>
              </w:rPr>
              <w:t>3</w:t>
            </w:r>
          </w:p>
        </w:tc>
      </w:tr>
      <w:tr w14:paraId="00ACD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continue"/>
            <w:vAlign w:val="center"/>
          </w:tcPr>
          <w:p w14:paraId="772D77EC">
            <w:pPr>
              <w:pStyle w:val="48"/>
            </w:pPr>
          </w:p>
        </w:tc>
        <w:tc>
          <w:tcPr>
            <w:tcW w:w="1431" w:type="dxa"/>
            <w:vMerge w:val="continue"/>
            <w:vAlign w:val="center"/>
          </w:tcPr>
          <w:p w14:paraId="68B7560C">
            <w:pPr>
              <w:pStyle w:val="48"/>
            </w:pPr>
          </w:p>
        </w:tc>
        <w:tc>
          <w:tcPr>
            <w:tcW w:w="2063" w:type="dxa"/>
            <w:vAlign w:val="center"/>
          </w:tcPr>
          <w:p w14:paraId="5C8BFB9B">
            <w:pPr>
              <w:pStyle w:val="48"/>
            </w:pPr>
            <w:r>
              <w:t>24小时平均</w:t>
            </w:r>
          </w:p>
        </w:tc>
        <w:tc>
          <w:tcPr>
            <w:tcW w:w="1485" w:type="dxa"/>
            <w:vAlign w:val="center"/>
          </w:tcPr>
          <w:p w14:paraId="23E17BFD">
            <w:pPr>
              <w:pStyle w:val="48"/>
            </w:pPr>
            <w:r>
              <w:t>50</w:t>
            </w:r>
          </w:p>
        </w:tc>
        <w:tc>
          <w:tcPr>
            <w:tcW w:w="1590" w:type="dxa"/>
            <w:vAlign w:val="center"/>
          </w:tcPr>
          <w:p w14:paraId="34D227AF">
            <w:pPr>
              <w:pStyle w:val="48"/>
            </w:pPr>
            <w:r>
              <w:t>150</w:t>
            </w:r>
          </w:p>
        </w:tc>
        <w:tc>
          <w:tcPr>
            <w:tcW w:w="1380" w:type="dxa"/>
            <w:vMerge w:val="continue"/>
            <w:vAlign w:val="center"/>
          </w:tcPr>
          <w:p w14:paraId="377D499A">
            <w:pPr>
              <w:pStyle w:val="48"/>
            </w:pPr>
          </w:p>
        </w:tc>
      </w:tr>
      <w:tr w14:paraId="39296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continue"/>
            <w:vAlign w:val="center"/>
          </w:tcPr>
          <w:p w14:paraId="7BA15CA4">
            <w:pPr>
              <w:pStyle w:val="48"/>
            </w:pPr>
          </w:p>
        </w:tc>
        <w:tc>
          <w:tcPr>
            <w:tcW w:w="1431" w:type="dxa"/>
            <w:vMerge w:val="continue"/>
            <w:vAlign w:val="center"/>
          </w:tcPr>
          <w:p w14:paraId="37A8BB02">
            <w:pPr>
              <w:pStyle w:val="48"/>
            </w:pPr>
          </w:p>
        </w:tc>
        <w:tc>
          <w:tcPr>
            <w:tcW w:w="2063" w:type="dxa"/>
            <w:vAlign w:val="center"/>
          </w:tcPr>
          <w:p w14:paraId="500400F2">
            <w:pPr>
              <w:pStyle w:val="48"/>
            </w:pPr>
            <w:r>
              <w:t>1小时平均</w:t>
            </w:r>
          </w:p>
        </w:tc>
        <w:tc>
          <w:tcPr>
            <w:tcW w:w="1485" w:type="dxa"/>
            <w:vAlign w:val="center"/>
          </w:tcPr>
          <w:p w14:paraId="6B6A4DA6">
            <w:pPr>
              <w:pStyle w:val="48"/>
            </w:pPr>
            <w:r>
              <w:t>150</w:t>
            </w:r>
          </w:p>
        </w:tc>
        <w:tc>
          <w:tcPr>
            <w:tcW w:w="1590" w:type="dxa"/>
            <w:vAlign w:val="center"/>
          </w:tcPr>
          <w:p w14:paraId="3BD01082">
            <w:pPr>
              <w:pStyle w:val="48"/>
            </w:pPr>
            <w:r>
              <w:t>500</w:t>
            </w:r>
          </w:p>
        </w:tc>
        <w:tc>
          <w:tcPr>
            <w:tcW w:w="1380" w:type="dxa"/>
            <w:vMerge w:val="continue"/>
            <w:vAlign w:val="center"/>
          </w:tcPr>
          <w:p w14:paraId="647805E1">
            <w:pPr>
              <w:pStyle w:val="48"/>
            </w:pPr>
          </w:p>
        </w:tc>
      </w:tr>
      <w:tr w14:paraId="7CD64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restart"/>
            <w:vAlign w:val="center"/>
          </w:tcPr>
          <w:p w14:paraId="640A4A63">
            <w:pPr>
              <w:pStyle w:val="48"/>
            </w:pPr>
            <w:r>
              <w:t>2</w:t>
            </w:r>
          </w:p>
        </w:tc>
        <w:tc>
          <w:tcPr>
            <w:tcW w:w="1431" w:type="dxa"/>
            <w:vMerge w:val="restart"/>
            <w:vAlign w:val="center"/>
          </w:tcPr>
          <w:p w14:paraId="07802F6F">
            <w:pPr>
              <w:pStyle w:val="48"/>
            </w:pPr>
            <w:r>
              <w:t>NO</w:t>
            </w:r>
            <w:r>
              <w:rPr>
                <w:vertAlign w:val="subscript"/>
              </w:rPr>
              <w:t>2</w:t>
            </w:r>
          </w:p>
        </w:tc>
        <w:tc>
          <w:tcPr>
            <w:tcW w:w="2063" w:type="dxa"/>
            <w:vAlign w:val="center"/>
          </w:tcPr>
          <w:p w14:paraId="3B7E687E">
            <w:pPr>
              <w:pStyle w:val="48"/>
            </w:pPr>
            <w:r>
              <w:t>年平均</w:t>
            </w:r>
          </w:p>
        </w:tc>
        <w:tc>
          <w:tcPr>
            <w:tcW w:w="1485" w:type="dxa"/>
            <w:vAlign w:val="center"/>
          </w:tcPr>
          <w:p w14:paraId="2D029391">
            <w:pPr>
              <w:pStyle w:val="48"/>
            </w:pPr>
            <w:r>
              <w:t>40</w:t>
            </w:r>
          </w:p>
        </w:tc>
        <w:tc>
          <w:tcPr>
            <w:tcW w:w="1590" w:type="dxa"/>
            <w:vAlign w:val="center"/>
          </w:tcPr>
          <w:p w14:paraId="665B34D7">
            <w:pPr>
              <w:pStyle w:val="48"/>
            </w:pPr>
            <w:r>
              <w:t>40</w:t>
            </w:r>
          </w:p>
        </w:tc>
        <w:tc>
          <w:tcPr>
            <w:tcW w:w="1380" w:type="dxa"/>
            <w:vMerge w:val="continue"/>
            <w:vAlign w:val="center"/>
          </w:tcPr>
          <w:p w14:paraId="3FEE29A1">
            <w:pPr>
              <w:pStyle w:val="48"/>
            </w:pPr>
          </w:p>
        </w:tc>
      </w:tr>
      <w:tr w14:paraId="4121D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continue"/>
            <w:vAlign w:val="center"/>
          </w:tcPr>
          <w:p w14:paraId="1B0C3228">
            <w:pPr>
              <w:pStyle w:val="48"/>
            </w:pPr>
          </w:p>
        </w:tc>
        <w:tc>
          <w:tcPr>
            <w:tcW w:w="1431" w:type="dxa"/>
            <w:vMerge w:val="continue"/>
            <w:vAlign w:val="center"/>
          </w:tcPr>
          <w:p w14:paraId="52B47674">
            <w:pPr>
              <w:pStyle w:val="48"/>
            </w:pPr>
          </w:p>
        </w:tc>
        <w:tc>
          <w:tcPr>
            <w:tcW w:w="2063" w:type="dxa"/>
            <w:vAlign w:val="center"/>
          </w:tcPr>
          <w:p w14:paraId="60CBA926">
            <w:pPr>
              <w:pStyle w:val="48"/>
            </w:pPr>
            <w:r>
              <w:t>24小时平均</w:t>
            </w:r>
          </w:p>
        </w:tc>
        <w:tc>
          <w:tcPr>
            <w:tcW w:w="1485" w:type="dxa"/>
            <w:vAlign w:val="center"/>
          </w:tcPr>
          <w:p w14:paraId="2CF5B0F9">
            <w:pPr>
              <w:pStyle w:val="48"/>
            </w:pPr>
            <w:r>
              <w:t>80</w:t>
            </w:r>
          </w:p>
        </w:tc>
        <w:tc>
          <w:tcPr>
            <w:tcW w:w="1590" w:type="dxa"/>
            <w:vAlign w:val="center"/>
          </w:tcPr>
          <w:p w14:paraId="571CFF0B">
            <w:pPr>
              <w:pStyle w:val="48"/>
            </w:pPr>
            <w:r>
              <w:t>80</w:t>
            </w:r>
          </w:p>
        </w:tc>
        <w:tc>
          <w:tcPr>
            <w:tcW w:w="1380" w:type="dxa"/>
            <w:vMerge w:val="continue"/>
            <w:vAlign w:val="center"/>
          </w:tcPr>
          <w:p w14:paraId="52C6F202">
            <w:pPr>
              <w:pStyle w:val="48"/>
            </w:pPr>
          </w:p>
        </w:tc>
      </w:tr>
      <w:tr w14:paraId="341AF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continue"/>
            <w:vAlign w:val="center"/>
          </w:tcPr>
          <w:p w14:paraId="7EE40C7D">
            <w:pPr>
              <w:pStyle w:val="48"/>
            </w:pPr>
          </w:p>
        </w:tc>
        <w:tc>
          <w:tcPr>
            <w:tcW w:w="1431" w:type="dxa"/>
            <w:vMerge w:val="continue"/>
            <w:vAlign w:val="center"/>
          </w:tcPr>
          <w:p w14:paraId="7CA0A754">
            <w:pPr>
              <w:pStyle w:val="48"/>
            </w:pPr>
          </w:p>
        </w:tc>
        <w:tc>
          <w:tcPr>
            <w:tcW w:w="2063" w:type="dxa"/>
            <w:vAlign w:val="center"/>
          </w:tcPr>
          <w:p w14:paraId="63A18F51">
            <w:pPr>
              <w:pStyle w:val="48"/>
            </w:pPr>
            <w:r>
              <w:t>1小时平均</w:t>
            </w:r>
          </w:p>
        </w:tc>
        <w:tc>
          <w:tcPr>
            <w:tcW w:w="1485" w:type="dxa"/>
            <w:vAlign w:val="center"/>
          </w:tcPr>
          <w:p w14:paraId="2E002CC6">
            <w:pPr>
              <w:pStyle w:val="48"/>
            </w:pPr>
            <w:r>
              <w:t>200</w:t>
            </w:r>
          </w:p>
        </w:tc>
        <w:tc>
          <w:tcPr>
            <w:tcW w:w="1590" w:type="dxa"/>
            <w:vAlign w:val="center"/>
          </w:tcPr>
          <w:p w14:paraId="40E034CD">
            <w:pPr>
              <w:pStyle w:val="48"/>
            </w:pPr>
            <w:r>
              <w:t>200</w:t>
            </w:r>
          </w:p>
        </w:tc>
        <w:tc>
          <w:tcPr>
            <w:tcW w:w="1380" w:type="dxa"/>
            <w:vMerge w:val="continue"/>
            <w:vAlign w:val="center"/>
          </w:tcPr>
          <w:p w14:paraId="037B4C9D">
            <w:pPr>
              <w:pStyle w:val="48"/>
            </w:pPr>
          </w:p>
        </w:tc>
      </w:tr>
      <w:tr w14:paraId="11EE7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restart"/>
            <w:vAlign w:val="center"/>
          </w:tcPr>
          <w:p w14:paraId="740600B6">
            <w:pPr>
              <w:pStyle w:val="48"/>
            </w:pPr>
            <w:r>
              <w:t>3</w:t>
            </w:r>
          </w:p>
        </w:tc>
        <w:tc>
          <w:tcPr>
            <w:tcW w:w="1431" w:type="dxa"/>
            <w:vMerge w:val="restart"/>
            <w:vAlign w:val="center"/>
          </w:tcPr>
          <w:p w14:paraId="47A62E54">
            <w:pPr>
              <w:pStyle w:val="48"/>
            </w:pPr>
            <w:r>
              <w:t>CO</w:t>
            </w:r>
          </w:p>
        </w:tc>
        <w:tc>
          <w:tcPr>
            <w:tcW w:w="2063" w:type="dxa"/>
            <w:vAlign w:val="center"/>
          </w:tcPr>
          <w:p w14:paraId="4F651BE5">
            <w:pPr>
              <w:pStyle w:val="48"/>
            </w:pPr>
            <w:r>
              <w:t>24小时平均</w:t>
            </w:r>
          </w:p>
        </w:tc>
        <w:tc>
          <w:tcPr>
            <w:tcW w:w="1485" w:type="dxa"/>
            <w:vAlign w:val="center"/>
          </w:tcPr>
          <w:p w14:paraId="73FBB2A5">
            <w:pPr>
              <w:pStyle w:val="48"/>
            </w:pPr>
            <w:r>
              <w:t>4</w:t>
            </w:r>
          </w:p>
        </w:tc>
        <w:tc>
          <w:tcPr>
            <w:tcW w:w="1590" w:type="dxa"/>
            <w:vAlign w:val="center"/>
          </w:tcPr>
          <w:p w14:paraId="0BED4867">
            <w:pPr>
              <w:pStyle w:val="48"/>
            </w:pPr>
            <w:r>
              <w:t>4</w:t>
            </w:r>
          </w:p>
        </w:tc>
        <w:tc>
          <w:tcPr>
            <w:tcW w:w="1380" w:type="dxa"/>
            <w:vMerge w:val="restart"/>
            <w:vAlign w:val="center"/>
          </w:tcPr>
          <w:p w14:paraId="55DCB879">
            <w:pPr>
              <w:pStyle w:val="48"/>
            </w:pPr>
            <w:r>
              <w:t>mg/m</w:t>
            </w:r>
            <w:r>
              <w:rPr>
                <w:vertAlign w:val="superscript"/>
              </w:rPr>
              <w:t>3</w:t>
            </w:r>
          </w:p>
        </w:tc>
      </w:tr>
      <w:tr w14:paraId="305D9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continue"/>
            <w:vAlign w:val="center"/>
          </w:tcPr>
          <w:p w14:paraId="7FCC819F">
            <w:pPr>
              <w:pStyle w:val="48"/>
            </w:pPr>
          </w:p>
        </w:tc>
        <w:tc>
          <w:tcPr>
            <w:tcW w:w="1431" w:type="dxa"/>
            <w:vMerge w:val="continue"/>
            <w:vAlign w:val="center"/>
          </w:tcPr>
          <w:p w14:paraId="0842D9B4">
            <w:pPr>
              <w:pStyle w:val="48"/>
            </w:pPr>
          </w:p>
        </w:tc>
        <w:tc>
          <w:tcPr>
            <w:tcW w:w="2063" w:type="dxa"/>
            <w:vAlign w:val="center"/>
          </w:tcPr>
          <w:p w14:paraId="3179E0D7">
            <w:pPr>
              <w:pStyle w:val="48"/>
            </w:pPr>
            <w:r>
              <w:t>1小时平均</w:t>
            </w:r>
          </w:p>
        </w:tc>
        <w:tc>
          <w:tcPr>
            <w:tcW w:w="1485" w:type="dxa"/>
            <w:vAlign w:val="center"/>
          </w:tcPr>
          <w:p w14:paraId="68023EB7">
            <w:pPr>
              <w:pStyle w:val="48"/>
            </w:pPr>
            <w:r>
              <w:t>10</w:t>
            </w:r>
          </w:p>
        </w:tc>
        <w:tc>
          <w:tcPr>
            <w:tcW w:w="1590" w:type="dxa"/>
            <w:vAlign w:val="center"/>
          </w:tcPr>
          <w:p w14:paraId="28D4ED1F">
            <w:pPr>
              <w:pStyle w:val="48"/>
            </w:pPr>
            <w:r>
              <w:t>10</w:t>
            </w:r>
          </w:p>
        </w:tc>
        <w:tc>
          <w:tcPr>
            <w:tcW w:w="1380" w:type="dxa"/>
            <w:vMerge w:val="continue"/>
            <w:vAlign w:val="center"/>
          </w:tcPr>
          <w:p w14:paraId="3DB9601E">
            <w:pPr>
              <w:pStyle w:val="48"/>
            </w:pPr>
          </w:p>
        </w:tc>
      </w:tr>
      <w:tr w14:paraId="1B714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restart"/>
            <w:vAlign w:val="center"/>
          </w:tcPr>
          <w:p w14:paraId="6F780C42">
            <w:pPr>
              <w:pStyle w:val="48"/>
            </w:pPr>
            <w:r>
              <w:t>4</w:t>
            </w:r>
          </w:p>
        </w:tc>
        <w:tc>
          <w:tcPr>
            <w:tcW w:w="1431" w:type="dxa"/>
            <w:vMerge w:val="restart"/>
            <w:vAlign w:val="center"/>
          </w:tcPr>
          <w:p w14:paraId="5DF68D8A">
            <w:pPr>
              <w:pStyle w:val="48"/>
            </w:pPr>
            <w:r>
              <w:t>O</w:t>
            </w:r>
            <w:r>
              <w:rPr>
                <w:vertAlign w:val="subscript"/>
              </w:rPr>
              <w:t>3</w:t>
            </w:r>
          </w:p>
        </w:tc>
        <w:tc>
          <w:tcPr>
            <w:tcW w:w="2063" w:type="dxa"/>
            <w:vAlign w:val="center"/>
          </w:tcPr>
          <w:p w14:paraId="1B4D9664">
            <w:pPr>
              <w:pStyle w:val="48"/>
            </w:pPr>
            <w:r>
              <w:t>日最大8小时平均</w:t>
            </w:r>
          </w:p>
        </w:tc>
        <w:tc>
          <w:tcPr>
            <w:tcW w:w="1485" w:type="dxa"/>
            <w:vAlign w:val="center"/>
          </w:tcPr>
          <w:p w14:paraId="0C69C937">
            <w:pPr>
              <w:pStyle w:val="48"/>
            </w:pPr>
            <w:r>
              <w:t>100</w:t>
            </w:r>
          </w:p>
        </w:tc>
        <w:tc>
          <w:tcPr>
            <w:tcW w:w="1590" w:type="dxa"/>
            <w:vAlign w:val="center"/>
          </w:tcPr>
          <w:p w14:paraId="21BAA988">
            <w:pPr>
              <w:pStyle w:val="48"/>
            </w:pPr>
            <w:r>
              <w:t>160</w:t>
            </w:r>
          </w:p>
        </w:tc>
        <w:tc>
          <w:tcPr>
            <w:tcW w:w="1380" w:type="dxa"/>
            <w:vMerge w:val="restart"/>
            <w:vAlign w:val="center"/>
          </w:tcPr>
          <w:p w14:paraId="21729DD0">
            <w:pPr>
              <w:pStyle w:val="48"/>
            </w:pPr>
            <w:r>
              <w:t>ug/m</w:t>
            </w:r>
            <w:r>
              <w:rPr>
                <w:vertAlign w:val="superscript"/>
              </w:rPr>
              <w:t>3</w:t>
            </w:r>
          </w:p>
        </w:tc>
      </w:tr>
      <w:tr w14:paraId="1B862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continue"/>
            <w:vAlign w:val="center"/>
          </w:tcPr>
          <w:p w14:paraId="5298E25E">
            <w:pPr>
              <w:pStyle w:val="48"/>
            </w:pPr>
          </w:p>
        </w:tc>
        <w:tc>
          <w:tcPr>
            <w:tcW w:w="1431" w:type="dxa"/>
            <w:vMerge w:val="continue"/>
            <w:vAlign w:val="center"/>
          </w:tcPr>
          <w:p w14:paraId="5651C188">
            <w:pPr>
              <w:pStyle w:val="48"/>
            </w:pPr>
          </w:p>
        </w:tc>
        <w:tc>
          <w:tcPr>
            <w:tcW w:w="2063" w:type="dxa"/>
            <w:vAlign w:val="center"/>
          </w:tcPr>
          <w:p w14:paraId="08C113C5">
            <w:pPr>
              <w:pStyle w:val="48"/>
            </w:pPr>
            <w:r>
              <w:t>1小时平均</w:t>
            </w:r>
          </w:p>
        </w:tc>
        <w:tc>
          <w:tcPr>
            <w:tcW w:w="1485" w:type="dxa"/>
            <w:vAlign w:val="center"/>
          </w:tcPr>
          <w:p w14:paraId="679CB7E9">
            <w:pPr>
              <w:pStyle w:val="48"/>
            </w:pPr>
            <w:r>
              <w:t>160</w:t>
            </w:r>
          </w:p>
        </w:tc>
        <w:tc>
          <w:tcPr>
            <w:tcW w:w="1590" w:type="dxa"/>
            <w:vAlign w:val="center"/>
          </w:tcPr>
          <w:p w14:paraId="3D91A58C">
            <w:pPr>
              <w:pStyle w:val="48"/>
            </w:pPr>
            <w:r>
              <w:t>200</w:t>
            </w:r>
          </w:p>
        </w:tc>
        <w:tc>
          <w:tcPr>
            <w:tcW w:w="1380" w:type="dxa"/>
            <w:vMerge w:val="continue"/>
            <w:vAlign w:val="center"/>
          </w:tcPr>
          <w:p w14:paraId="51C029BE">
            <w:pPr>
              <w:pStyle w:val="48"/>
            </w:pPr>
          </w:p>
        </w:tc>
      </w:tr>
      <w:tr w14:paraId="2C319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restart"/>
            <w:vAlign w:val="center"/>
          </w:tcPr>
          <w:p w14:paraId="57887947">
            <w:pPr>
              <w:pStyle w:val="48"/>
            </w:pPr>
            <w:r>
              <w:t>5</w:t>
            </w:r>
          </w:p>
        </w:tc>
        <w:tc>
          <w:tcPr>
            <w:tcW w:w="1431" w:type="dxa"/>
            <w:vMerge w:val="restart"/>
            <w:vAlign w:val="center"/>
          </w:tcPr>
          <w:p w14:paraId="592C6B29">
            <w:pPr>
              <w:pStyle w:val="48"/>
            </w:pPr>
            <w:r>
              <w:t>PM</w:t>
            </w:r>
            <w:r>
              <w:rPr>
                <w:vertAlign w:val="subscript"/>
              </w:rPr>
              <w:t>10</w:t>
            </w:r>
          </w:p>
        </w:tc>
        <w:tc>
          <w:tcPr>
            <w:tcW w:w="2063" w:type="dxa"/>
            <w:vAlign w:val="center"/>
          </w:tcPr>
          <w:p w14:paraId="162A3697">
            <w:pPr>
              <w:pStyle w:val="48"/>
            </w:pPr>
            <w:r>
              <w:t>年平均</w:t>
            </w:r>
          </w:p>
        </w:tc>
        <w:tc>
          <w:tcPr>
            <w:tcW w:w="1485" w:type="dxa"/>
            <w:vAlign w:val="center"/>
          </w:tcPr>
          <w:p w14:paraId="2B02A4BD">
            <w:pPr>
              <w:pStyle w:val="48"/>
            </w:pPr>
            <w:r>
              <w:t>40</w:t>
            </w:r>
          </w:p>
        </w:tc>
        <w:tc>
          <w:tcPr>
            <w:tcW w:w="1590" w:type="dxa"/>
            <w:vAlign w:val="center"/>
          </w:tcPr>
          <w:p w14:paraId="6F6FA8E6">
            <w:pPr>
              <w:pStyle w:val="48"/>
            </w:pPr>
            <w:r>
              <w:t>70</w:t>
            </w:r>
          </w:p>
        </w:tc>
        <w:tc>
          <w:tcPr>
            <w:tcW w:w="1380" w:type="dxa"/>
            <w:vMerge w:val="continue"/>
            <w:vAlign w:val="center"/>
          </w:tcPr>
          <w:p w14:paraId="3984B72F">
            <w:pPr>
              <w:pStyle w:val="48"/>
            </w:pPr>
          </w:p>
        </w:tc>
      </w:tr>
      <w:tr w14:paraId="27D75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continue"/>
            <w:vAlign w:val="center"/>
          </w:tcPr>
          <w:p w14:paraId="563665FB">
            <w:pPr>
              <w:pStyle w:val="48"/>
            </w:pPr>
          </w:p>
        </w:tc>
        <w:tc>
          <w:tcPr>
            <w:tcW w:w="1431" w:type="dxa"/>
            <w:vMerge w:val="continue"/>
            <w:vAlign w:val="center"/>
          </w:tcPr>
          <w:p w14:paraId="7974236D">
            <w:pPr>
              <w:pStyle w:val="48"/>
            </w:pPr>
          </w:p>
        </w:tc>
        <w:tc>
          <w:tcPr>
            <w:tcW w:w="2063" w:type="dxa"/>
            <w:vAlign w:val="center"/>
          </w:tcPr>
          <w:p w14:paraId="566B8B66">
            <w:pPr>
              <w:pStyle w:val="48"/>
            </w:pPr>
            <w:r>
              <w:t>24小时平均</w:t>
            </w:r>
          </w:p>
        </w:tc>
        <w:tc>
          <w:tcPr>
            <w:tcW w:w="1485" w:type="dxa"/>
            <w:vAlign w:val="center"/>
          </w:tcPr>
          <w:p w14:paraId="5CB46558">
            <w:pPr>
              <w:pStyle w:val="48"/>
            </w:pPr>
            <w:r>
              <w:t>50</w:t>
            </w:r>
          </w:p>
        </w:tc>
        <w:tc>
          <w:tcPr>
            <w:tcW w:w="1590" w:type="dxa"/>
            <w:vAlign w:val="center"/>
          </w:tcPr>
          <w:p w14:paraId="6FEE3FE0">
            <w:pPr>
              <w:pStyle w:val="48"/>
            </w:pPr>
            <w:r>
              <w:t>150</w:t>
            </w:r>
          </w:p>
        </w:tc>
        <w:tc>
          <w:tcPr>
            <w:tcW w:w="1380" w:type="dxa"/>
            <w:vMerge w:val="continue"/>
            <w:vAlign w:val="center"/>
          </w:tcPr>
          <w:p w14:paraId="2039D7A2">
            <w:pPr>
              <w:pStyle w:val="48"/>
            </w:pPr>
          </w:p>
        </w:tc>
      </w:tr>
      <w:tr w14:paraId="61B7D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restart"/>
            <w:vAlign w:val="center"/>
          </w:tcPr>
          <w:p w14:paraId="634A705E">
            <w:pPr>
              <w:pStyle w:val="48"/>
            </w:pPr>
            <w:r>
              <w:t>6</w:t>
            </w:r>
          </w:p>
        </w:tc>
        <w:tc>
          <w:tcPr>
            <w:tcW w:w="1431" w:type="dxa"/>
            <w:vMerge w:val="restart"/>
            <w:vAlign w:val="center"/>
          </w:tcPr>
          <w:p w14:paraId="4DD108A6">
            <w:pPr>
              <w:pStyle w:val="48"/>
            </w:pPr>
            <w:r>
              <w:t>PM</w:t>
            </w:r>
            <w:r>
              <w:rPr>
                <w:vertAlign w:val="subscript"/>
              </w:rPr>
              <w:t>2.5</w:t>
            </w:r>
          </w:p>
        </w:tc>
        <w:tc>
          <w:tcPr>
            <w:tcW w:w="2063" w:type="dxa"/>
            <w:vAlign w:val="center"/>
          </w:tcPr>
          <w:p w14:paraId="525B1ADA">
            <w:pPr>
              <w:pStyle w:val="48"/>
            </w:pPr>
            <w:r>
              <w:t>年平均</w:t>
            </w:r>
          </w:p>
        </w:tc>
        <w:tc>
          <w:tcPr>
            <w:tcW w:w="1485" w:type="dxa"/>
            <w:vAlign w:val="center"/>
          </w:tcPr>
          <w:p w14:paraId="5E32BC07">
            <w:pPr>
              <w:pStyle w:val="48"/>
            </w:pPr>
            <w:r>
              <w:t>15</w:t>
            </w:r>
          </w:p>
        </w:tc>
        <w:tc>
          <w:tcPr>
            <w:tcW w:w="1590" w:type="dxa"/>
            <w:vAlign w:val="center"/>
          </w:tcPr>
          <w:p w14:paraId="53F0844C">
            <w:pPr>
              <w:pStyle w:val="48"/>
            </w:pPr>
            <w:r>
              <w:t>35</w:t>
            </w:r>
          </w:p>
        </w:tc>
        <w:tc>
          <w:tcPr>
            <w:tcW w:w="1380" w:type="dxa"/>
            <w:vMerge w:val="continue"/>
            <w:vAlign w:val="center"/>
          </w:tcPr>
          <w:p w14:paraId="32F7092E">
            <w:pPr>
              <w:pStyle w:val="48"/>
            </w:pPr>
          </w:p>
        </w:tc>
      </w:tr>
      <w:tr w14:paraId="52A24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Merge w:val="continue"/>
            <w:vAlign w:val="center"/>
          </w:tcPr>
          <w:p w14:paraId="046473BE">
            <w:pPr>
              <w:pStyle w:val="48"/>
            </w:pPr>
          </w:p>
        </w:tc>
        <w:tc>
          <w:tcPr>
            <w:tcW w:w="1431" w:type="dxa"/>
            <w:vMerge w:val="continue"/>
            <w:vAlign w:val="center"/>
          </w:tcPr>
          <w:p w14:paraId="5335E346">
            <w:pPr>
              <w:pStyle w:val="48"/>
            </w:pPr>
          </w:p>
        </w:tc>
        <w:tc>
          <w:tcPr>
            <w:tcW w:w="2063" w:type="dxa"/>
            <w:vAlign w:val="center"/>
          </w:tcPr>
          <w:p w14:paraId="4CE13E7F">
            <w:pPr>
              <w:pStyle w:val="48"/>
            </w:pPr>
            <w:r>
              <w:t>24小时平均</w:t>
            </w:r>
          </w:p>
        </w:tc>
        <w:tc>
          <w:tcPr>
            <w:tcW w:w="1485" w:type="dxa"/>
            <w:vAlign w:val="center"/>
          </w:tcPr>
          <w:p w14:paraId="45FD3DB2">
            <w:pPr>
              <w:pStyle w:val="48"/>
            </w:pPr>
            <w:r>
              <w:t>35</w:t>
            </w:r>
          </w:p>
        </w:tc>
        <w:tc>
          <w:tcPr>
            <w:tcW w:w="1590" w:type="dxa"/>
            <w:vAlign w:val="center"/>
          </w:tcPr>
          <w:p w14:paraId="3BD2B402">
            <w:pPr>
              <w:pStyle w:val="48"/>
            </w:pPr>
            <w:r>
              <w:t>75</w:t>
            </w:r>
          </w:p>
        </w:tc>
        <w:tc>
          <w:tcPr>
            <w:tcW w:w="1380" w:type="dxa"/>
            <w:vMerge w:val="continue"/>
            <w:vAlign w:val="center"/>
          </w:tcPr>
          <w:p w14:paraId="17236807">
            <w:pPr>
              <w:pStyle w:val="48"/>
            </w:pPr>
          </w:p>
        </w:tc>
      </w:tr>
    </w:tbl>
    <w:p w14:paraId="5428D587">
      <w:pPr>
        <w:pStyle w:val="8"/>
        <w:ind w:firstLine="521"/>
        <w:rPr>
          <w:rFonts w:cs="Times New Roman"/>
        </w:rPr>
      </w:pPr>
      <w:r>
        <w:rPr>
          <w:rFonts w:cs="Times New Roman"/>
        </w:rPr>
        <w:t>2.4.1.2 地表水环境</w:t>
      </w:r>
    </w:p>
    <w:p w14:paraId="1CCCE5BD">
      <w:pPr>
        <w:ind w:firstLine="519"/>
        <w:rPr>
          <w:rFonts w:cs="Times New Roman" w:eastAsiaTheme="minorEastAsia"/>
        </w:rPr>
      </w:pPr>
      <w:r>
        <w:rPr>
          <w:rFonts w:cs="Times New Roman"/>
        </w:rPr>
        <w:t>项目所在区域内主要地表水为湘江，其水环境执行</w:t>
      </w:r>
      <w:r>
        <w:rPr>
          <w:rFonts w:cs="Times New Roman" w:eastAsiaTheme="minorEastAsia"/>
        </w:rPr>
        <w:t>《地表水环境质量标准》（GB3838-2002）III类标准，具体标准值见下表所示。</w:t>
      </w:r>
    </w:p>
    <w:p w14:paraId="4C7F0956">
      <w:pPr>
        <w:pStyle w:val="9"/>
      </w:pPr>
      <w:r>
        <w:t>表2.4-2  地表水环境执行标准限值   mg/L</w:t>
      </w: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53"/>
        <w:gridCol w:w="2043"/>
        <w:gridCol w:w="2335"/>
        <w:gridCol w:w="2997"/>
      </w:tblGrid>
      <w:tr w14:paraId="4E0B0B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676" w:type="pct"/>
            <w:tcBorders>
              <w:tl2br w:val="nil"/>
              <w:tr2bl w:val="nil"/>
            </w:tcBorders>
            <w:shd w:val="clear" w:color="auto" w:fill="auto"/>
            <w:vAlign w:val="center"/>
          </w:tcPr>
          <w:p w14:paraId="2AA02FA0">
            <w:pPr>
              <w:pStyle w:val="48"/>
              <w:rPr>
                <w:lang w:val="zh-CN"/>
              </w:rPr>
            </w:pPr>
            <w:r>
              <w:rPr>
                <w:lang w:val="zh-CN"/>
              </w:rPr>
              <w:t>序号</w:t>
            </w:r>
          </w:p>
        </w:tc>
        <w:tc>
          <w:tcPr>
            <w:tcW w:w="1198" w:type="pct"/>
            <w:tcBorders>
              <w:tl2br w:val="nil"/>
              <w:tr2bl w:val="nil"/>
            </w:tcBorders>
            <w:shd w:val="clear" w:color="auto" w:fill="auto"/>
            <w:vAlign w:val="center"/>
          </w:tcPr>
          <w:p w14:paraId="56559AA4">
            <w:pPr>
              <w:pStyle w:val="48"/>
              <w:rPr>
                <w:lang w:val="zh-CN"/>
              </w:rPr>
            </w:pPr>
            <w:r>
              <w:rPr>
                <w:lang w:val="zh-CN"/>
              </w:rPr>
              <w:t>项目</w:t>
            </w:r>
          </w:p>
        </w:tc>
        <w:tc>
          <w:tcPr>
            <w:tcW w:w="1369" w:type="pct"/>
            <w:tcBorders>
              <w:tl2br w:val="nil"/>
              <w:tr2bl w:val="nil"/>
            </w:tcBorders>
            <w:shd w:val="clear" w:color="auto" w:fill="auto"/>
            <w:vAlign w:val="center"/>
          </w:tcPr>
          <w:p w14:paraId="0D7B50FA">
            <w:pPr>
              <w:pStyle w:val="48"/>
              <w:rPr>
                <w:lang w:val="zh-CN"/>
              </w:rPr>
            </w:pPr>
            <w:r>
              <w:rPr>
                <w:lang w:val="zh-CN"/>
              </w:rPr>
              <w:t>标准值</w:t>
            </w:r>
          </w:p>
        </w:tc>
        <w:tc>
          <w:tcPr>
            <w:tcW w:w="1757" w:type="pct"/>
            <w:tcBorders>
              <w:tl2br w:val="nil"/>
              <w:tr2bl w:val="nil"/>
            </w:tcBorders>
            <w:shd w:val="clear" w:color="auto" w:fill="auto"/>
            <w:vAlign w:val="center"/>
          </w:tcPr>
          <w:p w14:paraId="5F8578F9">
            <w:pPr>
              <w:pStyle w:val="48"/>
              <w:rPr>
                <w:lang w:val="zh-CN"/>
              </w:rPr>
            </w:pPr>
            <w:r>
              <w:rPr>
                <w:lang w:val="zh-CN"/>
              </w:rPr>
              <w:t>依据</w:t>
            </w:r>
          </w:p>
        </w:tc>
      </w:tr>
      <w:tr w14:paraId="6D8C64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6" w:type="pct"/>
            <w:tcBorders>
              <w:tl2br w:val="nil"/>
              <w:tr2bl w:val="nil"/>
            </w:tcBorders>
            <w:shd w:val="clear" w:color="auto" w:fill="auto"/>
            <w:vAlign w:val="center"/>
          </w:tcPr>
          <w:p w14:paraId="34A883C2">
            <w:pPr>
              <w:pStyle w:val="48"/>
              <w:rPr>
                <w:lang w:val="zh-CN"/>
              </w:rPr>
            </w:pPr>
            <w:r>
              <w:rPr>
                <w:lang w:val="zh-CN"/>
              </w:rPr>
              <w:t>1</w:t>
            </w:r>
          </w:p>
        </w:tc>
        <w:tc>
          <w:tcPr>
            <w:tcW w:w="1198" w:type="pct"/>
            <w:tcBorders>
              <w:tl2br w:val="nil"/>
              <w:tr2bl w:val="nil"/>
            </w:tcBorders>
            <w:shd w:val="clear" w:color="auto" w:fill="auto"/>
            <w:vAlign w:val="center"/>
          </w:tcPr>
          <w:p w14:paraId="5BE48B33">
            <w:pPr>
              <w:pStyle w:val="48"/>
              <w:rPr>
                <w:lang w:val="zh-CN"/>
              </w:rPr>
            </w:pPr>
            <w:r>
              <w:rPr>
                <w:lang w:val="zh-CN"/>
              </w:rPr>
              <w:t>pH</w:t>
            </w:r>
          </w:p>
        </w:tc>
        <w:tc>
          <w:tcPr>
            <w:tcW w:w="1369" w:type="pct"/>
            <w:tcBorders>
              <w:tl2br w:val="nil"/>
              <w:tr2bl w:val="nil"/>
            </w:tcBorders>
            <w:shd w:val="clear" w:color="auto" w:fill="auto"/>
            <w:vAlign w:val="center"/>
          </w:tcPr>
          <w:p w14:paraId="18FCA217">
            <w:pPr>
              <w:pStyle w:val="48"/>
              <w:rPr>
                <w:lang w:val="zh-CN"/>
              </w:rPr>
            </w:pPr>
            <w:r>
              <w:rPr>
                <w:lang w:val="zh-CN"/>
              </w:rPr>
              <w:t>6~9</w:t>
            </w:r>
          </w:p>
        </w:tc>
        <w:tc>
          <w:tcPr>
            <w:tcW w:w="1757" w:type="pct"/>
            <w:vMerge w:val="restart"/>
            <w:tcBorders>
              <w:tl2br w:val="nil"/>
              <w:tr2bl w:val="nil"/>
            </w:tcBorders>
            <w:shd w:val="clear" w:color="auto" w:fill="auto"/>
            <w:vAlign w:val="center"/>
          </w:tcPr>
          <w:p w14:paraId="5F251E15">
            <w:pPr>
              <w:pStyle w:val="48"/>
              <w:rPr>
                <w:lang w:val="zh-CN"/>
              </w:rPr>
            </w:pPr>
            <w:r>
              <w:rPr>
                <w:lang w:val="zh-CN"/>
              </w:rPr>
              <w:t>《地表水环境质量标准》</w:t>
            </w:r>
          </w:p>
          <w:p w14:paraId="79CF34AF">
            <w:pPr>
              <w:pStyle w:val="48"/>
              <w:rPr>
                <w:lang w:val="zh-CN"/>
              </w:rPr>
            </w:pPr>
            <w:r>
              <w:rPr>
                <w:lang w:val="zh-CN"/>
              </w:rPr>
              <w:t>（GB 3838-2002）</w:t>
            </w:r>
          </w:p>
        </w:tc>
      </w:tr>
      <w:tr w14:paraId="4C5516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6" w:type="pct"/>
            <w:tcBorders>
              <w:tl2br w:val="nil"/>
              <w:tr2bl w:val="nil"/>
            </w:tcBorders>
            <w:shd w:val="clear" w:color="auto" w:fill="auto"/>
            <w:vAlign w:val="center"/>
          </w:tcPr>
          <w:p w14:paraId="4D04134F">
            <w:pPr>
              <w:pStyle w:val="48"/>
              <w:rPr>
                <w:lang w:val="zh-CN"/>
              </w:rPr>
            </w:pPr>
            <w:r>
              <w:rPr>
                <w:lang w:val="zh-CN"/>
              </w:rPr>
              <w:t>2</w:t>
            </w:r>
          </w:p>
        </w:tc>
        <w:tc>
          <w:tcPr>
            <w:tcW w:w="1198" w:type="pct"/>
            <w:tcBorders>
              <w:tl2br w:val="nil"/>
              <w:tr2bl w:val="nil"/>
            </w:tcBorders>
            <w:shd w:val="clear" w:color="auto" w:fill="auto"/>
            <w:vAlign w:val="center"/>
          </w:tcPr>
          <w:p w14:paraId="58FA3734">
            <w:pPr>
              <w:pStyle w:val="48"/>
              <w:rPr>
                <w:lang w:val="zh-CN"/>
              </w:rPr>
            </w:pPr>
            <w:r>
              <w:t>COD</w:t>
            </w:r>
          </w:p>
        </w:tc>
        <w:tc>
          <w:tcPr>
            <w:tcW w:w="1369" w:type="pct"/>
            <w:tcBorders>
              <w:tl2br w:val="nil"/>
              <w:tr2bl w:val="nil"/>
            </w:tcBorders>
            <w:shd w:val="clear" w:color="auto" w:fill="auto"/>
            <w:vAlign w:val="center"/>
          </w:tcPr>
          <w:p w14:paraId="29B4E9CD">
            <w:pPr>
              <w:pStyle w:val="48"/>
              <w:rPr>
                <w:lang w:val="zh-CN"/>
              </w:rPr>
            </w:pPr>
            <w:r>
              <w:rPr>
                <w:lang w:val="zh-CN"/>
              </w:rPr>
              <w:t>20</w:t>
            </w:r>
          </w:p>
        </w:tc>
        <w:tc>
          <w:tcPr>
            <w:tcW w:w="1757" w:type="pct"/>
            <w:vMerge w:val="continue"/>
            <w:tcBorders>
              <w:tl2br w:val="nil"/>
              <w:tr2bl w:val="nil"/>
            </w:tcBorders>
            <w:shd w:val="clear" w:color="auto" w:fill="auto"/>
            <w:vAlign w:val="center"/>
          </w:tcPr>
          <w:p w14:paraId="2FC3D126">
            <w:pPr>
              <w:pStyle w:val="48"/>
              <w:rPr>
                <w:lang w:val="zh-CN"/>
              </w:rPr>
            </w:pPr>
          </w:p>
        </w:tc>
      </w:tr>
      <w:tr w14:paraId="29CCF0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6" w:type="pct"/>
            <w:tcBorders>
              <w:tl2br w:val="nil"/>
              <w:tr2bl w:val="nil"/>
            </w:tcBorders>
            <w:shd w:val="clear" w:color="auto" w:fill="auto"/>
            <w:vAlign w:val="center"/>
          </w:tcPr>
          <w:p w14:paraId="36CCF56D">
            <w:pPr>
              <w:pStyle w:val="48"/>
              <w:rPr>
                <w:lang w:val="zh-CN"/>
              </w:rPr>
            </w:pPr>
            <w:r>
              <w:rPr>
                <w:lang w:val="zh-CN"/>
              </w:rPr>
              <w:t>3</w:t>
            </w:r>
          </w:p>
        </w:tc>
        <w:tc>
          <w:tcPr>
            <w:tcW w:w="1198" w:type="pct"/>
            <w:tcBorders>
              <w:tl2br w:val="nil"/>
              <w:tr2bl w:val="nil"/>
            </w:tcBorders>
            <w:shd w:val="clear" w:color="auto" w:fill="auto"/>
            <w:vAlign w:val="center"/>
          </w:tcPr>
          <w:p w14:paraId="1EC42791">
            <w:pPr>
              <w:pStyle w:val="48"/>
              <w:rPr>
                <w:lang w:val="zh-CN"/>
              </w:rPr>
            </w:pPr>
            <w:r>
              <w:t>BOD</w:t>
            </w:r>
            <w:r>
              <w:rPr>
                <w:vertAlign w:val="subscript"/>
              </w:rPr>
              <w:t>5</w:t>
            </w:r>
          </w:p>
        </w:tc>
        <w:tc>
          <w:tcPr>
            <w:tcW w:w="1369" w:type="pct"/>
            <w:tcBorders>
              <w:tl2br w:val="nil"/>
              <w:tr2bl w:val="nil"/>
            </w:tcBorders>
            <w:shd w:val="clear" w:color="auto" w:fill="auto"/>
            <w:vAlign w:val="center"/>
          </w:tcPr>
          <w:p w14:paraId="0A472C08">
            <w:pPr>
              <w:pStyle w:val="48"/>
              <w:rPr>
                <w:lang w:val="zh-CN"/>
              </w:rPr>
            </w:pPr>
            <w:r>
              <w:rPr>
                <w:lang w:val="zh-CN"/>
              </w:rPr>
              <w:t>4</w:t>
            </w:r>
          </w:p>
        </w:tc>
        <w:tc>
          <w:tcPr>
            <w:tcW w:w="1757" w:type="pct"/>
            <w:vMerge w:val="continue"/>
            <w:tcBorders>
              <w:tl2br w:val="nil"/>
              <w:tr2bl w:val="nil"/>
            </w:tcBorders>
            <w:shd w:val="clear" w:color="auto" w:fill="auto"/>
            <w:vAlign w:val="center"/>
          </w:tcPr>
          <w:p w14:paraId="08182856">
            <w:pPr>
              <w:pStyle w:val="48"/>
              <w:rPr>
                <w:lang w:val="zh-CN"/>
              </w:rPr>
            </w:pPr>
          </w:p>
        </w:tc>
      </w:tr>
      <w:tr w14:paraId="23B8FC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6" w:type="pct"/>
            <w:tcBorders>
              <w:tl2br w:val="nil"/>
              <w:tr2bl w:val="nil"/>
            </w:tcBorders>
            <w:shd w:val="clear" w:color="auto" w:fill="auto"/>
            <w:vAlign w:val="center"/>
          </w:tcPr>
          <w:p w14:paraId="78888820">
            <w:pPr>
              <w:pStyle w:val="48"/>
              <w:rPr>
                <w:lang w:val="zh-CN"/>
              </w:rPr>
            </w:pPr>
            <w:r>
              <w:rPr>
                <w:lang w:val="zh-CN"/>
              </w:rPr>
              <w:t>4</w:t>
            </w:r>
          </w:p>
        </w:tc>
        <w:tc>
          <w:tcPr>
            <w:tcW w:w="1198" w:type="pct"/>
            <w:tcBorders>
              <w:tl2br w:val="nil"/>
              <w:tr2bl w:val="nil"/>
            </w:tcBorders>
            <w:shd w:val="clear" w:color="auto" w:fill="auto"/>
            <w:vAlign w:val="center"/>
          </w:tcPr>
          <w:p w14:paraId="7EF99B57">
            <w:pPr>
              <w:pStyle w:val="48"/>
              <w:rPr>
                <w:lang w:val="zh-CN"/>
              </w:rPr>
            </w:pPr>
            <w:r>
              <w:t>NH</w:t>
            </w:r>
            <w:r>
              <w:rPr>
                <w:vertAlign w:val="subscript"/>
              </w:rPr>
              <w:t>3</w:t>
            </w:r>
            <w:r>
              <w:t>-N</w:t>
            </w:r>
          </w:p>
        </w:tc>
        <w:tc>
          <w:tcPr>
            <w:tcW w:w="1369" w:type="pct"/>
            <w:tcBorders>
              <w:tl2br w:val="nil"/>
              <w:tr2bl w:val="nil"/>
            </w:tcBorders>
            <w:shd w:val="clear" w:color="auto" w:fill="auto"/>
            <w:vAlign w:val="center"/>
          </w:tcPr>
          <w:p w14:paraId="3AE0DF12">
            <w:pPr>
              <w:pStyle w:val="48"/>
              <w:rPr>
                <w:lang w:val="zh-CN"/>
              </w:rPr>
            </w:pPr>
            <w:r>
              <w:rPr>
                <w:lang w:val="zh-CN"/>
              </w:rPr>
              <w:t>1.0</w:t>
            </w:r>
          </w:p>
        </w:tc>
        <w:tc>
          <w:tcPr>
            <w:tcW w:w="1757" w:type="pct"/>
            <w:vMerge w:val="continue"/>
            <w:tcBorders>
              <w:tl2br w:val="nil"/>
              <w:tr2bl w:val="nil"/>
            </w:tcBorders>
            <w:shd w:val="clear" w:color="auto" w:fill="auto"/>
            <w:vAlign w:val="center"/>
          </w:tcPr>
          <w:p w14:paraId="6FE34F1F">
            <w:pPr>
              <w:pStyle w:val="48"/>
              <w:rPr>
                <w:lang w:val="zh-CN"/>
              </w:rPr>
            </w:pPr>
          </w:p>
        </w:tc>
      </w:tr>
      <w:tr w14:paraId="0445BC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6" w:type="pct"/>
            <w:tcBorders>
              <w:tl2br w:val="nil"/>
              <w:tr2bl w:val="nil"/>
            </w:tcBorders>
            <w:shd w:val="clear" w:color="auto" w:fill="auto"/>
            <w:vAlign w:val="center"/>
          </w:tcPr>
          <w:p w14:paraId="1B858164">
            <w:pPr>
              <w:pStyle w:val="48"/>
              <w:rPr>
                <w:lang w:val="zh-CN"/>
              </w:rPr>
            </w:pPr>
            <w:r>
              <w:rPr>
                <w:lang w:val="zh-CN"/>
              </w:rPr>
              <w:t>5</w:t>
            </w:r>
          </w:p>
        </w:tc>
        <w:tc>
          <w:tcPr>
            <w:tcW w:w="1198" w:type="pct"/>
            <w:tcBorders>
              <w:tl2br w:val="nil"/>
              <w:tr2bl w:val="nil"/>
            </w:tcBorders>
            <w:shd w:val="clear" w:color="auto" w:fill="auto"/>
            <w:vAlign w:val="center"/>
          </w:tcPr>
          <w:p w14:paraId="4CFA00F9">
            <w:pPr>
              <w:pStyle w:val="48"/>
              <w:rPr>
                <w:lang w:val="zh-CN"/>
              </w:rPr>
            </w:pPr>
            <w:r>
              <w:t>TP</w:t>
            </w:r>
          </w:p>
        </w:tc>
        <w:tc>
          <w:tcPr>
            <w:tcW w:w="1369" w:type="pct"/>
            <w:tcBorders>
              <w:tl2br w:val="nil"/>
              <w:tr2bl w:val="nil"/>
            </w:tcBorders>
            <w:shd w:val="clear" w:color="auto" w:fill="auto"/>
            <w:vAlign w:val="center"/>
          </w:tcPr>
          <w:p w14:paraId="0EE68908">
            <w:pPr>
              <w:pStyle w:val="48"/>
              <w:rPr>
                <w:lang w:val="zh-CN"/>
              </w:rPr>
            </w:pPr>
            <w:r>
              <w:rPr>
                <w:lang w:val="zh-CN"/>
              </w:rPr>
              <w:t>0.2</w:t>
            </w:r>
          </w:p>
        </w:tc>
        <w:tc>
          <w:tcPr>
            <w:tcW w:w="1757" w:type="pct"/>
            <w:vMerge w:val="continue"/>
            <w:tcBorders>
              <w:tl2br w:val="nil"/>
              <w:tr2bl w:val="nil"/>
            </w:tcBorders>
            <w:shd w:val="clear" w:color="auto" w:fill="auto"/>
            <w:vAlign w:val="center"/>
          </w:tcPr>
          <w:p w14:paraId="077D9041">
            <w:pPr>
              <w:pStyle w:val="48"/>
              <w:rPr>
                <w:lang w:val="zh-CN"/>
              </w:rPr>
            </w:pPr>
          </w:p>
        </w:tc>
      </w:tr>
      <w:tr w14:paraId="5A34E6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6" w:type="pct"/>
            <w:tcBorders>
              <w:tl2br w:val="nil"/>
              <w:tr2bl w:val="nil"/>
            </w:tcBorders>
            <w:shd w:val="clear" w:color="auto" w:fill="auto"/>
            <w:vAlign w:val="center"/>
          </w:tcPr>
          <w:p w14:paraId="3012224E">
            <w:pPr>
              <w:pStyle w:val="48"/>
              <w:rPr>
                <w:lang w:val="zh-CN"/>
              </w:rPr>
            </w:pPr>
            <w:r>
              <w:rPr>
                <w:lang w:val="zh-CN"/>
              </w:rPr>
              <w:t>6</w:t>
            </w:r>
          </w:p>
        </w:tc>
        <w:tc>
          <w:tcPr>
            <w:tcW w:w="1198" w:type="pct"/>
            <w:tcBorders>
              <w:tl2br w:val="nil"/>
              <w:tr2bl w:val="nil"/>
            </w:tcBorders>
            <w:shd w:val="clear" w:color="auto" w:fill="auto"/>
            <w:vAlign w:val="center"/>
          </w:tcPr>
          <w:p w14:paraId="64B6E33A">
            <w:pPr>
              <w:pStyle w:val="48"/>
              <w:rPr>
                <w:lang w:val="zh-CN"/>
              </w:rPr>
            </w:pPr>
            <w:r>
              <w:rPr>
                <w:lang w:val="zh-CN"/>
              </w:rPr>
              <w:t>氯化物</w:t>
            </w:r>
          </w:p>
        </w:tc>
        <w:tc>
          <w:tcPr>
            <w:tcW w:w="1369" w:type="pct"/>
            <w:tcBorders>
              <w:tl2br w:val="nil"/>
              <w:tr2bl w:val="nil"/>
            </w:tcBorders>
            <w:shd w:val="clear" w:color="auto" w:fill="auto"/>
            <w:vAlign w:val="center"/>
          </w:tcPr>
          <w:p w14:paraId="7CF78235">
            <w:pPr>
              <w:pStyle w:val="48"/>
              <w:rPr>
                <w:lang w:val="zh-CN"/>
              </w:rPr>
            </w:pPr>
            <w:r>
              <w:rPr>
                <w:lang w:val="zh-CN"/>
              </w:rPr>
              <w:t>250</w:t>
            </w:r>
          </w:p>
        </w:tc>
        <w:tc>
          <w:tcPr>
            <w:tcW w:w="1757" w:type="pct"/>
            <w:vMerge w:val="continue"/>
            <w:tcBorders>
              <w:tl2br w:val="nil"/>
              <w:tr2bl w:val="nil"/>
            </w:tcBorders>
            <w:shd w:val="clear" w:color="auto" w:fill="auto"/>
            <w:vAlign w:val="center"/>
          </w:tcPr>
          <w:p w14:paraId="4D6E0F36">
            <w:pPr>
              <w:pStyle w:val="48"/>
              <w:rPr>
                <w:lang w:val="zh-CN"/>
              </w:rPr>
            </w:pPr>
          </w:p>
        </w:tc>
      </w:tr>
      <w:tr w14:paraId="3696AA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6" w:type="pct"/>
            <w:tcBorders>
              <w:tl2br w:val="nil"/>
              <w:tr2bl w:val="nil"/>
            </w:tcBorders>
            <w:shd w:val="clear" w:color="auto" w:fill="auto"/>
            <w:vAlign w:val="center"/>
          </w:tcPr>
          <w:p w14:paraId="413B3CA2">
            <w:pPr>
              <w:pStyle w:val="48"/>
              <w:rPr>
                <w:lang w:val="zh-CN"/>
              </w:rPr>
            </w:pPr>
            <w:r>
              <w:rPr>
                <w:lang w:val="zh-CN"/>
              </w:rPr>
              <w:t>7</w:t>
            </w:r>
          </w:p>
        </w:tc>
        <w:tc>
          <w:tcPr>
            <w:tcW w:w="1198" w:type="pct"/>
            <w:tcBorders>
              <w:tl2br w:val="nil"/>
              <w:tr2bl w:val="nil"/>
            </w:tcBorders>
            <w:shd w:val="clear" w:color="auto" w:fill="auto"/>
            <w:vAlign w:val="center"/>
          </w:tcPr>
          <w:p w14:paraId="63B62E34">
            <w:pPr>
              <w:pStyle w:val="48"/>
              <w:rPr>
                <w:lang w:val="zh-CN"/>
              </w:rPr>
            </w:pPr>
            <w:r>
              <w:rPr>
                <w:lang w:val="zh-CN"/>
              </w:rPr>
              <w:t>硫酸盐</w:t>
            </w:r>
          </w:p>
        </w:tc>
        <w:tc>
          <w:tcPr>
            <w:tcW w:w="1369" w:type="pct"/>
            <w:tcBorders>
              <w:tl2br w:val="nil"/>
              <w:tr2bl w:val="nil"/>
            </w:tcBorders>
            <w:shd w:val="clear" w:color="auto" w:fill="auto"/>
            <w:vAlign w:val="center"/>
          </w:tcPr>
          <w:p w14:paraId="52731FCC">
            <w:pPr>
              <w:pStyle w:val="48"/>
              <w:rPr>
                <w:lang w:val="zh-CN"/>
              </w:rPr>
            </w:pPr>
            <w:r>
              <w:rPr>
                <w:lang w:val="zh-CN"/>
              </w:rPr>
              <w:t>250</w:t>
            </w:r>
          </w:p>
        </w:tc>
        <w:tc>
          <w:tcPr>
            <w:tcW w:w="1757" w:type="pct"/>
            <w:vMerge w:val="continue"/>
            <w:tcBorders>
              <w:tl2br w:val="nil"/>
              <w:tr2bl w:val="nil"/>
            </w:tcBorders>
            <w:shd w:val="clear" w:color="auto" w:fill="auto"/>
            <w:vAlign w:val="center"/>
          </w:tcPr>
          <w:p w14:paraId="2FFCECAD">
            <w:pPr>
              <w:pStyle w:val="48"/>
              <w:rPr>
                <w:lang w:val="zh-CN"/>
              </w:rPr>
            </w:pPr>
          </w:p>
        </w:tc>
      </w:tr>
    </w:tbl>
    <w:p w14:paraId="6DCE7B14">
      <w:pPr>
        <w:pStyle w:val="8"/>
        <w:ind w:firstLine="521"/>
        <w:rPr>
          <w:rFonts w:cs="Times New Roman"/>
        </w:rPr>
      </w:pPr>
      <w:r>
        <w:rPr>
          <w:rFonts w:cs="Times New Roman"/>
        </w:rPr>
        <w:t>2.4.1.3 地下水环境</w:t>
      </w:r>
    </w:p>
    <w:p w14:paraId="4BF1FBA7">
      <w:pPr>
        <w:ind w:firstLine="519"/>
        <w:rPr>
          <w:rFonts w:cs="Times New Roman" w:eastAsiaTheme="minorEastAsia"/>
        </w:rPr>
      </w:pPr>
      <w:r>
        <w:rPr>
          <w:rFonts w:cs="Times New Roman" w:eastAsiaTheme="minorEastAsia"/>
        </w:rPr>
        <w:t>本项目执行</w:t>
      </w:r>
      <w:bookmarkStart w:id="157" w:name="_Hlk89442360"/>
      <w:r>
        <w:rPr>
          <w:rFonts w:cs="Times New Roman" w:eastAsiaTheme="minorEastAsia"/>
        </w:rPr>
        <w:t>《地下水质量标准》（GB/T14848-2017）</w:t>
      </w:r>
      <w:bookmarkEnd w:id="157"/>
      <w:r>
        <w:rPr>
          <w:rFonts w:cs="Times New Roman" w:eastAsiaTheme="minorEastAsia"/>
        </w:rPr>
        <w:t>中的</w:t>
      </w:r>
      <w:r>
        <w:rPr>
          <w:rFonts w:hint="eastAsia" w:ascii="宋体" w:hAnsi="宋体" w:cs="宋体"/>
        </w:rPr>
        <w:t>Ⅲ</w:t>
      </w:r>
      <w:r>
        <w:rPr>
          <w:rFonts w:cs="Times New Roman" w:eastAsiaTheme="minorEastAsia"/>
        </w:rPr>
        <w:t>类标准，标准限值见下表所示。</w:t>
      </w:r>
    </w:p>
    <w:p w14:paraId="4C5C2B99">
      <w:pPr>
        <w:pStyle w:val="9"/>
      </w:pPr>
      <w:r>
        <w:t>表2.4-3 《地下水环境质量》中III类标准值  单位：mg/L，pH除外</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4985"/>
        <w:gridCol w:w="1889"/>
      </w:tblGrid>
      <w:tr w14:paraId="0F451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5A0E6E0A">
            <w:pPr>
              <w:pStyle w:val="48"/>
            </w:pPr>
            <w:r>
              <w:t>序号</w:t>
            </w:r>
          </w:p>
        </w:tc>
        <w:tc>
          <w:tcPr>
            <w:tcW w:w="2923" w:type="pct"/>
            <w:vAlign w:val="center"/>
          </w:tcPr>
          <w:p w14:paraId="580C9415">
            <w:pPr>
              <w:pStyle w:val="48"/>
            </w:pPr>
            <w:r>
              <w:t>项目</w:t>
            </w:r>
          </w:p>
        </w:tc>
        <w:tc>
          <w:tcPr>
            <w:tcW w:w="1107" w:type="pct"/>
            <w:vAlign w:val="center"/>
          </w:tcPr>
          <w:p w14:paraId="728A89FD">
            <w:pPr>
              <w:pStyle w:val="48"/>
            </w:pPr>
            <w:r>
              <w:t>标准值</w:t>
            </w:r>
          </w:p>
        </w:tc>
      </w:tr>
      <w:tr w14:paraId="3A4C5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776098E3">
            <w:pPr>
              <w:pStyle w:val="48"/>
            </w:pPr>
            <w:r>
              <w:t>1</w:t>
            </w:r>
          </w:p>
        </w:tc>
        <w:tc>
          <w:tcPr>
            <w:tcW w:w="2923" w:type="pct"/>
            <w:vAlign w:val="center"/>
          </w:tcPr>
          <w:p w14:paraId="4C3C618B">
            <w:pPr>
              <w:pStyle w:val="48"/>
            </w:pPr>
            <w:r>
              <w:t>pH值</w:t>
            </w:r>
          </w:p>
        </w:tc>
        <w:tc>
          <w:tcPr>
            <w:tcW w:w="1107" w:type="pct"/>
            <w:vAlign w:val="center"/>
          </w:tcPr>
          <w:p w14:paraId="31628E1D">
            <w:pPr>
              <w:pStyle w:val="48"/>
            </w:pPr>
            <w:r>
              <w:t>6.5-8.5</w:t>
            </w:r>
          </w:p>
        </w:tc>
      </w:tr>
      <w:tr w14:paraId="00FCB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1E8BF6A9">
            <w:pPr>
              <w:pStyle w:val="48"/>
            </w:pPr>
            <w:r>
              <w:t>2</w:t>
            </w:r>
          </w:p>
        </w:tc>
        <w:tc>
          <w:tcPr>
            <w:tcW w:w="2923" w:type="pct"/>
            <w:vAlign w:val="center"/>
          </w:tcPr>
          <w:p w14:paraId="327F839B">
            <w:pPr>
              <w:pStyle w:val="48"/>
            </w:pPr>
            <w:r>
              <w:t>氨氮</w:t>
            </w:r>
          </w:p>
        </w:tc>
        <w:tc>
          <w:tcPr>
            <w:tcW w:w="1107" w:type="pct"/>
            <w:vAlign w:val="center"/>
          </w:tcPr>
          <w:p w14:paraId="42F04FA8">
            <w:pPr>
              <w:pStyle w:val="48"/>
            </w:pPr>
            <w:r>
              <w:t>0.5</w:t>
            </w:r>
          </w:p>
        </w:tc>
      </w:tr>
      <w:tr w14:paraId="474BB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2C03A951">
            <w:pPr>
              <w:pStyle w:val="48"/>
            </w:pPr>
            <w:r>
              <w:t>3</w:t>
            </w:r>
          </w:p>
        </w:tc>
        <w:tc>
          <w:tcPr>
            <w:tcW w:w="2923" w:type="pct"/>
            <w:vAlign w:val="center"/>
          </w:tcPr>
          <w:p w14:paraId="0AA27D2B">
            <w:pPr>
              <w:pStyle w:val="48"/>
            </w:pPr>
            <w:r>
              <w:t>硝酸盐</w:t>
            </w:r>
          </w:p>
        </w:tc>
        <w:tc>
          <w:tcPr>
            <w:tcW w:w="1107" w:type="pct"/>
            <w:vAlign w:val="center"/>
          </w:tcPr>
          <w:p w14:paraId="04382262">
            <w:pPr>
              <w:pStyle w:val="48"/>
            </w:pPr>
            <w:r>
              <w:t>20</w:t>
            </w:r>
          </w:p>
        </w:tc>
      </w:tr>
      <w:tr w14:paraId="3AB0C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588D4A17">
            <w:pPr>
              <w:pStyle w:val="48"/>
            </w:pPr>
            <w:r>
              <w:t>4</w:t>
            </w:r>
          </w:p>
        </w:tc>
        <w:tc>
          <w:tcPr>
            <w:tcW w:w="2923" w:type="pct"/>
            <w:vAlign w:val="center"/>
          </w:tcPr>
          <w:p w14:paraId="3BE3784B">
            <w:pPr>
              <w:pStyle w:val="48"/>
            </w:pPr>
            <w:r>
              <w:t>亚硝酸盐</w:t>
            </w:r>
          </w:p>
        </w:tc>
        <w:tc>
          <w:tcPr>
            <w:tcW w:w="1107" w:type="pct"/>
            <w:vAlign w:val="center"/>
          </w:tcPr>
          <w:p w14:paraId="45AB7537">
            <w:pPr>
              <w:pStyle w:val="48"/>
            </w:pPr>
            <w:r>
              <w:t>1.0</w:t>
            </w:r>
          </w:p>
        </w:tc>
      </w:tr>
      <w:tr w14:paraId="623F3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32183DEF">
            <w:pPr>
              <w:pStyle w:val="48"/>
            </w:pPr>
            <w:r>
              <w:t>5</w:t>
            </w:r>
          </w:p>
        </w:tc>
        <w:tc>
          <w:tcPr>
            <w:tcW w:w="2923" w:type="pct"/>
            <w:vAlign w:val="center"/>
          </w:tcPr>
          <w:p w14:paraId="25BD578D">
            <w:pPr>
              <w:pStyle w:val="48"/>
            </w:pPr>
            <w:r>
              <w:t>挥发性酚类</w:t>
            </w:r>
          </w:p>
        </w:tc>
        <w:tc>
          <w:tcPr>
            <w:tcW w:w="1107" w:type="pct"/>
            <w:vAlign w:val="center"/>
          </w:tcPr>
          <w:p w14:paraId="25A9EB95">
            <w:pPr>
              <w:pStyle w:val="48"/>
            </w:pPr>
            <w:r>
              <w:t>0.002</w:t>
            </w:r>
          </w:p>
        </w:tc>
      </w:tr>
      <w:tr w14:paraId="53CD2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6792B673">
            <w:pPr>
              <w:pStyle w:val="48"/>
            </w:pPr>
            <w:r>
              <w:t>6</w:t>
            </w:r>
          </w:p>
        </w:tc>
        <w:tc>
          <w:tcPr>
            <w:tcW w:w="2923" w:type="pct"/>
            <w:vAlign w:val="center"/>
          </w:tcPr>
          <w:p w14:paraId="756CA31A">
            <w:pPr>
              <w:pStyle w:val="48"/>
            </w:pPr>
            <w:r>
              <w:t>氰化物</w:t>
            </w:r>
          </w:p>
        </w:tc>
        <w:tc>
          <w:tcPr>
            <w:tcW w:w="1107" w:type="pct"/>
            <w:vAlign w:val="center"/>
          </w:tcPr>
          <w:p w14:paraId="25592387">
            <w:pPr>
              <w:pStyle w:val="48"/>
            </w:pPr>
            <w:r>
              <w:t>0.05</w:t>
            </w:r>
          </w:p>
        </w:tc>
      </w:tr>
      <w:tr w14:paraId="09B60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2C7ED65B">
            <w:pPr>
              <w:pStyle w:val="48"/>
            </w:pPr>
            <w:r>
              <w:t>7</w:t>
            </w:r>
          </w:p>
        </w:tc>
        <w:tc>
          <w:tcPr>
            <w:tcW w:w="2923" w:type="pct"/>
            <w:vAlign w:val="center"/>
          </w:tcPr>
          <w:p w14:paraId="789FA321">
            <w:pPr>
              <w:pStyle w:val="48"/>
            </w:pPr>
            <w:r>
              <w:t>溶解性总固体</w:t>
            </w:r>
          </w:p>
        </w:tc>
        <w:tc>
          <w:tcPr>
            <w:tcW w:w="1107" w:type="pct"/>
            <w:vAlign w:val="center"/>
          </w:tcPr>
          <w:p w14:paraId="6136DCB0">
            <w:pPr>
              <w:pStyle w:val="48"/>
            </w:pPr>
            <w:r>
              <w:t>1000</w:t>
            </w:r>
          </w:p>
        </w:tc>
      </w:tr>
      <w:tr w14:paraId="0DDEC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05C45592">
            <w:pPr>
              <w:pStyle w:val="48"/>
            </w:pPr>
            <w:r>
              <w:t>8</w:t>
            </w:r>
          </w:p>
        </w:tc>
        <w:tc>
          <w:tcPr>
            <w:tcW w:w="2923" w:type="pct"/>
            <w:vAlign w:val="center"/>
          </w:tcPr>
          <w:p w14:paraId="663837AD">
            <w:pPr>
              <w:pStyle w:val="48"/>
            </w:pPr>
            <w:bookmarkStart w:id="158" w:name="_Hlk89444645"/>
            <w:r>
              <w:t>氯化物</w:t>
            </w:r>
            <w:bookmarkEnd w:id="158"/>
          </w:p>
        </w:tc>
        <w:tc>
          <w:tcPr>
            <w:tcW w:w="1107" w:type="pct"/>
            <w:vAlign w:val="center"/>
          </w:tcPr>
          <w:p w14:paraId="22A452F4">
            <w:pPr>
              <w:pStyle w:val="48"/>
            </w:pPr>
            <w:r>
              <w:t>250</w:t>
            </w:r>
          </w:p>
        </w:tc>
      </w:tr>
      <w:tr w14:paraId="6FBD0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1CE86BFB">
            <w:pPr>
              <w:pStyle w:val="48"/>
            </w:pPr>
            <w:r>
              <w:t>9</w:t>
            </w:r>
          </w:p>
        </w:tc>
        <w:tc>
          <w:tcPr>
            <w:tcW w:w="2923" w:type="pct"/>
            <w:vAlign w:val="center"/>
          </w:tcPr>
          <w:p w14:paraId="2BEB1718">
            <w:pPr>
              <w:pStyle w:val="48"/>
            </w:pPr>
            <w:r>
              <w:t>硫化物</w:t>
            </w:r>
          </w:p>
        </w:tc>
        <w:tc>
          <w:tcPr>
            <w:tcW w:w="1107" w:type="pct"/>
            <w:vAlign w:val="center"/>
          </w:tcPr>
          <w:p w14:paraId="4E415606">
            <w:pPr>
              <w:pStyle w:val="48"/>
            </w:pPr>
            <w:r>
              <w:t>0.02</w:t>
            </w:r>
          </w:p>
        </w:tc>
      </w:tr>
      <w:tr w14:paraId="1807B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34166749">
            <w:pPr>
              <w:pStyle w:val="48"/>
            </w:pPr>
            <w:r>
              <w:t>10</w:t>
            </w:r>
          </w:p>
        </w:tc>
        <w:tc>
          <w:tcPr>
            <w:tcW w:w="2923" w:type="pct"/>
            <w:vAlign w:val="center"/>
          </w:tcPr>
          <w:p w14:paraId="5F2FA266">
            <w:pPr>
              <w:pStyle w:val="48"/>
            </w:pPr>
            <w:r>
              <w:t>硫酸盐</w:t>
            </w:r>
          </w:p>
        </w:tc>
        <w:tc>
          <w:tcPr>
            <w:tcW w:w="1107" w:type="pct"/>
            <w:vAlign w:val="center"/>
          </w:tcPr>
          <w:p w14:paraId="5F7124E7">
            <w:pPr>
              <w:pStyle w:val="48"/>
            </w:pPr>
            <w:r>
              <w:t>250</w:t>
            </w:r>
          </w:p>
        </w:tc>
      </w:tr>
      <w:tr w14:paraId="0FD03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pct"/>
            <w:vAlign w:val="center"/>
          </w:tcPr>
          <w:p w14:paraId="541C0061">
            <w:pPr>
              <w:pStyle w:val="48"/>
            </w:pPr>
            <w:r>
              <w:t>11</w:t>
            </w:r>
          </w:p>
        </w:tc>
        <w:tc>
          <w:tcPr>
            <w:tcW w:w="2923" w:type="pct"/>
            <w:vAlign w:val="center"/>
          </w:tcPr>
          <w:p w14:paraId="3927B158">
            <w:pPr>
              <w:pStyle w:val="48"/>
            </w:pPr>
            <w:r>
              <w:rPr>
                <w:szCs w:val="21"/>
              </w:rPr>
              <w:t>钠</w:t>
            </w:r>
          </w:p>
        </w:tc>
        <w:tc>
          <w:tcPr>
            <w:tcW w:w="1107" w:type="pct"/>
            <w:vAlign w:val="center"/>
          </w:tcPr>
          <w:p w14:paraId="7760128A">
            <w:pPr>
              <w:pStyle w:val="48"/>
            </w:pPr>
            <w:r>
              <w:t>200</w:t>
            </w:r>
          </w:p>
        </w:tc>
      </w:tr>
    </w:tbl>
    <w:p w14:paraId="0F7E95E0">
      <w:pPr>
        <w:pStyle w:val="8"/>
        <w:ind w:firstLine="521"/>
        <w:rPr>
          <w:rFonts w:cs="Times New Roman"/>
        </w:rPr>
      </w:pPr>
      <w:r>
        <w:rPr>
          <w:rFonts w:cs="Times New Roman"/>
        </w:rPr>
        <w:t>2.4.1.4 声环境</w:t>
      </w:r>
    </w:p>
    <w:p w14:paraId="5892009B">
      <w:pPr>
        <w:ind w:firstLine="519"/>
        <w:rPr>
          <w:rFonts w:cs="Times New Roman" w:eastAsiaTheme="minorEastAsia"/>
        </w:rPr>
      </w:pPr>
      <w:r>
        <w:rPr>
          <w:rFonts w:cs="Times New Roman" w:eastAsiaTheme="minorEastAsia"/>
        </w:rPr>
        <w:t>该项目位于</w:t>
      </w:r>
      <w:r>
        <w:rPr>
          <w:rFonts w:hint="eastAsia" w:cs="Times New Roman" w:eastAsiaTheme="minorEastAsia"/>
        </w:rPr>
        <w:t>松木经济开发区</w:t>
      </w:r>
      <w:r>
        <w:rPr>
          <w:rFonts w:cs="Times New Roman" w:eastAsiaTheme="minorEastAsia"/>
        </w:rPr>
        <w:t>，声环境质量执行《声环境质量标准》（GB3096-2008）3类</w:t>
      </w:r>
      <w:r>
        <w:rPr>
          <w:rFonts w:hint="eastAsia" w:cs="Times New Roman" w:eastAsiaTheme="minorEastAsia"/>
        </w:rPr>
        <w:t>及4</w:t>
      </w:r>
      <w:r>
        <w:rPr>
          <w:rFonts w:cs="Times New Roman" w:eastAsiaTheme="minorEastAsia"/>
        </w:rPr>
        <w:t>a</w:t>
      </w:r>
      <w:r>
        <w:rPr>
          <w:rFonts w:hint="eastAsia" w:cs="Times New Roman" w:eastAsiaTheme="minorEastAsia"/>
        </w:rPr>
        <w:t>类</w:t>
      </w:r>
      <w:r>
        <w:rPr>
          <w:rFonts w:cs="Times New Roman" w:eastAsiaTheme="minorEastAsia"/>
        </w:rPr>
        <w:t>标准。标准值见下表所示。</w:t>
      </w:r>
    </w:p>
    <w:p w14:paraId="38C9F5A5">
      <w:pPr>
        <w:pStyle w:val="9"/>
      </w:pPr>
      <w:r>
        <w:t>表2.4-4  声环境执行标准限值</w:t>
      </w:r>
    </w:p>
    <w:tbl>
      <w:tblPr>
        <w:tblStyle w:val="29"/>
        <w:tblW w:w="89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873"/>
        <w:gridCol w:w="3492"/>
        <w:gridCol w:w="3111"/>
      </w:tblGrid>
      <w:tr w14:paraId="00FAC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5" w:type="dxa"/>
            <w:gridSpan w:val="2"/>
            <w:vMerge w:val="restart"/>
            <w:vAlign w:val="center"/>
          </w:tcPr>
          <w:p w14:paraId="42985BFE">
            <w:pPr>
              <w:pStyle w:val="48"/>
            </w:pPr>
            <w:r>
              <w:t>标准</w:t>
            </w:r>
          </w:p>
        </w:tc>
        <w:tc>
          <w:tcPr>
            <w:tcW w:w="6603" w:type="dxa"/>
            <w:gridSpan w:val="2"/>
            <w:vAlign w:val="center"/>
          </w:tcPr>
          <w:p w14:paraId="78195A21">
            <w:pPr>
              <w:pStyle w:val="48"/>
            </w:pPr>
            <w:r>
              <w:t>标准限值</w:t>
            </w:r>
          </w:p>
        </w:tc>
      </w:tr>
      <w:tr w14:paraId="24F7B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5" w:type="dxa"/>
            <w:gridSpan w:val="2"/>
            <w:vMerge w:val="continue"/>
            <w:vAlign w:val="center"/>
          </w:tcPr>
          <w:p w14:paraId="40725509">
            <w:pPr>
              <w:pStyle w:val="48"/>
            </w:pPr>
          </w:p>
        </w:tc>
        <w:tc>
          <w:tcPr>
            <w:tcW w:w="3492" w:type="dxa"/>
            <w:vAlign w:val="center"/>
          </w:tcPr>
          <w:p w14:paraId="127E709B">
            <w:pPr>
              <w:pStyle w:val="48"/>
            </w:pPr>
            <w:r>
              <w:t>昼间</w:t>
            </w:r>
          </w:p>
        </w:tc>
        <w:tc>
          <w:tcPr>
            <w:tcW w:w="3111" w:type="dxa"/>
            <w:vAlign w:val="center"/>
          </w:tcPr>
          <w:p w14:paraId="2FC5EB5C">
            <w:pPr>
              <w:pStyle w:val="48"/>
            </w:pPr>
            <w:r>
              <w:t>夜间</w:t>
            </w:r>
          </w:p>
        </w:tc>
      </w:tr>
      <w:tr w14:paraId="03C7D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2" w:type="dxa"/>
            <w:vMerge w:val="restart"/>
            <w:vAlign w:val="center"/>
          </w:tcPr>
          <w:p w14:paraId="659E108C">
            <w:pPr>
              <w:pStyle w:val="48"/>
            </w:pPr>
            <w:r>
              <w:t>《声环境质量标准》GB3096-2008</w:t>
            </w:r>
          </w:p>
        </w:tc>
        <w:tc>
          <w:tcPr>
            <w:tcW w:w="873" w:type="dxa"/>
            <w:vAlign w:val="center"/>
          </w:tcPr>
          <w:p w14:paraId="156A5F8B">
            <w:pPr>
              <w:pStyle w:val="48"/>
            </w:pPr>
            <w:r>
              <w:t>3类</w:t>
            </w:r>
          </w:p>
        </w:tc>
        <w:tc>
          <w:tcPr>
            <w:tcW w:w="3492" w:type="dxa"/>
            <w:vAlign w:val="center"/>
          </w:tcPr>
          <w:p w14:paraId="0EDE52AF">
            <w:pPr>
              <w:pStyle w:val="48"/>
            </w:pPr>
            <w:r>
              <w:t>65dB（A）</w:t>
            </w:r>
          </w:p>
        </w:tc>
        <w:tc>
          <w:tcPr>
            <w:tcW w:w="3111" w:type="dxa"/>
            <w:vAlign w:val="center"/>
          </w:tcPr>
          <w:p w14:paraId="739461B7">
            <w:pPr>
              <w:pStyle w:val="48"/>
            </w:pPr>
            <w:r>
              <w:t>55dB（A）</w:t>
            </w:r>
          </w:p>
        </w:tc>
      </w:tr>
      <w:tr w14:paraId="415AD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2" w:type="dxa"/>
            <w:vMerge w:val="continue"/>
            <w:vAlign w:val="center"/>
          </w:tcPr>
          <w:p w14:paraId="378AB4ED">
            <w:pPr>
              <w:pStyle w:val="48"/>
            </w:pPr>
          </w:p>
        </w:tc>
        <w:tc>
          <w:tcPr>
            <w:tcW w:w="873" w:type="dxa"/>
            <w:vAlign w:val="center"/>
          </w:tcPr>
          <w:p w14:paraId="4259CCF0">
            <w:pPr>
              <w:pStyle w:val="48"/>
            </w:pPr>
            <w:r>
              <w:rPr>
                <w:rFonts w:hint="eastAsia"/>
              </w:rPr>
              <w:t>4</w:t>
            </w:r>
            <w:r>
              <w:t>a</w:t>
            </w:r>
            <w:r>
              <w:rPr>
                <w:rFonts w:hint="eastAsia"/>
              </w:rPr>
              <w:t>类</w:t>
            </w:r>
          </w:p>
        </w:tc>
        <w:tc>
          <w:tcPr>
            <w:tcW w:w="3492" w:type="dxa"/>
            <w:vAlign w:val="center"/>
          </w:tcPr>
          <w:p w14:paraId="07378ED3">
            <w:pPr>
              <w:pStyle w:val="48"/>
            </w:pPr>
            <w:r>
              <w:t>70dB（A）</w:t>
            </w:r>
          </w:p>
        </w:tc>
        <w:tc>
          <w:tcPr>
            <w:tcW w:w="3111" w:type="dxa"/>
            <w:vAlign w:val="center"/>
          </w:tcPr>
          <w:p w14:paraId="6022211D">
            <w:pPr>
              <w:pStyle w:val="48"/>
            </w:pPr>
            <w:r>
              <w:t>55dB（A）</w:t>
            </w:r>
          </w:p>
        </w:tc>
      </w:tr>
    </w:tbl>
    <w:p w14:paraId="45792631">
      <w:pPr>
        <w:pStyle w:val="7"/>
      </w:pPr>
      <w:bookmarkStart w:id="159" w:name="_Toc533840295"/>
      <w:bookmarkStart w:id="160" w:name="_Toc89882433"/>
      <w:bookmarkStart w:id="161" w:name="_Toc90997640"/>
      <w:bookmarkStart w:id="162" w:name="_Toc86852256"/>
      <w:bookmarkStart w:id="163" w:name="_Toc90318393"/>
      <w:bookmarkStart w:id="164" w:name="_Toc90989214"/>
      <w:bookmarkStart w:id="165" w:name="_Toc121420797"/>
      <w:bookmarkStart w:id="166" w:name="_Toc89786108"/>
      <w:r>
        <w:t>2.4.2 污染物排放标准</w:t>
      </w:r>
      <w:bookmarkEnd w:id="159"/>
      <w:bookmarkEnd w:id="160"/>
      <w:bookmarkEnd w:id="161"/>
      <w:bookmarkEnd w:id="162"/>
      <w:bookmarkEnd w:id="163"/>
      <w:bookmarkEnd w:id="164"/>
      <w:bookmarkEnd w:id="165"/>
      <w:bookmarkEnd w:id="166"/>
    </w:p>
    <w:p w14:paraId="2C1E1D39">
      <w:pPr>
        <w:pStyle w:val="8"/>
        <w:ind w:firstLine="521"/>
        <w:rPr>
          <w:rFonts w:cs="Times New Roman"/>
        </w:rPr>
      </w:pPr>
      <w:r>
        <w:rPr>
          <w:rFonts w:cs="Times New Roman"/>
        </w:rPr>
        <w:t>2.4.2.1噪声</w:t>
      </w:r>
    </w:p>
    <w:p w14:paraId="5B544C79">
      <w:pPr>
        <w:ind w:firstLine="519"/>
        <w:rPr>
          <w:rFonts w:cs="Times New Roman" w:eastAsiaTheme="minorEastAsia"/>
        </w:rPr>
      </w:pPr>
      <w:r>
        <w:rPr>
          <w:rFonts w:cs="Times New Roman" w:eastAsiaTheme="minorEastAsia"/>
        </w:rPr>
        <w:t>施工期噪声执行《建筑施工场界环境噪声排放标准》（GB12523-2011）；运营期噪声执行《工业企业厂界环境噪声排放标准》（GB12348-2008），标准限值见表2.4-5所示。</w:t>
      </w:r>
    </w:p>
    <w:p w14:paraId="4E3C586C">
      <w:pPr>
        <w:pStyle w:val="9"/>
      </w:pPr>
      <w:r>
        <w:t>表2.4-5  噪声执行标准限值</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86"/>
        <w:gridCol w:w="1184"/>
        <w:gridCol w:w="1313"/>
        <w:gridCol w:w="1245"/>
      </w:tblGrid>
      <w:tr w14:paraId="103CF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500" w:type="pct"/>
            <w:gridSpan w:val="2"/>
            <w:vMerge w:val="restart"/>
            <w:vAlign w:val="center"/>
          </w:tcPr>
          <w:p w14:paraId="661AC8D2">
            <w:pPr>
              <w:pStyle w:val="48"/>
            </w:pPr>
            <w:r>
              <w:t>标准</w:t>
            </w:r>
          </w:p>
        </w:tc>
        <w:tc>
          <w:tcPr>
            <w:tcW w:w="1500" w:type="pct"/>
            <w:gridSpan w:val="2"/>
            <w:vAlign w:val="center"/>
          </w:tcPr>
          <w:p w14:paraId="2B5734B2">
            <w:pPr>
              <w:pStyle w:val="48"/>
            </w:pPr>
            <w:r>
              <w:t>标准限值（dB（A））</w:t>
            </w:r>
          </w:p>
        </w:tc>
      </w:tr>
      <w:tr w14:paraId="76C7C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3500" w:type="pct"/>
            <w:gridSpan w:val="2"/>
            <w:vMerge w:val="continue"/>
            <w:vAlign w:val="center"/>
          </w:tcPr>
          <w:p w14:paraId="32D928F4">
            <w:pPr>
              <w:pStyle w:val="48"/>
            </w:pPr>
          </w:p>
        </w:tc>
        <w:tc>
          <w:tcPr>
            <w:tcW w:w="770" w:type="pct"/>
            <w:vAlign w:val="center"/>
          </w:tcPr>
          <w:p w14:paraId="377AC4B4">
            <w:pPr>
              <w:pStyle w:val="48"/>
            </w:pPr>
            <w:r>
              <w:t>昼间</w:t>
            </w:r>
          </w:p>
        </w:tc>
        <w:tc>
          <w:tcPr>
            <w:tcW w:w="730" w:type="pct"/>
            <w:vAlign w:val="center"/>
          </w:tcPr>
          <w:p w14:paraId="5BF25FB7">
            <w:pPr>
              <w:pStyle w:val="48"/>
            </w:pPr>
            <w:r>
              <w:t>夜间</w:t>
            </w:r>
          </w:p>
        </w:tc>
      </w:tr>
      <w:tr w14:paraId="20201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500" w:type="pct"/>
            <w:gridSpan w:val="2"/>
            <w:vAlign w:val="center"/>
          </w:tcPr>
          <w:p w14:paraId="22CB51BD">
            <w:pPr>
              <w:pStyle w:val="48"/>
            </w:pPr>
            <w:r>
              <w:t>《建筑施工场界环境噪声排放标准》（GB12523-2011）</w:t>
            </w:r>
          </w:p>
        </w:tc>
        <w:tc>
          <w:tcPr>
            <w:tcW w:w="770" w:type="pct"/>
            <w:vAlign w:val="center"/>
          </w:tcPr>
          <w:p w14:paraId="69A654FE">
            <w:pPr>
              <w:pStyle w:val="48"/>
            </w:pPr>
            <w:r>
              <w:t>70</w:t>
            </w:r>
          </w:p>
        </w:tc>
        <w:tc>
          <w:tcPr>
            <w:tcW w:w="730" w:type="pct"/>
            <w:vAlign w:val="center"/>
          </w:tcPr>
          <w:p w14:paraId="3AB93613">
            <w:pPr>
              <w:pStyle w:val="48"/>
            </w:pPr>
            <w:r>
              <w:t>55</w:t>
            </w:r>
          </w:p>
        </w:tc>
      </w:tr>
      <w:tr w14:paraId="3B723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806" w:type="pct"/>
            <w:vMerge w:val="restart"/>
            <w:vAlign w:val="center"/>
          </w:tcPr>
          <w:p w14:paraId="6A7612FB">
            <w:pPr>
              <w:pStyle w:val="48"/>
            </w:pPr>
            <w:r>
              <w:t>《工业企业厂界环境噪声排放标准》</w:t>
            </w:r>
          </w:p>
          <w:p w14:paraId="0DD7034D">
            <w:pPr>
              <w:pStyle w:val="48"/>
            </w:pPr>
            <w:r>
              <w:t>（GB12348-2008）</w:t>
            </w:r>
          </w:p>
        </w:tc>
        <w:tc>
          <w:tcPr>
            <w:tcW w:w="694" w:type="pct"/>
            <w:vAlign w:val="center"/>
          </w:tcPr>
          <w:p w14:paraId="62DD934B">
            <w:pPr>
              <w:pStyle w:val="48"/>
            </w:pPr>
            <w:r>
              <w:t>3类</w:t>
            </w:r>
          </w:p>
        </w:tc>
        <w:tc>
          <w:tcPr>
            <w:tcW w:w="770" w:type="pct"/>
            <w:vAlign w:val="center"/>
          </w:tcPr>
          <w:p w14:paraId="38C0C562">
            <w:pPr>
              <w:pStyle w:val="48"/>
            </w:pPr>
            <w:r>
              <w:t>65</w:t>
            </w:r>
          </w:p>
        </w:tc>
        <w:tc>
          <w:tcPr>
            <w:tcW w:w="730" w:type="pct"/>
            <w:vAlign w:val="center"/>
          </w:tcPr>
          <w:p w14:paraId="4A49F631">
            <w:pPr>
              <w:pStyle w:val="48"/>
            </w:pPr>
            <w:r>
              <w:t>55</w:t>
            </w:r>
          </w:p>
        </w:tc>
      </w:tr>
      <w:tr w14:paraId="0DABC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806" w:type="pct"/>
            <w:vMerge w:val="continue"/>
            <w:vAlign w:val="center"/>
          </w:tcPr>
          <w:p w14:paraId="5D9D0429">
            <w:pPr>
              <w:pStyle w:val="48"/>
            </w:pPr>
          </w:p>
        </w:tc>
        <w:tc>
          <w:tcPr>
            <w:tcW w:w="694" w:type="pct"/>
            <w:vAlign w:val="center"/>
          </w:tcPr>
          <w:p w14:paraId="74859ED1">
            <w:pPr>
              <w:pStyle w:val="48"/>
            </w:pPr>
            <w:r>
              <w:rPr>
                <w:rFonts w:hint="eastAsia"/>
              </w:rPr>
              <w:t>4类</w:t>
            </w:r>
          </w:p>
        </w:tc>
        <w:tc>
          <w:tcPr>
            <w:tcW w:w="770" w:type="pct"/>
            <w:vAlign w:val="center"/>
          </w:tcPr>
          <w:p w14:paraId="40A60596">
            <w:pPr>
              <w:pStyle w:val="48"/>
            </w:pPr>
            <w:r>
              <w:rPr>
                <w:rFonts w:hint="eastAsia"/>
              </w:rPr>
              <w:t>7</w:t>
            </w:r>
            <w:r>
              <w:t>0</w:t>
            </w:r>
          </w:p>
        </w:tc>
        <w:tc>
          <w:tcPr>
            <w:tcW w:w="730" w:type="pct"/>
            <w:vAlign w:val="center"/>
          </w:tcPr>
          <w:p w14:paraId="001D724B">
            <w:pPr>
              <w:pStyle w:val="48"/>
            </w:pPr>
            <w:r>
              <w:rPr>
                <w:rFonts w:hint="eastAsia"/>
              </w:rPr>
              <w:t>5</w:t>
            </w:r>
            <w:r>
              <w:t>5</w:t>
            </w:r>
          </w:p>
        </w:tc>
      </w:tr>
    </w:tbl>
    <w:p w14:paraId="12A959E3">
      <w:pPr>
        <w:pStyle w:val="8"/>
        <w:ind w:firstLine="521"/>
        <w:rPr>
          <w:rFonts w:cs="Times New Roman"/>
        </w:rPr>
      </w:pPr>
      <w:r>
        <w:rPr>
          <w:rFonts w:cs="Times New Roman"/>
        </w:rPr>
        <w:t>2.3.2.2 固体废物</w:t>
      </w:r>
    </w:p>
    <w:p w14:paraId="2E7E5E20">
      <w:pPr>
        <w:ind w:firstLine="519"/>
        <w:rPr>
          <w:rFonts w:cs="Times New Roman"/>
        </w:rPr>
      </w:pPr>
      <w:r>
        <w:rPr>
          <w:rFonts w:cs="Times New Roman"/>
        </w:rPr>
        <w:t>一般工业固体废物储存及处置执行《一般工业固体废物贮存和填埋污染控制标准》（GB18599-2020）；危险废物按其性质执行《危险废物贮存污染控制标准》（GB18597-2001）及2013修改单要求。</w:t>
      </w:r>
    </w:p>
    <w:p w14:paraId="759B80DE">
      <w:pPr>
        <w:pStyle w:val="6"/>
        <w:spacing w:before="170" w:after="170"/>
        <w:rPr>
          <w:rFonts w:cs="Times New Roman"/>
        </w:rPr>
      </w:pPr>
      <w:bookmarkStart w:id="167" w:name="_Toc121420798"/>
      <w:bookmarkStart w:id="168" w:name="_Toc55742514"/>
      <w:bookmarkStart w:id="169" w:name="_Toc63257115"/>
      <w:r>
        <w:rPr>
          <w:rFonts w:cs="Times New Roman"/>
        </w:rPr>
        <w:t>2.5评价工作等级及评价范围</w:t>
      </w:r>
      <w:bookmarkEnd w:id="167"/>
      <w:bookmarkEnd w:id="168"/>
      <w:bookmarkEnd w:id="169"/>
    </w:p>
    <w:p w14:paraId="282731A8">
      <w:pPr>
        <w:pStyle w:val="7"/>
      </w:pPr>
      <w:bookmarkStart w:id="170" w:name="_Toc86852258"/>
      <w:bookmarkStart w:id="171" w:name="_Toc90318395"/>
      <w:bookmarkStart w:id="172" w:name="_Toc121420799"/>
      <w:bookmarkStart w:id="173" w:name="_Toc89882435"/>
      <w:bookmarkStart w:id="174" w:name="_Toc89786110"/>
      <w:bookmarkStart w:id="175" w:name="_Toc90997642"/>
      <w:bookmarkStart w:id="176" w:name="_Toc90989216"/>
      <w:r>
        <w:t>2.5.1</w:t>
      </w:r>
      <w:bookmarkEnd w:id="170"/>
      <w:bookmarkStart w:id="177" w:name="_Toc86852259"/>
      <w:bookmarkStart w:id="178" w:name="_Toc63257116"/>
      <w:bookmarkStart w:id="179" w:name="_Toc186012802"/>
      <w:bookmarkStart w:id="180" w:name="_Toc187719213"/>
      <w:bookmarkStart w:id="181" w:name="_Toc186012806"/>
      <w:bookmarkStart w:id="182" w:name="_Toc187719217"/>
      <w:r>
        <w:t>环境空气评价等级及范围</w:t>
      </w:r>
      <w:bookmarkEnd w:id="171"/>
      <w:bookmarkEnd w:id="172"/>
      <w:bookmarkEnd w:id="173"/>
      <w:bookmarkEnd w:id="174"/>
      <w:bookmarkEnd w:id="175"/>
      <w:bookmarkEnd w:id="176"/>
      <w:bookmarkEnd w:id="177"/>
      <w:bookmarkEnd w:id="178"/>
      <w:bookmarkEnd w:id="179"/>
      <w:bookmarkEnd w:id="180"/>
    </w:p>
    <w:bookmarkEnd w:id="181"/>
    <w:bookmarkEnd w:id="182"/>
    <w:p w14:paraId="4F264D16">
      <w:pPr>
        <w:ind w:firstLine="519"/>
        <w:rPr>
          <w:rFonts w:cs="Times New Roman"/>
          <w:szCs w:val="24"/>
        </w:rPr>
      </w:pPr>
      <w:bookmarkStart w:id="183" w:name="_Toc533840300"/>
      <w:r>
        <w:rPr>
          <w:rFonts w:cs="Times New Roman"/>
        </w:rPr>
        <w:t>本项目正常工况下无废气产生，</w:t>
      </w:r>
      <w:r>
        <w:rPr>
          <w:rFonts w:hint="eastAsia" w:cs="Times New Roman"/>
        </w:rPr>
        <w:t>本次不对环境空气进行评价</w:t>
      </w:r>
      <w:r>
        <w:rPr>
          <w:rFonts w:cs="Times New Roman"/>
        </w:rPr>
        <w:t>。</w:t>
      </w:r>
    </w:p>
    <w:p w14:paraId="10530552">
      <w:pPr>
        <w:pStyle w:val="7"/>
      </w:pPr>
      <w:bookmarkStart w:id="184" w:name="_Toc86852260"/>
      <w:bookmarkStart w:id="185" w:name="_Toc89786111"/>
      <w:bookmarkStart w:id="186" w:name="_Toc121420800"/>
      <w:bookmarkStart w:id="187" w:name="_Toc90989217"/>
      <w:bookmarkStart w:id="188" w:name="_Toc90997643"/>
      <w:bookmarkStart w:id="189" w:name="_Toc89882436"/>
      <w:bookmarkStart w:id="190" w:name="_Toc90318396"/>
      <w:r>
        <w:t xml:space="preserve">2.5.2 </w:t>
      </w:r>
      <w:bookmarkStart w:id="191" w:name="_Hlk90284220"/>
      <w:r>
        <w:t>地表水</w:t>
      </w:r>
      <w:bookmarkEnd w:id="191"/>
      <w:r>
        <w:t>环境评价等级及评价范围</w:t>
      </w:r>
      <w:bookmarkEnd w:id="184"/>
      <w:bookmarkEnd w:id="185"/>
      <w:bookmarkEnd w:id="186"/>
      <w:bookmarkEnd w:id="187"/>
      <w:bookmarkEnd w:id="188"/>
      <w:bookmarkEnd w:id="189"/>
      <w:bookmarkEnd w:id="190"/>
    </w:p>
    <w:p w14:paraId="43768D96">
      <w:pPr>
        <w:ind w:firstLine="519"/>
        <w:rPr>
          <w:rFonts w:cs="Times New Roman"/>
        </w:rPr>
      </w:pPr>
      <w:r>
        <w:rPr>
          <w:rFonts w:cs="Times New Roman"/>
        </w:rPr>
        <w:t>本项目采用水溶法进行采卤作业，由埋地管道将卤水输送至建滔</w:t>
      </w:r>
      <w:bookmarkStart w:id="192" w:name="_Hlk88463488"/>
      <w:r>
        <w:rPr>
          <w:rFonts w:cs="Times New Roman"/>
        </w:rPr>
        <w:t>（衡阳）实业有限公司</w:t>
      </w:r>
      <w:bookmarkEnd w:id="192"/>
      <w:r>
        <w:rPr>
          <w:rFonts w:cs="Times New Roman"/>
        </w:rPr>
        <w:t>生产烧碱使用，整个采卤过程无废水排放。此外，本项目不新增劳动定员，矿区现有职工依托建滔（衡阳）实业有限公司</w:t>
      </w:r>
      <w:r>
        <w:rPr>
          <w:rFonts w:hint="eastAsia" w:cs="Times New Roman"/>
        </w:rPr>
        <w:t>相关设施</w:t>
      </w:r>
      <w:r>
        <w:rPr>
          <w:rFonts w:cs="Times New Roman"/>
        </w:rPr>
        <w:t>。</w:t>
      </w:r>
      <w:r>
        <w:rPr>
          <w:rFonts w:hint="eastAsia" w:cs="Times New Roman"/>
        </w:rPr>
        <w:t>地表水</w:t>
      </w:r>
      <w:r>
        <w:rPr>
          <w:rFonts w:cs="Times New Roman"/>
        </w:rPr>
        <w:t>评价</w:t>
      </w:r>
      <w:r>
        <w:rPr>
          <w:rFonts w:hint="eastAsia" w:cs="Times New Roman"/>
        </w:rPr>
        <w:t>等级为三级B</w:t>
      </w:r>
      <w:r>
        <w:rPr>
          <w:rFonts w:cs="Times New Roman"/>
        </w:rPr>
        <w:t>。</w:t>
      </w:r>
      <w:r>
        <w:rPr>
          <w:rFonts w:hint="eastAsia" w:cs="Times New Roman"/>
        </w:rPr>
        <w:t>评价范围为松木污水处理厂湘江排污口上游500m断面至下游</w:t>
      </w:r>
      <w:r>
        <w:rPr>
          <w:rFonts w:cs="Times New Roman"/>
        </w:rPr>
        <w:t>50</w:t>
      </w:r>
      <w:r>
        <w:rPr>
          <w:rFonts w:hint="eastAsia" w:cs="Times New Roman"/>
        </w:rPr>
        <w:t>00m断面。</w:t>
      </w:r>
    </w:p>
    <w:p w14:paraId="2F359D0B">
      <w:pPr>
        <w:pStyle w:val="7"/>
      </w:pPr>
      <w:bookmarkStart w:id="193" w:name="_Toc90997644"/>
      <w:bookmarkStart w:id="194" w:name="_Toc89882437"/>
      <w:bookmarkStart w:id="195" w:name="_Toc121420801"/>
      <w:bookmarkStart w:id="196" w:name="_Toc89786112"/>
      <w:bookmarkStart w:id="197" w:name="_Toc86852261"/>
      <w:bookmarkStart w:id="198" w:name="_Toc90989218"/>
      <w:bookmarkStart w:id="199" w:name="_Toc90318397"/>
      <w:r>
        <w:t>2.5.3 地下水环境评价等级及评价范围</w:t>
      </w:r>
      <w:bookmarkEnd w:id="193"/>
      <w:bookmarkEnd w:id="194"/>
      <w:bookmarkEnd w:id="195"/>
      <w:bookmarkEnd w:id="196"/>
      <w:bookmarkEnd w:id="197"/>
      <w:bookmarkEnd w:id="198"/>
      <w:bookmarkEnd w:id="199"/>
    </w:p>
    <w:p w14:paraId="4A11256A">
      <w:pPr>
        <w:pStyle w:val="8"/>
        <w:ind w:firstLine="521"/>
        <w:rPr>
          <w:rFonts w:cs="Times New Roman"/>
        </w:rPr>
      </w:pPr>
      <w:r>
        <w:rPr>
          <w:rFonts w:cs="Times New Roman"/>
        </w:rPr>
        <w:t>2.5.3.1 评价等级</w:t>
      </w:r>
    </w:p>
    <w:p w14:paraId="44C44B38">
      <w:pPr>
        <w:widowControl/>
        <w:ind w:firstLine="519"/>
        <w:jc w:val="left"/>
        <w:rPr>
          <w:rFonts w:cs="Times New Roman"/>
          <w:kern w:val="0"/>
          <w:lang w:bidi="ar"/>
        </w:rPr>
      </w:pPr>
      <w:r>
        <w:rPr>
          <w:rFonts w:cs="Times New Roman"/>
          <w:kern w:val="0"/>
          <w:lang w:bidi="ar"/>
        </w:rPr>
        <w:t>（1）项目类别</w:t>
      </w:r>
    </w:p>
    <w:p w14:paraId="1279CE84">
      <w:pPr>
        <w:widowControl/>
        <w:ind w:firstLine="519"/>
        <w:jc w:val="left"/>
        <w:rPr>
          <w:rFonts w:cs="Times New Roman"/>
          <w:szCs w:val="24"/>
        </w:rPr>
      </w:pPr>
      <w:r>
        <w:rPr>
          <w:rFonts w:cs="Times New Roman"/>
          <w:kern w:val="0"/>
          <w:lang w:bidi="ar"/>
        </w:rPr>
        <w:t>根据《环境影响评价技术导则地下水环境》（HJ610-2016）附录A，</w:t>
      </w:r>
      <w:r>
        <w:rPr>
          <w:rFonts w:cs="Times New Roman"/>
          <w:szCs w:val="24"/>
        </w:rPr>
        <w:t>项目属于“J 非金属矿采选及制品制造 56采盐（井盐）”</w:t>
      </w:r>
      <w:r>
        <w:rPr>
          <w:rFonts w:cs="Times New Roman"/>
        </w:rPr>
        <w:t>类</w:t>
      </w:r>
      <w:r>
        <w:rPr>
          <w:rFonts w:cs="Times New Roman"/>
          <w:szCs w:val="24"/>
        </w:rPr>
        <w:t>，属于</w:t>
      </w:r>
      <w:r>
        <w:rPr>
          <w:rFonts w:hint="eastAsia" w:ascii="宋体" w:hAnsi="宋体" w:cs="宋体"/>
          <w:szCs w:val="24"/>
        </w:rPr>
        <w:t>Ⅲ</w:t>
      </w:r>
      <w:r>
        <w:rPr>
          <w:rFonts w:cs="Times New Roman"/>
          <w:szCs w:val="24"/>
        </w:rPr>
        <w:t>类。</w:t>
      </w:r>
    </w:p>
    <w:p w14:paraId="0575F236">
      <w:pPr>
        <w:widowControl/>
        <w:ind w:firstLine="519"/>
        <w:jc w:val="left"/>
        <w:rPr>
          <w:rFonts w:cs="Times New Roman"/>
          <w:kern w:val="0"/>
          <w:lang w:bidi="ar"/>
        </w:rPr>
      </w:pPr>
      <w:r>
        <w:rPr>
          <w:rFonts w:cs="Times New Roman"/>
          <w:kern w:val="0"/>
          <w:lang w:bidi="ar"/>
        </w:rPr>
        <w:t>（2）地下水环境敏感程度</w:t>
      </w:r>
    </w:p>
    <w:p w14:paraId="0C1639B7">
      <w:pPr>
        <w:widowControl/>
        <w:ind w:firstLine="519"/>
        <w:jc w:val="left"/>
        <w:rPr>
          <w:rFonts w:cs="Times New Roman"/>
          <w:szCs w:val="24"/>
        </w:rPr>
      </w:pPr>
      <w:r>
        <w:rPr>
          <w:rFonts w:cs="Times New Roman"/>
          <w:szCs w:val="24"/>
        </w:rPr>
        <w:t>建设项目的地下水环境敏感程度可分为敏感、较敏感、不敏感三级，分级原则见下表所示。</w:t>
      </w:r>
    </w:p>
    <w:p w14:paraId="4655B711">
      <w:pPr>
        <w:pStyle w:val="9"/>
      </w:pPr>
      <w:r>
        <w:t>表2.5–1  地下水环境敏感程度分级</w:t>
      </w:r>
    </w:p>
    <w:tbl>
      <w:tblPr>
        <w:tblStyle w:val="29"/>
        <w:tblW w:w="84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8"/>
        <w:gridCol w:w="7252"/>
      </w:tblGrid>
      <w:tr w14:paraId="12CBA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08" w:type="dxa"/>
            <w:tcBorders>
              <w:top w:val="single" w:color="auto" w:sz="12" w:space="0"/>
            </w:tcBorders>
            <w:vAlign w:val="center"/>
          </w:tcPr>
          <w:p w14:paraId="77B90FC1">
            <w:pPr>
              <w:pStyle w:val="48"/>
            </w:pPr>
            <w:r>
              <w:t>分级</w:t>
            </w:r>
          </w:p>
        </w:tc>
        <w:tc>
          <w:tcPr>
            <w:tcW w:w="7252" w:type="dxa"/>
            <w:tcBorders>
              <w:top w:val="single" w:color="auto" w:sz="12" w:space="0"/>
            </w:tcBorders>
            <w:vAlign w:val="center"/>
          </w:tcPr>
          <w:p w14:paraId="5B1C5F7E">
            <w:pPr>
              <w:pStyle w:val="48"/>
            </w:pPr>
            <w:r>
              <w:t>项目场地的地下水环境敏感特征</w:t>
            </w:r>
          </w:p>
        </w:tc>
      </w:tr>
      <w:tr w14:paraId="2B59E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08" w:type="dxa"/>
            <w:vAlign w:val="center"/>
          </w:tcPr>
          <w:p w14:paraId="2EAB28B4">
            <w:pPr>
              <w:pStyle w:val="48"/>
            </w:pPr>
            <w:r>
              <w:t>敏感</w:t>
            </w:r>
          </w:p>
        </w:tc>
        <w:tc>
          <w:tcPr>
            <w:tcW w:w="7252" w:type="dxa"/>
            <w:vAlign w:val="center"/>
          </w:tcPr>
          <w:p w14:paraId="7BB0F85F">
            <w:pPr>
              <w:pStyle w:val="48"/>
              <w:jc w:val="both"/>
            </w:pPr>
            <w:r>
              <w:t>集中式饮用水水源地（包括己建成的在用、备用、应急水源地，在建和规划的水源地）准保护区；除集中式饮用水水源地以外的国家或地方政府设定的与地下水环境相关的其它保护区，如热水、矿泉水、温泉等特殊地下水资源保护区。</w:t>
            </w:r>
          </w:p>
        </w:tc>
      </w:tr>
      <w:tr w14:paraId="28715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08" w:type="dxa"/>
            <w:vAlign w:val="center"/>
          </w:tcPr>
          <w:p w14:paraId="57B7E06B">
            <w:pPr>
              <w:pStyle w:val="48"/>
            </w:pPr>
            <w:r>
              <w:t>较敏感</w:t>
            </w:r>
          </w:p>
        </w:tc>
        <w:tc>
          <w:tcPr>
            <w:tcW w:w="7252" w:type="dxa"/>
            <w:vAlign w:val="center"/>
          </w:tcPr>
          <w:p w14:paraId="68811F7D">
            <w:pPr>
              <w:pStyle w:val="48"/>
              <w:jc w:val="both"/>
            </w:pPr>
            <w:r>
              <w:t>集中式饮用水水源地（包括己建成的在用、备用、应急水源地，在建和规划的水源地）准保护区以外的补给径流区；未划定准保护区的集中式饮用水水源，其保护区以外的补给径流区；分散式饮用水源地；特殊地下水资源（如矿泉水、温泉等）保护区以外的分布区等其他未列入上述敏感分级的环境敏感区。</w:t>
            </w:r>
          </w:p>
        </w:tc>
      </w:tr>
      <w:tr w14:paraId="0C92E6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08" w:type="dxa"/>
            <w:vAlign w:val="center"/>
          </w:tcPr>
          <w:p w14:paraId="3D8CC199">
            <w:pPr>
              <w:pStyle w:val="48"/>
            </w:pPr>
            <w:r>
              <w:t>不敏感</w:t>
            </w:r>
          </w:p>
        </w:tc>
        <w:tc>
          <w:tcPr>
            <w:tcW w:w="7252" w:type="dxa"/>
            <w:vAlign w:val="center"/>
          </w:tcPr>
          <w:p w14:paraId="3D9957A8">
            <w:pPr>
              <w:pStyle w:val="48"/>
              <w:jc w:val="both"/>
            </w:pPr>
            <w:r>
              <w:t>上述地区之外的其它地区。</w:t>
            </w:r>
          </w:p>
        </w:tc>
      </w:tr>
      <w:tr w14:paraId="21028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460" w:type="dxa"/>
            <w:gridSpan w:val="2"/>
            <w:tcBorders>
              <w:bottom w:val="single" w:color="auto" w:sz="12" w:space="0"/>
            </w:tcBorders>
            <w:vAlign w:val="center"/>
          </w:tcPr>
          <w:p w14:paraId="20C079AB">
            <w:pPr>
              <w:pStyle w:val="48"/>
              <w:jc w:val="both"/>
            </w:pPr>
            <w:r>
              <w:t>注： “环境敏感区”是指《建设项目环境影响评价分类管理名录》中所界定的涉及地下水的环境敏感区。</w:t>
            </w:r>
          </w:p>
        </w:tc>
      </w:tr>
    </w:tbl>
    <w:p w14:paraId="590D08D0">
      <w:pPr>
        <w:widowControl/>
        <w:ind w:firstLine="519"/>
        <w:jc w:val="left"/>
        <w:rPr>
          <w:rFonts w:cs="Times New Roman"/>
          <w:szCs w:val="24"/>
        </w:rPr>
      </w:pPr>
      <w:r>
        <w:rPr>
          <w:rFonts w:cs="Times New Roman"/>
          <w:szCs w:val="24"/>
        </w:rPr>
        <w:t>根据现场调查，本项目评价范围周边居民已有自来水，居民井水为其他生活用水，不作为直接饮用水源，项目区无集中式饮用水水源准保护区、</w:t>
      </w:r>
      <w:r>
        <w:rPr>
          <w:rFonts w:hint="eastAsia" w:cs="Times New Roman"/>
          <w:szCs w:val="24"/>
        </w:rPr>
        <w:t>无</w:t>
      </w:r>
      <w:r>
        <w:rPr>
          <w:rFonts w:cs="Times New Roman"/>
          <w:szCs w:val="24"/>
        </w:rPr>
        <w:t>热水、矿泉水、温泉等特殊地下水源保护区、</w:t>
      </w:r>
      <w:r>
        <w:rPr>
          <w:rFonts w:hint="eastAsia" w:cs="Times New Roman"/>
          <w:szCs w:val="24"/>
        </w:rPr>
        <w:t>无</w:t>
      </w:r>
      <w:r>
        <w:rPr>
          <w:rFonts w:cs="Times New Roman"/>
          <w:szCs w:val="24"/>
        </w:rPr>
        <w:t>分散式饮用水水源地、也不属于补给径流区，项目用地为工业用地，项目场地地下水敏感程度为不敏感。根据地下水导则的表2，结合项目特点，本项目各部分地下水评价分级见下表所示。</w:t>
      </w:r>
    </w:p>
    <w:p w14:paraId="64385B61">
      <w:pPr>
        <w:pStyle w:val="9"/>
      </w:pPr>
      <w:r>
        <w:t>表2.5-2  建设工程地下水环境影响评价工作等级划分表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61"/>
        <w:gridCol w:w="2976"/>
        <w:gridCol w:w="2891"/>
      </w:tblGrid>
      <w:tr w14:paraId="558C9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560" w:type="pct"/>
            <w:vAlign w:val="center"/>
          </w:tcPr>
          <w:p w14:paraId="71824074">
            <w:pPr>
              <w:pStyle w:val="48"/>
            </w:pPr>
            <w:r>
              <w:t>项目类别</w:t>
            </w:r>
          </w:p>
        </w:tc>
        <w:tc>
          <w:tcPr>
            <w:tcW w:w="1745" w:type="pct"/>
            <w:vAlign w:val="center"/>
          </w:tcPr>
          <w:p w14:paraId="636E0DD6">
            <w:pPr>
              <w:pStyle w:val="48"/>
            </w:pPr>
            <w:r>
              <w:t>地下水环境敏感程度</w:t>
            </w:r>
          </w:p>
        </w:tc>
        <w:tc>
          <w:tcPr>
            <w:tcW w:w="1695" w:type="pct"/>
            <w:vAlign w:val="center"/>
          </w:tcPr>
          <w:p w14:paraId="6BD97432">
            <w:pPr>
              <w:pStyle w:val="48"/>
            </w:pPr>
            <w:r>
              <w:t>评价等级</w:t>
            </w:r>
          </w:p>
        </w:tc>
      </w:tr>
      <w:tr w14:paraId="14318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560" w:type="pct"/>
            <w:vAlign w:val="center"/>
          </w:tcPr>
          <w:p w14:paraId="1ED23215">
            <w:pPr>
              <w:pStyle w:val="48"/>
            </w:pPr>
            <w:r>
              <w:rPr>
                <w:rFonts w:hint="eastAsia" w:ascii="宋体" w:hAnsi="宋体" w:cs="宋体"/>
              </w:rPr>
              <w:t>Ⅲ</w:t>
            </w:r>
            <w:r>
              <w:t>类项目</w:t>
            </w:r>
          </w:p>
        </w:tc>
        <w:tc>
          <w:tcPr>
            <w:tcW w:w="1745" w:type="pct"/>
            <w:vAlign w:val="center"/>
          </w:tcPr>
          <w:p w14:paraId="2A1DE0F2">
            <w:pPr>
              <w:pStyle w:val="48"/>
            </w:pPr>
            <w:r>
              <w:t>不敏感</w:t>
            </w:r>
          </w:p>
        </w:tc>
        <w:tc>
          <w:tcPr>
            <w:tcW w:w="1695" w:type="pct"/>
            <w:vAlign w:val="center"/>
          </w:tcPr>
          <w:p w14:paraId="7FDB5B57">
            <w:pPr>
              <w:pStyle w:val="48"/>
            </w:pPr>
            <w:r>
              <w:t>三级</w:t>
            </w:r>
          </w:p>
        </w:tc>
      </w:tr>
    </w:tbl>
    <w:p w14:paraId="0A63EDEA">
      <w:pPr>
        <w:widowControl/>
        <w:ind w:firstLine="519"/>
        <w:jc w:val="left"/>
        <w:rPr>
          <w:rFonts w:cs="Times New Roman"/>
          <w:szCs w:val="24"/>
        </w:rPr>
      </w:pPr>
      <w:r>
        <w:rPr>
          <w:rFonts w:cs="Times New Roman"/>
          <w:szCs w:val="24"/>
        </w:rPr>
        <w:t>根据以上表格，本项目地下水评价等级为三级。</w:t>
      </w:r>
    </w:p>
    <w:p w14:paraId="330319D2">
      <w:pPr>
        <w:pStyle w:val="8"/>
        <w:ind w:firstLine="521"/>
        <w:rPr>
          <w:rFonts w:cs="Times New Roman"/>
        </w:rPr>
      </w:pPr>
      <w:r>
        <w:rPr>
          <w:rFonts w:cs="Times New Roman"/>
        </w:rPr>
        <w:t xml:space="preserve">2.5.3.2 </w:t>
      </w:r>
      <w:r>
        <w:rPr>
          <w:rFonts w:cs="Times New Roman"/>
          <w:szCs w:val="24"/>
        </w:rPr>
        <w:t>评价范围</w:t>
      </w:r>
    </w:p>
    <w:p w14:paraId="4B487BB8">
      <w:pPr>
        <w:widowControl/>
        <w:ind w:firstLine="519"/>
        <w:jc w:val="left"/>
        <w:rPr>
          <w:rFonts w:cs="Times New Roman"/>
        </w:rPr>
      </w:pPr>
      <w:r>
        <w:rPr>
          <w:rFonts w:cs="Times New Roman"/>
        </w:rPr>
        <w:t>依据</w:t>
      </w:r>
      <w:r>
        <w:rPr>
          <w:rFonts w:cs="Times New Roman"/>
          <w:szCs w:val="24"/>
        </w:rPr>
        <w:t>《环境影响评价技术导则-地下水环境》</w:t>
      </w:r>
      <w:r>
        <w:rPr>
          <w:rFonts w:cs="Times New Roman"/>
        </w:rPr>
        <w:t>（HJ610-2016）的要求，本项目评价范围为以矿区为中心周围6km</w:t>
      </w:r>
      <w:r>
        <w:rPr>
          <w:rFonts w:cs="Times New Roman"/>
          <w:vertAlign w:val="superscript"/>
        </w:rPr>
        <w:t>2</w:t>
      </w:r>
      <w:r>
        <w:rPr>
          <w:rFonts w:cs="Times New Roman"/>
        </w:rPr>
        <w:t>范围，详见下图所示。</w:t>
      </w:r>
    </w:p>
    <w:p w14:paraId="339E2CAD">
      <w:pPr>
        <w:ind w:firstLineChars="77"/>
        <w:jc w:val="center"/>
        <w:rPr>
          <w:rFonts w:cs="Times New Roman"/>
        </w:rPr>
      </w:pPr>
      <w:r>
        <w:rPr>
          <w:rFonts w:cs="Times New Roman"/>
        </w:rPr>
        <mc:AlternateContent>
          <mc:Choice Requires="wps">
            <w:drawing>
              <wp:anchor distT="0" distB="0" distL="114300" distR="114300" simplePos="0" relativeHeight="251665408" behindDoc="0" locked="0" layoutInCell="1" allowOverlap="1">
                <wp:simplePos x="0" y="0"/>
                <wp:positionH relativeFrom="column">
                  <wp:posOffset>725805</wp:posOffset>
                </wp:positionH>
                <wp:positionV relativeFrom="paragraph">
                  <wp:posOffset>1977390</wp:posOffset>
                </wp:positionV>
                <wp:extent cx="955040" cy="371475"/>
                <wp:effectExtent l="0" t="0" r="0" b="0"/>
                <wp:wrapNone/>
                <wp:docPr id="16" name="矩形 16"/>
                <wp:cNvGraphicFramePr/>
                <a:graphic xmlns:a="http://schemas.openxmlformats.org/drawingml/2006/main">
                  <a:graphicData uri="http://schemas.microsoft.com/office/word/2010/wordprocessingShape">
                    <wps:wsp>
                      <wps:cNvSpPr/>
                      <wps:spPr>
                        <a:xfrm>
                          <a:off x="0" y="0"/>
                          <a:ext cx="954949" cy="371475"/>
                        </a:xfrm>
                        <a:prstGeom prst="rect">
                          <a:avLst/>
                        </a:prstGeom>
                        <a:noFill/>
                        <a:ln w="25400" cap="flat" cmpd="sng" algn="ctr">
                          <a:noFill/>
                          <a:prstDash val="solid"/>
                        </a:ln>
                        <a:effectLst/>
                      </wps:spPr>
                      <wps:txbx>
                        <w:txbxContent>
                          <w:p w14:paraId="7C9C6392">
                            <w:pPr>
                              <w:ind w:firstLine="0" w:firstLineChars="0"/>
                              <w:jc w:val="center"/>
                              <w:rPr>
                                <w:b/>
                                <w:bCs/>
                                <w:color w:val="FFFFFF"/>
                              </w:rPr>
                            </w:pPr>
                            <w:r>
                              <w:rPr>
                                <w:rFonts w:hint="eastAsia"/>
                                <w:b/>
                                <w:bCs/>
                                <w:color w:val="FFFFFF"/>
                              </w:rPr>
                              <w:t>评价范围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15pt;margin-top:155.7pt;height:29.25pt;width:75.2pt;z-index:251665408;v-text-anchor:middle;mso-width-relative:page;mso-height-relative:page;" filled="f" stroked="f" coordsize="21600,21600" o:gfxdata="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q3/&#10;ztkAAAALAQAADwAAAAAAAAABACAAAAAiAAAAZHJzL2Rvd25yZXYueG1sUEsBAhQAFAAAAAgAh07i&#10;QKZ+kjNaAgAApQQAAA4AAAAAAAAAAQAgAAAAKAEAAGRycy9lMm9Eb2MueG1sUEsFBgAAAAAGAAYA&#10;WQEAAPQFAAAAAA==&#10;">
                <v:fill on="f" focussize="0,0"/>
                <v:stroke on="f" weight="2pt"/>
                <v:imagedata o:title=""/>
                <o:lock v:ext="edit" aspectratio="f"/>
                <v:textbox>
                  <w:txbxContent>
                    <w:p w14:paraId="7C9C6392">
                      <w:pPr>
                        <w:ind w:firstLine="0" w:firstLineChars="0"/>
                        <w:jc w:val="center"/>
                        <w:rPr>
                          <w:b/>
                          <w:bCs/>
                          <w:color w:val="FFFFFF"/>
                        </w:rPr>
                      </w:pPr>
                      <w:r>
                        <w:rPr>
                          <w:rFonts w:hint="eastAsia"/>
                          <w:b/>
                          <w:bCs/>
                          <w:color w:val="FFFFFF"/>
                        </w:rPr>
                        <w:t>评价范围</w:t>
                      </w:r>
                    </w:p>
                  </w:txbxContent>
                </v:textbox>
              </v:rect>
            </w:pict>
          </mc:Fallback>
        </mc:AlternateContent>
      </w:r>
      <w:r>
        <w:rPr>
          <w:rFonts w:cs="Times New Roman"/>
        </w:rPr>
        <mc:AlternateContent>
          <mc:Choice Requires="wps">
            <w:drawing>
              <wp:anchor distT="0" distB="0" distL="114300" distR="114300" simplePos="0" relativeHeight="251662336" behindDoc="0" locked="0" layoutInCell="1" allowOverlap="1">
                <wp:simplePos x="0" y="0"/>
                <wp:positionH relativeFrom="column">
                  <wp:posOffset>2754630</wp:posOffset>
                </wp:positionH>
                <wp:positionV relativeFrom="paragraph">
                  <wp:posOffset>485140</wp:posOffset>
                </wp:positionV>
                <wp:extent cx="1133475" cy="409575"/>
                <wp:effectExtent l="0" t="114300" r="0" b="123825"/>
                <wp:wrapNone/>
                <wp:docPr id="11" name="矩形 11"/>
                <wp:cNvGraphicFramePr/>
                <a:graphic xmlns:a="http://schemas.openxmlformats.org/drawingml/2006/main">
                  <a:graphicData uri="http://schemas.microsoft.com/office/word/2010/wordprocessingShape">
                    <wps:wsp>
                      <wps:cNvSpPr/>
                      <wps:spPr>
                        <a:xfrm rot="20499713">
                          <a:off x="0" y="0"/>
                          <a:ext cx="1133475"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E25E2">
                            <w:pPr>
                              <w:ind w:firstLine="0" w:firstLineChars="0"/>
                              <w:jc w:val="center"/>
                              <w:rPr>
                                <w:b/>
                                <w:bCs/>
                                <w:color w:val="0000FF"/>
                              </w:rPr>
                            </w:pPr>
                            <w:r>
                              <w:rPr>
                                <w:rFonts w:hint="eastAsia"/>
                                <w:b/>
                                <w:bCs/>
                                <w:color w:val="0000FF"/>
                              </w:rPr>
                              <w:t>地下水流向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9pt;margin-top:38.2pt;height:32.25pt;width:89.25pt;rotation:-1201807f;z-index:251662336;v-text-anchor:middle;mso-width-relative:page;mso-height-relative:page;" filled="f" stroked="f" coordsize="21600,21600" o:gfxdata="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Db7tfV&#10;AAAACgEAAA8AAAAAAAAAAQAgAAAAIgAAAGRycy9kb3ducmV2LnhtbFBLAQIUABQAAAAIAIdO4kD7&#10;h4QPXAIAAKcEAAAOAAAAAAAAAAEAIAAAACQBAABkcnMvZTJvRG9jLnhtbFBLBQYAAAAABgAGAFkB&#10;AADyBQAAAAA=&#10;">
                <v:fill on="f" focussize="0,0"/>
                <v:stroke on="f" weight="2pt"/>
                <v:imagedata o:title=""/>
                <o:lock v:ext="edit" aspectratio="f"/>
                <v:textbox>
                  <w:txbxContent>
                    <w:p w14:paraId="027E25E2">
                      <w:pPr>
                        <w:ind w:firstLine="0" w:firstLineChars="0"/>
                        <w:jc w:val="center"/>
                        <w:rPr>
                          <w:b/>
                          <w:bCs/>
                          <w:color w:val="0000FF"/>
                        </w:rPr>
                      </w:pPr>
                      <w:r>
                        <w:rPr>
                          <w:rFonts w:hint="eastAsia"/>
                          <w:b/>
                          <w:bCs/>
                          <w:color w:val="0000FF"/>
                        </w:rPr>
                        <w:t>地下水流向</w:t>
                      </w:r>
                    </w:p>
                  </w:txbxContent>
                </v:textbox>
              </v:rect>
            </w:pict>
          </mc:Fallback>
        </mc:AlternateContent>
      </w:r>
      <w:r>
        <w:rPr>
          <w:rFonts w:cs="Times New Roman"/>
        </w:rPr>
        <mc:AlternateContent>
          <mc:Choice Requires="wps">
            <w:drawing>
              <wp:anchor distT="0" distB="0" distL="114300" distR="114300" simplePos="0" relativeHeight="251664384" behindDoc="0" locked="0" layoutInCell="1" allowOverlap="1">
                <wp:simplePos x="0" y="0"/>
                <wp:positionH relativeFrom="column">
                  <wp:posOffset>1440180</wp:posOffset>
                </wp:positionH>
                <wp:positionV relativeFrom="paragraph">
                  <wp:posOffset>1062990</wp:posOffset>
                </wp:positionV>
                <wp:extent cx="1047750" cy="609600"/>
                <wp:effectExtent l="0" t="0" r="0" b="0"/>
                <wp:wrapNone/>
                <wp:docPr id="15" name="矩形 15"/>
                <wp:cNvGraphicFramePr/>
                <a:graphic xmlns:a="http://schemas.openxmlformats.org/drawingml/2006/main">
                  <a:graphicData uri="http://schemas.microsoft.com/office/word/2010/wordprocessingShape">
                    <wps:wsp>
                      <wps:cNvSpPr/>
                      <wps:spPr>
                        <a:xfrm flipH="1">
                          <a:off x="0" y="0"/>
                          <a:ext cx="1047750" cy="609600"/>
                        </a:xfrm>
                        <a:prstGeom prst="rect">
                          <a:avLst/>
                        </a:prstGeom>
                        <a:noFill/>
                        <a:ln w="25400" cap="flat" cmpd="sng" algn="ctr">
                          <a:noFill/>
                          <a:prstDash val="solid"/>
                        </a:ln>
                        <a:effectLst/>
                      </wps:spPr>
                      <wps:txbx>
                        <w:txbxContent>
                          <w:p w14:paraId="63F59CBC">
                            <w:pPr>
                              <w:ind w:firstLine="0" w:firstLineChars="0"/>
                              <w:jc w:val="center"/>
                              <w:rPr>
                                <w:b/>
                                <w:bCs/>
                                <w:color w:val="FF0000"/>
                              </w:rPr>
                            </w:pPr>
                            <w:r>
                              <w:rPr>
                                <w:rFonts w:hint="eastAsia"/>
                                <w:b/>
                                <w:bCs/>
                                <w:color w:val="FF0000"/>
                              </w:rPr>
                              <w:t>矿区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113.4pt;margin-top:83.7pt;height:48pt;width:82.5pt;z-index:251664384;v-text-anchor:middle;mso-width-relative:page;mso-height-relative:page;" filled="f" stroked="f" coordsize="21600,21600" o:gfxdata="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3HkYPaAAAACwEAAA8AAAAAAAAAAQAgAAAAIgAAAGRycy9kb3ducmV2LnhtbFBLAQIUABQA&#10;AAAIAIdO4kDtB/RKYAIAALAEAAAOAAAAAAAAAAEAIAAAACkBAABkcnMvZTJvRG9jLnhtbFBLBQYA&#10;AAAABgAGAFkBAAD7BQAAAAA=&#10;">
                <v:fill on="f" focussize="0,0"/>
                <v:stroke on="f" weight="2pt"/>
                <v:imagedata o:title=""/>
                <o:lock v:ext="edit" aspectratio="f"/>
                <v:textbox>
                  <w:txbxContent>
                    <w:p w14:paraId="63F59CBC">
                      <w:pPr>
                        <w:ind w:firstLine="0" w:firstLineChars="0"/>
                        <w:jc w:val="center"/>
                        <w:rPr>
                          <w:b/>
                          <w:bCs/>
                          <w:color w:val="FF0000"/>
                        </w:rPr>
                      </w:pPr>
                      <w:r>
                        <w:rPr>
                          <w:rFonts w:hint="eastAsia"/>
                          <w:b/>
                          <w:bCs/>
                          <w:color w:val="FF0000"/>
                        </w:rPr>
                        <w:t>矿区</w:t>
                      </w:r>
                    </w:p>
                  </w:txbxContent>
                </v:textbox>
              </v:rect>
            </w:pict>
          </mc:Fallback>
        </mc:AlternateContent>
      </w:r>
      <w:r>
        <w:rPr>
          <w:rFonts w:cs="Times New Roman"/>
        </w:rPr>
        <mc:AlternateContent>
          <mc:Choice Requires="wps">
            <w:drawing>
              <wp:anchor distT="0" distB="0" distL="114300" distR="114300" simplePos="0" relativeHeight="251663360" behindDoc="0" locked="0" layoutInCell="1" allowOverlap="1">
                <wp:simplePos x="0" y="0"/>
                <wp:positionH relativeFrom="column">
                  <wp:posOffset>4526280</wp:posOffset>
                </wp:positionH>
                <wp:positionV relativeFrom="paragraph">
                  <wp:posOffset>748665</wp:posOffset>
                </wp:positionV>
                <wp:extent cx="466725" cy="847725"/>
                <wp:effectExtent l="0" t="0" r="0" b="0"/>
                <wp:wrapNone/>
                <wp:docPr id="13" name="矩形 13"/>
                <wp:cNvGraphicFramePr/>
                <a:graphic xmlns:a="http://schemas.openxmlformats.org/drawingml/2006/main">
                  <a:graphicData uri="http://schemas.microsoft.com/office/word/2010/wordprocessingShape">
                    <wps:wsp>
                      <wps:cNvSpPr/>
                      <wps:spPr>
                        <a:xfrm>
                          <a:off x="0" y="0"/>
                          <a:ext cx="466725" cy="847725"/>
                        </a:xfrm>
                        <a:prstGeom prst="rect">
                          <a:avLst/>
                        </a:prstGeom>
                        <a:noFill/>
                        <a:ln w="25400" cap="flat" cmpd="sng" algn="ctr">
                          <a:noFill/>
                          <a:prstDash val="solid"/>
                        </a:ln>
                        <a:effectLst/>
                      </wps:spPr>
                      <wps:txbx>
                        <w:txbxContent>
                          <w:p w14:paraId="7C0F1606">
                            <w:pPr>
                              <w:ind w:firstLine="0" w:firstLineChars="0"/>
                              <w:jc w:val="center"/>
                              <w:rPr>
                                <w:b/>
                                <w:bCs/>
                                <w:color w:val="00B0F0"/>
                              </w:rPr>
                            </w:pPr>
                            <w:r>
                              <w:rPr>
                                <w:rFonts w:hint="eastAsia"/>
                                <w:b/>
                                <w:bCs/>
                                <w:color w:val="00B0F0"/>
                              </w:rPr>
                              <w:t>湘江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4pt;margin-top:58.95pt;height:66.75pt;width:36.75pt;z-index:251663360;v-text-anchor:middle;mso-width-relative:page;mso-height-relative:page;" filled="f" stroked="f" coordsize="21600,21600" o:gfxdata="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rNSGR&#10;2gAAAAsBAAAPAAAAAAAAAAEAIAAAACIAAABkcnMvZG93bnJldi54bWxQSwECFAAUAAAACACHTuJA&#10;xzTsgFgCAAClBAAADgAAAAAAAAABACAAAAApAQAAZHJzL2Uyb0RvYy54bWxQSwUGAAAAAAYABgBZ&#10;AQAA8wUAAAAA&#10;">
                <v:fill on="f" focussize="0,0"/>
                <v:stroke on="f" weight="2pt"/>
                <v:imagedata o:title=""/>
                <o:lock v:ext="edit" aspectratio="f"/>
                <v:textbox>
                  <w:txbxContent>
                    <w:p w14:paraId="7C0F1606">
                      <w:pPr>
                        <w:ind w:firstLine="0" w:firstLineChars="0"/>
                        <w:jc w:val="center"/>
                        <w:rPr>
                          <w:b/>
                          <w:bCs/>
                          <w:color w:val="00B0F0"/>
                        </w:rPr>
                      </w:pPr>
                      <w:r>
                        <w:rPr>
                          <w:rFonts w:hint="eastAsia"/>
                          <w:b/>
                          <w:bCs/>
                          <w:color w:val="00B0F0"/>
                        </w:rPr>
                        <w:t>湘江</w:t>
                      </w:r>
                    </w:p>
                  </w:txbxContent>
                </v:textbox>
              </v:rect>
            </w:pict>
          </mc:Fallback>
        </mc:AlternateContent>
      </w:r>
      <w:r>
        <w:rPr>
          <w:rFonts w:cs="Times New Roman"/>
        </w:rPr>
        <mc:AlternateContent>
          <mc:Choice Requires="wps">
            <w:drawing>
              <wp:anchor distT="0" distB="0" distL="114300" distR="114300" simplePos="0" relativeHeight="251661312" behindDoc="0" locked="0" layoutInCell="1" allowOverlap="1">
                <wp:simplePos x="0" y="0"/>
                <wp:positionH relativeFrom="column">
                  <wp:posOffset>3288030</wp:posOffset>
                </wp:positionH>
                <wp:positionV relativeFrom="paragraph">
                  <wp:posOffset>546100</wp:posOffset>
                </wp:positionV>
                <wp:extent cx="685800" cy="266700"/>
                <wp:effectExtent l="0" t="38100" r="57150" b="19050"/>
                <wp:wrapNone/>
                <wp:docPr id="3" name="直接箭头连接符 3"/>
                <wp:cNvGraphicFramePr/>
                <a:graphic xmlns:a="http://schemas.openxmlformats.org/drawingml/2006/main">
                  <a:graphicData uri="http://schemas.microsoft.com/office/word/2010/wordprocessingShape">
                    <wps:wsp>
                      <wps:cNvCnPr/>
                      <wps:spPr>
                        <a:xfrm flipV="1">
                          <a:off x="0" y="0"/>
                          <a:ext cx="685800" cy="26670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8.9pt;margin-top:43pt;height:21pt;width:54pt;z-index:251661312;mso-width-relative:page;mso-height-relative:page;" filled="f" stroked="t" coordsize="21600,21600" o:gfxdata="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hUEY1QAAAAoBAAAPAAAAAAAAAAEAIAAAACIAAABkcnMv&#10;ZG93bnJldi54bWxQSwECFAAUAAAACACHTuJAQnb/4AYCAADYAwAADgAAAAAAAAABACAAAAAkAQAA&#10;ZHJzL2Uyb0RvYy54bWxQSwUGAAAAAAYABgBZAQAAnAUAAAAA&#10;">
                <v:fill on="f" focussize="0,0"/>
                <v:stroke color="#0000FF [3204]" joinstyle="round" endarrow="block"/>
                <v:imagedata o:title=""/>
                <o:lock v:ext="edit" aspectratio="f"/>
              </v:shape>
            </w:pict>
          </mc:Fallback>
        </mc:AlternateContent>
      </w:r>
      <w:r>
        <w:rPr>
          <w:rFonts w:cs="Times New Roman"/>
        </w:rPr>
        <w:drawing>
          <wp:inline distT="0" distB="0" distL="0" distR="0">
            <wp:extent cx="5011420" cy="28098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rcRect l="5053" t="5758" b="4830"/>
                    <a:stretch>
                      <a:fillRect/>
                    </a:stretch>
                  </pic:blipFill>
                  <pic:spPr>
                    <a:xfrm>
                      <a:off x="0" y="0"/>
                      <a:ext cx="5011420" cy="2809875"/>
                    </a:xfrm>
                    <a:prstGeom prst="rect">
                      <a:avLst/>
                    </a:prstGeom>
                    <a:ln>
                      <a:noFill/>
                    </a:ln>
                  </pic:spPr>
                </pic:pic>
              </a:graphicData>
            </a:graphic>
          </wp:inline>
        </w:drawing>
      </w:r>
      <w:r>
        <w:rPr>
          <w:rFonts w:cs="Times New Roman"/>
        </w:rPr>
        <w:t xml:space="preserve"> </w:t>
      </w:r>
    </w:p>
    <w:p w14:paraId="1AE7632C">
      <w:pPr>
        <w:pStyle w:val="9"/>
      </w:pPr>
      <w:r>
        <w:t>图2.5-1 地下水评价范围示意图</w:t>
      </w:r>
    </w:p>
    <w:p w14:paraId="7F6C7521">
      <w:pPr>
        <w:pStyle w:val="7"/>
      </w:pPr>
      <w:bookmarkStart w:id="200" w:name="_Toc121420802"/>
      <w:bookmarkStart w:id="201" w:name="_Toc90318398"/>
      <w:bookmarkStart w:id="202" w:name="_Toc86852262"/>
      <w:bookmarkStart w:id="203" w:name="_Toc90997645"/>
      <w:bookmarkStart w:id="204" w:name="_Toc89786113"/>
      <w:bookmarkStart w:id="205" w:name="_Toc90989219"/>
      <w:bookmarkStart w:id="206" w:name="_Toc89882438"/>
      <w:r>
        <w:t>2.5.4 声环境评价等级及评价范围</w:t>
      </w:r>
      <w:bookmarkEnd w:id="200"/>
      <w:bookmarkEnd w:id="201"/>
      <w:bookmarkEnd w:id="202"/>
      <w:bookmarkEnd w:id="203"/>
      <w:bookmarkEnd w:id="204"/>
      <w:bookmarkEnd w:id="205"/>
      <w:bookmarkEnd w:id="206"/>
    </w:p>
    <w:p w14:paraId="5050C855">
      <w:pPr>
        <w:pStyle w:val="8"/>
        <w:ind w:firstLine="521"/>
        <w:rPr>
          <w:rFonts w:cs="Times New Roman"/>
        </w:rPr>
      </w:pPr>
      <w:r>
        <w:rPr>
          <w:rFonts w:cs="Times New Roman"/>
        </w:rPr>
        <w:t>2.5.4.1 评价等级</w:t>
      </w:r>
    </w:p>
    <w:p w14:paraId="5636160F">
      <w:pPr>
        <w:ind w:firstLine="519"/>
        <w:rPr>
          <w:rFonts w:cs="Times New Roman"/>
          <w:snapToGrid w:val="0"/>
        </w:rPr>
      </w:pPr>
      <w:r>
        <w:rPr>
          <w:rFonts w:cs="Times New Roman"/>
          <w:snapToGrid w:val="0"/>
        </w:rPr>
        <w:t>根据《环境影响评价技术导则-声环境》（HJ2.4-2021），本工程位于</w:t>
      </w:r>
      <w:r>
        <w:rPr>
          <w:rFonts w:hint="eastAsia" w:cs="Times New Roman"/>
          <w:snapToGrid w:val="0"/>
        </w:rPr>
        <w:t>松木经济开发区</w:t>
      </w:r>
      <w:r>
        <w:rPr>
          <w:rFonts w:cs="Times New Roman"/>
          <w:snapToGrid w:val="0"/>
        </w:rPr>
        <w:t>，声环境现状为GB3096-2008中规定的3类标准地区，且新建卤井占地范围周围200m范围内无居民点，项目运行期评价范围内敏感目标噪声及增高量在3dB（A）以下，且受噪声影响人口数量增加不大。因此，本评价声环境评价等级为三级。</w:t>
      </w:r>
    </w:p>
    <w:p w14:paraId="555F58D7">
      <w:pPr>
        <w:pStyle w:val="8"/>
        <w:ind w:firstLine="521"/>
        <w:rPr>
          <w:rFonts w:cs="Times New Roman"/>
        </w:rPr>
      </w:pPr>
      <w:r>
        <w:rPr>
          <w:rFonts w:cs="Times New Roman"/>
        </w:rPr>
        <w:t>2.5.4.2 评价范围</w:t>
      </w:r>
    </w:p>
    <w:p w14:paraId="1E54343D">
      <w:pPr>
        <w:ind w:firstLine="519"/>
        <w:rPr>
          <w:rFonts w:cs="Times New Roman"/>
          <w:snapToGrid w:val="0"/>
        </w:rPr>
      </w:pPr>
      <w:r>
        <w:rPr>
          <w:rFonts w:cs="Times New Roman"/>
          <w:snapToGrid w:val="0"/>
        </w:rPr>
        <w:t>评价范围为项目新建井场</w:t>
      </w:r>
      <w:r>
        <w:rPr>
          <w:rFonts w:hint="eastAsia" w:cs="Times New Roman"/>
          <w:snapToGrid w:val="0"/>
        </w:rPr>
        <w:t>、管线</w:t>
      </w:r>
      <w:r>
        <w:rPr>
          <w:rFonts w:cs="Times New Roman"/>
          <w:snapToGrid w:val="0"/>
        </w:rPr>
        <w:t>外延200m以内范围。</w:t>
      </w:r>
    </w:p>
    <w:p w14:paraId="2F0EC1BB">
      <w:pPr>
        <w:pStyle w:val="7"/>
      </w:pPr>
      <w:bookmarkStart w:id="207" w:name="_Toc90989220"/>
      <w:bookmarkStart w:id="208" w:name="_Toc89882439"/>
      <w:bookmarkStart w:id="209" w:name="_Toc86852263"/>
      <w:bookmarkStart w:id="210" w:name="_Toc121420803"/>
      <w:bookmarkStart w:id="211" w:name="_Toc90318399"/>
      <w:bookmarkStart w:id="212" w:name="_Toc89786114"/>
      <w:bookmarkStart w:id="213" w:name="_Toc90997646"/>
      <w:r>
        <w:t>2.5.5</w:t>
      </w:r>
      <w:bookmarkEnd w:id="183"/>
      <w:r>
        <w:t xml:space="preserve"> 生态影响评价等级及评价范围</w:t>
      </w:r>
      <w:bookmarkEnd w:id="207"/>
      <w:bookmarkEnd w:id="208"/>
      <w:bookmarkEnd w:id="209"/>
      <w:bookmarkEnd w:id="210"/>
      <w:bookmarkEnd w:id="211"/>
      <w:bookmarkEnd w:id="212"/>
      <w:bookmarkEnd w:id="213"/>
    </w:p>
    <w:p w14:paraId="06EF73AA">
      <w:pPr>
        <w:pStyle w:val="8"/>
        <w:ind w:firstLine="521"/>
        <w:rPr>
          <w:rFonts w:cs="Times New Roman"/>
        </w:rPr>
      </w:pPr>
      <w:r>
        <w:rPr>
          <w:rFonts w:cs="Times New Roman"/>
        </w:rPr>
        <w:t>2.5.5.1 评价等级</w:t>
      </w:r>
    </w:p>
    <w:p w14:paraId="7545F176">
      <w:pPr>
        <w:ind w:firstLine="519"/>
        <w:rPr>
          <w:rFonts w:cs="Times New Roman"/>
        </w:rPr>
      </w:pPr>
      <w:bookmarkStart w:id="214" w:name="_Toc533840301"/>
      <w:r>
        <w:rPr>
          <w:rFonts w:cs="Times New Roman"/>
        </w:rPr>
        <w:t>本项目的建设和开发对生态环境的直接影响范围包括井场及井场外输卤（包括回注水）管线工程，</w:t>
      </w:r>
      <w:r>
        <w:rPr>
          <w:rFonts w:hint="eastAsia" w:cs="Times New Roman"/>
        </w:rPr>
        <w:t>均位于建滔岩盐矿矿区范围内，本</w:t>
      </w:r>
      <w:r>
        <w:rPr>
          <w:rFonts w:cs="Times New Roman"/>
        </w:rPr>
        <w:t>项目</w:t>
      </w:r>
      <w:r>
        <w:rPr>
          <w:rFonts w:hint="eastAsia" w:cs="Times New Roman"/>
        </w:rPr>
        <w:t>占地规模</w:t>
      </w:r>
      <w:r>
        <w:rPr>
          <w:rFonts w:cs="Times New Roman"/>
        </w:rPr>
        <w:t>小于20km</w:t>
      </w:r>
      <w:r>
        <w:rPr>
          <w:rFonts w:cs="Times New Roman"/>
          <w:vertAlign w:val="superscript"/>
        </w:rPr>
        <w:t>2</w:t>
      </w:r>
      <w:r>
        <w:rPr>
          <w:rFonts w:cs="Times New Roman"/>
        </w:rPr>
        <w:t>。据现场踏勘，工程所在地区域生态环境较好，区域</w:t>
      </w:r>
      <w:r>
        <w:rPr>
          <w:rFonts w:hint="eastAsia" w:cs="Times New Roman"/>
        </w:rPr>
        <w:t>位于松木经开区园区范围内，不涉及国家公园、自然保护区、世界自然遗产、重要生境、自然公园及生态保护红线，不属于水文要素型项目，地下水水位影响范围内不涉及天然林、公益林、湿地等生态保护目标，且本项目不涉及新增占地</w:t>
      </w:r>
      <w:r>
        <w:rPr>
          <w:rFonts w:cs="Times New Roman"/>
        </w:rPr>
        <w:t>。根据《环境影响评价技术导则 生态影响》（HJ19-2022）的相关要求，本项目生态环境影响工作等级为三级。</w:t>
      </w:r>
    </w:p>
    <w:p w14:paraId="4ECCFB12">
      <w:pPr>
        <w:pStyle w:val="8"/>
        <w:ind w:firstLine="521"/>
        <w:rPr>
          <w:rFonts w:cs="Times New Roman"/>
        </w:rPr>
      </w:pPr>
      <w:r>
        <w:rPr>
          <w:rFonts w:cs="Times New Roman"/>
        </w:rPr>
        <w:t>2.5.5.2 评价范围</w:t>
      </w:r>
    </w:p>
    <w:p w14:paraId="367A3511">
      <w:pPr>
        <w:ind w:firstLine="519"/>
        <w:rPr>
          <w:rFonts w:cs="Times New Roman"/>
        </w:rPr>
      </w:pPr>
      <w:r>
        <w:rPr>
          <w:rFonts w:cs="Times New Roman"/>
        </w:rPr>
        <w:t>根据《环境影响评价技术导则 生态影响》（HJ 19-2022），生态评价工作范围确定为：以矿区范围外300m范围内为生态评价范围。</w:t>
      </w:r>
    </w:p>
    <w:bookmarkEnd w:id="214"/>
    <w:p w14:paraId="7708914F">
      <w:pPr>
        <w:pStyle w:val="7"/>
      </w:pPr>
      <w:bookmarkStart w:id="215" w:name="_Toc89882440"/>
      <w:bookmarkStart w:id="216" w:name="_Toc90318400"/>
      <w:bookmarkStart w:id="217" w:name="_Toc90989221"/>
      <w:bookmarkStart w:id="218" w:name="_Toc121420804"/>
      <w:bookmarkStart w:id="219" w:name="_Toc89786115"/>
      <w:bookmarkStart w:id="220" w:name="_Toc86852264"/>
      <w:bookmarkStart w:id="221" w:name="_Toc90997647"/>
      <w:bookmarkStart w:id="222" w:name="_Toc533840305"/>
      <w:r>
        <w:t>2.5.6 土壤环境评价等级及评价范围</w:t>
      </w:r>
      <w:bookmarkEnd w:id="215"/>
      <w:bookmarkEnd w:id="216"/>
      <w:bookmarkEnd w:id="217"/>
      <w:bookmarkEnd w:id="218"/>
      <w:bookmarkEnd w:id="219"/>
      <w:bookmarkEnd w:id="220"/>
      <w:bookmarkEnd w:id="221"/>
    </w:p>
    <w:p w14:paraId="22CA20B3">
      <w:pPr>
        <w:ind w:firstLine="519"/>
        <w:rPr>
          <w:rFonts w:cs="Times New Roman"/>
          <w:snapToGrid w:val="0"/>
          <w:kern w:val="0"/>
        </w:rPr>
      </w:pPr>
      <w:r>
        <w:rPr>
          <w:rFonts w:cs="Times New Roman"/>
          <w:snapToGrid w:val="0"/>
          <w:kern w:val="0"/>
        </w:rPr>
        <w:t>根据《环境影响评价技术导则 土壤环境（试行）》（HJ964-2018），据导则附录A，本项目为“采矿业 其他”类项目，属于III类项目</w:t>
      </w:r>
      <w:r>
        <w:rPr>
          <w:rFonts w:hint="eastAsia" w:cs="Times New Roman"/>
          <w:snapToGrid w:val="0"/>
          <w:kern w:val="0"/>
        </w:rPr>
        <w:t>。</w:t>
      </w:r>
    </w:p>
    <w:p w14:paraId="0DE04379">
      <w:pPr>
        <w:ind w:firstLine="519"/>
        <w:rPr>
          <w:rFonts w:cs="Times New Roman"/>
          <w:snapToGrid w:val="0"/>
          <w:kern w:val="0"/>
        </w:rPr>
      </w:pPr>
      <w:r>
        <w:rPr>
          <w:rFonts w:hint="eastAsia" w:cs="Times New Roman"/>
          <w:snapToGrid w:val="0"/>
          <w:kern w:val="0"/>
        </w:rPr>
        <w:t>（1）</w:t>
      </w:r>
      <w:bookmarkStart w:id="223" w:name="_Hlk90282128"/>
      <w:r>
        <w:rPr>
          <w:rFonts w:hint="eastAsia" w:cs="Times New Roman"/>
          <w:snapToGrid w:val="0"/>
          <w:kern w:val="0"/>
        </w:rPr>
        <w:t>生态影响</w:t>
      </w:r>
      <w:bookmarkEnd w:id="223"/>
      <w:r>
        <w:rPr>
          <w:rFonts w:hint="eastAsia" w:cs="Times New Roman"/>
          <w:snapToGrid w:val="0"/>
          <w:kern w:val="0"/>
        </w:rPr>
        <w:t>型分级</w:t>
      </w:r>
    </w:p>
    <w:p w14:paraId="0BB5C960">
      <w:pPr>
        <w:pStyle w:val="2"/>
        <w:ind w:firstLine="519"/>
        <w:rPr>
          <w:rFonts w:cs="Times New Roman"/>
          <w:snapToGrid w:val="0"/>
          <w:kern w:val="0"/>
        </w:rPr>
      </w:pPr>
      <w:r>
        <w:rPr>
          <w:rFonts w:hint="eastAsia" w:cs="Times New Roman"/>
          <w:snapToGrid w:val="0"/>
          <w:kern w:val="0"/>
        </w:rPr>
        <w:t>根据E601蒸发器收集的蒸发资料统计，衡阳市多年平均水面蒸发量为755.00mm，多年平均降雨量为1346.</w:t>
      </w:r>
      <w:r>
        <w:rPr>
          <w:rFonts w:cs="Times New Roman"/>
          <w:snapToGrid w:val="0"/>
          <w:kern w:val="0"/>
        </w:rPr>
        <w:t>2</w:t>
      </w:r>
      <w:r>
        <w:rPr>
          <w:rFonts w:hint="eastAsia" w:cs="Times New Roman"/>
          <w:snapToGrid w:val="0"/>
          <w:kern w:val="0"/>
        </w:rPr>
        <w:t>mm，计算出干燥度为0.56，根据监测结果，项目所在地的土壤含盐量为0.</w:t>
      </w:r>
      <w:r>
        <w:rPr>
          <w:rFonts w:cs="Times New Roman"/>
          <w:snapToGrid w:val="0"/>
          <w:kern w:val="0"/>
        </w:rPr>
        <w:t>7m</w:t>
      </w:r>
      <w:r>
        <w:rPr>
          <w:rFonts w:hint="eastAsia" w:cs="Times New Roman"/>
          <w:snapToGrid w:val="0"/>
          <w:kern w:val="0"/>
        </w:rPr>
        <w:t>g/kg，pH 值为6.</w:t>
      </w:r>
      <w:r>
        <w:rPr>
          <w:rFonts w:cs="Times New Roman"/>
          <w:snapToGrid w:val="0"/>
          <w:kern w:val="0"/>
        </w:rPr>
        <w:t>72</w:t>
      </w:r>
      <w:r>
        <w:rPr>
          <w:rFonts w:hint="eastAsia" w:cs="Times New Roman"/>
          <w:snapToGrid w:val="0"/>
          <w:kern w:val="0"/>
        </w:rPr>
        <w:t>，因此判定本项目区域土壤环境敏感程度为不敏感。</w:t>
      </w:r>
    </w:p>
    <w:p w14:paraId="32EB9021">
      <w:pPr>
        <w:pStyle w:val="9"/>
        <w:rPr>
          <w:snapToGrid w:val="0"/>
        </w:rPr>
      </w:pPr>
      <w:r>
        <w:rPr>
          <w:snapToGrid w:val="0"/>
        </w:rPr>
        <w:t xml:space="preserve">表2.5-4  </w:t>
      </w:r>
      <w:r>
        <w:rPr>
          <w:rFonts w:hint="eastAsia"/>
          <w:snapToGrid w:val="0"/>
        </w:rPr>
        <w:t>生态影响</w:t>
      </w:r>
      <w:bookmarkStart w:id="224" w:name="_Hlk90283340"/>
      <w:r>
        <w:rPr>
          <w:snapToGrid w:val="0"/>
        </w:rPr>
        <w:t>型</w:t>
      </w:r>
      <w:bookmarkEnd w:id="224"/>
      <w:r>
        <w:rPr>
          <w:rFonts w:hint="eastAsia"/>
          <w:snapToGrid w:val="0"/>
        </w:rPr>
        <w:t>敏感程度分级表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4575"/>
        <w:gridCol w:w="1417"/>
        <w:gridCol w:w="1351"/>
      </w:tblGrid>
      <w:tr w14:paraId="68B03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9" w:type="dxa"/>
            <w:vMerge w:val="restart"/>
            <w:vAlign w:val="center"/>
          </w:tcPr>
          <w:p w14:paraId="3AB8DA12">
            <w:pPr>
              <w:pStyle w:val="3"/>
              <w:spacing w:line="240" w:lineRule="auto"/>
              <w:ind w:firstLine="0" w:firstLineChars="0"/>
              <w:jc w:val="center"/>
              <w:rPr>
                <w:sz w:val="21"/>
                <w:szCs w:val="21"/>
              </w:rPr>
            </w:pPr>
            <w:r>
              <w:rPr>
                <w:rFonts w:hint="eastAsia"/>
                <w:sz w:val="21"/>
                <w:szCs w:val="21"/>
              </w:rPr>
              <w:t>敏感程度</w:t>
            </w:r>
          </w:p>
        </w:tc>
        <w:tc>
          <w:tcPr>
            <w:tcW w:w="7343" w:type="dxa"/>
            <w:gridSpan w:val="3"/>
            <w:vAlign w:val="center"/>
          </w:tcPr>
          <w:p w14:paraId="19CEF67E">
            <w:pPr>
              <w:pStyle w:val="3"/>
              <w:spacing w:line="240" w:lineRule="auto"/>
              <w:ind w:firstLine="0" w:firstLineChars="0"/>
              <w:jc w:val="center"/>
              <w:rPr>
                <w:sz w:val="21"/>
                <w:szCs w:val="21"/>
              </w:rPr>
            </w:pPr>
            <w:r>
              <w:rPr>
                <w:rFonts w:hint="eastAsia"/>
                <w:sz w:val="21"/>
                <w:szCs w:val="21"/>
              </w:rPr>
              <w:t>判别依据</w:t>
            </w:r>
          </w:p>
        </w:tc>
      </w:tr>
      <w:tr w14:paraId="2F077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9" w:type="dxa"/>
            <w:vMerge w:val="continue"/>
            <w:vAlign w:val="center"/>
          </w:tcPr>
          <w:p w14:paraId="216BC775">
            <w:pPr>
              <w:pStyle w:val="3"/>
              <w:spacing w:line="240" w:lineRule="auto"/>
              <w:ind w:firstLine="0" w:firstLineChars="0"/>
              <w:jc w:val="center"/>
              <w:rPr>
                <w:sz w:val="21"/>
                <w:szCs w:val="21"/>
              </w:rPr>
            </w:pPr>
          </w:p>
        </w:tc>
        <w:tc>
          <w:tcPr>
            <w:tcW w:w="4575" w:type="dxa"/>
            <w:vAlign w:val="center"/>
          </w:tcPr>
          <w:p w14:paraId="62E56B9B">
            <w:pPr>
              <w:pStyle w:val="3"/>
              <w:spacing w:line="240" w:lineRule="auto"/>
              <w:ind w:firstLine="0" w:firstLineChars="0"/>
              <w:jc w:val="center"/>
              <w:rPr>
                <w:sz w:val="21"/>
                <w:szCs w:val="21"/>
              </w:rPr>
            </w:pPr>
            <w:r>
              <w:rPr>
                <w:rFonts w:hint="eastAsia"/>
                <w:sz w:val="21"/>
                <w:szCs w:val="21"/>
              </w:rPr>
              <w:t>盐化</w:t>
            </w:r>
          </w:p>
        </w:tc>
        <w:tc>
          <w:tcPr>
            <w:tcW w:w="1417" w:type="dxa"/>
            <w:vAlign w:val="center"/>
          </w:tcPr>
          <w:p w14:paraId="036C28E5">
            <w:pPr>
              <w:pStyle w:val="3"/>
              <w:spacing w:line="240" w:lineRule="auto"/>
              <w:ind w:firstLine="0" w:firstLineChars="0"/>
              <w:jc w:val="center"/>
              <w:rPr>
                <w:sz w:val="21"/>
                <w:szCs w:val="21"/>
              </w:rPr>
            </w:pPr>
            <w:r>
              <w:rPr>
                <w:rFonts w:hint="eastAsia"/>
                <w:sz w:val="21"/>
                <w:szCs w:val="21"/>
              </w:rPr>
              <w:t>酸化</w:t>
            </w:r>
          </w:p>
        </w:tc>
        <w:tc>
          <w:tcPr>
            <w:tcW w:w="1351" w:type="dxa"/>
            <w:vAlign w:val="center"/>
          </w:tcPr>
          <w:p w14:paraId="7A7FAE00">
            <w:pPr>
              <w:pStyle w:val="3"/>
              <w:spacing w:line="240" w:lineRule="auto"/>
              <w:ind w:firstLine="0" w:firstLineChars="0"/>
              <w:jc w:val="center"/>
              <w:rPr>
                <w:sz w:val="21"/>
                <w:szCs w:val="21"/>
              </w:rPr>
            </w:pPr>
            <w:r>
              <w:rPr>
                <w:rFonts w:hint="eastAsia"/>
                <w:sz w:val="21"/>
                <w:szCs w:val="21"/>
              </w:rPr>
              <w:t>碱化</w:t>
            </w:r>
          </w:p>
        </w:tc>
      </w:tr>
      <w:tr w14:paraId="6BE02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6A114448">
            <w:pPr>
              <w:pStyle w:val="3"/>
              <w:spacing w:line="240" w:lineRule="auto"/>
              <w:ind w:firstLine="0" w:firstLineChars="0"/>
              <w:jc w:val="center"/>
              <w:rPr>
                <w:sz w:val="21"/>
                <w:szCs w:val="21"/>
              </w:rPr>
            </w:pPr>
            <w:r>
              <w:rPr>
                <w:rFonts w:hint="eastAsia"/>
                <w:sz w:val="21"/>
                <w:szCs w:val="21"/>
              </w:rPr>
              <w:t>敏感</w:t>
            </w:r>
          </w:p>
        </w:tc>
        <w:tc>
          <w:tcPr>
            <w:tcW w:w="4575" w:type="dxa"/>
            <w:vAlign w:val="center"/>
          </w:tcPr>
          <w:p w14:paraId="2987341A">
            <w:pPr>
              <w:pStyle w:val="3"/>
              <w:spacing w:line="240" w:lineRule="auto"/>
              <w:ind w:firstLine="0" w:firstLineChars="0"/>
              <w:jc w:val="center"/>
              <w:rPr>
                <w:sz w:val="21"/>
                <w:szCs w:val="21"/>
              </w:rPr>
            </w:pPr>
            <w:r>
              <w:rPr>
                <w:sz w:val="21"/>
                <w:szCs w:val="21"/>
              </w:rPr>
              <w:t>建设项目所在地干燥度</w:t>
            </w:r>
            <w:r>
              <w:rPr>
                <w:rFonts w:hint="eastAsia"/>
                <w:sz w:val="21"/>
                <w:szCs w:val="21"/>
              </w:rPr>
              <w:t>a</w:t>
            </w:r>
            <w:r>
              <w:rPr>
                <w:rFonts w:cs="Times New Roman"/>
                <w:sz w:val="21"/>
                <w:szCs w:val="21"/>
              </w:rPr>
              <w:t>&gt;</w:t>
            </w:r>
            <w:r>
              <w:rPr>
                <w:sz w:val="21"/>
                <w:szCs w:val="21"/>
              </w:rPr>
              <w:t>2.5且常年地下水位平均埋深</w:t>
            </w:r>
            <w:r>
              <w:rPr>
                <w:rFonts w:cs="Times New Roman"/>
                <w:sz w:val="21"/>
                <w:szCs w:val="21"/>
              </w:rPr>
              <w:t>&lt;</w:t>
            </w:r>
            <w:r>
              <w:rPr>
                <w:sz w:val="21"/>
                <w:szCs w:val="21"/>
              </w:rPr>
              <w:t>1.5m的地势平坦区域；或土壤含盐量</w:t>
            </w:r>
            <w:r>
              <w:rPr>
                <w:rFonts w:cs="Times New Roman"/>
                <w:sz w:val="21"/>
                <w:szCs w:val="21"/>
              </w:rPr>
              <w:t>&gt;4g/kg的区域</w:t>
            </w:r>
          </w:p>
        </w:tc>
        <w:tc>
          <w:tcPr>
            <w:tcW w:w="1417" w:type="dxa"/>
            <w:vAlign w:val="center"/>
          </w:tcPr>
          <w:p w14:paraId="2EC9304E">
            <w:pPr>
              <w:pStyle w:val="3"/>
              <w:spacing w:line="240" w:lineRule="auto"/>
              <w:ind w:firstLine="0" w:firstLineChars="0"/>
              <w:jc w:val="center"/>
              <w:rPr>
                <w:sz w:val="21"/>
                <w:szCs w:val="21"/>
              </w:rPr>
            </w:pPr>
            <w:r>
              <w:rPr>
                <w:rFonts w:hint="eastAsia"/>
                <w:sz w:val="21"/>
                <w:szCs w:val="21"/>
              </w:rPr>
              <w:t>pH</w:t>
            </w:r>
            <w:r>
              <w:rPr>
                <w:rFonts w:cs="Times New Roman"/>
                <w:sz w:val="21"/>
                <w:szCs w:val="21"/>
              </w:rPr>
              <w:t>≤</w:t>
            </w:r>
            <w:r>
              <w:rPr>
                <w:sz w:val="21"/>
                <w:szCs w:val="21"/>
              </w:rPr>
              <w:t>4.5</w:t>
            </w:r>
          </w:p>
        </w:tc>
        <w:tc>
          <w:tcPr>
            <w:tcW w:w="1351" w:type="dxa"/>
            <w:vAlign w:val="center"/>
          </w:tcPr>
          <w:p w14:paraId="17E306A7">
            <w:pPr>
              <w:pStyle w:val="3"/>
              <w:spacing w:line="240" w:lineRule="auto"/>
              <w:ind w:firstLine="0" w:firstLineChars="0"/>
              <w:jc w:val="center"/>
              <w:rPr>
                <w:sz w:val="21"/>
                <w:szCs w:val="21"/>
              </w:rPr>
            </w:pPr>
            <w:r>
              <w:rPr>
                <w:rFonts w:cs="Times New Roman"/>
                <w:sz w:val="21"/>
                <w:szCs w:val="21"/>
              </w:rPr>
              <w:t>pH≥9.0</w:t>
            </w:r>
          </w:p>
        </w:tc>
      </w:tr>
      <w:tr w14:paraId="58E51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1D3E9831">
            <w:pPr>
              <w:pStyle w:val="3"/>
              <w:spacing w:line="240" w:lineRule="auto"/>
              <w:ind w:firstLine="0" w:firstLineChars="0"/>
              <w:jc w:val="center"/>
              <w:rPr>
                <w:sz w:val="21"/>
                <w:szCs w:val="21"/>
              </w:rPr>
            </w:pPr>
            <w:r>
              <w:rPr>
                <w:rFonts w:hint="eastAsia"/>
                <w:sz w:val="21"/>
                <w:szCs w:val="21"/>
              </w:rPr>
              <w:t>较敏感</w:t>
            </w:r>
          </w:p>
        </w:tc>
        <w:tc>
          <w:tcPr>
            <w:tcW w:w="4575" w:type="dxa"/>
            <w:vAlign w:val="center"/>
          </w:tcPr>
          <w:p w14:paraId="3D359340">
            <w:pPr>
              <w:pStyle w:val="3"/>
              <w:spacing w:line="240" w:lineRule="auto"/>
              <w:ind w:firstLine="0" w:firstLineChars="0"/>
              <w:jc w:val="center"/>
              <w:rPr>
                <w:sz w:val="21"/>
                <w:szCs w:val="21"/>
              </w:rPr>
            </w:pPr>
            <w:r>
              <w:rPr>
                <w:rFonts w:hint="eastAsia"/>
                <w:sz w:val="21"/>
                <w:szCs w:val="21"/>
              </w:rPr>
              <w:t>建设项目所在地干燥度a&gt;2.5且常年地下水位平均埋深</w:t>
            </w:r>
            <w:r>
              <w:rPr>
                <w:rFonts w:cs="Times New Roman"/>
                <w:sz w:val="21"/>
                <w:szCs w:val="21"/>
              </w:rPr>
              <w:t>≥</w:t>
            </w:r>
            <w:r>
              <w:rPr>
                <w:rFonts w:hint="eastAsia"/>
                <w:sz w:val="21"/>
                <w:szCs w:val="21"/>
              </w:rPr>
              <w:t>1.5m的</w:t>
            </w:r>
            <w:r>
              <w:rPr>
                <w:sz w:val="21"/>
                <w:szCs w:val="21"/>
              </w:rPr>
              <w:t>，或</w:t>
            </w:r>
            <w:r>
              <w:rPr>
                <w:rFonts w:hint="eastAsia"/>
                <w:sz w:val="21"/>
                <w:szCs w:val="21"/>
              </w:rPr>
              <w:t>1</w:t>
            </w:r>
            <w:r>
              <w:rPr>
                <w:sz w:val="21"/>
                <w:szCs w:val="21"/>
              </w:rPr>
              <w:t>.8</w:t>
            </w:r>
            <w:r>
              <w:rPr>
                <w:rFonts w:cs="Times New Roman"/>
                <w:sz w:val="21"/>
                <w:szCs w:val="21"/>
              </w:rPr>
              <w:t>&lt;</w:t>
            </w:r>
            <w:r>
              <w:rPr>
                <w:sz w:val="21"/>
                <w:szCs w:val="21"/>
              </w:rPr>
              <w:t>干燥度</w:t>
            </w:r>
            <w:r>
              <w:rPr>
                <w:rFonts w:cs="Times New Roman"/>
                <w:sz w:val="21"/>
                <w:szCs w:val="21"/>
              </w:rPr>
              <w:t>≤</w:t>
            </w:r>
            <w:r>
              <w:rPr>
                <w:rFonts w:hint="eastAsia"/>
                <w:sz w:val="21"/>
                <w:szCs w:val="21"/>
              </w:rPr>
              <w:t>2</w:t>
            </w:r>
            <w:r>
              <w:rPr>
                <w:sz w:val="21"/>
                <w:szCs w:val="21"/>
              </w:rPr>
              <w:t>.5且</w:t>
            </w:r>
            <w:r>
              <w:rPr>
                <w:rFonts w:hint="eastAsia"/>
                <w:sz w:val="21"/>
                <w:szCs w:val="21"/>
              </w:rPr>
              <w:t>常年地下水位平均埋深</w:t>
            </w:r>
            <w:r>
              <w:rPr>
                <w:rFonts w:cs="Times New Roman"/>
                <w:sz w:val="21"/>
                <w:szCs w:val="21"/>
              </w:rPr>
              <w:t>&lt;</w:t>
            </w:r>
            <w:r>
              <w:rPr>
                <w:rFonts w:hint="eastAsia"/>
                <w:sz w:val="21"/>
                <w:szCs w:val="21"/>
              </w:rPr>
              <w:t>1</w:t>
            </w:r>
            <w:r>
              <w:rPr>
                <w:sz w:val="21"/>
                <w:szCs w:val="21"/>
              </w:rPr>
              <w:t>.8m的</w:t>
            </w:r>
            <w:r>
              <w:rPr>
                <w:rFonts w:hint="eastAsia"/>
                <w:sz w:val="21"/>
                <w:szCs w:val="21"/>
              </w:rPr>
              <w:t>地势平坦区域；建设项目所在地干燥度</w:t>
            </w:r>
            <w:r>
              <w:rPr>
                <w:rFonts w:cs="Times New Roman"/>
                <w:sz w:val="21"/>
                <w:szCs w:val="21"/>
              </w:rPr>
              <w:t>&gt;</w:t>
            </w:r>
            <w:r>
              <w:rPr>
                <w:sz w:val="21"/>
                <w:szCs w:val="21"/>
              </w:rPr>
              <w:t>2.5</w:t>
            </w:r>
            <w:r>
              <w:rPr>
                <w:rFonts w:hint="eastAsia"/>
                <w:sz w:val="21"/>
                <w:szCs w:val="21"/>
              </w:rPr>
              <w:t>或常年地下水位平均埋深&lt;1.5m的平原区；或2</w:t>
            </w:r>
            <w:r>
              <w:rPr>
                <w:sz w:val="21"/>
                <w:szCs w:val="21"/>
              </w:rPr>
              <w:t>g/kg</w:t>
            </w:r>
            <w:r>
              <w:rPr>
                <w:rFonts w:cs="Times New Roman"/>
                <w:sz w:val="21"/>
                <w:szCs w:val="21"/>
              </w:rPr>
              <w:t>&lt;</w:t>
            </w:r>
            <w:r>
              <w:rPr>
                <w:rFonts w:hint="eastAsia"/>
                <w:sz w:val="21"/>
                <w:szCs w:val="21"/>
              </w:rPr>
              <w:t>土壤含盐量</w:t>
            </w:r>
            <w:r>
              <w:rPr>
                <w:rFonts w:cs="Times New Roman"/>
                <w:sz w:val="21"/>
                <w:szCs w:val="21"/>
              </w:rPr>
              <w:t>≤</w:t>
            </w:r>
            <w:r>
              <w:rPr>
                <w:rFonts w:hint="eastAsia"/>
                <w:sz w:val="21"/>
                <w:szCs w:val="21"/>
              </w:rPr>
              <w:t>4</w:t>
            </w:r>
            <w:r>
              <w:rPr>
                <w:sz w:val="21"/>
                <w:szCs w:val="21"/>
              </w:rPr>
              <w:t>g/kg</w:t>
            </w:r>
            <w:r>
              <w:rPr>
                <w:rFonts w:hint="eastAsia"/>
                <w:sz w:val="21"/>
                <w:szCs w:val="21"/>
              </w:rPr>
              <w:t>的区域</w:t>
            </w:r>
          </w:p>
        </w:tc>
        <w:tc>
          <w:tcPr>
            <w:tcW w:w="1417" w:type="dxa"/>
            <w:vAlign w:val="center"/>
          </w:tcPr>
          <w:p w14:paraId="64B2BD70">
            <w:pPr>
              <w:pStyle w:val="3"/>
              <w:spacing w:line="240" w:lineRule="auto"/>
              <w:ind w:firstLine="0" w:firstLineChars="0"/>
              <w:jc w:val="center"/>
              <w:rPr>
                <w:sz w:val="21"/>
                <w:szCs w:val="21"/>
              </w:rPr>
            </w:pPr>
            <w:r>
              <w:rPr>
                <w:sz w:val="21"/>
                <w:szCs w:val="21"/>
              </w:rPr>
              <w:t>4.5</w:t>
            </w:r>
            <w:r>
              <w:rPr>
                <w:rFonts w:cs="Times New Roman"/>
                <w:sz w:val="21"/>
                <w:szCs w:val="21"/>
              </w:rPr>
              <w:t>&lt;</w:t>
            </w:r>
            <w:r>
              <w:rPr>
                <w:sz w:val="21"/>
                <w:szCs w:val="21"/>
              </w:rPr>
              <w:t>pH</w:t>
            </w:r>
            <w:r>
              <w:rPr>
                <w:rFonts w:cs="Times New Roman"/>
                <w:sz w:val="21"/>
                <w:szCs w:val="21"/>
              </w:rPr>
              <w:t>≤</w:t>
            </w:r>
            <w:r>
              <w:rPr>
                <w:sz w:val="21"/>
                <w:szCs w:val="21"/>
              </w:rPr>
              <w:t>5.5</w:t>
            </w:r>
          </w:p>
        </w:tc>
        <w:tc>
          <w:tcPr>
            <w:tcW w:w="1351" w:type="dxa"/>
            <w:vAlign w:val="center"/>
          </w:tcPr>
          <w:p w14:paraId="7DFFAB36">
            <w:pPr>
              <w:pStyle w:val="3"/>
              <w:spacing w:line="240" w:lineRule="auto"/>
              <w:ind w:firstLine="0" w:firstLineChars="0"/>
              <w:jc w:val="center"/>
              <w:rPr>
                <w:sz w:val="21"/>
                <w:szCs w:val="21"/>
              </w:rPr>
            </w:pPr>
            <w:r>
              <w:rPr>
                <w:sz w:val="21"/>
                <w:szCs w:val="21"/>
              </w:rPr>
              <w:t>8.5</w:t>
            </w:r>
            <w:r>
              <w:rPr>
                <w:rFonts w:cs="Times New Roman"/>
                <w:sz w:val="21"/>
                <w:szCs w:val="21"/>
              </w:rPr>
              <w:t>≤</w:t>
            </w:r>
            <w:r>
              <w:rPr>
                <w:sz w:val="21"/>
                <w:szCs w:val="21"/>
              </w:rPr>
              <w:t>pH</w:t>
            </w:r>
            <w:r>
              <w:rPr>
                <w:rFonts w:cs="Times New Roman"/>
                <w:sz w:val="21"/>
                <w:szCs w:val="21"/>
              </w:rPr>
              <w:t>&lt;</w:t>
            </w:r>
            <w:r>
              <w:rPr>
                <w:sz w:val="21"/>
                <w:szCs w:val="21"/>
              </w:rPr>
              <w:t>9.0</w:t>
            </w:r>
          </w:p>
        </w:tc>
      </w:tr>
      <w:tr w14:paraId="01F3B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1E1C21BC">
            <w:pPr>
              <w:pStyle w:val="3"/>
              <w:spacing w:line="240" w:lineRule="auto"/>
              <w:ind w:firstLine="0" w:firstLineChars="0"/>
              <w:jc w:val="center"/>
              <w:rPr>
                <w:sz w:val="21"/>
                <w:szCs w:val="21"/>
              </w:rPr>
            </w:pPr>
            <w:r>
              <w:rPr>
                <w:rFonts w:hint="eastAsia"/>
                <w:sz w:val="21"/>
                <w:szCs w:val="21"/>
              </w:rPr>
              <w:t>不敏感</w:t>
            </w:r>
          </w:p>
        </w:tc>
        <w:tc>
          <w:tcPr>
            <w:tcW w:w="4575" w:type="dxa"/>
            <w:vAlign w:val="center"/>
          </w:tcPr>
          <w:p w14:paraId="3B950A58">
            <w:pPr>
              <w:pStyle w:val="3"/>
              <w:spacing w:line="240" w:lineRule="auto"/>
              <w:ind w:firstLine="0" w:firstLineChars="0"/>
              <w:jc w:val="center"/>
              <w:rPr>
                <w:sz w:val="21"/>
                <w:szCs w:val="21"/>
              </w:rPr>
            </w:pPr>
            <w:r>
              <w:rPr>
                <w:rFonts w:hint="eastAsia"/>
                <w:sz w:val="21"/>
                <w:szCs w:val="21"/>
              </w:rPr>
              <w:t>其他</w:t>
            </w:r>
          </w:p>
        </w:tc>
        <w:tc>
          <w:tcPr>
            <w:tcW w:w="2768" w:type="dxa"/>
            <w:gridSpan w:val="2"/>
            <w:vAlign w:val="center"/>
          </w:tcPr>
          <w:p w14:paraId="6BE21A8B">
            <w:pPr>
              <w:pStyle w:val="3"/>
              <w:spacing w:line="240" w:lineRule="auto"/>
              <w:ind w:firstLine="0" w:firstLineChars="0"/>
              <w:jc w:val="center"/>
              <w:rPr>
                <w:sz w:val="21"/>
                <w:szCs w:val="21"/>
              </w:rPr>
            </w:pPr>
            <w:r>
              <w:rPr>
                <w:sz w:val="21"/>
                <w:szCs w:val="21"/>
              </w:rPr>
              <w:t>5.5</w:t>
            </w:r>
            <w:r>
              <w:rPr>
                <w:rFonts w:cs="Times New Roman"/>
                <w:sz w:val="21"/>
                <w:szCs w:val="21"/>
              </w:rPr>
              <w:t>&lt;</w:t>
            </w:r>
            <w:r>
              <w:rPr>
                <w:sz w:val="21"/>
                <w:szCs w:val="21"/>
              </w:rPr>
              <w:t>pH</w:t>
            </w:r>
            <w:r>
              <w:rPr>
                <w:rFonts w:cs="Times New Roman"/>
                <w:sz w:val="21"/>
                <w:szCs w:val="21"/>
              </w:rPr>
              <w:t>&lt;</w:t>
            </w:r>
            <w:r>
              <w:rPr>
                <w:sz w:val="21"/>
                <w:szCs w:val="21"/>
              </w:rPr>
              <w:t>8.5</w:t>
            </w:r>
          </w:p>
        </w:tc>
      </w:tr>
      <w:tr w14:paraId="7F4C0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2" w:type="dxa"/>
            <w:gridSpan w:val="4"/>
            <w:vAlign w:val="center"/>
          </w:tcPr>
          <w:p w14:paraId="7D36B563">
            <w:pPr>
              <w:pStyle w:val="3"/>
              <w:spacing w:line="240" w:lineRule="auto"/>
              <w:ind w:firstLine="0" w:firstLineChars="0"/>
              <w:jc w:val="center"/>
              <w:rPr>
                <w:sz w:val="21"/>
                <w:szCs w:val="21"/>
              </w:rPr>
            </w:pPr>
            <w:r>
              <w:rPr>
                <w:sz w:val="21"/>
                <w:szCs w:val="21"/>
              </w:rPr>
              <w:t>a</w:t>
            </w:r>
            <w:r>
              <w:rPr>
                <w:rFonts w:hint="eastAsia"/>
                <w:sz w:val="21"/>
                <w:szCs w:val="21"/>
              </w:rPr>
              <w:t>是指</w:t>
            </w:r>
            <w:r>
              <w:rPr>
                <w:sz w:val="21"/>
                <w:szCs w:val="21"/>
              </w:rPr>
              <w:t>采用E601观测的多年平均水面蒸发量与降水量的比值，即蒸降比值。</w:t>
            </w:r>
          </w:p>
        </w:tc>
      </w:tr>
    </w:tbl>
    <w:p w14:paraId="79200BFA">
      <w:pPr>
        <w:pStyle w:val="9"/>
        <w:rPr>
          <w:snapToGrid w:val="0"/>
        </w:rPr>
      </w:pPr>
      <w:r>
        <w:rPr>
          <w:snapToGrid w:val="0"/>
        </w:rPr>
        <w:t xml:space="preserve">表2.5-5  </w:t>
      </w:r>
      <w:r>
        <w:rPr>
          <w:rFonts w:hint="eastAsia"/>
          <w:snapToGrid w:val="0"/>
        </w:rPr>
        <w:t>生态影响</w:t>
      </w:r>
      <w:r>
        <w:rPr>
          <w:snapToGrid w:val="0"/>
        </w:rPr>
        <w:t>型评价工作等级划分表</w:t>
      </w:r>
    </w:p>
    <w:tbl>
      <w:tblPr>
        <w:tblStyle w:val="29"/>
        <w:tblW w:w="833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2709"/>
        <w:gridCol w:w="1842"/>
        <w:gridCol w:w="1843"/>
        <w:gridCol w:w="1942"/>
      </w:tblGrid>
      <w:tr w14:paraId="21A0C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78" w:hRule="atLeast"/>
        </w:trPr>
        <w:tc>
          <w:tcPr>
            <w:tcW w:w="2709" w:type="dxa"/>
            <w:shd w:val="clear" w:color="auto" w:fill="auto"/>
            <w:vAlign w:val="center"/>
          </w:tcPr>
          <w:p w14:paraId="58750832">
            <w:pPr>
              <w:pStyle w:val="48"/>
              <w:spacing w:line="360" w:lineRule="auto"/>
            </w:pPr>
            <w:r>
              <mc:AlternateContent>
                <mc:Choice Requires="wps">
                  <w:drawing>
                    <wp:anchor distT="0" distB="0" distL="114300" distR="114300" simplePos="0" relativeHeight="251660288" behindDoc="0" locked="0" layoutInCell="1" allowOverlap="1">
                      <wp:simplePos x="0" y="0"/>
                      <wp:positionH relativeFrom="column">
                        <wp:posOffset>772795</wp:posOffset>
                      </wp:positionH>
                      <wp:positionV relativeFrom="paragraph">
                        <wp:posOffset>0</wp:posOffset>
                      </wp:positionV>
                      <wp:extent cx="904875" cy="742950"/>
                      <wp:effectExtent l="0" t="0" r="28575" b="19050"/>
                      <wp:wrapNone/>
                      <wp:docPr id="2" name="直接连接符 2"/>
                      <wp:cNvGraphicFramePr/>
                      <a:graphic xmlns:a="http://schemas.openxmlformats.org/drawingml/2006/main">
                        <a:graphicData uri="http://schemas.microsoft.com/office/word/2010/wordprocessingShape">
                          <wps:wsp>
                            <wps:cNvCnPr/>
                            <wps:spPr>
                              <a:xfrm>
                                <a:off x="0" y="0"/>
                                <a:ext cx="904875" cy="74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0.85pt;margin-top:0pt;height:58.5pt;width:71.25pt;z-index:251660288;mso-width-relative:page;mso-height-relative:page;" filled="f" stroked="t" coordsize="21600,21600" o:gfxdata="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g19b9UAAAAIAQAADwAAAAAAAAABACAAAAAiAAAAZHJzL2Rvd25yZXYueG1sUEsBAhQA&#10;FAAAAAgAh07iQDXbm5X1AQAA1wMAAA4AAAAAAAAAAQAgAAAAJAEAAGRycy9lMm9Eb2MueG1sUEsF&#10;BgAAAAAGAAYAWQEAAIsFAAAAAA==&#10;">
                      <v:fill on="f" focussize="0,0"/>
                      <v:stroke color="#000000 [3200]" joinstyle="round"/>
                      <v:imagedata o:title=""/>
                      <o:lock v:ext="edit" aspectratio="f"/>
                    </v:line>
                  </w:pict>
                </mc:Fallback>
              </mc:AlternateContent>
            </w:r>
            <w:r>
              <w:rPr>
                <w:rFonts w:hint="eastAsia"/>
              </w:rPr>
              <w:t xml:space="preserve"> </w:t>
            </w:r>
            <w:r>
              <w:t xml:space="preserve">           </w:t>
            </w:r>
            <w:r>
              <w:rPr>
                <w:rFonts w:hint="eastAsia"/>
              </w:rPr>
              <w:t>项目类别</w:t>
            </w:r>
          </w:p>
          <w:p w14:paraId="0DAF7831">
            <w:pPr>
              <w:pStyle w:val="48"/>
              <w:spacing w:line="360" w:lineRule="auto"/>
              <w:ind w:firstLine="229" w:firstLineChars="100"/>
              <w:jc w:val="both"/>
            </w:pPr>
            <w: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102870</wp:posOffset>
                      </wp:positionV>
                      <wp:extent cx="1714500" cy="40005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171450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15pt;margin-top:8.1pt;height:31.5pt;width:135pt;z-index:251659264;mso-width-relative:page;mso-height-relative:page;" filled="f" stroked="t" coordsize="21600,21600" o:gfxdata="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3NXUTTAAAABgEAAA8AAAAAAAAAAQAgAAAAIgAAAGRycy9kb3ducmV2LnhtbFBLAQIUABQA&#10;AAAIAIdO4kDgVALo9QEAANgDAAAOAAAAAAAAAAEAIAAAACIBAABkcnMvZTJvRG9jLnhtbFBLBQYA&#10;AAAABgAGAFkBAACJBQAAAAA=&#10;">
                      <v:fill on="f" focussize="0,0"/>
                      <v:stroke color="#000000 [3200]" joinstyle="round"/>
                      <v:imagedata o:title=""/>
                      <o:lock v:ext="edit" aspectratio="f"/>
                    </v:line>
                  </w:pict>
                </mc:Fallback>
              </mc:AlternateContent>
            </w:r>
            <w:r>
              <w:rPr>
                <w:rFonts w:hint="eastAsia"/>
              </w:rPr>
              <w:t>评价工作等级</w:t>
            </w:r>
          </w:p>
          <w:p w14:paraId="18C9F237">
            <w:pPr>
              <w:pStyle w:val="48"/>
              <w:spacing w:line="360" w:lineRule="auto"/>
              <w:ind w:firstLine="114" w:firstLineChars="50"/>
              <w:jc w:val="both"/>
            </w:pPr>
            <w:r>
              <w:rPr>
                <w:rFonts w:hint="eastAsia"/>
              </w:rPr>
              <w:t>敏感程度</w:t>
            </w:r>
          </w:p>
        </w:tc>
        <w:tc>
          <w:tcPr>
            <w:tcW w:w="1842" w:type="dxa"/>
            <w:shd w:val="clear" w:color="auto" w:fill="auto"/>
            <w:vAlign w:val="center"/>
          </w:tcPr>
          <w:p w14:paraId="68F3E609">
            <w:pPr>
              <w:pStyle w:val="48"/>
            </w:pPr>
            <w:r>
              <w:t>I类</w:t>
            </w:r>
          </w:p>
        </w:tc>
        <w:tc>
          <w:tcPr>
            <w:tcW w:w="1843" w:type="dxa"/>
            <w:shd w:val="clear" w:color="auto" w:fill="auto"/>
            <w:vAlign w:val="center"/>
          </w:tcPr>
          <w:p w14:paraId="2608EC71">
            <w:pPr>
              <w:pStyle w:val="48"/>
            </w:pPr>
            <w:r>
              <w:t>II类</w:t>
            </w:r>
          </w:p>
        </w:tc>
        <w:tc>
          <w:tcPr>
            <w:tcW w:w="1942" w:type="dxa"/>
            <w:shd w:val="clear" w:color="auto" w:fill="auto"/>
            <w:vAlign w:val="center"/>
          </w:tcPr>
          <w:p w14:paraId="78781F48">
            <w:pPr>
              <w:pStyle w:val="48"/>
            </w:pPr>
            <w:r>
              <w:t>III类</w:t>
            </w:r>
          </w:p>
        </w:tc>
      </w:tr>
      <w:tr w14:paraId="755E7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454" w:hRule="atLeast"/>
        </w:trPr>
        <w:tc>
          <w:tcPr>
            <w:tcW w:w="2709" w:type="dxa"/>
            <w:shd w:val="clear" w:color="auto" w:fill="auto"/>
            <w:vAlign w:val="center"/>
          </w:tcPr>
          <w:p w14:paraId="439AF036">
            <w:pPr>
              <w:pStyle w:val="48"/>
            </w:pPr>
            <w:r>
              <w:t>敏感</w:t>
            </w:r>
          </w:p>
        </w:tc>
        <w:tc>
          <w:tcPr>
            <w:tcW w:w="1842" w:type="dxa"/>
            <w:shd w:val="clear" w:color="auto" w:fill="auto"/>
            <w:vAlign w:val="center"/>
          </w:tcPr>
          <w:p w14:paraId="1D1E76F2">
            <w:pPr>
              <w:pStyle w:val="48"/>
            </w:pPr>
            <w:r>
              <w:t>一级</w:t>
            </w:r>
          </w:p>
        </w:tc>
        <w:tc>
          <w:tcPr>
            <w:tcW w:w="1843" w:type="dxa"/>
            <w:shd w:val="clear" w:color="auto" w:fill="auto"/>
            <w:vAlign w:val="center"/>
          </w:tcPr>
          <w:p w14:paraId="35920141">
            <w:pPr>
              <w:pStyle w:val="48"/>
            </w:pPr>
            <w:r>
              <w:t>二级</w:t>
            </w:r>
          </w:p>
        </w:tc>
        <w:tc>
          <w:tcPr>
            <w:tcW w:w="1942" w:type="dxa"/>
            <w:shd w:val="clear" w:color="auto" w:fill="auto"/>
            <w:vAlign w:val="center"/>
          </w:tcPr>
          <w:p w14:paraId="44B311CC">
            <w:pPr>
              <w:pStyle w:val="48"/>
            </w:pPr>
            <w:r>
              <w:t>三级</w:t>
            </w:r>
          </w:p>
        </w:tc>
      </w:tr>
      <w:tr w14:paraId="4F1BFC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454" w:hRule="atLeast"/>
        </w:trPr>
        <w:tc>
          <w:tcPr>
            <w:tcW w:w="2709" w:type="dxa"/>
            <w:shd w:val="clear" w:color="auto" w:fill="auto"/>
            <w:vAlign w:val="center"/>
          </w:tcPr>
          <w:p w14:paraId="2EF6CB7A">
            <w:pPr>
              <w:pStyle w:val="48"/>
            </w:pPr>
            <w:r>
              <w:t>较敏感</w:t>
            </w:r>
          </w:p>
        </w:tc>
        <w:tc>
          <w:tcPr>
            <w:tcW w:w="1842" w:type="dxa"/>
            <w:tcBorders>
              <w:bottom w:val="single" w:color="auto" w:sz="6" w:space="0"/>
            </w:tcBorders>
            <w:shd w:val="clear" w:color="auto" w:fill="auto"/>
            <w:vAlign w:val="center"/>
          </w:tcPr>
          <w:p w14:paraId="671A49C0">
            <w:pPr>
              <w:pStyle w:val="48"/>
            </w:pPr>
            <w:r>
              <w:t>二级</w:t>
            </w:r>
          </w:p>
        </w:tc>
        <w:tc>
          <w:tcPr>
            <w:tcW w:w="1843" w:type="dxa"/>
            <w:tcBorders>
              <w:bottom w:val="single" w:color="auto" w:sz="6" w:space="0"/>
            </w:tcBorders>
            <w:shd w:val="clear" w:color="auto" w:fill="auto"/>
            <w:vAlign w:val="center"/>
          </w:tcPr>
          <w:p w14:paraId="25CAF1B4">
            <w:pPr>
              <w:pStyle w:val="48"/>
            </w:pPr>
            <w:r>
              <w:t>二级</w:t>
            </w:r>
          </w:p>
        </w:tc>
        <w:tc>
          <w:tcPr>
            <w:tcW w:w="1942" w:type="dxa"/>
            <w:shd w:val="clear" w:color="auto" w:fill="auto"/>
            <w:vAlign w:val="center"/>
          </w:tcPr>
          <w:p w14:paraId="78A3F176">
            <w:pPr>
              <w:pStyle w:val="48"/>
            </w:pPr>
            <w:r>
              <w:t>三级</w:t>
            </w:r>
          </w:p>
        </w:tc>
      </w:tr>
      <w:tr w14:paraId="3C6A78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454" w:hRule="atLeast"/>
        </w:trPr>
        <w:tc>
          <w:tcPr>
            <w:tcW w:w="2709" w:type="dxa"/>
            <w:shd w:val="clear" w:color="auto" w:fill="auto"/>
            <w:vAlign w:val="center"/>
          </w:tcPr>
          <w:p w14:paraId="723D5FBE">
            <w:pPr>
              <w:pStyle w:val="48"/>
            </w:pPr>
            <w:r>
              <w:t>不敏感</w:t>
            </w:r>
          </w:p>
        </w:tc>
        <w:tc>
          <w:tcPr>
            <w:tcW w:w="1842" w:type="dxa"/>
            <w:tcBorders>
              <w:top w:val="single" w:color="auto" w:sz="6" w:space="0"/>
              <w:bottom w:val="single" w:color="auto" w:sz="12" w:space="0"/>
            </w:tcBorders>
            <w:shd w:val="clear" w:color="auto" w:fill="auto"/>
            <w:vAlign w:val="center"/>
          </w:tcPr>
          <w:p w14:paraId="169BE8BF">
            <w:pPr>
              <w:pStyle w:val="48"/>
            </w:pPr>
            <w:r>
              <w:t>二级</w:t>
            </w:r>
          </w:p>
        </w:tc>
        <w:tc>
          <w:tcPr>
            <w:tcW w:w="1843" w:type="dxa"/>
            <w:tcBorders>
              <w:top w:val="single" w:color="auto" w:sz="6" w:space="0"/>
              <w:bottom w:val="single" w:color="auto" w:sz="12" w:space="0"/>
            </w:tcBorders>
            <w:shd w:val="clear" w:color="auto" w:fill="auto"/>
            <w:vAlign w:val="center"/>
          </w:tcPr>
          <w:p w14:paraId="5B0BB95A">
            <w:pPr>
              <w:pStyle w:val="48"/>
            </w:pPr>
            <w:r>
              <w:t>三级</w:t>
            </w:r>
          </w:p>
        </w:tc>
        <w:tc>
          <w:tcPr>
            <w:tcW w:w="1942" w:type="dxa"/>
            <w:shd w:val="clear" w:color="auto" w:fill="auto"/>
            <w:vAlign w:val="center"/>
          </w:tcPr>
          <w:p w14:paraId="029EAD28">
            <w:pPr>
              <w:pStyle w:val="48"/>
            </w:pPr>
            <w:r>
              <w:t>-</w:t>
            </w:r>
          </w:p>
        </w:tc>
      </w:tr>
    </w:tbl>
    <w:p w14:paraId="6B4D4A0F">
      <w:pPr>
        <w:pStyle w:val="3"/>
        <w:ind w:firstLine="519"/>
      </w:pPr>
      <w:r>
        <w:rPr>
          <w:rFonts w:hint="eastAsia"/>
        </w:rPr>
        <w:t>（2）污染影响型分级</w:t>
      </w:r>
    </w:p>
    <w:p w14:paraId="0719657F">
      <w:pPr>
        <w:ind w:firstLine="519"/>
        <w:rPr>
          <w:rFonts w:cs="Times New Roman"/>
          <w:snapToGrid w:val="0"/>
          <w:kern w:val="0"/>
        </w:rPr>
      </w:pPr>
      <w:r>
        <w:rPr>
          <w:rFonts w:cs="Times New Roman"/>
          <w:snapToGrid w:val="0"/>
          <w:kern w:val="0"/>
        </w:rPr>
        <w:t>项目不涉及永久占地，且建设项目所在地周边的土壤环境敏感程度为不敏感，本项目可不开展土壤环境影响评价工作，具体分级见下表。</w:t>
      </w:r>
    </w:p>
    <w:p w14:paraId="3B854D7C">
      <w:pPr>
        <w:pStyle w:val="9"/>
        <w:rPr>
          <w:snapToGrid w:val="0"/>
        </w:rPr>
      </w:pPr>
      <w:bookmarkStart w:id="225" w:name="_Hlk90282117"/>
      <w:r>
        <w:rPr>
          <w:snapToGrid w:val="0"/>
        </w:rPr>
        <w:t>表2.5-6  污染影响型评价工作等级划分表</w:t>
      </w:r>
    </w:p>
    <w:bookmarkEnd w:id="225"/>
    <w:tbl>
      <w:tblPr>
        <w:tblStyle w:val="29"/>
        <w:tblW w:w="833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1490"/>
        <w:gridCol w:w="760"/>
        <w:gridCol w:w="760"/>
        <w:gridCol w:w="762"/>
        <w:gridCol w:w="760"/>
        <w:gridCol w:w="760"/>
        <w:gridCol w:w="762"/>
        <w:gridCol w:w="760"/>
        <w:gridCol w:w="760"/>
        <w:gridCol w:w="762"/>
      </w:tblGrid>
      <w:tr w14:paraId="4AA72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454" w:hRule="atLeast"/>
        </w:trPr>
        <w:tc>
          <w:tcPr>
            <w:tcW w:w="1490" w:type="dxa"/>
            <w:shd w:val="clear" w:color="auto" w:fill="auto"/>
            <w:vAlign w:val="center"/>
          </w:tcPr>
          <w:p w14:paraId="1D7873EA">
            <w:pPr>
              <w:pStyle w:val="48"/>
            </w:pPr>
            <w:r>
              <w:t>占地</w:t>
            </w:r>
          </w:p>
        </w:tc>
        <w:tc>
          <w:tcPr>
            <w:tcW w:w="2282" w:type="dxa"/>
            <w:gridSpan w:val="3"/>
            <w:shd w:val="clear" w:color="auto" w:fill="auto"/>
            <w:vAlign w:val="center"/>
          </w:tcPr>
          <w:p w14:paraId="600E6D97">
            <w:pPr>
              <w:pStyle w:val="48"/>
            </w:pPr>
            <w:r>
              <w:t>I类</w:t>
            </w:r>
          </w:p>
        </w:tc>
        <w:tc>
          <w:tcPr>
            <w:tcW w:w="2282" w:type="dxa"/>
            <w:gridSpan w:val="3"/>
            <w:shd w:val="clear" w:color="auto" w:fill="auto"/>
            <w:vAlign w:val="center"/>
          </w:tcPr>
          <w:p w14:paraId="2EB8F350">
            <w:pPr>
              <w:pStyle w:val="48"/>
            </w:pPr>
            <w:r>
              <w:t>II类</w:t>
            </w:r>
          </w:p>
        </w:tc>
        <w:tc>
          <w:tcPr>
            <w:tcW w:w="2282" w:type="dxa"/>
            <w:gridSpan w:val="3"/>
            <w:shd w:val="clear" w:color="auto" w:fill="auto"/>
            <w:vAlign w:val="center"/>
          </w:tcPr>
          <w:p w14:paraId="1F876782">
            <w:pPr>
              <w:pStyle w:val="48"/>
            </w:pPr>
            <w:r>
              <w:t>III类</w:t>
            </w:r>
          </w:p>
        </w:tc>
      </w:tr>
      <w:tr w14:paraId="6CA8A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454" w:hRule="atLeast"/>
        </w:trPr>
        <w:tc>
          <w:tcPr>
            <w:tcW w:w="1490" w:type="dxa"/>
            <w:shd w:val="clear" w:color="auto" w:fill="auto"/>
            <w:vAlign w:val="center"/>
          </w:tcPr>
          <w:p w14:paraId="4E23F389">
            <w:pPr>
              <w:pStyle w:val="48"/>
            </w:pPr>
            <w:r>
              <w:t>敏感程度</w:t>
            </w:r>
          </w:p>
        </w:tc>
        <w:tc>
          <w:tcPr>
            <w:tcW w:w="760" w:type="dxa"/>
            <w:shd w:val="clear" w:color="auto" w:fill="auto"/>
            <w:vAlign w:val="center"/>
          </w:tcPr>
          <w:p w14:paraId="7033058F">
            <w:pPr>
              <w:pStyle w:val="48"/>
            </w:pPr>
            <w:r>
              <w:t>大</w:t>
            </w:r>
          </w:p>
        </w:tc>
        <w:tc>
          <w:tcPr>
            <w:tcW w:w="760" w:type="dxa"/>
            <w:shd w:val="clear" w:color="auto" w:fill="auto"/>
            <w:vAlign w:val="center"/>
          </w:tcPr>
          <w:p w14:paraId="20CF171C">
            <w:pPr>
              <w:pStyle w:val="48"/>
            </w:pPr>
            <w:r>
              <w:t>中</w:t>
            </w:r>
          </w:p>
        </w:tc>
        <w:tc>
          <w:tcPr>
            <w:tcW w:w="762" w:type="dxa"/>
            <w:tcBorders>
              <w:bottom w:val="single" w:color="auto" w:sz="6" w:space="0"/>
            </w:tcBorders>
            <w:shd w:val="clear" w:color="auto" w:fill="auto"/>
            <w:vAlign w:val="center"/>
          </w:tcPr>
          <w:p w14:paraId="612240EE">
            <w:pPr>
              <w:pStyle w:val="48"/>
            </w:pPr>
            <w:r>
              <w:t>小</w:t>
            </w:r>
          </w:p>
        </w:tc>
        <w:tc>
          <w:tcPr>
            <w:tcW w:w="760" w:type="dxa"/>
            <w:shd w:val="clear" w:color="auto" w:fill="auto"/>
            <w:vAlign w:val="center"/>
          </w:tcPr>
          <w:p w14:paraId="7B8FE1B3">
            <w:pPr>
              <w:pStyle w:val="48"/>
            </w:pPr>
            <w:r>
              <w:t>大</w:t>
            </w:r>
          </w:p>
        </w:tc>
        <w:tc>
          <w:tcPr>
            <w:tcW w:w="760" w:type="dxa"/>
            <w:shd w:val="clear" w:color="auto" w:fill="auto"/>
            <w:vAlign w:val="center"/>
          </w:tcPr>
          <w:p w14:paraId="5E36FDAF">
            <w:pPr>
              <w:pStyle w:val="48"/>
            </w:pPr>
            <w:r>
              <w:t>中</w:t>
            </w:r>
          </w:p>
        </w:tc>
        <w:tc>
          <w:tcPr>
            <w:tcW w:w="762" w:type="dxa"/>
            <w:shd w:val="clear" w:color="auto" w:fill="auto"/>
            <w:vAlign w:val="center"/>
          </w:tcPr>
          <w:p w14:paraId="56BAAB7E">
            <w:pPr>
              <w:pStyle w:val="48"/>
            </w:pPr>
            <w:r>
              <w:t>小</w:t>
            </w:r>
          </w:p>
        </w:tc>
        <w:tc>
          <w:tcPr>
            <w:tcW w:w="760" w:type="dxa"/>
            <w:shd w:val="clear" w:color="auto" w:fill="auto"/>
            <w:vAlign w:val="center"/>
          </w:tcPr>
          <w:p w14:paraId="32AD8069">
            <w:pPr>
              <w:pStyle w:val="48"/>
            </w:pPr>
            <w:r>
              <w:t>大</w:t>
            </w:r>
          </w:p>
        </w:tc>
        <w:tc>
          <w:tcPr>
            <w:tcW w:w="760" w:type="dxa"/>
            <w:shd w:val="clear" w:color="auto" w:fill="auto"/>
            <w:vAlign w:val="center"/>
          </w:tcPr>
          <w:p w14:paraId="61FBE701">
            <w:pPr>
              <w:pStyle w:val="48"/>
            </w:pPr>
            <w:r>
              <w:t>中</w:t>
            </w:r>
          </w:p>
        </w:tc>
        <w:tc>
          <w:tcPr>
            <w:tcW w:w="762" w:type="dxa"/>
            <w:shd w:val="clear" w:color="auto" w:fill="auto"/>
            <w:vAlign w:val="center"/>
          </w:tcPr>
          <w:p w14:paraId="0FE21558">
            <w:pPr>
              <w:pStyle w:val="48"/>
            </w:pPr>
            <w:r>
              <w:t>小</w:t>
            </w:r>
          </w:p>
        </w:tc>
      </w:tr>
      <w:tr w14:paraId="10F8B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454" w:hRule="atLeast"/>
        </w:trPr>
        <w:tc>
          <w:tcPr>
            <w:tcW w:w="1490" w:type="dxa"/>
            <w:shd w:val="clear" w:color="auto" w:fill="auto"/>
            <w:vAlign w:val="center"/>
          </w:tcPr>
          <w:p w14:paraId="65595CB1">
            <w:pPr>
              <w:pStyle w:val="48"/>
            </w:pPr>
            <w:r>
              <w:t>敏感</w:t>
            </w:r>
          </w:p>
        </w:tc>
        <w:tc>
          <w:tcPr>
            <w:tcW w:w="760" w:type="dxa"/>
            <w:shd w:val="clear" w:color="auto" w:fill="auto"/>
            <w:vAlign w:val="center"/>
          </w:tcPr>
          <w:p w14:paraId="35FE0D5E">
            <w:pPr>
              <w:pStyle w:val="48"/>
            </w:pPr>
            <w:r>
              <w:t>一级</w:t>
            </w:r>
          </w:p>
        </w:tc>
        <w:tc>
          <w:tcPr>
            <w:tcW w:w="760" w:type="dxa"/>
            <w:shd w:val="clear" w:color="auto" w:fill="auto"/>
            <w:vAlign w:val="center"/>
          </w:tcPr>
          <w:p w14:paraId="52205CF1">
            <w:pPr>
              <w:pStyle w:val="48"/>
            </w:pPr>
            <w:r>
              <w:t>一级</w:t>
            </w:r>
          </w:p>
        </w:tc>
        <w:tc>
          <w:tcPr>
            <w:tcW w:w="762" w:type="dxa"/>
            <w:tcBorders>
              <w:top w:val="single" w:color="auto" w:sz="6" w:space="0"/>
              <w:bottom w:val="single" w:color="auto" w:sz="6" w:space="0"/>
            </w:tcBorders>
            <w:shd w:val="clear" w:color="auto" w:fill="auto"/>
            <w:vAlign w:val="center"/>
          </w:tcPr>
          <w:p w14:paraId="64C77463">
            <w:pPr>
              <w:pStyle w:val="48"/>
            </w:pPr>
            <w:r>
              <w:t>一级</w:t>
            </w:r>
          </w:p>
        </w:tc>
        <w:tc>
          <w:tcPr>
            <w:tcW w:w="760" w:type="dxa"/>
            <w:shd w:val="clear" w:color="auto" w:fill="auto"/>
            <w:vAlign w:val="center"/>
          </w:tcPr>
          <w:p w14:paraId="4958C421">
            <w:pPr>
              <w:pStyle w:val="48"/>
            </w:pPr>
            <w:r>
              <w:t>二级</w:t>
            </w:r>
          </w:p>
        </w:tc>
        <w:tc>
          <w:tcPr>
            <w:tcW w:w="760" w:type="dxa"/>
            <w:shd w:val="clear" w:color="auto" w:fill="auto"/>
            <w:vAlign w:val="center"/>
          </w:tcPr>
          <w:p w14:paraId="108476C5">
            <w:pPr>
              <w:pStyle w:val="48"/>
            </w:pPr>
            <w:r>
              <w:t>二级</w:t>
            </w:r>
          </w:p>
        </w:tc>
        <w:tc>
          <w:tcPr>
            <w:tcW w:w="762" w:type="dxa"/>
            <w:shd w:val="clear" w:color="auto" w:fill="auto"/>
            <w:vAlign w:val="center"/>
          </w:tcPr>
          <w:p w14:paraId="4A7C00F5">
            <w:pPr>
              <w:pStyle w:val="48"/>
            </w:pPr>
            <w:r>
              <w:t>二级</w:t>
            </w:r>
          </w:p>
        </w:tc>
        <w:tc>
          <w:tcPr>
            <w:tcW w:w="760" w:type="dxa"/>
            <w:shd w:val="clear" w:color="auto" w:fill="auto"/>
            <w:vAlign w:val="center"/>
          </w:tcPr>
          <w:p w14:paraId="68A5DE14">
            <w:pPr>
              <w:pStyle w:val="48"/>
            </w:pPr>
            <w:r>
              <w:t>三级</w:t>
            </w:r>
          </w:p>
        </w:tc>
        <w:tc>
          <w:tcPr>
            <w:tcW w:w="760" w:type="dxa"/>
            <w:shd w:val="clear" w:color="auto" w:fill="auto"/>
            <w:vAlign w:val="center"/>
          </w:tcPr>
          <w:p w14:paraId="42149294">
            <w:pPr>
              <w:pStyle w:val="48"/>
            </w:pPr>
            <w:r>
              <w:t>三级</w:t>
            </w:r>
          </w:p>
        </w:tc>
        <w:tc>
          <w:tcPr>
            <w:tcW w:w="762" w:type="dxa"/>
            <w:shd w:val="clear" w:color="auto" w:fill="auto"/>
            <w:vAlign w:val="center"/>
          </w:tcPr>
          <w:p w14:paraId="795EE23A">
            <w:pPr>
              <w:pStyle w:val="48"/>
            </w:pPr>
            <w:r>
              <w:t>三级</w:t>
            </w:r>
          </w:p>
        </w:tc>
      </w:tr>
      <w:tr w14:paraId="7F528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454" w:hRule="atLeast"/>
        </w:trPr>
        <w:tc>
          <w:tcPr>
            <w:tcW w:w="1490" w:type="dxa"/>
            <w:shd w:val="clear" w:color="auto" w:fill="auto"/>
            <w:vAlign w:val="center"/>
          </w:tcPr>
          <w:p w14:paraId="1FFCE061">
            <w:pPr>
              <w:pStyle w:val="48"/>
            </w:pPr>
            <w:r>
              <w:t>较敏感</w:t>
            </w:r>
          </w:p>
        </w:tc>
        <w:tc>
          <w:tcPr>
            <w:tcW w:w="760" w:type="dxa"/>
            <w:tcBorders>
              <w:bottom w:val="single" w:color="auto" w:sz="6" w:space="0"/>
            </w:tcBorders>
            <w:shd w:val="clear" w:color="auto" w:fill="auto"/>
            <w:vAlign w:val="center"/>
          </w:tcPr>
          <w:p w14:paraId="642C8B7C">
            <w:pPr>
              <w:pStyle w:val="48"/>
            </w:pPr>
            <w:r>
              <w:t>一级</w:t>
            </w:r>
          </w:p>
        </w:tc>
        <w:tc>
          <w:tcPr>
            <w:tcW w:w="760" w:type="dxa"/>
            <w:tcBorders>
              <w:bottom w:val="single" w:color="auto" w:sz="6" w:space="0"/>
            </w:tcBorders>
            <w:shd w:val="clear" w:color="auto" w:fill="auto"/>
            <w:vAlign w:val="center"/>
          </w:tcPr>
          <w:p w14:paraId="1B0112E1">
            <w:pPr>
              <w:pStyle w:val="48"/>
            </w:pPr>
            <w:r>
              <w:t>一级</w:t>
            </w:r>
          </w:p>
        </w:tc>
        <w:tc>
          <w:tcPr>
            <w:tcW w:w="762" w:type="dxa"/>
            <w:tcBorders>
              <w:top w:val="single" w:color="auto" w:sz="6" w:space="0"/>
              <w:bottom w:val="single" w:color="auto" w:sz="6" w:space="0"/>
            </w:tcBorders>
            <w:shd w:val="clear" w:color="auto" w:fill="auto"/>
            <w:vAlign w:val="center"/>
          </w:tcPr>
          <w:p w14:paraId="0EB54A67">
            <w:pPr>
              <w:pStyle w:val="48"/>
            </w:pPr>
            <w:r>
              <w:t>二级</w:t>
            </w:r>
          </w:p>
        </w:tc>
        <w:tc>
          <w:tcPr>
            <w:tcW w:w="760" w:type="dxa"/>
            <w:tcBorders>
              <w:bottom w:val="single" w:color="auto" w:sz="6" w:space="0"/>
            </w:tcBorders>
            <w:shd w:val="clear" w:color="auto" w:fill="auto"/>
            <w:vAlign w:val="center"/>
          </w:tcPr>
          <w:p w14:paraId="787F0654">
            <w:pPr>
              <w:pStyle w:val="48"/>
            </w:pPr>
            <w:r>
              <w:t>二级</w:t>
            </w:r>
          </w:p>
        </w:tc>
        <w:tc>
          <w:tcPr>
            <w:tcW w:w="760" w:type="dxa"/>
            <w:tcBorders>
              <w:bottom w:val="single" w:color="auto" w:sz="6" w:space="0"/>
            </w:tcBorders>
            <w:shd w:val="clear" w:color="auto" w:fill="auto"/>
            <w:vAlign w:val="center"/>
          </w:tcPr>
          <w:p w14:paraId="6DA85AED">
            <w:pPr>
              <w:pStyle w:val="48"/>
            </w:pPr>
            <w:r>
              <w:t>二级</w:t>
            </w:r>
          </w:p>
        </w:tc>
        <w:tc>
          <w:tcPr>
            <w:tcW w:w="762" w:type="dxa"/>
            <w:shd w:val="clear" w:color="auto" w:fill="auto"/>
            <w:vAlign w:val="center"/>
          </w:tcPr>
          <w:p w14:paraId="4AAD8397">
            <w:pPr>
              <w:pStyle w:val="48"/>
            </w:pPr>
            <w:r>
              <w:t>三级</w:t>
            </w:r>
          </w:p>
        </w:tc>
        <w:tc>
          <w:tcPr>
            <w:tcW w:w="760" w:type="dxa"/>
            <w:shd w:val="clear" w:color="auto" w:fill="auto"/>
            <w:vAlign w:val="center"/>
          </w:tcPr>
          <w:p w14:paraId="7B4641A4">
            <w:pPr>
              <w:pStyle w:val="48"/>
            </w:pPr>
            <w:r>
              <w:t>三级</w:t>
            </w:r>
          </w:p>
        </w:tc>
        <w:tc>
          <w:tcPr>
            <w:tcW w:w="760" w:type="dxa"/>
            <w:shd w:val="clear" w:color="auto" w:fill="auto"/>
            <w:vAlign w:val="center"/>
          </w:tcPr>
          <w:p w14:paraId="6B4C2959">
            <w:pPr>
              <w:pStyle w:val="48"/>
            </w:pPr>
            <w:r>
              <w:t>三级</w:t>
            </w:r>
          </w:p>
        </w:tc>
        <w:tc>
          <w:tcPr>
            <w:tcW w:w="762" w:type="dxa"/>
            <w:shd w:val="clear" w:color="auto" w:fill="auto"/>
            <w:vAlign w:val="center"/>
          </w:tcPr>
          <w:p w14:paraId="2E7B4D80">
            <w:pPr>
              <w:pStyle w:val="48"/>
            </w:pPr>
            <w:r>
              <w:t>-</w:t>
            </w:r>
          </w:p>
        </w:tc>
      </w:tr>
      <w:tr w14:paraId="7A852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454" w:hRule="atLeast"/>
        </w:trPr>
        <w:tc>
          <w:tcPr>
            <w:tcW w:w="1490" w:type="dxa"/>
            <w:shd w:val="clear" w:color="auto" w:fill="auto"/>
            <w:vAlign w:val="center"/>
          </w:tcPr>
          <w:p w14:paraId="3AB5358A">
            <w:pPr>
              <w:pStyle w:val="48"/>
            </w:pPr>
            <w:r>
              <w:t>不敏感</w:t>
            </w:r>
          </w:p>
        </w:tc>
        <w:tc>
          <w:tcPr>
            <w:tcW w:w="760" w:type="dxa"/>
            <w:tcBorders>
              <w:top w:val="single" w:color="auto" w:sz="6" w:space="0"/>
              <w:bottom w:val="single" w:color="auto" w:sz="12" w:space="0"/>
            </w:tcBorders>
            <w:shd w:val="clear" w:color="auto" w:fill="auto"/>
            <w:vAlign w:val="center"/>
          </w:tcPr>
          <w:p w14:paraId="7D78BD50">
            <w:pPr>
              <w:pStyle w:val="48"/>
            </w:pPr>
            <w:r>
              <w:t>一级</w:t>
            </w:r>
          </w:p>
        </w:tc>
        <w:tc>
          <w:tcPr>
            <w:tcW w:w="760" w:type="dxa"/>
            <w:tcBorders>
              <w:top w:val="single" w:color="auto" w:sz="6" w:space="0"/>
              <w:bottom w:val="single" w:color="auto" w:sz="12" w:space="0"/>
            </w:tcBorders>
            <w:shd w:val="clear" w:color="auto" w:fill="auto"/>
            <w:vAlign w:val="center"/>
          </w:tcPr>
          <w:p w14:paraId="7EEB1459">
            <w:pPr>
              <w:pStyle w:val="48"/>
            </w:pPr>
            <w:r>
              <w:t>二级</w:t>
            </w:r>
          </w:p>
        </w:tc>
        <w:tc>
          <w:tcPr>
            <w:tcW w:w="762" w:type="dxa"/>
            <w:tcBorders>
              <w:top w:val="single" w:color="auto" w:sz="6" w:space="0"/>
              <w:bottom w:val="single" w:color="auto" w:sz="12" w:space="0"/>
            </w:tcBorders>
            <w:shd w:val="clear" w:color="auto" w:fill="auto"/>
            <w:vAlign w:val="center"/>
          </w:tcPr>
          <w:p w14:paraId="32C1CE52">
            <w:pPr>
              <w:pStyle w:val="48"/>
            </w:pPr>
            <w:r>
              <w:t>二级</w:t>
            </w:r>
          </w:p>
        </w:tc>
        <w:tc>
          <w:tcPr>
            <w:tcW w:w="760" w:type="dxa"/>
            <w:tcBorders>
              <w:top w:val="single" w:color="auto" w:sz="6" w:space="0"/>
              <w:bottom w:val="single" w:color="auto" w:sz="12" w:space="0"/>
            </w:tcBorders>
            <w:shd w:val="clear" w:color="auto" w:fill="auto"/>
            <w:vAlign w:val="center"/>
          </w:tcPr>
          <w:p w14:paraId="2ECE18E8">
            <w:pPr>
              <w:pStyle w:val="48"/>
            </w:pPr>
            <w:r>
              <w:t>二级</w:t>
            </w:r>
          </w:p>
        </w:tc>
        <w:tc>
          <w:tcPr>
            <w:tcW w:w="760" w:type="dxa"/>
            <w:tcBorders>
              <w:top w:val="single" w:color="auto" w:sz="6" w:space="0"/>
              <w:bottom w:val="single" w:color="auto" w:sz="12" w:space="0"/>
            </w:tcBorders>
            <w:shd w:val="clear" w:color="auto" w:fill="auto"/>
            <w:vAlign w:val="center"/>
          </w:tcPr>
          <w:p w14:paraId="0F8E34A3">
            <w:pPr>
              <w:pStyle w:val="48"/>
            </w:pPr>
            <w:r>
              <w:t>三级</w:t>
            </w:r>
          </w:p>
        </w:tc>
        <w:tc>
          <w:tcPr>
            <w:tcW w:w="762" w:type="dxa"/>
            <w:shd w:val="clear" w:color="auto" w:fill="auto"/>
            <w:vAlign w:val="center"/>
          </w:tcPr>
          <w:p w14:paraId="236D102F">
            <w:pPr>
              <w:pStyle w:val="48"/>
            </w:pPr>
            <w:r>
              <w:t>三级</w:t>
            </w:r>
          </w:p>
        </w:tc>
        <w:tc>
          <w:tcPr>
            <w:tcW w:w="760" w:type="dxa"/>
            <w:shd w:val="clear" w:color="auto" w:fill="auto"/>
            <w:vAlign w:val="center"/>
          </w:tcPr>
          <w:p w14:paraId="086F4087">
            <w:pPr>
              <w:pStyle w:val="48"/>
            </w:pPr>
            <w:r>
              <w:t>三级</w:t>
            </w:r>
          </w:p>
        </w:tc>
        <w:tc>
          <w:tcPr>
            <w:tcW w:w="760" w:type="dxa"/>
            <w:shd w:val="clear" w:color="auto" w:fill="auto"/>
            <w:vAlign w:val="center"/>
          </w:tcPr>
          <w:p w14:paraId="75DB5741">
            <w:pPr>
              <w:pStyle w:val="48"/>
            </w:pPr>
            <w:r>
              <w:t>-</w:t>
            </w:r>
          </w:p>
        </w:tc>
        <w:tc>
          <w:tcPr>
            <w:tcW w:w="762" w:type="dxa"/>
            <w:shd w:val="clear" w:color="auto" w:fill="auto"/>
            <w:vAlign w:val="center"/>
          </w:tcPr>
          <w:p w14:paraId="3CDA1E92">
            <w:pPr>
              <w:pStyle w:val="48"/>
            </w:pPr>
            <w:r>
              <w:t>-</w:t>
            </w:r>
          </w:p>
        </w:tc>
      </w:tr>
    </w:tbl>
    <w:p w14:paraId="2E97A8E9">
      <w:pPr>
        <w:pStyle w:val="2"/>
        <w:ind w:firstLine="519"/>
      </w:pPr>
      <w:r>
        <w:rPr>
          <w:rFonts w:hint="eastAsia"/>
        </w:rPr>
        <w:t>综上分析，本项目可不开展土壤环境影响评价工作。</w:t>
      </w:r>
    </w:p>
    <w:p w14:paraId="4AEEAC70">
      <w:pPr>
        <w:pStyle w:val="7"/>
      </w:pPr>
      <w:bookmarkStart w:id="226" w:name="_Toc86852265"/>
      <w:bookmarkStart w:id="227" w:name="_Toc89882441"/>
      <w:bookmarkStart w:id="228" w:name="_Toc90989222"/>
      <w:bookmarkStart w:id="229" w:name="_Toc89786116"/>
      <w:bookmarkStart w:id="230" w:name="_Toc90997648"/>
      <w:bookmarkStart w:id="231" w:name="_Toc121420805"/>
      <w:bookmarkStart w:id="232" w:name="_Toc90318401"/>
      <w:r>
        <w:t>2.5.7 环境风险评价工作等级</w:t>
      </w:r>
      <w:bookmarkEnd w:id="222"/>
      <w:r>
        <w:t>及评价范围</w:t>
      </w:r>
      <w:bookmarkEnd w:id="226"/>
      <w:bookmarkEnd w:id="227"/>
      <w:bookmarkEnd w:id="228"/>
      <w:bookmarkEnd w:id="229"/>
      <w:bookmarkEnd w:id="230"/>
      <w:bookmarkEnd w:id="231"/>
      <w:bookmarkEnd w:id="232"/>
    </w:p>
    <w:p w14:paraId="65F36773">
      <w:pPr>
        <w:ind w:firstLine="519"/>
        <w:rPr>
          <w:rFonts w:cs="Times New Roman"/>
        </w:rPr>
      </w:pPr>
      <w:r>
        <w:rPr>
          <w:rFonts w:cs="Times New Roman"/>
        </w:rPr>
        <w:t>本项目采卤作业介质为清水，不添加化学药剂，产出的</w:t>
      </w:r>
      <w:r>
        <w:rPr>
          <w:rFonts w:hint="eastAsia" w:cs="Times New Roman"/>
        </w:rPr>
        <w:t>原卤</w:t>
      </w:r>
      <w:r>
        <w:rPr>
          <w:rFonts w:cs="Times New Roman"/>
        </w:rPr>
        <w:t>主要成分为NaCl、Na</w:t>
      </w:r>
      <w:r>
        <w:rPr>
          <w:rFonts w:cs="Times New Roman"/>
          <w:vertAlign w:val="subscript"/>
        </w:rPr>
        <w:t>2</w:t>
      </w:r>
      <w:r>
        <w:rPr>
          <w:rFonts w:cs="Times New Roman"/>
        </w:rPr>
        <w:t>SO</w:t>
      </w:r>
      <w:r>
        <w:rPr>
          <w:rFonts w:cs="Times New Roman"/>
          <w:vertAlign w:val="subscript"/>
        </w:rPr>
        <w:t>4</w:t>
      </w:r>
      <w:r>
        <w:rPr>
          <w:rFonts w:cs="Times New Roman"/>
        </w:rPr>
        <w:t>等，重金属杂质含量低，生产过程中不存在重大危险源。根据《建设项目环境风险评价技术导则》（HJ169-2018）表1，本项目环境风险等级为简单分析。</w:t>
      </w:r>
    </w:p>
    <w:p w14:paraId="4A20CA91">
      <w:pPr>
        <w:pStyle w:val="9"/>
      </w:pPr>
      <w:r>
        <w:t>表2.5-7  环境风险评价工作等级划分一览表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1870"/>
        <w:gridCol w:w="1468"/>
        <w:gridCol w:w="1668"/>
        <w:gridCol w:w="1668"/>
        <w:gridCol w:w="1668"/>
      </w:tblGrid>
      <w:tr w14:paraId="01D6D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1" w:hRule="atLeast"/>
        </w:trPr>
        <w:tc>
          <w:tcPr>
            <w:tcW w:w="1121" w:type="pct"/>
            <w:tcBorders>
              <w:tl2br w:val="nil"/>
              <w:tr2bl w:val="nil"/>
            </w:tcBorders>
            <w:vAlign w:val="center"/>
          </w:tcPr>
          <w:p w14:paraId="359DDF86">
            <w:pPr>
              <w:pStyle w:val="48"/>
            </w:pPr>
            <w:r>
              <w:t>环境风险潜势</w:t>
            </w:r>
          </w:p>
        </w:tc>
        <w:tc>
          <w:tcPr>
            <w:tcW w:w="880" w:type="pct"/>
            <w:tcBorders>
              <w:tl2br w:val="nil"/>
              <w:tr2bl w:val="nil"/>
            </w:tcBorders>
            <w:vAlign w:val="center"/>
          </w:tcPr>
          <w:p w14:paraId="06135085">
            <w:pPr>
              <w:pStyle w:val="48"/>
            </w:pPr>
            <w:r>
              <w:fldChar w:fldCharType="begin"/>
            </w:r>
            <w:r>
              <w:instrText xml:space="preserve"> = 4 \* ROMAN \* MERGEFORMAT </w:instrText>
            </w:r>
            <w:r>
              <w:fldChar w:fldCharType="separate"/>
            </w:r>
            <w:r>
              <w:t>IV</w:t>
            </w:r>
            <w:r>
              <w:fldChar w:fldCharType="end"/>
            </w:r>
            <w:r>
              <w:t>、</w:t>
            </w:r>
            <w:r>
              <w:fldChar w:fldCharType="begin"/>
            </w:r>
            <w:r>
              <w:instrText xml:space="preserve"> = 4 \* ROMAN \* MERGEFORMAT </w:instrText>
            </w:r>
            <w:r>
              <w:fldChar w:fldCharType="separate"/>
            </w:r>
            <w:r>
              <w:t>IV</w:t>
            </w:r>
            <w:r>
              <w:fldChar w:fldCharType="end"/>
            </w:r>
            <w:r>
              <w:rPr>
                <w:vertAlign w:val="superscript"/>
              </w:rPr>
              <w:t>+</w:t>
            </w:r>
          </w:p>
        </w:tc>
        <w:tc>
          <w:tcPr>
            <w:tcW w:w="1000" w:type="pct"/>
            <w:tcBorders>
              <w:tl2br w:val="nil"/>
              <w:tr2bl w:val="nil"/>
            </w:tcBorders>
            <w:vAlign w:val="center"/>
          </w:tcPr>
          <w:p w14:paraId="01D3B577">
            <w:pPr>
              <w:pStyle w:val="48"/>
            </w:pPr>
            <w:r>
              <w:fldChar w:fldCharType="begin"/>
            </w:r>
            <w:r>
              <w:instrText xml:space="preserve"> = 3 \* ROMAN \* MERGEFORMAT </w:instrText>
            </w:r>
            <w:r>
              <w:fldChar w:fldCharType="separate"/>
            </w:r>
            <w:r>
              <w:t>III</w:t>
            </w:r>
            <w:r>
              <w:fldChar w:fldCharType="end"/>
            </w:r>
          </w:p>
        </w:tc>
        <w:tc>
          <w:tcPr>
            <w:tcW w:w="1000" w:type="pct"/>
            <w:tcBorders>
              <w:tl2br w:val="nil"/>
              <w:tr2bl w:val="nil"/>
            </w:tcBorders>
            <w:vAlign w:val="center"/>
          </w:tcPr>
          <w:p w14:paraId="2F8A7C23">
            <w:pPr>
              <w:pStyle w:val="48"/>
            </w:pPr>
            <w:r>
              <w:fldChar w:fldCharType="begin"/>
            </w:r>
            <w:r>
              <w:instrText xml:space="preserve"> = 2 \* ROMAN \* MERGEFORMAT </w:instrText>
            </w:r>
            <w:r>
              <w:fldChar w:fldCharType="separate"/>
            </w:r>
            <w:r>
              <w:t>II</w:t>
            </w:r>
            <w:r>
              <w:fldChar w:fldCharType="end"/>
            </w:r>
          </w:p>
        </w:tc>
        <w:tc>
          <w:tcPr>
            <w:tcW w:w="999" w:type="pct"/>
            <w:tcBorders>
              <w:tl2br w:val="nil"/>
              <w:tr2bl w:val="nil"/>
            </w:tcBorders>
            <w:vAlign w:val="center"/>
          </w:tcPr>
          <w:p w14:paraId="08289114">
            <w:pPr>
              <w:pStyle w:val="48"/>
              <w:rPr>
                <w:b/>
                <w:bCs/>
              </w:rPr>
            </w:pPr>
            <w:r>
              <w:rPr>
                <w:b/>
                <w:bCs/>
              </w:rPr>
              <w:fldChar w:fldCharType="begin"/>
            </w:r>
            <w:r>
              <w:rPr>
                <w:b/>
                <w:bCs/>
              </w:rPr>
              <w:instrText xml:space="preserve"> = 1 \* ROMAN \* MERGEFORMAT </w:instrText>
            </w:r>
            <w:r>
              <w:rPr>
                <w:b/>
                <w:bCs/>
              </w:rPr>
              <w:fldChar w:fldCharType="separate"/>
            </w:r>
            <w:r>
              <w:rPr>
                <w:b/>
                <w:bCs/>
              </w:rPr>
              <w:t>I</w:t>
            </w:r>
            <w:r>
              <w:rPr>
                <w:b/>
                <w:bCs/>
              </w:rPr>
              <w:fldChar w:fldCharType="end"/>
            </w:r>
          </w:p>
        </w:tc>
      </w:tr>
      <w:tr w14:paraId="24237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415" w:hRule="atLeast"/>
        </w:trPr>
        <w:tc>
          <w:tcPr>
            <w:tcW w:w="1121" w:type="pct"/>
            <w:tcBorders>
              <w:tl2br w:val="nil"/>
              <w:tr2bl w:val="nil"/>
            </w:tcBorders>
            <w:vAlign w:val="center"/>
          </w:tcPr>
          <w:p w14:paraId="7BAE9626">
            <w:pPr>
              <w:pStyle w:val="48"/>
            </w:pPr>
            <w:r>
              <w:t>评价工作等级</w:t>
            </w:r>
          </w:p>
        </w:tc>
        <w:tc>
          <w:tcPr>
            <w:tcW w:w="880" w:type="pct"/>
            <w:tcBorders>
              <w:tl2br w:val="nil"/>
              <w:tr2bl w:val="nil"/>
            </w:tcBorders>
            <w:vAlign w:val="center"/>
          </w:tcPr>
          <w:p w14:paraId="20AD2F88">
            <w:pPr>
              <w:pStyle w:val="48"/>
            </w:pPr>
            <w:r>
              <w:t>一</w:t>
            </w:r>
          </w:p>
        </w:tc>
        <w:tc>
          <w:tcPr>
            <w:tcW w:w="1000" w:type="pct"/>
            <w:tcBorders>
              <w:tl2br w:val="nil"/>
              <w:tr2bl w:val="nil"/>
            </w:tcBorders>
            <w:vAlign w:val="center"/>
          </w:tcPr>
          <w:p w14:paraId="54CE7048">
            <w:pPr>
              <w:pStyle w:val="48"/>
            </w:pPr>
            <w:r>
              <w:t>二</w:t>
            </w:r>
          </w:p>
        </w:tc>
        <w:tc>
          <w:tcPr>
            <w:tcW w:w="1000" w:type="pct"/>
            <w:tcBorders>
              <w:tl2br w:val="nil"/>
              <w:tr2bl w:val="nil"/>
            </w:tcBorders>
            <w:vAlign w:val="center"/>
          </w:tcPr>
          <w:p w14:paraId="076CD37B">
            <w:pPr>
              <w:pStyle w:val="48"/>
            </w:pPr>
            <w:r>
              <w:t>三</w:t>
            </w:r>
          </w:p>
        </w:tc>
        <w:tc>
          <w:tcPr>
            <w:tcW w:w="999" w:type="pct"/>
            <w:tcBorders>
              <w:tl2br w:val="nil"/>
              <w:tr2bl w:val="nil"/>
            </w:tcBorders>
            <w:vAlign w:val="center"/>
          </w:tcPr>
          <w:p w14:paraId="7FD63609">
            <w:pPr>
              <w:pStyle w:val="48"/>
              <w:rPr>
                <w:b/>
                <w:bCs/>
              </w:rPr>
            </w:pPr>
            <w:r>
              <w:rPr>
                <w:b/>
                <w:bCs/>
              </w:rPr>
              <w:t>简单分析</w:t>
            </w:r>
          </w:p>
        </w:tc>
      </w:tr>
      <w:tr w14:paraId="620E7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624" w:hRule="atLeast"/>
        </w:trPr>
        <w:tc>
          <w:tcPr>
            <w:tcW w:w="5000" w:type="pct"/>
            <w:gridSpan w:val="5"/>
            <w:tcBorders>
              <w:tl2br w:val="nil"/>
              <w:tr2bl w:val="nil"/>
            </w:tcBorders>
            <w:vAlign w:val="center"/>
          </w:tcPr>
          <w:p w14:paraId="6AB351D4">
            <w:pPr>
              <w:pStyle w:val="48"/>
              <w:jc w:val="both"/>
              <w:rPr>
                <w:b/>
                <w:bCs/>
              </w:rPr>
            </w:pPr>
            <w:r>
              <w:t>是相对于详细评价工作内容而言，在描述危险物质、环境影响途径、环境危害后果、风险防范措施等方面给出定性的说明。见附录A</w:t>
            </w:r>
          </w:p>
        </w:tc>
      </w:tr>
    </w:tbl>
    <w:p w14:paraId="34189286">
      <w:pPr>
        <w:pStyle w:val="6"/>
        <w:spacing w:before="170" w:after="170"/>
        <w:rPr>
          <w:rFonts w:cs="Times New Roman"/>
        </w:rPr>
      </w:pPr>
      <w:bookmarkStart w:id="233" w:name="_Toc121420806"/>
      <w:bookmarkStart w:id="234" w:name="_Toc27377392"/>
      <w:bookmarkStart w:id="235" w:name="_Toc55742515"/>
      <w:bookmarkStart w:id="236" w:name="_Toc63257123"/>
      <w:r>
        <w:rPr>
          <w:rFonts w:cs="Times New Roman"/>
        </w:rPr>
        <w:t>2.6 评价工作重点</w:t>
      </w:r>
      <w:bookmarkEnd w:id="233"/>
      <w:bookmarkEnd w:id="234"/>
      <w:bookmarkEnd w:id="235"/>
      <w:bookmarkEnd w:id="236"/>
    </w:p>
    <w:p w14:paraId="23D8B18F">
      <w:pPr>
        <w:ind w:firstLine="519"/>
        <w:rPr>
          <w:rFonts w:cs="Times New Roman"/>
        </w:rPr>
      </w:pPr>
      <w:r>
        <w:rPr>
          <w:rFonts w:cs="Times New Roman"/>
        </w:rPr>
        <w:t>综合考虑该项目的污染源结构和周围环境特点，确定本评价工作重点如下：</w:t>
      </w:r>
    </w:p>
    <w:p w14:paraId="00B14858">
      <w:pPr>
        <w:ind w:firstLine="519"/>
        <w:rPr>
          <w:rFonts w:cs="Times New Roman"/>
        </w:rPr>
      </w:pPr>
      <w:r>
        <w:rPr>
          <w:rFonts w:cs="Times New Roman"/>
        </w:rPr>
        <w:t>（1）环境风险：开采可能导致的地表沉降。</w:t>
      </w:r>
    </w:p>
    <w:p w14:paraId="6A123C29">
      <w:pPr>
        <w:ind w:firstLine="519"/>
        <w:rPr>
          <w:rFonts w:cs="Times New Roman"/>
        </w:rPr>
      </w:pPr>
      <w:r>
        <w:rPr>
          <w:rFonts w:cs="Times New Roman"/>
        </w:rPr>
        <w:t>（2）水环境：营运过程中</w:t>
      </w:r>
      <w:r>
        <w:rPr>
          <w:rFonts w:hint="eastAsia" w:cs="Times New Roman"/>
        </w:rPr>
        <w:t>采卤场卤水罐、</w:t>
      </w:r>
      <w:r>
        <w:rPr>
          <w:rFonts w:cs="Times New Roman"/>
        </w:rPr>
        <w:t>卤水井套管及地埋式输卤管道破损导致的泄露对地表水、地下水环境的影响。</w:t>
      </w:r>
    </w:p>
    <w:p w14:paraId="0B9F3C1A">
      <w:pPr>
        <w:pStyle w:val="6"/>
        <w:spacing w:before="170" w:after="170"/>
        <w:rPr>
          <w:rFonts w:cs="Times New Roman"/>
        </w:rPr>
      </w:pPr>
      <w:bookmarkStart w:id="237" w:name="_Toc27377393"/>
      <w:bookmarkStart w:id="238" w:name="_Toc55742516"/>
      <w:bookmarkStart w:id="239" w:name="_Toc63257124"/>
      <w:bookmarkStart w:id="240" w:name="_Toc121420807"/>
      <w:r>
        <w:rPr>
          <w:rFonts w:cs="Times New Roman"/>
        </w:rPr>
        <w:t>2.7 环境保护目标</w:t>
      </w:r>
      <w:bookmarkEnd w:id="237"/>
      <w:bookmarkEnd w:id="238"/>
      <w:bookmarkEnd w:id="239"/>
      <w:bookmarkEnd w:id="240"/>
    </w:p>
    <w:p w14:paraId="6CE25A73">
      <w:pPr>
        <w:ind w:firstLine="519"/>
        <w:rPr>
          <w:rFonts w:cs="Times New Roman"/>
        </w:rPr>
      </w:pPr>
      <w:r>
        <w:rPr>
          <w:rFonts w:cs="Times New Roman"/>
        </w:rPr>
        <w:t>本工程不涉及生态红线，不在自然保护区、风景名胜区内，评价区域内没有珍稀动植物资源、自然保护区等敏感目标，根据项目性质及周边环境特征，确定本工程主要环境保护目标为项目及周边的敏感点的生态环境、水环境、声环境、大气环境等。具体环境保护目标见下表所示。</w:t>
      </w:r>
    </w:p>
    <w:p w14:paraId="1E434B12">
      <w:pPr>
        <w:ind w:firstLine="519"/>
        <w:rPr>
          <w:rFonts w:cs="Times New Roman"/>
        </w:rPr>
        <w:sectPr>
          <w:pgSz w:w="11906" w:h="16838"/>
          <w:pgMar w:top="1440" w:right="1797" w:bottom="1440" w:left="1797" w:header="851" w:footer="992" w:gutter="0"/>
          <w:cols w:space="425" w:num="1"/>
          <w:docGrid w:type="linesAndChars" w:linePitch="340" w:charSpace="4044"/>
        </w:sectPr>
      </w:pPr>
    </w:p>
    <w:p w14:paraId="1C922C64">
      <w:pPr>
        <w:pStyle w:val="9"/>
      </w:pPr>
      <w:bookmarkStart w:id="241" w:name="_Hlk88491241"/>
      <w:r>
        <w:t>表2.7-1  本项目环境影响评价范围内保护目标一览表</w:t>
      </w:r>
    </w:p>
    <w:bookmarkEnd w:id="241"/>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582"/>
        <w:gridCol w:w="2449"/>
        <w:gridCol w:w="2721"/>
        <w:gridCol w:w="1168"/>
        <w:gridCol w:w="1383"/>
        <w:gridCol w:w="3434"/>
      </w:tblGrid>
      <w:tr w14:paraId="5BAE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507" w:type="pct"/>
            <w:tcBorders>
              <w:top w:val="single" w:color="auto" w:sz="4" w:space="0"/>
              <w:left w:val="single" w:color="auto" w:sz="4" w:space="0"/>
              <w:bottom w:val="single" w:color="auto" w:sz="4" w:space="0"/>
              <w:right w:val="single" w:color="auto" w:sz="4" w:space="0"/>
            </w:tcBorders>
            <w:vAlign w:val="center"/>
          </w:tcPr>
          <w:p w14:paraId="2300589F">
            <w:pPr>
              <w:spacing w:line="240" w:lineRule="auto"/>
              <w:ind w:firstLine="0" w:firstLineChars="0"/>
              <w:rPr>
                <w:rFonts w:cs="Times New Roman"/>
                <w:sz w:val="21"/>
              </w:rPr>
            </w:pPr>
            <w:r>
              <w:rPr>
                <w:rFonts w:hint="eastAsia" w:cs="Times New Roman"/>
                <w:sz w:val="21"/>
              </w:rPr>
              <w:t>环境要素</w:t>
            </w:r>
          </w:p>
        </w:tc>
        <w:tc>
          <w:tcPr>
            <w:tcW w:w="558" w:type="pct"/>
            <w:tcBorders>
              <w:top w:val="single" w:color="auto" w:sz="4" w:space="0"/>
              <w:left w:val="single" w:color="auto" w:sz="4" w:space="0"/>
              <w:bottom w:val="single" w:color="auto" w:sz="4" w:space="0"/>
              <w:right w:val="single" w:color="auto" w:sz="4" w:space="0"/>
            </w:tcBorders>
            <w:vAlign w:val="center"/>
          </w:tcPr>
          <w:p w14:paraId="0E98AC5C">
            <w:pPr>
              <w:spacing w:line="240" w:lineRule="auto"/>
              <w:ind w:firstLine="0" w:firstLineChars="0"/>
              <w:jc w:val="center"/>
              <w:rPr>
                <w:rFonts w:cs="Times New Roman"/>
                <w:sz w:val="21"/>
              </w:rPr>
            </w:pPr>
            <w:r>
              <w:rPr>
                <w:rFonts w:hint="eastAsia" w:cs="Times New Roman"/>
                <w:sz w:val="21"/>
              </w:rPr>
              <w:t>保护目标</w:t>
            </w:r>
          </w:p>
        </w:tc>
        <w:tc>
          <w:tcPr>
            <w:tcW w:w="864" w:type="pct"/>
            <w:tcBorders>
              <w:top w:val="single" w:color="auto" w:sz="4" w:space="0"/>
              <w:left w:val="single" w:color="auto" w:sz="4" w:space="0"/>
              <w:bottom w:val="single" w:color="auto" w:sz="4" w:space="0"/>
              <w:right w:val="single" w:color="auto" w:sz="4" w:space="0"/>
            </w:tcBorders>
            <w:vAlign w:val="center"/>
          </w:tcPr>
          <w:p w14:paraId="1DFD0F0F">
            <w:pPr>
              <w:spacing w:line="240" w:lineRule="auto"/>
              <w:ind w:firstLine="0" w:firstLineChars="0"/>
              <w:jc w:val="center"/>
              <w:rPr>
                <w:rFonts w:cs="Times New Roman"/>
                <w:sz w:val="21"/>
              </w:rPr>
            </w:pPr>
            <w:r>
              <w:rPr>
                <w:rFonts w:hint="eastAsia" w:cs="Times New Roman"/>
                <w:sz w:val="21"/>
              </w:rPr>
              <w:t>坐标</w:t>
            </w:r>
          </w:p>
        </w:tc>
        <w:tc>
          <w:tcPr>
            <w:tcW w:w="960" w:type="pct"/>
            <w:tcBorders>
              <w:top w:val="single" w:color="auto" w:sz="4" w:space="0"/>
              <w:left w:val="single" w:color="auto" w:sz="4" w:space="0"/>
              <w:bottom w:val="single" w:color="auto" w:sz="4" w:space="0"/>
              <w:right w:val="single" w:color="auto" w:sz="4" w:space="0"/>
            </w:tcBorders>
            <w:vAlign w:val="center"/>
          </w:tcPr>
          <w:p w14:paraId="3A3F6F59">
            <w:pPr>
              <w:spacing w:line="240" w:lineRule="auto"/>
              <w:ind w:firstLine="0" w:firstLineChars="0"/>
              <w:jc w:val="center"/>
              <w:rPr>
                <w:rFonts w:cs="Times New Roman"/>
                <w:sz w:val="21"/>
              </w:rPr>
            </w:pPr>
            <w:r>
              <w:rPr>
                <w:rFonts w:hint="eastAsia" w:cs="Times New Roman"/>
                <w:sz w:val="21"/>
              </w:rPr>
              <w:t>相对项目 方位</w:t>
            </w:r>
            <w:r>
              <w:rPr>
                <w:rFonts w:cs="Times New Roman"/>
                <w:sz w:val="21"/>
              </w:rPr>
              <w:t>/</w:t>
            </w:r>
            <w:r>
              <w:rPr>
                <w:rFonts w:hint="eastAsia" w:cs="Times New Roman"/>
                <w:sz w:val="21"/>
              </w:rPr>
              <w:t>距离</w:t>
            </w:r>
          </w:p>
        </w:tc>
        <w:tc>
          <w:tcPr>
            <w:tcW w:w="412" w:type="pct"/>
            <w:tcBorders>
              <w:top w:val="single" w:color="auto" w:sz="4" w:space="0"/>
              <w:left w:val="single" w:color="auto" w:sz="4" w:space="0"/>
              <w:bottom w:val="single" w:color="auto" w:sz="4" w:space="0"/>
              <w:right w:val="single" w:color="auto" w:sz="4" w:space="0"/>
            </w:tcBorders>
            <w:vAlign w:val="center"/>
          </w:tcPr>
          <w:p w14:paraId="0469063F">
            <w:pPr>
              <w:spacing w:line="240" w:lineRule="auto"/>
              <w:ind w:firstLine="0" w:firstLineChars="0"/>
              <w:jc w:val="center"/>
              <w:rPr>
                <w:rFonts w:cs="Times New Roman"/>
                <w:sz w:val="21"/>
              </w:rPr>
            </w:pPr>
            <w:r>
              <w:rPr>
                <w:rFonts w:hint="eastAsia" w:cs="Times New Roman"/>
                <w:sz w:val="21"/>
              </w:rPr>
              <w:t>保护对象</w:t>
            </w:r>
          </w:p>
        </w:tc>
        <w:tc>
          <w:tcPr>
            <w:tcW w:w="488" w:type="pct"/>
            <w:tcBorders>
              <w:top w:val="single" w:color="auto" w:sz="4" w:space="0"/>
              <w:left w:val="single" w:color="auto" w:sz="4" w:space="0"/>
              <w:bottom w:val="single" w:color="auto" w:sz="4" w:space="0"/>
              <w:right w:val="single" w:color="auto" w:sz="4" w:space="0"/>
            </w:tcBorders>
            <w:vAlign w:val="center"/>
          </w:tcPr>
          <w:p w14:paraId="3C10A263">
            <w:pPr>
              <w:spacing w:line="240" w:lineRule="auto"/>
              <w:ind w:firstLine="0" w:firstLineChars="0"/>
              <w:jc w:val="center"/>
              <w:rPr>
                <w:rFonts w:cs="Times New Roman"/>
                <w:sz w:val="21"/>
              </w:rPr>
            </w:pPr>
            <w:r>
              <w:rPr>
                <w:rFonts w:hint="eastAsia" w:cs="Times New Roman"/>
                <w:sz w:val="21"/>
              </w:rPr>
              <w:t>保护内容</w:t>
            </w:r>
          </w:p>
        </w:tc>
        <w:tc>
          <w:tcPr>
            <w:tcW w:w="1211" w:type="pct"/>
            <w:tcBorders>
              <w:top w:val="single" w:color="auto" w:sz="4" w:space="0"/>
              <w:left w:val="single" w:color="auto" w:sz="4" w:space="0"/>
              <w:bottom w:val="single" w:color="auto" w:sz="4" w:space="0"/>
              <w:right w:val="single" w:color="auto" w:sz="4" w:space="0"/>
            </w:tcBorders>
            <w:vAlign w:val="center"/>
          </w:tcPr>
          <w:p w14:paraId="3118B3CE">
            <w:pPr>
              <w:spacing w:line="240" w:lineRule="auto"/>
              <w:ind w:firstLine="0" w:firstLineChars="0"/>
              <w:jc w:val="center"/>
              <w:rPr>
                <w:rFonts w:cs="Times New Roman"/>
                <w:sz w:val="21"/>
              </w:rPr>
            </w:pPr>
            <w:r>
              <w:rPr>
                <w:rFonts w:hint="eastAsia" w:cs="Times New Roman"/>
                <w:sz w:val="21"/>
              </w:rPr>
              <w:t>环境功能</w:t>
            </w:r>
          </w:p>
        </w:tc>
      </w:tr>
      <w:tr w14:paraId="0376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restart"/>
            <w:tcBorders>
              <w:top w:val="single" w:color="auto" w:sz="4" w:space="0"/>
              <w:left w:val="single" w:color="auto" w:sz="4" w:space="0"/>
              <w:bottom w:val="single" w:color="auto" w:sz="4" w:space="0"/>
              <w:right w:val="single" w:color="auto" w:sz="4" w:space="0"/>
            </w:tcBorders>
            <w:vAlign w:val="center"/>
          </w:tcPr>
          <w:p w14:paraId="4CEABF00">
            <w:pPr>
              <w:spacing w:line="240" w:lineRule="auto"/>
              <w:ind w:firstLine="0" w:firstLineChars="0"/>
              <w:jc w:val="center"/>
              <w:rPr>
                <w:rFonts w:cs="Times New Roman"/>
                <w:sz w:val="21"/>
              </w:rPr>
            </w:pPr>
            <w:r>
              <w:rPr>
                <w:rFonts w:hint="eastAsia" w:cs="Times New Roman"/>
                <w:sz w:val="21"/>
              </w:rPr>
              <w:t>环境空气</w:t>
            </w:r>
          </w:p>
        </w:tc>
        <w:tc>
          <w:tcPr>
            <w:tcW w:w="558" w:type="pct"/>
            <w:tcBorders>
              <w:top w:val="single" w:color="auto" w:sz="4" w:space="0"/>
              <w:left w:val="single" w:color="auto" w:sz="4" w:space="0"/>
              <w:bottom w:val="single" w:color="auto" w:sz="4" w:space="0"/>
              <w:right w:val="single" w:color="auto" w:sz="4" w:space="0"/>
            </w:tcBorders>
            <w:vAlign w:val="center"/>
          </w:tcPr>
          <w:p w14:paraId="71DE9380">
            <w:pPr>
              <w:spacing w:line="240" w:lineRule="auto"/>
              <w:ind w:firstLine="0" w:firstLineChars="0"/>
              <w:jc w:val="center"/>
              <w:rPr>
                <w:rFonts w:cs="Times New Roman"/>
                <w:sz w:val="21"/>
              </w:rPr>
            </w:pPr>
            <w:r>
              <w:rPr>
                <w:rFonts w:hint="eastAsia" w:cs="Times New Roman"/>
                <w:sz w:val="21"/>
              </w:rPr>
              <w:t>金兰村</w:t>
            </w:r>
          </w:p>
        </w:tc>
        <w:tc>
          <w:tcPr>
            <w:tcW w:w="864" w:type="pct"/>
            <w:tcBorders>
              <w:top w:val="single" w:color="auto" w:sz="4" w:space="0"/>
              <w:left w:val="single" w:color="auto" w:sz="4" w:space="0"/>
              <w:bottom w:val="single" w:color="auto" w:sz="4" w:space="0"/>
              <w:right w:val="single" w:color="auto" w:sz="4" w:space="0"/>
            </w:tcBorders>
            <w:vAlign w:val="center"/>
          </w:tcPr>
          <w:p w14:paraId="79CC9547">
            <w:pPr>
              <w:spacing w:line="240" w:lineRule="auto"/>
              <w:ind w:firstLine="0" w:firstLineChars="0"/>
              <w:jc w:val="center"/>
              <w:rPr>
                <w:rFonts w:cs="Times New Roman"/>
                <w:sz w:val="21"/>
              </w:rPr>
            </w:pPr>
            <w:r>
              <w:rPr>
                <w:rFonts w:cs="Times New Roman"/>
                <w:sz w:val="21"/>
              </w:rPr>
              <w:t>112°39′6.40477″</w:t>
            </w:r>
          </w:p>
          <w:p w14:paraId="05DAB369">
            <w:pPr>
              <w:spacing w:line="240" w:lineRule="auto"/>
              <w:ind w:firstLine="0" w:firstLineChars="0"/>
              <w:jc w:val="center"/>
              <w:rPr>
                <w:rFonts w:cs="Times New Roman"/>
                <w:sz w:val="21"/>
              </w:rPr>
            </w:pPr>
            <w:r>
              <w:rPr>
                <w:rFonts w:cs="Times New Roman"/>
                <w:sz w:val="21"/>
              </w:rPr>
              <w:t>26°58′10.96903″</w:t>
            </w:r>
          </w:p>
        </w:tc>
        <w:tc>
          <w:tcPr>
            <w:tcW w:w="960" w:type="pct"/>
            <w:tcBorders>
              <w:top w:val="single" w:color="auto" w:sz="4" w:space="0"/>
              <w:left w:val="single" w:color="auto" w:sz="4" w:space="0"/>
              <w:bottom w:val="single" w:color="auto" w:sz="4" w:space="0"/>
              <w:right w:val="single" w:color="auto" w:sz="4" w:space="0"/>
            </w:tcBorders>
            <w:vAlign w:val="center"/>
          </w:tcPr>
          <w:p w14:paraId="7F5303C7">
            <w:pPr>
              <w:spacing w:line="240" w:lineRule="auto"/>
              <w:ind w:firstLine="0" w:firstLineChars="0"/>
              <w:jc w:val="center"/>
              <w:rPr>
                <w:rFonts w:cs="Times New Roman"/>
                <w:sz w:val="21"/>
              </w:rPr>
            </w:pPr>
            <w:r>
              <w:rPr>
                <w:rFonts w:hint="eastAsia" w:cs="Times New Roman"/>
                <w:sz w:val="21"/>
              </w:rPr>
              <w:t>矿区</w:t>
            </w:r>
            <w:r>
              <w:rPr>
                <w:rFonts w:cs="Times New Roman"/>
                <w:sz w:val="21"/>
              </w:rPr>
              <w:t>E/570m</w:t>
            </w:r>
          </w:p>
          <w:p w14:paraId="5F26EF7A">
            <w:pPr>
              <w:spacing w:line="240" w:lineRule="auto"/>
              <w:ind w:firstLine="0" w:firstLineChars="0"/>
              <w:jc w:val="center"/>
              <w:rPr>
                <w:rFonts w:cs="Times New Roman"/>
                <w:sz w:val="21"/>
              </w:rPr>
            </w:pPr>
            <w:r>
              <w:rPr>
                <w:rFonts w:hint="eastAsia" w:cs="Times New Roman"/>
                <w:sz w:val="21"/>
              </w:rPr>
              <w:t>新建井场</w:t>
            </w:r>
            <w:r>
              <w:rPr>
                <w:rFonts w:cs="Times New Roman"/>
                <w:sz w:val="21"/>
              </w:rPr>
              <w:t>ESE/2355m</w:t>
            </w:r>
          </w:p>
        </w:tc>
        <w:tc>
          <w:tcPr>
            <w:tcW w:w="412" w:type="pct"/>
            <w:tcBorders>
              <w:top w:val="single" w:color="auto" w:sz="4" w:space="0"/>
              <w:left w:val="single" w:color="auto" w:sz="4" w:space="0"/>
              <w:bottom w:val="single" w:color="auto" w:sz="4" w:space="0"/>
              <w:right w:val="single" w:color="auto" w:sz="4" w:space="0"/>
            </w:tcBorders>
            <w:vAlign w:val="center"/>
          </w:tcPr>
          <w:p w14:paraId="6A20C843">
            <w:pPr>
              <w:spacing w:line="240" w:lineRule="auto"/>
              <w:ind w:firstLine="0" w:firstLineChars="0"/>
              <w:jc w:val="center"/>
              <w:rPr>
                <w:rFonts w:cs="Times New Roman"/>
                <w:sz w:val="21"/>
              </w:rPr>
            </w:pPr>
            <w:r>
              <w:rPr>
                <w:rFonts w:hint="eastAsia" w:cs="Times New Roman"/>
                <w:sz w:val="21"/>
              </w:rPr>
              <w:t>居住区</w:t>
            </w:r>
          </w:p>
        </w:tc>
        <w:tc>
          <w:tcPr>
            <w:tcW w:w="488" w:type="pct"/>
            <w:tcBorders>
              <w:top w:val="single" w:color="auto" w:sz="4" w:space="0"/>
              <w:left w:val="single" w:color="auto" w:sz="4" w:space="0"/>
              <w:bottom w:val="single" w:color="auto" w:sz="4" w:space="0"/>
              <w:right w:val="single" w:color="auto" w:sz="4" w:space="0"/>
            </w:tcBorders>
            <w:vAlign w:val="center"/>
          </w:tcPr>
          <w:p w14:paraId="3BC0E652">
            <w:pPr>
              <w:spacing w:line="240" w:lineRule="auto"/>
              <w:ind w:firstLine="0" w:firstLineChars="0"/>
              <w:jc w:val="center"/>
              <w:rPr>
                <w:rFonts w:cs="Times New Roman"/>
                <w:sz w:val="21"/>
              </w:rPr>
            </w:pPr>
            <w:r>
              <w:rPr>
                <w:rFonts w:hint="eastAsia" w:cs="Times New Roman"/>
                <w:sz w:val="21"/>
              </w:rPr>
              <w:t>人群</w:t>
            </w:r>
          </w:p>
        </w:tc>
        <w:tc>
          <w:tcPr>
            <w:tcW w:w="1211" w:type="pct"/>
            <w:vMerge w:val="restart"/>
            <w:tcBorders>
              <w:top w:val="single" w:color="auto" w:sz="4" w:space="0"/>
              <w:left w:val="single" w:color="auto" w:sz="4" w:space="0"/>
              <w:bottom w:val="single" w:color="auto" w:sz="4" w:space="0"/>
              <w:right w:val="single" w:color="auto" w:sz="4" w:space="0"/>
            </w:tcBorders>
            <w:vAlign w:val="center"/>
          </w:tcPr>
          <w:p w14:paraId="3516F98F">
            <w:pPr>
              <w:spacing w:line="240" w:lineRule="auto"/>
              <w:ind w:firstLine="0" w:firstLineChars="0"/>
              <w:jc w:val="center"/>
              <w:rPr>
                <w:rFonts w:cs="Times New Roman"/>
                <w:sz w:val="21"/>
              </w:rPr>
            </w:pPr>
            <w:r>
              <w:rPr>
                <w:rFonts w:hint="eastAsia" w:cs="Times New Roman"/>
                <w:sz w:val="21"/>
              </w:rPr>
              <w:t>《环境空气质量标准》</w:t>
            </w:r>
          </w:p>
          <w:p w14:paraId="7EC134CB">
            <w:pPr>
              <w:spacing w:line="240" w:lineRule="auto"/>
              <w:ind w:firstLine="0" w:firstLineChars="0"/>
              <w:jc w:val="center"/>
              <w:rPr>
                <w:rFonts w:cs="Times New Roman"/>
                <w:sz w:val="21"/>
              </w:rPr>
            </w:pPr>
            <w:r>
              <w:rPr>
                <w:rFonts w:hint="eastAsia" w:cs="Times New Roman"/>
                <w:sz w:val="21"/>
              </w:rPr>
              <w:t>（</w:t>
            </w:r>
            <w:r>
              <w:rPr>
                <w:rFonts w:cs="Times New Roman"/>
                <w:sz w:val="21"/>
              </w:rPr>
              <w:t>GB3095-2012</w:t>
            </w:r>
            <w:r>
              <w:rPr>
                <w:rFonts w:hint="eastAsia" w:cs="Times New Roman"/>
                <w:sz w:val="21"/>
              </w:rPr>
              <w:t>）二级标准</w:t>
            </w:r>
          </w:p>
        </w:tc>
      </w:tr>
      <w:tr w14:paraId="46B7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60BD8BB">
            <w:pPr>
              <w:widowControl/>
              <w:wordWrap/>
              <w:topLinePunct w:val="0"/>
              <w:adjustRightInd/>
              <w:snapToGrid/>
              <w:spacing w:line="240" w:lineRule="auto"/>
              <w:ind w:firstLine="0" w:firstLineChars="0"/>
              <w:jc w:val="left"/>
              <w:rPr>
                <w:rFonts w:cs="Times New Roman"/>
                <w:sz w:val="21"/>
              </w:rPr>
            </w:pPr>
          </w:p>
        </w:tc>
        <w:tc>
          <w:tcPr>
            <w:tcW w:w="558" w:type="pct"/>
            <w:tcBorders>
              <w:top w:val="single" w:color="auto" w:sz="4" w:space="0"/>
              <w:left w:val="single" w:color="auto" w:sz="4" w:space="0"/>
              <w:bottom w:val="single" w:color="auto" w:sz="4" w:space="0"/>
              <w:right w:val="single" w:color="auto" w:sz="4" w:space="0"/>
            </w:tcBorders>
            <w:vAlign w:val="center"/>
          </w:tcPr>
          <w:p w14:paraId="1E428BAF">
            <w:pPr>
              <w:spacing w:line="240" w:lineRule="auto"/>
              <w:ind w:firstLine="0" w:firstLineChars="0"/>
              <w:jc w:val="center"/>
              <w:rPr>
                <w:rFonts w:cs="Times New Roman"/>
                <w:sz w:val="21"/>
              </w:rPr>
            </w:pPr>
            <w:r>
              <w:rPr>
                <w:rFonts w:hint="eastAsia" w:cs="Times New Roman"/>
                <w:sz w:val="21"/>
              </w:rPr>
              <w:t>黄家垅</w:t>
            </w:r>
          </w:p>
        </w:tc>
        <w:tc>
          <w:tcPr>
            <w:tcW w:w="864" w:type="pct"/>
            <w:tcBorders>
              <w:top w:val="single" w:color="auto" w:sz="4" w:space="0"/>
              <w:left w:val="single" w:color="auto" w:sz="4" w:space="0"/>
              <w:bottom w:val="single" w:color="auto" w:sz="4" w:space="0"/>
              <w:right w:val="single" w:color="auto" w:sz="4" w:space="0"/>
            </w:tcBorders>
            <w:vAlign w:val="center"/>
          </w:tcPr>
          <w:p w14:paraId="21E0D084">
            <w:pPr>
              <w:spacing w:line="240" w:lineRule="auto"/>
              <w:ind w:firstLine="0" w:firstLineChars="0"/>
              <w:jc w:val="center"/>
              <w:rPr>
                <w:rFonts w:cs="Times New Roman"/>
                <w:sz w:val="21"/>
              </w:rPr>
            </w:pPr>
            <w:r>
              <w:rPr>
                <w:rFonts w:cs="Times New Roman"/>
                <w:sz w:val="21"/>
              </w:rPr>
              <w:t>112°38′35.96921″</w:t>
            </w:r>
          </w:p>
          <w:p w14:paraId="23745BF0">
            <w:pPr>
              <w:spacing w:line="240" w:lineRule="auto"/>
              <w:ind w:firstLine="0" w:firstLineChars="0"/>
              <w:jc w:val="center"/>
              <w:rPr>
                <w:rFonts w:cs="Times New Roman"/>
                <w:sz w:val="21"/>
              </w:rPr>
            </w:pPr>
            <w:r>
              <w:rPr>
                <w:rFonts w:cs="Times New Roman"/>
                <w:sz w:val="21"/>
              </w:rPr>
              <w:t>26°57′54.53460″</w:t>
            </w:r>
          </w:p>
        </w:tc>
        <w:tc>
          <w:tcPr>
            <w:tcW w:w="960" w:type="pct"/>
            <w:tcBorders>
              <w:top w:val="single" w:color="auto" w:sz="4" w:space="0"/>
              <w:left w:val="single" w:color="auto" w:sz="4" w:space="0"/>
              <w:bottom w:val="single" w:color="auto" w:sz="4" w:space="0"/>
              <w:right w:val="single" w:color="auto" w:sz="4" w:space="0"/>
            </w:tcBorders>
            <w:vAlign w:val="center"/>
          </w:tcPr>
          <w:p w14:paraId="4C54D7A3">
            <w:pPr>
              <w:spacing w:line="240" w:lineRule="auto"/>
              <w:ind w:firstLine="0" w:firstLineChars="0"/>
              <w:jc w:val="center"/>
              <w:rPr>
                <w:rFonts w:cs="Times New Roman"/>
                <w:sz w:val="21"/>
              </w:rPr>
            </w:pPr>
            <w:r>
              <w:rPr>
                <w:rFonts w:hint="eastAsia" w:cs="Times New Roman"/>
                <w:sz w:val="21"/>
              </w:rPr>
              <w:t>矿区</w:t>
            </w:r>
            <w:r>
              <w:rPr>
                <w:rFonts w:cs="Times New Roman"/>
                <w:sz w:val="21"/>
              </w:rPr>
              <w:t>S/394m</w:t>
            </w:r>
          </w:p>
          <w:p w14:paraId="529D9E7D">
            <w:pPr>
              <w:spacing w:line="240" w:lineRule="auto"/>
              <w:ind w:firstLine="0" w:firstLineChars="0"/>
              <w:jc w:val="center"/>
              <w:rPr>
                <w:rFonts w:cs="Times New Roman"/>
                <w:sz w:val="21"/>
              </w:rPr>
            </w:pPr>
            <w:r>
              <w:rPr>
                <w:rFonts w:hint="eastAsia" w:cs="Times New Roman"/>
                <w:sz w:val="21"/>
              </w:rPr>
              <w:t>新建井场</w:t>
            </w:r>
            <w:r>
              <w:rPr>
                <w:rFonts w:cs="Times New Roman"/>
                <w:sz w:val="21"/>
              </w:rPr>
              <w:t>SE/1920m</w:t>
            </w:r>
          </w:p>
        </w:tc>
        <w:tc>
          <w:tcPr>
            <w:tcW w:w="412" w:type="pct"/>
            <w:tcBorders>
              <w:top w:val="single" w:color="auto" w:sz="4" w:space="0"/>
              <w:left w:val="single" w:color="auto" w:sz="4" w:space="0"/>
              <w:bottom w:val="single" w:color="auto" w:sz="4" w:space="0"/>
              <w:right w:val="single" w:color="auto" w:sz="4" w:space="0"/>
            </w:tcBorders>
            <w:vAlign w:val="center"/>
          </w:tcPr>
          <w:p w14:paraId="103BE554">
            <w:pPr>
              <w:spacing w:line="240" w:lineRule="auto"/>
              <w:ind w:firstLine="0" w:firstLineChars="0"/>
              <w:jc w:val="center"/>
              <w:rPr>
                <w:rFonts w:cs="Times New Roman"/>
                <w:sz w:val="21"/>
              </w:rPr>
            </w:pPr>
            <w:r>
              <w:rPr>
                <w:rFonts w:hint="eastAsia" w:cs="Times New Roman"/>
                <w:sz w:val="21"/>
              </w:rPr>
              <w:t>居住区</w:t>
            </w:r>
          </w:p>
        </w:tc>
        <w:tc>
          <w:tcPr>
            <w:tcW w:w="488" w:type="pct"/>
            <w:tcBorders>
              <w:top w:val="single" w:color="auto" w:sz="4" w:space="0"/>
              <w:left w:val="single" w:color="auto" w:sz="4" w:space="0"/>
              <w:bottom w:val="single" w:color="auto" w:sz="4" w:space="0"/>
              <w:right w:val="single" w:color="auto" w:sz="4" w:space="0"/>
            </w:tcBorders>
            <w:vAlign w:val="center"/>
          </w:tcPr>
          <w:p w14:paraId="38AE1802">
            <w:pPr>
              <w:spacing w:line="240" w:lineRule="auto"/>
              <w:ind w:firstLine="0" w:firstLineChars="0"/>
              <w:jc w:val="center"/>
              <w:rPr>
                <w:rFonts w:cs="Times New Roman"/>
                <w:sz w:val="21"/>
              </w:rPr>
            </w:pPr>
            <w:r>
              <w:rPr>
                <w:rFonts w:hint="eastAsia" w:cs="Times New Roman"/>
                <w:sz w:val="21"/>
              </w:rPr>
              <w:t>人群</w:t>
            </w:r>
          </w:p>
        </w:tc>
        <w:tc>
          <w:tcPr>
            <w:tcW w:w="1211" w:type="pct"/>
            <w:vMerge w:val="continue"/>
            <w:tcBorders>
              <w:top w:val="single" w:color="auto" w:sz="4" w:space="0"/>
              <w:left w:val="single" w:color="auto" w:sz="4" w:space="0"/>
              <w:bottom w:val="single" w:color="auto" w:sz="4" w:space="0"/>
              <w:right w:val="single" w:color="auto" w:sz="4" w:space="0"/>
            </w:tcBorders>
            <w:vAlign w:val="center"/>
          </w:tcPr>
          <w:p w14:paraId="72E9FBCC">
            <w:pPr>
              <w:widowControl/>
              <w:wordWrap/>
              <w:topLinePunct w:val="0"/>
              <w:adjustRightInd/>
              <w:snapToGrid/>
              <w:spacing w:line="240" w:lineRule="auto"/>
              <w:ind w:firstLine="0" w:firstLineChars="0"/>
              <w:jc w:val="left"/>
              <w:rPr>
                <w:rFonts w:cs="Times New Roman"/>
                <w:sz w:val="21"/>
              </w:rPr>
            </w:pPr>
          </w:p>
        </w:tc>
      </w:tr>
      <w:tr w14:paraId="4EBF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C7CF7B2">
            <w:pPr>
              <w:widowControl/>
              <w:wordWrap/>
              <w:topLinePunct w:val="0"/>
              <w:adjustRightInd/>
              <w:snapToGrid/>
              <w:spacing w:line="240" w:lineRule="auto"/>
              <w:ind w:firstLine="0" w:firstLineChars="0"/>
              <w:jc w:val="left"/>
              <w:rPr>
                <w:rFonts w:cs="Times New Roman"/>
                <w:sz w:val="21"/>
              </w:rPr>
            </w:pPr>
          </w:p>
        </w:tc>
        <w:tc>
          <w:tcPr>
            <w:tcW w:w="558" w:type="pct"/>
            <w:tcBorders>
              <w:top w:val="single" w:color="auto" w:sz="4" w:space="0"/>
              <w:left w:val="single" w:color="auto" w:sz="4" w:space="0"/>
              <w:bottom w:val="single" w:color="auto" w:sz="4" w:space="0"/>
              <w:right w:val="single" w:color="auto" w:sz="4" w:space="0"/>
            </w:tcBorders>
            <w:vAlign w:val="center"/>
          </w:tcPr>
          <w:p w14:paraId="7847BCCD">
            <w:pPr>
              <w:spacing w:line="240" w:lineRule="auto"/>
              <w:ind w:firstLine="0" w:firstLineChars="0"/>
              <w:jc w:val="center"/>
              <w:rPr>
                <w:rFonts w:cs="Times New Roman"/>
                <w:sz w:val="21"/>
              </w:rPr>
            </w:pPr>
            <w:r>
              <w:rPr>
                <w:rFonts w:hint="eastAsia" w:cs="Times New Roman"/>
                <w:sz w:val="21"/>
              </w:rPr>
              <w:t>下老虎塘</w:t>
            </w:r>
          </w:p>
        </w:tc>
        <w:tc>
          <w:tcPr>
            <w:tcW w:w="864" w:type="pct"/>
            <w:tcBorders>
              <w:top w:val="single" w:color="auto" w:sz="4" w:space="0"/>
              <w:left w:val="single" w:color="auto" w:sz="4" w:space="0"/>
              <w:bottom w:val="single" w:color="auto" w:sz="4" w:space="0"/>
              <w:right w:val="single" w:color="auto" w:sz="4" w:space="0"/>
            </w:tcBorders>
            <w:vAlign w:val="center"/>
          </w:tcPr>
          <w:p w14:paraId="2B3D51CF">
            <w:pPr>
              <w:spacing w:line="240" w:lineRule="auto"/>
              <w:ind w:firstLine="0" w:firstLineChars="0"/>
              <w:jc w:val="center"/>
              <w:rPr>
                <w:rFonts w:cs="Times New Roman"/>
                <w:sz w:val="21"/>
              </w:rPr>
            </w:pPr>
            <w:r>
              <w:rPr>
                <w:rFonts w:cs="Times New Roman"/>
                <w:sz w:val="21"/>
              </w:rPr>
              <w:t>112°38′27.78096″</w:t>
            </w:r>
          </w:p>
          <w:p w14:paraId="2C6439C2">
            <w:pPr>
              <w:spacing w:line="240" w:lineRule="auto"/>
              <w:ind w:firstLine="0" w:firstLineChars="0"/>
              <w:jc w:val="center"/>
              <w:rPr>
                <w:rFonts w:cs="Times New Roman"/>
                <w:sz w:val="21"/>
              </w:rPr>
            </w:pPr>
            <w:r>
              <w:rPr>
                <w:rFonts w:cs="Times New Roman"/>
                <w:sz w:val="21"/>
              </w:rPr>
              <w:t>26°57′55.71262″</w:t>
            </w:r>
          </w:p>
        </w:tc>
        <w:tc>
          <w:tcPr>
            <w:tcW w:w="960" w:type="pct"/>
            <w:tcBorders>
              <w:top w:val="single" w:color="auto" w:sz="4" w:space="0"/>
              <w:left w:val="single" w:color="auto" w:sz="4" w:space="0"/>
              <w:bottom w:val="single" w:color="auto" w:sz="4" w:space="0"/>
              <w:right w:val="single" w:color="auto" w:sz="4" w:space="0"/>
            </w:tcBorders>
            <w:vAlign w:val="center"/>
          </w:tcPr>
          <w:p w14:paraId="7A4B0311">
            <w:pPr>
              <w:spacing w:line="240" w:lineRule="auto"/>
              <w:ind w:firstLine="0" w:firstLineChars="0"/>
              <w:jc w:val="center"/>
              <w:rPr>
                <w:rFonts w:cs="Times New Roman"/>
                <w:sz w:val="21"/>
              </w:rPr>
            </w:pPr>
            <w:bookmarkStart w:id="242" w:name="_Hlk89616944"/>
            <w:r>
              <w:rPr>
                <w:rFonts w:hint="eastAsia" w:cs="Times New Roman"/>
                <w:sz w:val="21"/>
              </w:rPr>
              <w:t>矿区</w:t>
            </w:r>
            <w:bookmarkEnd w:id="242"/>
            <w:r>
              <w:rPr>
                <w:rFonts w:cs="Times New Roman"/>
                <w:sz w:val="21"/>
              </w:rPr>
              <w:t>S/333m</w:t>
            </w:r>
          </w:p>
          <w:p w14:paraId="4256FA77">
            <w:pPr>
              <w:spacing w:line="240" w:lineRule="auto"/>
              <w:ind w:firstLine="0" w:firstLineChars="0"/>
              <w:jc w:val="center"/>
              <w:rPr>
                <w:rFonts w:cs="Times New Roman"/>
                <w:sz w:val="21"/>
              </w:rPr>
            </w:pPr>
            <w:r>
              <w:rPr>
                <w:rFonts w:hint="eastAsia" w:cs="Times New Roman"/>
                <w:sz w:val="21"/>
              </w:rPr>
              <w:t>新建井场</w:t>
            </w:r>
            <w:r>
              <w:rPr>
                <w:rFonts w:cs="Times New Roman"/>
                <w:sz w:val="21"/>
              </w:rPr>
              <w:t>SE/1560m</w:t>
            </w:r>
          </w:p>
        </w:tc>
        <w:tc>
          <w:tcPr>
            <w:tcW w:w="412" w:type="pct"/>
            <w:tcBorders>
              <w:top w:val="single" w:color="auto" w:sz="4" w:space="0"/>
              <w:left w:val="single" w:color="auto" w:sz="4" w:space="0"/>
              <w:bottom w:val="single" w:color="auto" w:sz="4" w:space="0"/>
              <w:right w:val="single" w:color="auto" w:sz="4" w:space="0"/>
            </w:tcBorders>
            <w:vAlign w:val="center"/>
          </w:tcPr>
          <w:p w14:paraId="442A9402">
            <w:pPr>
              <w:spacing w:line="240" w:lineRule="auto"/>
              <w:ind w:firstLine="0" w:firstLineChars="0"/>
              <w:jc w:val="center"/>
              <w:rPr>
                <w:rFonts w:cs="Times New Roman"/>
                <w:sz w:val="21"/>
              </w:rPr>
            </w:pPr>
            <w:r>
              <w:rPr>
                <w:rFonts w:hint="eastAsia" w:cs="Times New Roman"/>
                <w:sz w:val="21"/>
              </w:rPr>
              <w:t>居住区</w:t>
            </w:r>
          </w:p>
        </w:tc>
        <w:tc>
          <w:tcPr>
            <w:tcW w:w="488" w:type="pct"/>
            <w:tcBorders>
              <w:top w:val="single" w:color="auto" w:sz="4" w:space="0"/>
              <w:left w:val="single" w:color="auto" w:sz="4" w:space="0"/>
              <w:bottom w:val="single" w:color="auto" w:sz="4" w:space="0"/>
              <w:right w:val="single" w:color="auto" w:sz="4" w:space="0"/>
            </w:tcBorders>
            <w:vAlign w:val="center"/>
          </w:tcPr>
          <w:p w14:paraId="5919D680">
            <w:pPr>
              <w:spacing w:line="240" w:lineRule="auto"/>
              <w:ind w:firstLine="0" w:firstLineChars="0"/>
              <w:jc w:val="center"/>
              <w:rPr>
                <w:rFonts w:cs="Times New Roman"/>
                <w:sz w:val="21"/>
              </w:rPr>
            </w:pPr>
            <w:r>
              <w:rPr>
                <w:rFonts w:hint="eastAsia" w:cs="Times New Roman"/>
                <w:sz w:val="21"/>
              </w:rPr>
              <w:t>人群</w:t>
            </w:r>
          </w:p>
        </w:tc>
        <w:tc>
          <w:tcPr>
            <w:tcW w:w="1211" w:type="pct"/>
            <w:vMerge w:val="continue"/>
            <w:tcBorders>
              <w:top w:val="single" w:color="auto" w:sz="4" w:space="0"/>
              <w:left w:val="single" w:color="auto" w:sz="4" w:space="0"/>
              <w:bottom w:val="single" w:color="auto" w:sz="4" w:space="0"/>
              <w:right w:val="single" w:color="auto" w:sz="4" w:space="0"/>
            </w:tcBorders>
            <w:vAlign w:val="center"/>
          </w:tcPr>
          <w:p w14:paraId="554C3EE2">
            <w:pPr>
              <w:widowControl/>
              <w:wordWrap/>
              <w:topLinePunct w:val="0"/>
              <w:adjustRightInd/>
              <w:snapToGrid/>
              <w:spacing w:line="240" w:lineRule="auto"/>
              <w:ind w:firstLine="0" w:firstLineChars="0"/>
              <w:jc w:val="left"/>
              <w:rPr>
                <w:rFonts w:cs="Times New Roman"/>
                <w:sz w:val="21"/>
              </w:rPr>
            </w:pPr>
          </w:p>
        </w:tc>
      </w:tr>
      <w:tr w14:paraId="4581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12F9F79">
            <w:pPr>
              <w:widowControl/>
              <w:wordWrap/>
              <w:topLinePunct w:val="0"/>
              <w:adjustRightInd/>
              <w:snapToGrid/>
              <w:spacing w:line="240" w:lineRule="auto"/>
              <w:ind w:firstLine="0" w:firstLineChars="0"/>
              <w:jc w:val="left"/>
              <w:rPr>
                <w:rFonts w:cs="Times New Roman"/>
                <w:sz w:val="21"/>
              </w:rPr>
            </w:pPr>
          </w:p>
        </w:tc>
        <w:tc>
          <w:tcPr>
            <w:tcW w:w="558" w:type="pct"/>
            <w:tcBorders>
              <w:top w:val="single" w:color="auto" w:sz="4" w:space="0"/>
              <w:left w:val="single" w:color="auto" w:sz="4" w:space="0"/>
              <w:bottom w:val="single" w:color="auto" w:sz="4" w:space="0"/>
              <w:right w:val="single" w:color="auto" w:sz="4" w:space="0"/>
            </w:tcBorders>
            <w:vAlign w:val="center"/>
          </w:tcPr>
          <w:p w14:paraId="10631259">
            <w:pPr>
              <w:spacing w:line="240" w:lineRule="auto"/>
              <w:ind w:firstLine="0" w:firstLineChars="0"/>
              <w:jc w:val="center"/>
              <w:rPr>
                <w:rFonts w:cs="Times New Roman"/>
                <w:sz w:val="21"/>
              </w:rPr>
            </w:pPr>
            <w:r>
              <w:rPr>
                <w:rFonts w:hint="eastAsia" w:cs="Times New Roman"/>
                <w:sz w:val="21"/>
              </w:rPr>
              <w:t>松木公租房</w:t>
            </w:r>
          </w:p>
        </w:tc>
        <w:tc>
          <w:tcPr>
            <w:tcW w:w="864" w:type="pct"/>
            <w:tcBorders>
              <w:top w:val="single" w:color="auto" w:sz="4" w:space="0"/>
              <w:left w:val="single" w:color="auto" w:sz="4" w:space="0"/>
              <w:bottom w:val="single" w:color="auto" w:sz="4" w:space="0"/>
              <w:right w:val="single" w:color="auto" w:sz="4" w:space="0"/>
            </w:tcBorders>
            <w:vAlign w:val="center"/>
          </w:tcPr>
          <w:p w14:paraId="20C51C64">
            <w:pPr>
              <w:spacing w:line="240" w:lineRule="auto"/>
              <w:ind w:firstLine="0" w:firstLineChars="0"/>
              <w:jc w:val="center"/>
              <w:rPr>
                <w:rFonts w:cs="Times New Roman"/>
                <w:sz w:val="21"/>
              </w:rPr>
            </w:pPr>
            <w:r>
              <w:rPr>
                <w:rFonts w:cs="Times New Roman"/>
                <w:sz w:val="21"/>
              </w:rPr>
              <w:t>112°37′19.97686″</w:t>
            </w:r>
          </w:p>
          <w:p w14:paraId="5E0DE270">
            <w:pPr>
              <w:spacing w:line="240" w:lineRule="auto"/>
              <w:ind w:firstLine="0" w:firstLineChars="0"/>
              <w:jc w:val="center"/>
              <w:rPr>
                <w:rFonts w:cs="Times New Roman"/>
                <w:sz w:val="21"/>
              </w:rPr>
            </w:pPr>
            <w:r>
              <w:rPr>
                <w:rFonts w:cs="Times New Roman"/>
                <w:sz w:val="21"/>
              </w:rPr>
              <w:t>26°58′3.78500″</w:t>
            </w:r>
          </w:p>
        </w:tc>
        <w:tc>
          <w:tcPr>
            <w:tcW w:w="960" w:type="pct"/>
            <w:tcBorders>
              <w:top w:val="single" w:color="auto" w:sz="4" w:space="0"/>
              <w:left w:val="single" w:color="auto" w:sz="4" w:space="0"/>
              <w:bottom w:val="single" w:color="auto" w:sz="4" w:space="0"/>
              <w:right w:val="single" w:color="auto" w:sz="4" w:space="0"/>
            </w:tcBorders>
            <w:vAlign w:val="center"/>
          </w:tcPr>
          <w:p w14:paraId="72175BCC">
            <w:pPr>
              <w:spacing w:line="240" w:lineRule="auto"/>
              <w:ind w:firstLine="0" w:firstLineChars="0"/>
              <w:jc w:val="center"/>
              <w:rPr>
                <w:rFonts w:cs="Times New Roman"/>
                <w:sz w:val="21"/>
              </w:rPr>
            </w:pPr>
            <w:r>
              <w:rPr>
                <w:rFonts w:hint="eastAsia" w:cs="Times New Roman"/>
                <w:sz w:val="21"/>
              </w:rPr>
              <w:t>矿区</w:t>
            </w:r>
            <w:r>
              <w:rPr>
                <w:rFonts w:cs="Times New Roman"/>
                <w:sz w:val="21"/>
              </w:rPr>
              <w:t>S/24m</w:t>
            </w:r>
          </w:p>
          <w:p w14:paraId="547ACEA5">
            <w:pPr>
              <w:spacing w:line="240" w:lineRule="auto"/>
              <w:ind w:firstLine="0" w:firstLineChars="0"/>
              <w:jc w:val="center"/>
              <w:rPr>
                <w:rFonts w:cs="Times New Roman"/>
                <w:sz w:val="21"/>
              </w:rPr>
            </w:pPr>
            <w:bookmarkStart w:id="243" w:name="_Hlk89616863"/>
            <w:r>
              <w:rPr>
                <w:rFonts w:hint="eastAsia" w:cs="Times New Roman"/>
                <w:sz w:val="21"/>
              </w:rPr>
              <w:t>新建井场</w:t>
            </w:r>
            <w:bookmarkEnd w:id="243"/>
            <w:r>
              <w:rPr>
                <w:rFonts w:cs="Times New Roman"/>
                <w:sz w:val="21"/>
              </w:rPr>
              <w:t>SW/500m</w:t>
            </w:r>
          </w:p>
        </w:tc>
        <w:tc>
          <w:tcPr>
            <w:tcW w:w="412" w:type="pct"/>
            <w:tcBorders>
              <w:top w:val="single" w:color="auto" w:sz="4" w:space="0"/>
              <w:left w:val="single" w:color="auto" w:sz="4" w:space="0"/>
              <w:bottom w:val="single" w:color="auto" w:sz="4" w:space="0"/>
              <w:right w:val="single" w:color="auto" w:sz="4" w:space="0"/>
            </w:tcBorders>
            <w:vAlign w:val="center"/>
          </w:tcPr>
          <w:p w14:paraId="55F26631">
            <w:pPr>
              <w:spacing w:line="240" w:lineRule="auto"/>
              <w:ind w:firstLine="0" w:firstLineChars="0"/>
              <w:jc w:val="center"/>
              <w:rPr>
                <w:rFonts w:cs="Times New Roman"/>
                <w:sz w:val="21"/>
              </w:rPr>
            </w:pPr>
            <w:r>
              <w:rPr>
                <w:rFonts w:hint="eastAsia" w:cs="Times New Roman"/>
                <w:sz w:val="21"/>
              </w:rPr>
              <w:t>居住区</w:t>
            </w:r>
          </w:p>
        </w:tc>
        <w:tc>
          <w:tcPr>
            <w:tcW w:w="488" w:type="pct"/>
            <w:tcBorders>
              <w:top w:val="single" w:color="auto" w:sz="4" w:space="0"/>
              <w:left w:val="single" w:color="auto" w:sz="4" w:space="0"/>
              <w:bottom w:val="single" w:color="auto" w:sz="4" w:space="0"/>
              <w:right w:val="single" w:color="auto" w:sz="4" w:space="0"/>
            </w:tcBorders>
            <w:vAlign w:val="center"/>
          </w:tcPr>
          <w:p w14:paraId="5AA7E94C">
            <w:pPr>
              <w:spacing w:line="240" w:lineRule="auto"/>
              <w:ind w:firstLine="0" w:firstLineChars="0"/>
              <w:jc w:val="center"/>
              <w:rPr>
                <w:rFonts w:cs="Times New Roman"/>
                <w:sz w:val="21"/>
              </w:rPr>
            </w:pPr>
            <w:r>
              <w:rPr>
                <w:rFonts w:hint="eastAsia" w:cs="Times New Roman"/>
                <w:sz w:val="21"/>
              </w:rPr>
              <w:t>人群</w:t>
            </w:r>
          </w:p>
        </w:tc>
        <w:tc>
          <w:tcPr>
            <w:tcW w:w="1211" w:type="pct"/>
            <w:vMerge w:val="continue"/>
            <w:tcBorders>
              <w:top w:val="single" w:color="auto" w:sz="4" w:space="0"/>
              <w:left w:val="single" w:color="auto" w:sz="4" w:space="0"/>
              <w:bottom w:val="single" w:color="auto" w:sz="4" w:space="0"/>
              <w:right w:val="single" w:color="auto" w:sz="4" w:space="0"/>
            </w:tcBorders>
            <w:vAlign w:val="center"/>
          </w:tcPr>
          <w:p w14:paraId="5D956A8C">
            <w:pPr>
              <w:widowControl/>
              <w:wordWrap/>
              <w:topLinePunct w:val="0"/>
              <w:adjustRightInd/>
              <w:snapToGrid/>
              <w:spacing w:line="240" w:lineRule="auto"/>
              <w:ind w:firstLine="0" w:firstLineChars="0"/>
              <w:jc w:val="left"/>
              <w:rPr>
                <w:rFonts w:cs="Times New Roman"/>
                <w:sz w:val="21"/>
              </w:rPr>
            </w:pPr>
          </w:p>
        </w:tc>
      </w:tr>
      <w:tr w14:paraId="6247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5E89167">
            <w:pPr>
              <w:widowControl/>
              <w:wordWrap/>
              <w:topLinePunct w:val="0"/>
              <w:adjustRightInd/>
              <w:snapToGrid/>
              <w:spacing w:line="240" w:lineRule="auto"/>
              <w:ind w:firstLine="0" w:firstLineChars="0"/>
              <w:jc w:val="left"/>
              <w:rPr>
                <w:rFonts w:cs="Times New Roman"/>
                <w:sz w:val="21"/>
              </w:rPr>
            </w:pPr>
          </w:p>
        </w:tc>
        <w:tc>
          <w:tcPr>
            <w:tcW w:w="558" w:type="pct"/>
            <w:tcBorders>
              <w:top w:val="single" w:color="auto" w:sz="4" w:space="0"/>
              <w:left w:val="single" w:color="auto" w:sz="4" w:space="0"/>
              <w:bottom w:val="single" w:color="auto" w:sz="4" w:space="0"/>
              <w:right w:val="single" w:color="auto" w:sz="4" w:space="0"/>
            </w:tcBorders>
            <w:vAlign w:val="center"/>
          </w:tcPr>
          <w:p w14:paraId="3A355BB0">
            <w:pPr>
              <w:spacing w:line="240" w:lineRule="auto"/>
              <w:ind w:firstLine="0" w:firstLineChars="0"/>
              <w:jc w:val="center"/>
              <w:rPr>
                <w:rFonts w:cs="Times New Roman"/>
                <w:sz w:val="21"/>
              </w:rPr>
            </w:pPr>
            <w:r>
              <w:rPr>
                <w:rFonts w:hint="eastAsia" w:cs="Times New Roman"/>
                <w:sz w:val="21"/>
              </w:rPr>
              <w:t>松木经开区管委会</w:t>
            </w:r>
          </w:p>
        </w:tc>
        <w:tc>
          <w:tcPr>
            <w:tcW w:w="864" w:type="pct"/>
            <w:tcBorders>
              <w:top w:val="single" w:color="auto" w:sz="4" w:space="0"/>
              <w:left w:val="single" w:color="auto" w:sz="4" w:space="0"/>
              <w:bottom w:val="single" w:color="auto" w:sz="4" w:space="0"/>
              <w:right w:val="single" w:color="auto" w:sz="4" w:space="0"/>
            </w:tcBorders>
            <w:vAlign w:val="center"/>
          </w:tcPr>
          <w:p w14:paraId="4F8041F2">
            <w:pPr>
              <w:spacing w:line="240" w:lineRule="auto"/>
              <w:ind w:firstLine="0" w:firstLineChars="0"/>
              <w:jc w:val="center"/>
              <w:rPr>
                <w:rFonts w:cs="Times New Roman"/>
                <w:sz w:val="21"/>
              </w:rPr>
            </w:pPr>
            <w:r>
              <w:rPr>
                <w:rFonts w:cs="Times New Roman"/>
                <w:sz w:val="21"/>
              </w:rPr>
              <w:t>112°37′1.16706″</w:t>
            </w:r>
          </w:p>
          <w:p w14:paraId="79CF8805">
            <w:pPr>
              <w:spacing w:line="240" w:lineRule="auto"/>
              <w:ind w:firstLine="0" w:firstLineChars="0"/>
              <w:jc w:val="center"/>
              <w:rPr>
                <w:rFonts w:cs="Times New Roman"/>
                <w:sz w:val="21"/>
              </w:rPr>
            </w:pPr>
            <w:r>
              <w:rPr>
                <w:rFonts w:cs="Times New Roman"/>
                <w:sz w:val="21"/>
              </w:rPr>
              <w:t>26°58′1.19720″</w:t>
            </w:r>
          </w:p>
        </w:tc>
        <w:tc>
          <w:tcPr>
            <w:tcW w:w="960" w:type="pct"/>
            <w:tcBorders>
              <w:top w:val="single" w:color="auto" w:sz="4" w:space="0"/>
              <w:left w:val="single" w:color="auto" w:sz="4" w:space="0"/>
              <w:bottom w:val="single" w:color="auto" w:sz="4" w:space="0"/>
              <w:right w:val="single" w:color="auto" w:sz="4" w:space="0"/>
            </w:tcBorders>
            <w:vAlign w:val="center"/>
          </w:tcPr>
          <w:p w14:paraId="27E91559">
            <w:pPr>
              <w:spacing w:line="240" w:lineRule="auto"/>
              <w:ind w:firstLine="0" w:firstLineChars="0"/>
              <w:jc w:val="center"/>
              <w:rPr>
                <w:rFonts w:cs="Times New Roman"/>
                <w:sz w:val="21"/>
              </w:rPr>
            </w:pPr>
            <w:r>
              <w:rPr>
                <w:rFonts w:hint="eastAsia" w:cs="Times New Roman"/>
                <w:sz w:val="21"/>
              </w:rPr>
              <w:t>矿区</w:t>
            </w:r>
            <w:r>
              <w:rPr>
                <w:rFonts w:cs="Times New Roman"/>
                <w:sz w:val="21"/>
              </w:rPr>
              <w:t>SW/373m</w:t>
            </w:r>
          </w:p>
          <w:p w14:paraId="3DE29AED">
            <w:pPr>
              <w:spacing w:line="240" w:lineRule="auto"/>
              <w:ind w:firstLine="0" w:firstLineChars="0"/>
              <w:jc w:val="center"/>
              <w:rPr>
                <w:rFonts w:cs="Times New Roman"/>
                <w:sz w:val="21"/>
              </w:rPr>
            </w:pPr>
            <w:r>
              <w:rPr>
                <w:rFonts w:hint="eastAsia" w:cs="Times New Roman"/>
                <w:sz w:val="21"/>
              </w:rPr>
              <w:t>新建井场</w:t>
            </w:r>
            <w:r>
              <w:rPr>
                <w:rFonts w:cs="Times New Roman"/>
                <w:sz w:val="21"/>
              </w:rPr>
              <w:t>SW/930m</w:t>
            </w:r>
          </w:p>
        </w:tc>
        <w:tc>
          <w:tcPr>
            <w:tcW w:w="412" w:type="pct"/>
            <w:tcBorders>
              <w:top w:val="single" w:color="auto" w:sz="4" w:space="0"/>
              <w:left w:val="single" w:color="auto" w:sz="4" w:space="0"/>
              <w:bottom w:val="single" w:color="auto" w:sz="4" w:space="0"/>
              <w:right w:val="single" w:color="auto" w:sz="4" w:space="0"/>
            </w:tcBorders>
            <w:vAlign w:val="center"/>
          </w:tcPr>
          <w:p w14:paraId="08400986">
            <w:pPr>
              <w:spacing w:line="240" w:lineRule="auto"/>
              <w:ind w:firstLine="0" w:firstLineChars="0"/>
              <w:jc w:val="center"/>
              <w:rPr>
                <w:rFonts w:cs="Times New Roman"/>
                <w:sz w:val="21"/>
              </w:rPr>
            </w:pPr>
            <w:r>
              <w:rPr>
                <w:rFonts w:hint="eastAsia" w:cs="Times New Roman"/>
                <w:sz w:val="21"/>
              </w:rPr>
              <w:t>居住区</w:t>
            </w:r>
          </w:p>
        </w:tc>
        <w:tc>
          <w:tcPr>
            <w:tcW w:w="488" w:type="pct"/>
            <w:tcBorders>
              <w:top w:val="single" w:color="auto" w:sz="4" w:space="0"/>
              <w:left w:val="single" w:color="auto" w:sz="4" w:space="0"/>
              <w:bottom w:val="single" w:color="auto" w:sz="4" w:space="0"/>
              <w:right w:val="single" w:color="auto" w:sz="4" w:space="0"/>
            </w:tcBorders>
            <w:vAlign w:val="center"/>
          </w:tcPr>
          <w:p w14:paraId="6E632A2C">
            <w:pPr>
              <w:spacing w:line="240" w:lineRule="auto"/>
              <w:ind w:firstLine="0" w:firstLineChars="0"/>
              <w:jc w:val="center"/>
              <w:rPr>
                <w:rFonts w:cs="Times New Roman"/>
                <w:sz w:val="21"/>
              </w:rPr>
            </w:pPr>
            <w:r>
              <w:rPr>
                <w:rFonts w:hint="eastAsia" w:cs="Times New Roman"/>
                <w:sz w:val="21"/>
              </w:rPr>
              <w:t>人群</w:t>
            </w:r>
          </w:p>
        </w:tc>
        <w:tc>
          <w:tcPr>
            <w:tcW w:w="1211" w:type="pct"/>
            <w:vMerge w:val="continue"/>
            <w:tcBorders>
              <w:top w:val="single" w:color="auto" w:sz="4" w:space="0"/>
              <w:left w:val="single" w:color="auto" w:sz="4" w:space="0"/>
              <w:bottom w:val="single" w:color="auto" w:sz="4" w:space="0"/>
              <w:right w:val="single" w:color="auto" w:sz="4" w:space="0"/>
            </w:tcBorders>
            <w:vAlign w:val="center"/>
          </w:tcPr>
          <w:p w14:paraId="4A1FBC25">
            <w:pPr>
              <w:widowControl/>
              <w:wordWrap/>
              <w:topLinePunct w:val="0"/>
              <w:adjustRightInd/>
              <w:snapToGrid/>
              <w:spacing w:line="240" w:lineRule="auto"/>
              <w:ind w:firstLine="0" w:firstLineChars="0"/>
              <w:jc w:val="left"/>
              <w:rPr>
                <w:rFonts w:cs="Times New Roman"/>
                <w:sz w:val="21"/>
              </w:rPr>
            </w:pPr>
          </w:p>
        </w:tc>
      </w:tr>
      <w:tr w14:paraId="54A6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6154AC5">
            <w:pPr>
              <w:widowControl/>
              <w:wordWrap/>
              <w:topLinePunct w:val="0"/>
              <w:adjustRightInd/>
              <w:snapToGrid/>
              <w:spacing w:line="240" w:lineRule="auto"/>
              <w:ind w:firstLine="0" w:firstLineChars="0"/>
              <w:jc w:val="left"/>
              <w:rPr>
                <w:rFonts w:cs="Times New Roman"/>
                <w:sz w:val="21"/>
              </w:rPr>
            </w:pPr>
          </w:p>
        </w:tc>
        <w:tc>
          <w:tcPr>
            <w:tcW w:w="558" w:type="pct"/>
            <w:tcBorders>
              <w:top w:val="single" w:color="auto" w:sz="4" w:space="0"/>
              <w:left w:val="single" w:color="auto" w:sz="4" w:space="0"/>
              <w:bottom w:val="single" w:color="auto" w:sz="4" w:space="0"/>
              <w:right w:val="single" w:color="auto" w:sz="4" w:space="0"/>
            </w:tcBorders>
            <w:vAlign w:val="center"/>
          </w:tcPr>
          <w:p w14:paraId="18A764E0">
            <w:pPr>
              <w:spacing w:line="240" w:lineRule="auto"/>
              <w:ind w:firstLine="0" w:firstLineChars="0"/>
              <w:jc w:val="center"/>
              <w:rPr>
                <w:rFonts w:cs="Times New Roman"/>
                <w:sz w:val="21"/>
              </w:rPr>
            </w:pPr>
            <w:r>
              <w:rPr>
                <w:rFonts w:hint="eastAsia" w:cs="Times New Roman"/>
                <w:sz w:val="21"/>
              </w:rPr>
              <w:t>金源小区</w:t>
            </w:r>
          </w:p>
        </w:tc>
        <w:tc>
          <w:tcPr>
            <w:tcW w:w="864" w:type="pct"/>
            <w:tcBorders>
              <w:top w:val="single" w:color="auto" w:sz="4" w:space="0"/>
              <w:left w:val="single" w:color="auto" w:sz="4" w:space="0"/>
              <w:bottom w:val="single" w:color="auto" w:sz="4" w:space="0"/>
              <w:right w:val="single" w:color="auto" w:sz="4" w:space="0"/>
            </w:tcBorders>
            <w:vAlign w:val="center"/>
          </w:tcPr>
          <w:p w14:paraId="0DB3E202">
            <w:pPr>
              <w:spacing w:line="240" w:lineRule="auto"/>
              <w:ind w:firstLine="0" w:firstLineChars="0"/>
              <w:jc w:val="center"/>
              <w:rPr>
                <w:rFonts w:cs="Times New Roman"/>
                <w:sz w:val="21"/>
              </w:rPr>
            </w:pPr>
            <w:r>
              <w:rPr>
                <w:rFonts w:cs="Times New Roman"/>
                <w:sz w:val="21"/>
              </w:rPr>
              <w:t>112°37′2.86651″</w:t>
            </w:r>
          </w:p>
          <w:p w14:paraId="734252A6">
            <w:pPr>
              <w:spacing w:line="240" w:lineRule="auto"/>
              <w:ind w:firstLine="0" w:firstLineChars="0"/>
              <w:jc w:val="center"/>
              <w:rPr>
                <w:rFonts w:cs="Times New Roman"/>
                <w:sz w:val="21"/>
              </w:rPr>
            </w:pPr>
            <w:r>
              <w:rPr>
                <w:rFonts w:cs="Times New Roman"/>
                <w:sz w:val="21"/>
              </w:rPr>
              <w:t>26°58′19.35039″</w:t>
            </w:r>
          </w:p>
        </w:tc>
        <w:tc>
          <w:tcPr>
            <w:tcW w:w="960" w:type="pct"/>
            <w:tcBorders>
              <w:top w:val="single" w:color="auto" w:sz="4" w:space="0"/>
              <w:left w:val="single" w:color="auto" w:sz="4" w:space="0"/>
              <w:bottom w:val="single" w:color="auto" w:sz="4" w:space="0"/>
              <w:right w:val="single" w:color="auto" w:sz="4" w:space="0"/>
            </w:tcBorders>
            <w:vAlign w:val="center"/>
          </w:tcPr>
          <w:p w14:paraId="0FE26C37">
            <w:pPr>
              <w:spacing w:line="240" w:lineRule="auto"/>
              <w:ind w:firstLine="0" w:firstLineChars="0"/>
              <w:jc w:val="center"/>
              <w:rPr>
                <w:rFonts w:cs="Times New Roman"/>
                <w:sz w:val="21"/>
              </w:rPr>
            </w:pPr>
            <w:r>
              <w:rPr>
                <w:rFonts w:hint="eastAsia" w:cs="Times New Roman"/>
                <w:sz w:val="21"/>
              </w:rPr>
              <w:t>矿区</w:t>
            </w:r>
            <w:r>
              <w:rPr>
                <w:rFonts w:cs="Times New Roman"/>
                <w:sz w:val="21"/>
              </w:rPr>
              <w:t>W/327m</w:t>
            </w:r>
          </w:p>
          <w:p w14:paraId="4DCE9E5F">
            <w:pPr>
              <w:spacing w:line="240" w:lineRule="auto"/>
              <w:ind w:firstLine="0" w:firstLineChars="0"/>
              <w:jc w:val="center"/>
              <w:rPr>
                <w:rFonts w:cs="Times New Roman"/>
                <w:sz w:val="21"/>
              </w:rPr>
            </w:pPr>
            <w:r>
              <w:rPr>
                <w:rFonts w:hint="eastAsia" w:cs="Times New Roman"/>
                <w:sz w:val="21"/>
              </w:rPr>
              <w:t>新建井场</w:t>
            </w:r>
            <w:r>
              <w:rPr>
                <w:rFonts w:cs="Times New Roman"/>
                <w:sz w:val="21"/>
              </w:rPr>
              <w:t>W/767m</w:t>
            </w:r>
          </w:p>
        </w:tc>
        <w:tc>
          <w:tcPr>
            <w:tcW w:w="412" w:type="pct"/>
            <w:tcBorders>
              <w:top w:val="single" w:color="auto" w:sz="4" w:space="0"/>
              <w:left w:val="single" w:color="auto" w:sz="4" w:space="0"/>
              <w:bottom w:val="single" w:color="auto" w:sz="4" w:space="0"/>
              <w:right w:val="single" w:color="auto" w:sz="4" w:space="0"/>
            </w:tcBorders>
            <w:vAlign w:val="center"/>
          </w:tcPr>
          <w:p w14:paraId="38240043">
            <w:pPr>
              <w:spacing w:line="240" w:lineRule="auto"/>
              <w:ind w:firstLine="0" w:firstLineChars="0"/>
              <w:jc w:val="center"/>
              <w:rPr>
                <w:rFonts w:cs="Times New Roman"/>
                <w:sz w:val="21"/>
              </w:rPr>
            </w:pPr>
            <w:r>
              <w:rPr>
                <w:rFonts w:hint="eastAsia" w:cs="Times New Roman"/>
                <w:sz w:val="21"/>
              </w:rPr>
              <w:t>居住区</w:t>
            </w:r>
          </w:p>
        </w:tc>
        <w:tc>
          <w:tcPr>
            <w:tcW w:w="488" w:type="pct"/>
            <w:tcBorders>
              <w:top w:val="single" w:color="auto" w:sz="4" w:space="0"/>
              <w:left w:val="single" w:color="auto" w:sz="4" w:space="0"/>
              <w:bottom w:val="single" w:color="auto" w:sz="4" w:space="0"/>
              <w:right w:val="single" w:color="auto" w:sz="4" w:space="0"/>
            </w:tcBorders>
            <w:vAlign w:val="center"/>
          </w:tcPr>
          <w:p w14:paraId="46D1448D">
            <w:pPr>
              <w:spacing w:line="240" w:lineRule="auto"/>
              <w:ind w:firstLine="0" w:firstLineChars="0"/>
              <w:jc w:val="center"/>
              <w:rPr>
                <w:rFonts w:cs="Times New Roman"/>
                <w:sz w:val="21"/>
              </w:rPr>
            </w:pPr>
            <w:r>
              <w:rPr>
                <w:rFonts w:hint="eastAsia" w:cs="Times New Roman"/>
                <w:sz w:val="21"/>
              </w:rPr>
              <w:t>人群</w:t>
            </w:r>
          </w:p>
        </w:tc>
        <w:tc>
          <w:tcPr>
            <w:tcW w:w="1211" w:type="pct"/>
            <w:vMerge w:val="continue"/>
            <w:tcBorders>
              <w:top w:val="single" w:color="auto" w:sz="4" w:space="0"/>
              <w:left w:val="single" w:color="auto" w:sz="4" w:space="0"/>
              <w:bottom w:val="single" w:color="auto" w:sz="4" w:space="0"/>
              <w:right w:val="single" w:color="auto" w:sz="4" w:space="0"/>
            </w:tcBorders>
            <w:vAlign w:val="center"/>
          </w:tcPr>
          <w:p w14:paraId="0D4EEF13">
            <w:pPr>
              <w:widowControl/>
              <w:wordWrap/>
              <w:topLinePunct w:val="0"/>
              <w:adjustRightInd/>
              <w:snapToGrid/>
              <w:spacing w:line="240" w:lineRule="auto"/>
              <w:ind w:firstLine="0" w:firstLineChars="0"/>
              <w:jc w:val="left"/>
              <w:rPr>
                <w:rFonts w:cs="Times New Roman"/>
                <w:sz w:val="21"/>
              </w:rPr>
            </w:pPr>
          </w:p>
        </w:tc>
      </w:tr>
      <w:tr w14:paraId="117B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91E2A49">
            <w:pPr>
              <w:widowControl/>
              <w:wordWrap/>
              <w:topLinePunct w:val="0"/>
              <w:adjustRightInd/>
              <w:snapToGrid/>
              <w:spacing w:line="240" w:lineRule="auto"/>
              <w:ind w:firstLine="0" w:firstLineChars="0"/>
              <w:jc w:val="left"/>
              <w:rPr>
                <w:rFonts w:cs="Times New Roman"/>
                <w:sz w:val="21"/>
              </w:rPr>
            </w:pPr>
          </w:p>
        </w:tc>
        <w:tc>
          <w:tcPr>
            <w:tcW w:w="558" w:type="pct"/>
            <w:tcBorders>
              <w:top w:val="single" w:color="auto" w:sz="4" w:space="0"/>
              <w:left w:val="single" w:color="auto" w:sz="4" w:space="0"/>
              <w:bottom w:val="single" w:color="auto" w:sz="4" w:space="0"/>
              <w:right w:val="single" w:color="auto" w:sz="4" w:space="0"/>
            </w:tcBorders>
            <w:vAlign w:val="center"/>
          </w:tcPr>
          <w:p w14:paraId="23494349">
            <w:pPr>
              <w:spacing w:line="240" w:lineRule="auto"/>
              <w:ind w:firstLine="0" w:firstLineChars="0"/>
              <w:jc w:val="center"/>
              <w:rPr>
                <w:rFonts w:cs="Times New Roman"/>
                <w:sz w:val="21"/>
              </w:rPr>
            </w:pPr>
            <w:r>
              <w:rPr>
                <w:rFonts w:hint="eastAsia" w:cs="Times New Roman"/>
                <w:sz w:val="21"/>
              </w:rPr>
              <w:t>新安村</w:t>
            </w:r>
          </w:p>
        </w:tc>
        <w:tc>
          <w:tcPr>
            <w:tcW w:w="864" w:type="pct"/>
            <w:tcBorders>
              <w:top w:val="single" w:color="auto" w:sz="4" w:space="0"/>
              <w:left w:val="single" w:color="auto" w:sz="4" w:space="0"/>
              <w:bottom w:val="single" w:color="auto" w:sz="4" w:space="0"/>
              <w:right w:val="single" w:color="auto" w:sz="4" w:space="0"/>
            </w:tcBorders>
            <w:vAlign w:val="center"/>
          </w:tcPr>
          <w:p w14:paraId="7F0C833E">
            <w:pPr>
              <w:spacing w:line="240" w:lineRule="auto"/>
              <w:ind w:firstLine="0" w:firstLineChars="0"/>
              <w:jc w:val="center"/>
              <w:rPr>
                <w:rFonts w:cs="Times New Roman"/>
                <w:sz w:val="21"/>
              </w:rPr>
            </w:pPr>
            <w:r>
              <w:rPr>
                <w:rFonts w:cs="Times New Roman"/>
                <w:sz w:val="21"/>
              </w:rPr>
              <w:t>112°38′17.68083″</w:t>
            </w:r>
          </w:p>
          <w:p w14:paraId="1068F04A">
            <w:pPr>
              <w:spacing w:line="240" w:lineRule="auto"/>
              <w:ind w:firstLine="0" w:firstLineChars="0"/>
              <w:jc w:val="center"/>
              <w:rPr>
                <w:rFonts w:cs="Times New Roman"/>
                <w:sz w:val="21"/>
              </w:rPr>
            </w:pPr>
            <w:r>
              <w:rPr>
                <w:rFonts w:cs="Times New Roman"/>
                <w:sz w:val="21"/>
              </w:rPr>
              <w:t>26°59′11.37666″</w:t>
            </w:r>
          </w:p>
        </w:tc>
        <w:tc>
          <w:tcPr>
            <w:tcW w:w="960" w:type="pct"/>
            <w:tcBorders>
              <w:top w:val="single" w:color="auto" w:sz="4" w:space="0"/>
              <w:left w:val="single" w:color="auto" w:sz="4" w:space="0"/>
              <w:bottom w:val="single" w:color="auto" w:sz="4" w:space="0"/>
              <w:right w:val="single" w:color="auto" w:sz="4" w:space="0"/>
            </w:tcBorders>
            <w:vAlign w:val="center"/>
          </w:tcPr>
          <w:p w14:paraId="2FC03F48">
            <w:pPr>
              <w:spacing w:line="240" w:lineRule="auto"/>
              <w:ind w:firstLine="0" w:firstLineChars="0"/>
              <w:jc w:val="center"/>
              <w:rPr>
                <w:rFonts w:cs="Times New Roman"/>
                <w:sz w:val="21"/>
              </w:rPr>
            </w:pPr>
            <w:r>
              <w:rPr>
                <w:rFonts w:hint="eastAsia" w:cs="Times New Roman"/>
                <w:sz w:val="21"/>
              </w:rPr>
              <w:t>矿区</w:t>
            </w:r>
            <w:r>
              <w:rPr>
                <w:rFonts w:cs="Times New Roman"/>
                <w:sz w:val="21"/>
              </w:rPr>
              <w:t>NNE/1080m</w:t>
            </w:r>
          </w:p>
          <w:p w14:paraId="34BCFE42">
            <w:pPr>
              <w:spacing w:line="240" w:lineRule="auto"/>
              <w:ind w:firstLine="0" w:firstLineChars="0"/>
              <w:jc w:val="center"/>
              <w:rPr>
                <w:rFonts w:cs="Times New Roman"/>
                <w:sz w:val="21"/>
              </w:rPr>
            </w:pPr>
            <w:r>
              <w:rPr>
                <w:rFonts w:hint="eastAsia" w:cs="Times New Roman"/>
                <w:sz w:val="21"/>
              </w:rPr>
              <w:t>新建井场</w:t>
            </w:r>
            <w:r>
              <w:rPr>
                <w:rFonts w:cs="Times New Roman"/>
                <w:sz w:val="21"/>
              </w:rPr>
              <w:t>NE/1533m</w:t>
            </w:r>
          </w:p>
        </w:tc>
        <w:tc>
          <w:tcPr>
            <w:tcW w:w="412" w:type="pct"/>
            <w:tcBorders>
              <w:top w:val="single" w:color="auto" w:sz="4" w:space="0"/>
              <w:left w:val="single" w:color="auto" w:sz="4" w:space="0"/>
              <w:bottom w:val="single" w:color="auto" w:sz="4" w:space="0"/>
              <w:right w:val="single" w:color="auto" w:sz="4" w:space="0"/>
            </w:tcBorders>
            <w:vAlign w:val="center"/>
          </w:tcPr>
          <w:p w14:paraId="029F83F2">
            <w:pPr>
              <w:spacing w:line="240" w:lineRule="auto"/>
              <w:ind w:firstLine="0" w:firstLineChars="0"/>
              <w:jc w:val="center"/>
              <w:rPr>
                <w:rFonts w:cs="Times New Roman"/>
                <w:sz w:val="21"/>
              </w:rPr>
            </w:pPr>
            <w:r>
              <w:rPr>
                <w:rFonts w:hint="eastAsia" w:cs="Times New Roman"/>
                <w:sz w:val="21"/>
              </w:rPr>
              <w:t>居住区</w:t>
            </w:r>
          </w:p>
        </w:tc>
        <w:tc>
          <w:tcPr>
            <w:tcW w:w="488" w:type="pct"/>
            <w:tcBorders>
              <w:top w:val="single" w:color="auto" w:sz="4" w:space="0"/>
              <w:left w:val="single" w:color="auto" w:sz="4" w:space="0"/>
              <w:bottom w:val="single" w:color="auto" w:sz="4" w:space="0"/>
              <w:right w:val="single" w:color="auto" w:sz="4" w:space="0"/>
            </w:tcBorders>
            <w:vAlign w:val="center"/>
          </w:tcPr>
          <w:p w14:paraId="4E46F60F">
            <w:pPr>
              <w:spacing w:line="240" w:lineRule="auto"/>
              <w:ind w:firstLine="0" w:firstLineChars="0"/>
              <w:jc w:val="center"/>
              <w:rPr>
                <w:rFonts w:cs="Times New Roman"/>
                <w:sz w:val="21"/>
              </w:rPr>
            </w:pPr>
            <w:r>
              <w:rPr>
                <w:rFonts w:hint="eastAsia" w:cs="Times New Roman"/>
                <w:sz w:val="21"/>
              </w:rPr>
              <w:t>人群</w:t>
            </w:r>
          </w:p>
        </w:tc>
        <w:tc>
          <w:tcPr>
            <w:tcW w:w="1211" w:type="pct"/>
            <w:vMerge w:val="continue"/>
            <w:tcBorders>
              <w:top w:val="single" w:color="auto" w:sz="4" w:space="0"/>
              <w:left w:val="single" w:color="auto" w:sz="4" w:space="0"/>
              <w:bottom w:val="single" w:color="auto" w:sz="4" w:space="0"/>
              <w:right w:val="single" w:color="auto" w:sz="4" w:space="0"/>
            </w:tcBorders>
            <w:vAlign w:val="center"/>
          </w:tcPr>
          <w:p w14:paraId="5C134217">
            <w:pPr>
              <w:widowControl/>
              <w:wordWrap/>
              <w:topLinePunct w:val="0"/>
              <w:adjustRightInd/>
              <w:snapToGrid/>
              <w:spacing w:line="240" w:lineRule="auto"/>
              <w:ind w:firstLine="0" w:firstLineChars="0"/>
              <w:jc w:val="left"/>
              <w:rPr>
                <w:rFonts w:cs="Times New Roman"/>
                <w:sz w:val="21"/>
              </w:rPr>
            </w:pPr>
          </w:p>
        </w:tc>
      </w:tr>
      <w:tr w14:paraId="40D8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07" w:type="pct"/>
            <w:tcBorders>
              <w:top w:val="single" w:color="auto" w:sz="4" w:space="0"/>
              <w:left w:val="single" w:color="auto" w:sz="4" w:space="0"/>
              <w:bottom w:val="single" w:color="auto" w:sz="4" w:space="0"/>
              <w:right w:val="single" w:color="auto" w:sz="4" w:space="0"/>
            </w:tcBorders>
            <w:vAlign w:val="center"/>
          </w:tcPr>
          <w:p w14:paraId="1B54FFC0">
            <w:pPr>
              <w:spacing w:line="240" w:lineRule="auto"/>
              <w:ind w:firstLine="0" w:firstLineChars="0"/>
              <w:jc w:val="center"/>
              <w:rPr>
                <w:rFonts w:cs="Times New Roman"/>
                <w:sz w:val="21"/>
              </w:rPr>
            </w:pPr>
            <w:r>
              <w:rPr>
                <w:rFonts w:hint="eastAsia" w:cs="Times New Roman"/>
                <w:sz w:val="21"/>
              </w:rPr>
              <w:t>地表水环境</w:t>
            </w:r>
          </w:p>
        </w:tc>
        <w:tc>
          <w:tcPr>
            <w:tcW w:w="558" w:type="pct"/>
            <w:tcBorders>
              <w:top w:val="single" w:color="auto" w:sz="4" w:space="0"/>
              <w:left w:val="single" w:color="auto" w:sz="4" w:space="0"/>
              <w:bottom w:val="single" w:color="auto" w:sz="4" w:space="0"/>
              <w:right w:val="single" w:color="auto" w:sz="4" w:space="0"/>
            </w:tcBorders>
            <w:vAlign w:val="center"/>
          </w:tcPr>
          <w:p w14:paraId="795EFA7B">
            <w:pPr>
              <w:spacing w:line="240" w:lineRule="auto"/>
              <w:ind w:firstLine="0" w:firstLineChars="0"/>
              <w:jc w:val="center"/>
              <w:rPr>
                <w:rFonts w:cs="Times New Roman"/>
                <w:sz w:val="21"/>
              </w:rPr>
            </w:pPr>
            <w:r>
              <w:rPr>
                <w:rFonts w:hint="eastAsia" w:cs="Times New Roman"/>
                <w:sz w:val="21"/>
              </w:rPr>
              <w:t>湘江</w:t>
            </w:r>
          </w:p>
        </w:tc>
        <w:tc>
          <w:tcPr>
            <w:tcW w:w="1824" w:type="pct"/>
            <w:gridSpan w:val="2"/>
            <w:tcBorders>
              <w:top w:val="single" w:color="auto" w:sz="4" w:space="0"/>
              <w:left w:val="single" w:color="auto" w:sz="4" w:space="0"/>
              <w:bottom w:val="single" w:color="auto" w:sz="4" w:space="0"/>
              <w:right w:val="single" w:color="auto" w:sz="4" w:space="0"/>
            </w:tcBorders>
            <w:vAlign w:val="center"/>
          </w:tcPr>
          <w:p w14:paraId="20B22057">
            <w:pPr>
              <w:spacing w:line="240" w:lineRule="auto"/>
              <w:ind w:firstLine="0" w:firstLineChars="0"/>
              <w:jc w:val="center"/>
              <w:rPr>
                <w:rFonts w:cs="Times New Roman"/>
                <w:sz w:val="21"/>
              </w:rPr>
            </w:pPr>
            <w:r>
              <w:rPr>
                <w:rFonts w:hint="eastAsia" w:cs="Times New Roman"/>
                <w:sz w:val="21"/>
              </w:rPr>
              <w:t>位于矿区东</w:t>
            </w:r>
            <w:r>
              <w:rPr>
                <w:rFonts w:cs="Times New Roman"/>
                <w:sz w:val="21"/>
              </w:rPr>
              <w:t>726m</w:t>
            </w:r>
            <w:r>
              <w:rPr>
                <w:rFonts w:hint="eastAsia" w:cs="Times New Roman"/>
                <w:sz w:val="21"/>
              </w:rPr>
              <w:t>，位于新建井场东</w:t>
            </w:r>
            <w:r>
              <w:rPr>
                <w:rFonts w:cs="Times New Roman"/>
                <w:sz w:val="21"/>
              </w:rPr>
              <w:t>2350m</w:t>
            </w:r>
          </w:p>
        </w:tc>
        <w:tc>
          <w:tcPr>
            <w:tcW w:w="900" w:type="pct"/>
            <w:gridSpan w:val="2"/>
            <w:tcBorders>
              <w:top w:val="single" w:color="auto" w:sz="4" w:space="0"/>
              <w:left w:val="single" w:color="auto" w:sz="4" w:space="0"/>
              <w:bottom w:val="single" w:color="auto" w:sz="4" w:space="0"/>
              <w:right w:val="single" w:color="auto" w:sz="4" w:space="0"/>
            </w:tcBorders>
            <w:vAlign w:val="center"/>
          </w:tcPr>
          <w:p w14:paraId="394D20DC">
            <w:pPr>
              <w:spacing w:line="240" w:lineRule="auto"/>
              <w:ind w:firstLine="0" w:firstLineChars="0"/>
              <w:jc w:val="center"/>
              <w:rPr>
                <w:rFonts w:cs="Times New Roman"/>
                <w:sz w:val="21"/>
              </w:rPr>
            </w:pPr>
            <w:r>
              <w:rPr>
                <w:rFonts w:cs="Times New Roman"/>
                <w:sz w:val="21"/>
              </w:rPr>
              <w:t>/</w:t>
            </w:r>
          </w:p>
        </w:tc>
        <w:tc>
          <w:tcPr>
            <w:tcW w:w="1211" w:type="pct"/>
            <w:tcBorders>
              <w:top w:val="single" w:color="auto" w:sz="4" w:space="0"/>
              <w:left w:val="single" w:color="auto" w:sz="4" w:space="0"/>
              <w:bottom w:val="single" w:color="auto" w:sz="4" w:space="0"/>
              <w:right w:val="single" w:color="auto" w:sz="4" w:space="0"/>
            </w:tcBorders>
            <w:vAlign w:val="center"/>
          </w:tcPr>
          <w:p w14:paraId="78891C23">
            <w:pPr>
              <w:spacing w:line="240" w:lineRule="auto"/>
              <w:ind w:firstLine="0" w:firstLineChars="0"/>
              <w:jc w:val="center"/>
              <w:rPr>
                <w:rFonts w:cs="Times New Roman"/>
                <w:sz w:val="21"/>
              </w:rPr>
            </w:pPr>
            <w:r>
              <w:rPr>
                <w:rFonts w:cs="Times New Roman"/>
                <w:sz w:val="21"/>
              </w:rPr>
              <w:t>GB3838-2002 III</w:t>
            </w:r>
            <w:r>
              <w:rPr>
                <w:rFonts w:hint="eastAsia" w:cs="Times New Roman"/>
                <w:sz w:val="21"/>
              </w:rPr>
              <w:t>类标准</w:t>
            </w:r>
          </w:p>
        </w:tc>
      </w:tr>
      <w:tr w14:paraId="21F8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507" w:type="pct"/>
            <w:tcBorders>
              <w:top w:val="single" w:color="auto" w:sz="4" w:space="0"/>
              <w:left w:val="single" w:color="auto" w:sz="4" w:space="0"/>
              <w:bottom w:val="single" w:color="auto" w:sz="4" w:space="0"/>
              <w:right w:val="single" w:color="auto" w:sz="4" w:space="0"/>
            </w:tcBorders>
            <w:vAlign w:val="center"/>
          </w:tcPr>
          <w:p w14:paraId="15D622EF">
            <w:pPr>
              <w:spacing w:line="240" w:lineRule="auto"/>
              <w:ind w:firstLine="0" w:firstLineChars="0"/>
              <w:jc w:val="center"/>
              <w:rPr>
                <w:rFonts w:cs="Times New Roman"/>
                <w:sz w:val="21"/>
              </w:rPr>
            </w:pPr>
            <w:r>
              <w:rPr>
                <w:rFonts w:hint="eastAsia" w:cs="Times New Roman"/>
                <w:sz w:val="21"/>
              </w:rPr>
              <w:t>地下水</w:t>
            </w:r>
          </w:p>
        </w:tc>
        <w:tc>
          <w:tcPr>
            <w:tcW w:w="2382" w:type="pct"/>
            <w:gridSpan w:val="3"/>
            <w:tcBorders>
              <w:top w:val="single" w:color="auto" w:sz="4" w:space="0"/>
              <w:left w:val="single" w:color="auto" w:sz="4" w:space="0"/>
              <w:bottom w:val="single" w:color="auto" w:sz="4" w:space="0"/>
              <w:right w:val="single" w:color="auto" w:sz="4" w:space="0"/>
            </w:tcBorders>
            <w:vAlign w:val="center"/>
          </w:tcPr>
          <w:p w14:paraId="66D77C9E">
            <w:pPr>
              <w:spacing w:line="240" w:lineRule="auto"/>
              <w:ind w:firstLine="0" w:firstLineChars="0"/>
              <w:jc w:val="center"/>
              <w:rPr>
                <w:rFonts w:cs="Times New Roman"/>
                <w:sz w:val="21"/>
              </w:rPr>
            </w:pPr>
            <w:r>
              <w:rPr>
                <w:rFonts w:hint="eastAsia" w:cs="Times New Roman"/>
                <w:sz w:val="21"/>
              </w:rPr>
              <w:t>矿区及周边区域潜水含水层（与岩盐主矿层高差约5</w:t>
            </w:r>
            <w:r>
              <w:rPr>
                <w:rFonts w:cs="Times New Roman"/>
                <w:sz w:val="21"/>
              </w:rPr>
              <w:t>10m</w:t>
            </w:r>
            <w:r>
              <w:rPr>
                <w:rFonts w:hint="eastAsia" w:cs="Times New Roman"/>
                <w:sz w:val="21"/>
              </w:rPr>
              <w:t>）和承压水含水层（与岩盐主矿层高差约3</w:t>
            </w:r>
            <w:r>
              <w:rPr>
                <w:rFonts w:cs="Times New Roman"/>
                <w:sz w:val="21"/>
              </w:rPr>
              <w:t>79m</w:t>
            </w:r>
            <w:r>
              <w:rPr>
                <w:rFonts w:hint="eastAsia" w:cs="Times New Roman"/>
                <w:sz w:val="21"/>
              </w:rPr>
              <w:t>）</w:t>
            </w:r>
          </w:p>
        </w:tc>
        <w:tc>
          <w:tcPr>
            <w:tcW w:w="900" w:type="pct"/>
            <w:gridSpan w:val="2"/>
            <w:tcBorders>
              <w:top w:val="single" w:color="auto" w:sz="4" w:space="0"/>
              <w:left w:val="single" w:color="auto" w:sz="4" w:space="0"/>
              <w:bottom w:val="single" w:color="auto" w:sz="4" w:space="0"/>
              <w:right w:val="single" w:color="auto" w:sz="4" w:space="0"/>
            </w:tcBorders>
            <w:vAlign w:val="center"/>
          </w:tcPr>
          <w:p w14:paraId="333B276F">
            <w:pPr>
              <w:spacing w:line="240" w:lineRule="auto"/>
              <w:ind w:firstLine="0" w:firstLineChars="0"/>
              <w:jc w:val="center"/>
              <w:rPr>
                <w:rFonts w:cs="Times New Roman"/>
                <w:sz w:val="21"/>
              </w:rPr>
            </w:pPr>
            <w:r>
              <w:rPr>
                <w:rFonts w:hint="eastAsia" w:cs="Times New Roman"/>
                <w:sz w:val="21"/>
              </w:rPr>
              <w:t>无饮用功能</w:t>
            </w:r>
          </w:p>
        </w:tc>
        <w:tc>
          <w:tcPr>
            <w:tcW w:w="1211" w:type="pct"/>
            <w:tcBorders>
              <w:top w:val="single" w:color="auto" w:sz="4" w:space="0"/>
              <w:left w:val="single" w:color="auto" w:sz="4" w:space="0"/>
              <w:bottom w:val="single" w:color="auto" w:sz="4" w:space="0"/>
              <w:right w:val="single" w:color="auto" w:sz="4" w:space="0"/>
            </w:tcBorders>
            <w:vAlign w:val="center"/>
          </w:tcPr>
          <w:p w14:paraId="1602CC5A">
            <w:pPr>
              <w:spacing w:line="240" w:lineRule="auto"/>
              <w:ind w:firstLine="0" w:firstLineChars="0"/>
              <w:jc w:val="center"/>
              <w:rPr>
                <w:rFonts w:cs="Times New Roman"/>
                <w:sz w:val="21"/>
              </w:rPr>
            </w:pPr>
            <w:r>
              <w:rPr>
                <w:rFonts w:cs="Times New Roman"/>
                <w:sz w:val="21"/>
              </w:rPr>
              <w:t>GB/T 14848-2017</w:t>
            </w:r>
            <w:r>
              <w:rPr>
                <w:rFonts w:hint="eastAsia" w:ascii="宋体" w:hAnsi="宋体" w:cs="宋体"/>
                <w:sz w:val="21"/>
              </w:rPr>
              <w:t>Ⅲ</w:t>
            </w:r>
            <w:r>
              <w:rPr>
                <w:rFonts w:hint="eastAsia" w:cs="Times New Roman"/>
                <w:sz w:val="21"/>
              </w:rPr>
              <w:t>类标准</w:t>
            </w:r>
          </w:p>
        </w:tc>
      </w:tr>
      <w:tr w14:paraId="1408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tcBorders>
              <w:top w:val="single" w:color="auto" w:sz="4" w:space="0"/>
              <w:left w:val="single" w:color="auto" w:sz="4" w:space="0"/>
              <w:bottom w:val="single" w:color="auto" w:sz="4" w:space="0"/>
              <w:right w:val="single" w:color="auto" w:sz="4" w:space="0"/>
            </w:tcBorders>
            <w:vAlign w:val="center"/>
          </w:tcPr>
          <w:p w14:paraId="45808C2C">
            <w:pPr>
              <w:spacing w:line="240" w:lineRule="auto"/>
              <w:ind w:firstLine="0" w:firstLineChars="0"/>
              <w:jc w:val="center"/>
              <w:rPr>
                <w:rFonts w:cs="Times New Roman"/>
                <w:sz w:val="21"/>
              </w:rPr>
            </w:pPr>
            <w:r>
              <w:rPr>
                <w:rFonts w:hint="eastAsia" w:cs="Times New Roman"/>
                <w:sz w:val="21"/>
              </w:rPr>
              <w:t>声环境</w:t>
            </w:r>
          </w:p>
        </w:tc>
        <w:tc>
          <w:tcPr>
            <w:tcW w:w="558" w:type="pct"/>
            <w:tcBorders>
              <w:top w:val="single" w:color="auto" w:sz="4" w:space="0"/>
              <w:left w:val="single" w:color="auto" w:sz="4" w:space="0"/>
              <w:bottom w:val="single" w:color="auto" w:sz="4" w:space="0"/>
              <w:right w:val="single" w:color="auto" w:sz="4" w:space="0"/>
            </w:tcBorders>
            <w:vAlign w:val="center"/>
          </w:tcPr>
          <w:p w14:paraId="78D97A03">
            <w:pPr>
              <w:spacing w:line="240" w:lineRule="auto"/>
              <w:ind w:firstLine="0" w:firstLineChars="0"/>
              <w:jc w:val="center"/>
              <w:rPr>
                <w:rFonts w:cs="Times New Roman"/>
                <w:sz w:val="21"/>
              </w:rPr>
            </w:pPr>
            <w:r>
              <w:rPr>
                <w:rFonts w:hint="eastAsia" w:cs="Times New Roman"/>
                <w:sz w:val="21"/>
              </w:rPr>
              <w:t>井场四周</w:t>
            </w:r>
          </w:p>
        </w:tc>
        <w:tc>
          <w:tcPr>
            <w:tcW w:w="1824" w:type="pct"/>
            <w:gridSpan w:val="2"/>
            <w:tcBorders>
              <w:top w:val="single" w:color="auto" w:sz="4" w:space="0"/>
              <w:left w:val="single" w:color="auto" w:sz="4" w:space="0"/>
              <w:bottom w:val="single" w:color="auto" w:sz="4" w:space="0"/>
              <w:right w:val="single" w:color="auto" w:sz="4" w:space="0"/>
            </w:tcBorders>
            <w:vAlign w:val="center"/>
          </w:tcPr>
          <w:p w14:paraId="07718382">
            <w:pPr>
              <w:spacing w:line="240" w:lineRule="auto"/>
              <w:ind w:firstLine="0" w:firstLineChars="0"/>
              <w:jc w:val="center"/>
              <w:rPr>
                <w:rFonts w:cs="Times New Roman"/>
                <w:sz w:val="21"/>
              </w:rPr>
            </w:pPr>
            <w:r>
              <w:rPr>
                <w:rFonts w:cs="Times New Roman"/>
                <w:sz w:val="21"/>
              </w:rPr>
              <w:t>/</w:t>
            </w:r>
          </w:p>
        </w:tc>
        <w:tc>
          <w:tcPr>
            <w:tcW w:w="900" w:type="pct"/>
            <w:gridSpan w:val="2"/>
            <w:tcBorders>
              <w:top w:val="single" w:color="auto" w:sz="4" w:space="0"/>
              <w:left w:val="single" w:color="auto" w:sz="4" w:space="0"/>
              <w:bottom w:val="single" w:color="auto" w:sz="4" w:space="0"/>
              <w:right w:val="single" w:color="auto" w:sz="4" w:space="0"/>
            </w:tcBorders>
            <w:vAlign w:val="center"/>
          </w:tcPr>
          <w:p w14:paraId="6AD9B07D">
            <w:pPr>
              <w:spacing w:line="240" w:lineRule="auto"/>
              <w:ind w:firstLine="0" w:firstLineChars="0"/>
              <w:jc w:val="center"/>
              <w:rPr>
                <w:rFonts w:cs="Times New Roman"/>
                <w:sz w:val="21"/>
              </w:rPr>
            </w:pPr>
            <w:r>
              <w:rPr>
                <w:rFonts w:cs="Times New Roman"/>
                <w:sz w:val="21"/>
              </w:rPr>
              <w:t>/</w:t>
            </w:r>
          </w:p>
        </w:tc>
        <w:tc>
          <w:tcPr>
            <w:tcW w:w="1211" w:type="pct"/>
            <w:tcBorders>
              <w:top w:val="single" w:color="auto" w:sz="4" w:space="0"/>
              <w:left w:val="single" w:color="auto" w:sz="4" w:space="0"/>
              <w:bottom w:val="single" w:color="auto" w:sz="4" w:space="0"/>
              <w:right w:val="single" w:color="auto" w:sz="4" w:space="0"/>
            </w:tcBorders>
            <w:vAlign w:val="center"/>
          </w:tcPr>
          <w:p w14:paraId="5BDE92BA">
            <w:pPr>
              <w:spacing w:line="240" w:lineRule="auto"/>
              <w:ind w:firstLine="0" w:firstLineChars="0"/>
              <w:jc w:val="center"/>
              <w:rPr>
                <w:rFonts w:cs="Times New Roman"/>
                <w:sz w:val="21"/>
              </w:rPr>
            </w:pPr>
            <w:r>
              <w:rPr>
                <w:rFonts w:cs="Times New Roman"/>
                <w:sz w:val="21"/>
              </w:rPr>
              <w:t>GB3096-2008</w:t>
            </w:r>
            <w:r>
              <w:rPr>
                <w:rFonts w:hint="eastAsia" w:cs="Times New Roman"/>
                <w:sz w:val="21"/>
              </w:rPr>
              <w:t>中</w:t>
            </w:r>
            <w:r>
              <w:rPr>
                <w:rFonts w:cs="Times New Roman"/>
                <w:sz w:val="21"/>
              </w:rPr>
              <w:t>3</w:t>
            </w:r>
            <w:r>
              <w:rPr>
                <w:rFonts w:hint="eastAsia" w:cs="Times New Roman"/>
                <w:sz w:val="21"/>
              </w:rPr>
              <w:t>类</w:t>
            </w:r>
          </w:p>
        </w:tc>
      </w:tr>
      <w:tr w14:paraId="4783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tcBorders>
              <w:top w:val="single" w:color="auto" w:sz="4" w:space="0"/>
              <w:left w:val="single" w:color="auto" w:sz="4" w:space="0"/>
              <w:right w:val="single" w:color="auto" w:sz="4" w:space="0"/>
            </w:tcBorders>
            <w:vAlign w:val="center"/>
          </w:tcPr>
          <w:p w14:paraId="089EF817">
            <w:pPr>
              <w:spacing w:line="240" w:lineRule="auto"/>
              <w:ind w:firstLine="0" w:firstLineChars="0"/>
              <w:jc w:val="center"/>
              <w:rPr>
                <w:rFonts w:cs="Times New Roman"/>
                <w:sz w:val="21"/>
              </w:rPr>
            </w:pPr>
            <w:r>
              <w:rPr>
                <w:rFonts w:hint="eastAsia" w:cs="Times New Roman"/>
                <w:sz w:val="21"/>
              </w:rPr>
              <w:t>环境风险</w:t>
            </w:r>
          </w:p>
        </w:tc>
        <w:tc>
          <w:tcPr>
            <w:tcW w:w="4493" w:type="pct"/>
            <w:gridSpan w:val="6"/>
            <w:tcBorders>
              <w:top w:val="single" w:color="auto" w:sz="4" w:space="0"/>
              <w:left w:val="single" w:color="auto" w:sz="4" w:space="0"/>
              <w:bottom w:val="single" w:color="auto" w:sz="4" w:space="0"/>
              <w:right w:val="single" w:color="auto" w:sz="4" w:space="0"/>
            </w:tcBorders>
            <w:vAlign w:val="center"/>
          </w:tcPr>
          <w:p w14:paraId="16EF3467">
            <w:pPr>
              <w:spacing w:line="240" w:lineRule="auto"/>
              <w:ind w:firstLine="0" w:firstLineChars="0"/>
              <w:jc w:val="center"/>
              <w:rPr>
                <w:rFonts w:cs="Times New Roman"/>
                <w:sz w:val="21"/>
              </w:rPr>
            </w:pPr>
            <w:r>
              <w:rPr>
                <w:rFonts w:hint="eastAsia" w:cs="Times New Roman"/>
                <w:sz w:val="21"/>
              </w:rPr>
              <w:t>地下水、地表水及矿区范围内</w:t>
            </w:r>
            <w:bookmarkStart w:id="244" w:name="_Hlk116635491"/>
            <w:r>
              <w:rPr>
                <w:rFonts w:hint="eastAsia" w:cs="Times New Roman"/>
                <w:sz w:val="21"/>
              </w:rPr>
              <w:t>管井、管线</w:t>
            </w:r>
            <w:bookmarkEnd w:id="244"/>
            <w:r>
              <w:rPr>
                <w:rFonts w:hint="eastAsia" w:cs="Times New Roman"/>
                <w:sz w:val="21"/>
              </w:rPr>
              <w:t>、建构筑物等</w:t>
            </w:r>
          </w:p>
        </w:tc>
      </w:tr>
      <w:tr w14:paraId="1540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restart"/>
            <w:tcBorders>
              <w:top w:val="single" w:color="auto" w:sz="4" w:space="0"/>
              <w:left w:val="single" w:color="auto" w:sz="4" w:space="0"/>
              <w:right w:val="single" w:color="auto" w:sz="4" w:space="0"/>
            </w:tcBorders>
            <w:vAlign w:val="center"/>
          </w:tcPr>
          <w:p w14:paraId="328B6BA7">
            <w:pPr>
              <w:spacing w:line="240" w:lineRule="auto"/>
              <w:ind w:firstLine="0" w:firstLineChars="0"/>
              <w:jc w:val="center"/>
              <w:rPr>
                <w:rFonts w:cs="Times New Roman"/>
                <w:sz w:val="21"/>
              </w:rPr>
            </w:pPr>
            <w:r>
              <w:rPr>
                <w:rFonts w:hint="eastAsia" w:cs="Times New Roman"/>
                <w:sz w:val="21"/>
              </w:rPr>
              <w:t>生态环境</w:t>
            </w:r>
          </w:p>
        </w:tc>
        <w:tc>
          <w:tcPr>
            <w:tcW w:w="558" w:type="pct"/>
            <w:tcBorders>
              <w:top w:val="single" w:color="auto" w:sz="4" w:space="0"/>
              <w:left w:val="single" w:color="auto" w:sz="4" w:space="0"/>
              <w:bottom w:val="single" w:color="auto" w:sz="4" w:space="0"/>
              <w:right w:val="single" w:color="auto" w:sz="4" w:space="0"/>
            </w:tcBorders>
            <w:vAlign w:val="center"/>
          </w:tcPr>
          <w:p w14:paraId="5220189E">
            <w:pPr>
              <w:spacing w:line="240" w:lineRule="auto"/>
              <w:ind w:firstLine="0" w:firstLineChars="0"/>
              <w:jc w:val="center"/>
              <w:rPr>
                <w:rFonts w:cs="Times New Roman"/>
                <w:sz w:val="21"/>
              </w:rPr>
            </w:pPr>
            <w:r>
              <w:rPr>
                <w:rFonts w:hint="eastAsia" w:cs="Times New Roman"/>
                <w:sz w:val="21"/>
              </w:rPr>
              <w:t>拟建地周边林地和绿地</w:t>
            </w:r>
          </w:p>
        </w:tc>
        <w:tc>
          <w:tcPr>
            <w:tcW w:w="1824" w:type="pct"/>
            <w:gridSpan w:val="2"/>
            <w:tcBorders>
              <w:top w:val="single" w:color="auto" w:sz="4" w:space="0"/>
              <w:left w:val="single" w:color="auto" w:sz="4" w:space="0"/>
              <w:bottom w:val="single" w:color="auto" w:sz="4" w:space="0"/>
              <w:right w:val="single" w:color="auto" w:sz="4" w:space="0"/>
            </w:tcBorders>
            <w:vAlign w:val="center"/>
          </w:tcPr>
          <w:p w14:paraId="28F1A513">
            <w:pPr>
              <w:spacing w:line="240" w:lineRule="auto"/>
              <w:ind w:firstLine="0" w:firstLineChars="0"/>
              <w:jc w:val="center"/>
              <w:rPr>
                <w:rFonts w:cs="Times New Roman"/>
                <w:sz w:val="21"/>
              </w:rPr>
            </w:pPr>
            <w:r>
              <w:rPr>
                <w:rFonts w:hint="eastAsia" w:cs="Times New Roman"/>
                <w:sz w:val="21"/>
              </w:rPr>
              <w:t>植被类型简单，厂址及周边区域表面植被主要为杂草、灌木，间或零星分布的乔木等植物；野生动物较少，多为普通鸟类、青蛙、蛇类、鼠类等常见物种，无珍稀濒危物种</w:t>
            </w:r>
          </w:p>
        </w:tc>
        <w:tc>
          <w:tcPr>
            <w:tcW w:w="2111" w:type="pct"/>
            <w:gridSpan w:val="3"/>
            <w:tcBorders>
              <w:top w:val="single" w:color="auto" w:sz="4" w:space="0"/>
              <w:left w:val="single" w:color="auto" w:sz="4" w:space="0"/>
              <w:bottom w:val="single" w:color="auto" w:sz="4" w:space="0"/>
              <w:right w:val="single" w:color="auto" w:sz="4" w:space="0"/>
            </w:tcBorders>
            <w:vAlign w:val="center"/>
          </w:tcPr>
          <w:p w14:paraId="4FEE19E1">
            <w:pPr>
              <w:spacing w:line="240" w:lineRule="auto"/>
              <w:ind w:firstLine="0" w:firstLineChars="0"/>
              <w:jc w:val="center"/>
              <w:rPr>
                <w:rFonts w:cs="Times New Roman"/>
                <w:sz w:val="21"/>
              </w:rPr>
            </w:pPr>
            <w:r>
              <w:rPr>
                <w:rFonts w:hint="eastAsia" w:cs="Times New Roman"/>
                <w:sz w:val="21"/>
              </w:rPr>
              <w:t>不对周边生态环境造成明显影响</w:t>
            </w:r>
          </w:p>
        </w:tc>
      </w:tr>
      <w:tr w14:paraId="40D6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 w:type="pct"/>
            <w:vMerge w:val="continue"/>
            <w:tcBorders>
              <w:left w:val="single" w:color="auto" w:sz="4" w:space="0"/>
              <w:bottom w:val="single" w:color="auto" w:sz="4" w:space="0"/>
              <w:right w:val="single" w:color="auto" w:sz="4" w:space="0"/>
            </w:tcBorders>
            <w:vAlign w:val="center"/>
          </w:tcPr>
          <w:p w14:paraId="60E93C77">
            <w:pPr>
              <w:spacing w:line="240" w:lineRule="auto"/>
              <w:ind w:firstLine="0" w:firstLineChars="0"/>
              <w:jc w:val="center"/>
              <w:rPr>
                <w:rFonts w:cs="Times New Roman"/>
                <w:sz w:val="21"/>
              </w:rPr>
            </w:pPr>
          </w:p>
        </w:tc>
        <w:tc>
          <w:tcPr>
            <w:tcW w:w="558" w:type="pct"/>
            <w:tcBorders>
              <w:top w:val="single" w:color="auto" w:sz="4" w:space="0"/>
              <w:left w:val="single" w:color="auto" w:sz="4" w:space="0"/>
              <w:bottom w:val="single" w:color="auto" w:sz="4" w:space="0"/>
              <w:right w:val="single" w:color="auto" w:sz="4" w:space="0"/>
            </w:tcBorders>
            <w:vAlign w:val="center"/>
          </w:tcPr>
          <w:p w14:paraId="71706880">
            <w:pPr>
              <w:spacing w:line="240" w:lineRule="auto"/>
              <w:ind w:firstLine="0" w:firstLineChars="0"/>
              <w:jc w:val="center"/>
              <w:rPr>
                <w:rFonts w:cs="Times New Roman"/>
                <w:sz w:val="21"/>
              </w:rPr>
            </w:pPr>
            <w:r>
              <w:rPr>
                <w:rFonts w:hint="eastAsia" w:cs="Times New Roman"/>
                <w:sz w:val="21"/>
              </w:rPr>
              <w:t>湘江衡阳段四大家鱼国家级水产种质资源保护区实验区</w:t>
            </w:r>
          </w:p>
        </w:tc>
        <w:tc>
          <w:tcPr>
            <w:tcW w:w="1824" w:type="pct"/>
            <w:gridSpan w:val="2"/>
            <w:tcBorders>
              <w:top w:val="single" w:color="auto" w:sz="4" w:space="0"/>
              <w:left w:val="single" w:color="auto" w:sz="4" w:space="0"/>
              <w:bottom w:val="single" w:color="auto" w:sz="4" w:space="0"/>
              <w:right w:val="single" w:color="auto" w:sz="4" w:space="0"/>
            </w:tcBorders>
            <w:vAlign w:val="center"/>
          </w:tcPr>
          <w:p w14:paraId="0607940B">
            <w:pPr>
              <w:spacing w:line="240" w:lineRule="auto"/>
              <w:ind w:firstLine="0" w:firstLineChars="0"/>
              <w:jc w:val="center"/>
              <w:rPr>
                <w:rFonts w:cs="Times New Roman"/>
                <w:sz w:val="21"/>
              </w:rPr>
            </w:pPr>
            <w:r>
              <w:rPr>
                <w:rFonts w:hint="eastAsia" w:cs="Times New Roman"/>
                <w:sz w:val="21"/>
              </w:rPr>
              <w:t>位于矿区东726m，位于新建井场东2350m</w:t>
            </w:r>
          </w:p>
        </w:tc>
        <w:tc>
          <w:tcPr>
            <w:tcW w:w="2111" w:type="pct"/>
            <w:gridSpan w:val="3"/>
            <w:tcBorders>
              <w:top w:val="single" w:color="auto" w:sz="4" w:space="0"/>
              <w:left w:val="single" w:color="auto" w:sz="4" w:space="0"/>
              <w:bottom w:val="single" w:color="auto" w:sz="4" w:space="0"/>
              <w:right w:val="single" w:color="auto" w:sz="4" w:space="0"/>
            </w:tcBorders>
            <w:vAlign w:val="center"/>
          </w:tcPr>
          <w:p w14:paraId="7A2E233E">
            <w:pPr>
              <w:spacing w:line="240" w:lineRule="auto"/>
              <w:ind w:firstLine="0" w:firstLineChars="0"/>
              <w:jc w:val="center"/>
              <w:rPr>
                <w:rFonts w:cs="Times New Roman"/>
                <w:sz w:val="21"/>
              </w:rPr>
            </w:pPr>
            <w:r>
              <w:rPr>
                <w:rFonts w:hint="eastAsia" w:cs="Times New Roman"/>
                <w:sz w:val="21"/>
              </w:rPr>
              <w:t>该保护区主要保护对象为青鱼、草鱼、鲢、鳙、䱛、䲘、鯮等江河半洄性鱼类，同时对黄尾鲴、细鳞斜颌鲴、湘华鲮、中华倒刺䰾、白甲鱼、长薄鳅、南方大口鯰、黄颡鱼、大眼鳜、翘嘴鱖、波纹鳜、长身鳜、长春鳊、团头鲂等鱼类进行保护</w:t>
            </w:r>
          </w:p>
        </w:tc>
      </w:tr>
      <w:tr w14:paraId="75C6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5" w:type="pct"/>
            <w:gridSpan w:val="2"/>
            <w:tcBorders>
              <w:top w:val="single" w:color="auto" w:sz="4" w:space="0"/>
              <w:left w:val="single" w:color="auto" w:sz="4" w:space="0"/>
              <w:bottom w:val="single" w:color="auto" w:sz="4" w:space="0"/>
              <w:right w:val="single" w:color="auto" w:sz="4" w:space="0"/>
            </w:tcBorders>
            <w:vAlign w:val="center"/>
          </w:tcPr>
          <w:p w14:paraId="1175E3BB">
            <w:pPr>
              <w:spacing w:line="240" w:lineRule="auto"/>
              <w:ind w:firstLine="0" w:firstLineChars="0"/>
              <w:jc w:val="center"/>
              <w:rPr>
                <w:rFonts w:cs="Times New Roman"/>
                <w:sz w:val="21"/>
              </w:rPr>
            </w:pPr>
            <w:r>
              <w:rPr>
                <w:rFonts w:hint="eastAsia" w:cs="Times New Roman"/>
                <w:sz w:val="21"/>
              </w:rPr>
              <w:t>生态红线</w:t>
            </w:r>
          </w:p>
        </w:tc>
        <w:tc>
          <w:tcPr>
            <w:tcW w:w="1824" w:type="pct"/>
            <w:gridSpan w:val="2"/>
            <w:tcBorders>
              <w:top w:val="single" w:color="auto" w:sz="4" w:space="0"/>
              <w:left w:val="single" w:color="auto" w:sz="4" w:space="0"/>
              <w:bottom w:val="single" w:color="auto" w:sz="4" w:space="0"/>
              <w:right w:val="single" w:color="auto" w:sz="4" w:space="0"/>
            </w:tcBorders>
            <w:vAlign w:val="center"/>
          </w:tcPr>
          <w:p w14:paraId="1D229DDD">
            <w:pPr>
              <w:spacing w:line="240" w:lineRule="auto"/>
              <w:ind w:firstLine="0" w:firstLineChars="0"/>
              <w:jc w:val="center"/>
              <w:rPr>
                <w:rFonts w:cs="Times New Roman"/>
                <w:sz w:val="21"/>
              </w:rPr>
            </w:pPr>
            <w:r>
              <w:rPr>
                <w:rFonts w:hint="eastAsia" w:cs="Times New Roman"/>
                <w:sz w:val="21"/>
              </w:rPr>
              <w:t>不涉及</w:t>
            </w:r>
          </w:p>
        </w:tc>
        <w:tc>
          <w:tcPr>
            <w:tcW w:w="2111" w:type="pct"/>
            <w:gridSpan w:val="3"/>
            <w:tcBorders>
              <w:top w:val="single" w:color="auto" w:sz="4" w:space="0"/>
              <w:left w:val="single" w:color="auto" w:sz="4" w:space="0"/>
              <w:bottom w:val="single" w:color="auto" w:sz="4" w:space="0"/>
              <w:right w:val="single" w:color="auto" w:sz="4" w:space="0"/>
            </w:tcBorders>
            <w:vAlign w:val="center"/>
          </w:tcPr>
          <w:p w14:paraId="7F01F7CA">
            <w:pPr>
              <w:spacing w:line="240" w:lineRule="auto"/>
              <w:ind w:firstLine="0" w:firstLineChars="0"/>
              <w:jc w:val="center"/>
              <w:rPr>
                <w:rFonts w:cs="Times New Roman"/>
                <w:sz w:val="21"/>
              </w:rPr>
            </w:pPr>
            <w:r>
              <w:rPr>
                <w:rFonts w:cs="Times New Roman"/>
                <w:sz w:val="21"/>
              </w:rPr>
              <w:t>/</w:t>
            </w:r>
          </w:p>
        </w:tc>
      </w:tr>
      <w:tr w14:paraId="1D6C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5" w:type="pct"/>
            <w:gridSpan w:val="2"/>
            <w:tcBorders>
              <w:top w:val="single" w:color="auto" w:sz="4" w:space="0"/>
              <w:left w:val="single" w:color="auto" w:sz="4" w:space="0"/>
              <w:bottom w:val="single" w:color="auto" w:sz="4" w:space="0"/>
              <w:right w:val="single" w:color="auto" w:sz="4" w:space="0"/>
            </w:tcBorders>
            <w:vAlign w:val="center"/>
          </w:tcPr>
          <w:p w14:paraId="26387932">
            <w:pPr>
              <w:spacing w:line="240" w:lineRule="auto"/>
              <w:ind w:firstLine="0" w:firstLineChars="0"/>
              <w:jc w:val="center"/>
              <w:rPr>
                <w:rFonts w:cs="Times New Roman"/>
                <w:sz w:val="21"/>
              </w:rPr>
            </w:pPr>
            <w:r>
              <w:rPr>
                <w:rFonts w:hint="eastAsia" w:cs="Times New Roman"/>
                <w:sz w:val="21"/>
              </w:rPr>
              <w:t>自然保护区</w:t>
            </w:r>
          </w:p>
        </w:tc>
        <w:tc>
          <w:tcPr>
            <w:tcW w:w="1824" w:type="pct"/>
            <w:gridSpan w:val="2"/>
            <w:tcBorders>
              <w:top w:val="single" w:color="auto" w:sz="4" w:space="0"/>
              <w:left w:val="single" w:color="auto" w:sz="4" w:space="0"/>
              <w:bottom w:val="single" w:color="auto" w:sz="4" w:space="0"/>
              <w:right w:val="single" w:color="auto" w:sz="4" w:space="0"/>
            </w:tcBorders>
            <w:vAlign w:val="center"/>
          </w:tcPr>
          <w:p w14:paraId="6D4F713D">
            <w:pPr>
              <w:spacing w:line="240" w:lineRule="auto"/>
              <w:ind w:firstLine="0" w:firstLineChars="0"/>
              <w:jc w:val="center"/>
              <w:rPr>
                <w:rFonts w:cs="Times New Roman"/>
                <w:sz w:val="21"/>
              </w:rPr>
            </w:pPr>
            <w:r>
              <w:rPr>
                <w:rFonts w:hint="eastAsia" w:cs="Times New Roman"/>
                <w:sz w:val="21"/>
              </w:rPr>
              <w:t>不涉及</w:t>
            </w:r>
          </w:p>
        </w:tc>
        <w:tc>
          <w:tcPr>
            <w:tcW w:w="2111" w:type="pct"/>
            <w:gridSpan w:val="3"/>
            <w:tcBorders>
              <w:top w:val="single" w:color="auto" w:sz="4" w:space="0"/>
              <w:left w:val="single" w:color="auto" w:sz="4" w:space="0"/>
              <w:bottom w:val="single" w:color="auto" w:sz="4" w:space="0"/>
              <w:right w:val="single" w:color="auto" w:sz="4" w:space="0"/>
            </w:tcBorders>
            <w:vAlign w:val="center"/>
          </w:tcPr>
          <w:p w14:paraId="248094FD">
            <w:pPr>
              <w:spacing w:line="240" w:lineRule="auto"/>
              <w:ind w:firstLine="0" w:firstLineChars="0"/>
              <w:jc w:val="center"/>
              <w:rPr>
                <w:rFonts w:cs="Times New Roman"/>
                <w:sz w:val="21"/>
              </w:rPr>
            </w:pPr>
            <w:r>
              <w:rPr>
                <w:rFonts w:cs="Times New Roman"/>
                <w:sz w:val="21"/>
              </w:rPr>
              <w:t>/</w:t>
            </w:r>
          </w:p>
        </w:tc>
      </w:tr>
      <w:tr w14:paraId="6D3E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65" w:type="pct"/>
            <w:gridSpan w:val="2"/>
            <w:tcBorders>
              <w:top w:val="single" w:color="auto" w:sz="4" w:space="0"/>
              <w:left w:val="single" w:color="auto" w:sz="4" w:space="0"/>
              <w:bottom w:val="single" w:color="auto" w:sz="4" w:space="0"/>
              <w:right w:val="single" w:color="auto" w:sz="4" w:space="0"/>
            </w:tcBorders>
            <w:vAlign w:val="center"/>
          </w:tcPr>
          <w:p w14:paraId="7710B5DD">
            <w:pPr>
              <w:spacing w:line="240" w:lineRule="auto"/>
              <w:ind w:firstLine="0" w:firstLineChars="0"/>
              <w:jc w:val="center"/>
              <w:rPr>
                <w:rFonts w:cs="Times New Roman"/>
                <w:sz w:val="21"/>
              </w:rPr>
            </w:pPr>
            <w:r>
              <w:rPr>
                <w:rFonts w:hint="eastAsia" w:cs="Times New Roman"/>
                <w:sz w:val="21"/>
              </w:rPr>
              <w:t>饮用水源保护区</w:t>
            </w:r>
          </w:p>
        </w:tc>
        <w:tc>
          <w:tcPr>
            <w:tcW w:w="1824" w:type="pct"/>
            <w:gridSpan w:val="2"/>
            <w:tcBorders>
              <w:top w:val="single" w:color="auto" w:sz="4" w:space="0"/>
              <w:left w:val="single" w:color="auto" w:sz="4" w:space="0"/>
              <w:bottom w:val="single" w:color="auto" w:sz="4" w:space="0"/>
              <w:right w:val="single" w:color="auto" w:sz="4" w:space="0"/>
            </w:tcBorders>
            <w:vAlign w:val="center"/>
          </w:tcPr>
          <w:p w14:paraId="3AD9B989">
            <w:pPr>
              <w:spacing w:line="240" w:lineRule="auto"/>
              <w:ind w:firstLine="0" w:firstLineChars="0"/>
              <w:jc w:val="center"/>
              <w:rPr>
                <w:rFonts w:cs="Times New Roman"/>
                <w:sz w:val="21"/>
              </w:rPr>
            </w:pPr>
            <w:r>
              <w:rPr>
                <w:rFonts w:hint="eastAsia" w:cs="Times New Roman"/>
                <w:sz w:val="21"/>
              </w:rPr>
              <w:t>不涉及</w:t>
            </w:r>
          </w:p>
        </w:tc>
        <w:tc>
          <w:tcPr>
            <w:tcW w:w="2111" w:type="pct"/>
            <w:gridSpan w:val="3"/>
            <w:tcBorders>
              <w:top w:val="single" w:color="auto" w:sz="4" w:space="0"/>
              <w:left w:val="single" w:color="auto" w:sz="4" w:space="0"/>
              <w:bottom w:val="single" w:color="auto" w:sz="4" w:space="0"/>
              <w:right w:val="single" w:color="auto" w:sz="4" w:space="0"/>
            </w:tcBorders>
            <w:vAlign w:val="center"/>
          </w:tcPr>
          <w:p w14:paraId="49A471CF">
            <w:pPr>
              <w:spacing w:line="240" w:lineRule="auto"/>
              <w:ind w:firstLine="0" w:firstLineChars="0"/>
              <w:jc w:val="center"/>
              <w:rPr>
                <w:rFonts w:cs="Times New Roman"/>
                <w:sz w:val="21"/>
              </w:rPr>
            </w:pPr>
            <w:r>
              <w:rPr>
                <w:rFonts w:cs="Times New Roman"/>
                <w:sz w:val="21"/>
              </w:rPr>
              <w:t>/</w:t>
            </w:r>
          </w:p>
        </w:tc>
      </w:tr>
    </w:tbl>
    <w:p w14:paraId="073CA7C9">
      <w:pPr>
        <w:ind w:firstLine="519"/>
        <w:rPr>
          <w:rFonts w:cs="Times New Roman"/>
        </w:rPr>
      </w:pPr>
    </w:p>
    <w:p w14:paraId="5DE8C8C5">
      <w:pPr>
        <w:ind w:firstLine="519"/>
        <w:rPr>
          <w:rFonts w:cs="Times New Roman"/>
        </w:rPr>
        <w:sectPr>
          <w:footerReference r:id="rId13" w:type="default"/>
          <w:pgSz w:w="16838" w:h="11906" w:orient="landscape"/>
          <w:pgMar w:top="1797" w:right="1440" w:bottom="1797" w:left="1440" w:header="851" w:footer="992" w:gutter="0"/>
          <w:cols w:space="425" w:num="1"/>
          <w:docGrid w:type="linesAndChars" w:linePitch="340" w:charSpace="4044"/>
        </w:sectPr>
      </w:pPr>
    </w:p>
    <w:p w14:paraId="2A37A0B2">
      <w:pPr>
        <w:pStyle w:val="5"/>
        <w:tabs>
          <w:tab w:val="left" w:pos="7371"/>
        </w:tabs>
        <w:spacing w:before="170" w:after="170"/>
        <w:rPr>
          <w:rFonts w:ascii="Times New Roman" w:hAnsi="Times New Roman"/>
        </w:rPr>
      </w:pPr>
      <w:bookmarkStart w:id="245" w:name="_Toc121420808"/>
      <w:bookmarkStart w:id="246" w:name="_Toc63257125"/>
      <w:r>
        <w:rPr>
          <w:rFonts w:ascii="Times New Roman" w:hAnsi="Times New Roman"/>
        </w:rPr>
        <w:t xml:space="preserve">第3章 </w:t>
      </w:r>
      <w:r>
        <w:rPr>
          <w:rFonts w:hint="eastAsia" w:ascii="Times New Roman" w:hAnsi="Times New Roman"/>
        </w:rPr>
        <w:t>环境现状调查与评价</w:t>
      </w:r>
      <w:bookmarkEnd w:id="245"/>
    </w:p>
    <w:p w14:paraId="7D6B5451">
      <w:pPr>
        <w:pStyle w:val="6"/>
        <w:tabs>
          <w:tab w:val="left" w:pos="7371"/>
        </w:tabs>
        <w:spacing w:before="170" w:after="170"/>
        <w:rPr>
          <w:rFonts w:cs="Times New Roman"/>
        </w:rPr>
      </w:pPr>
      <w:bookmarkStart w:id="247" w:name="_Toc121420809"/>
      <w:r>
        <w:rPr>
          <w:rFonts w:cs="Times New Roman"/>
        </w:rPr>
        <w:t>3.1 自然环境</w:t>
      </w:r>
      <w:bookmarkEnd w:id="247"/>
    </w:p>
    <w:p w14:paraId="511D5429">
      <w:pPr>
        <w:pStyle w:val="7"/>
        <w:tabs>
          <w:tab w:val="left" w:pos="7371"/>
        </w:tabs>
      </w:pPr>
      <w:bookmarkStart w:id="248" w:name="_Toc86852270"/>
      <w:bookmarkStart w:id="249" w:name="_Toc121420810"/>
      <w:bookmarkStart w:id="250" w:name="_Toc90318406"/>
      <w:bookmarkStart w:id="251" w:name="_Toc89882446"/>
      <w:bookmarkStart w:id="252" w:name="_Toc90989227"/>
      <w:bookmarkStart w:id="253" w:name="_Toc89786121"/>
      <w:bookmarkStart w:id="254" w:name="_Toc90997653"/>
      <w:r>
        <w:t>3.1.1 地理位置</w:t>
      </w:r>
      <w:bookmarkEnd w:id="248"/>
      <w:bookmarkEnd w:id="249"/>
      <w:bookmarkEnd w:id="250"/>
      <w:bookmarkEnd w:id="251"/>
      <w:bookmarkEnd w:id="252"/>
      <w:bookmarkEnd w:id="253"/>
      <w:bookmarkEnd w:id="254"/>
    </w:p>
    <w:p w14:paraId="567BE848">
      <w:pPr>
        <w:tabs>
          <w:tab w:val="left" w:pos="7371"/>
        </w:tabs>
        <w:ind w:firstLine="519"/>
        <w:rPr>
          <w:rFonts w:cs="Times New Roman"/>
        </w:rPr>
      </w:pPr>
      <w:r>
        <w:rPr>
          <w:rFonts w:cs="Times New Roman"/>
        </w:rPr>
        <w:t>本项目建设地位于衡阳建滔化工有限公司岩盐矿范围内西北侧，衡阳建滔化工有限公司岩盐矿位于衡阳市北部，离市区直线距离7km，属衡阳市松木经济开发区管辖。地理坐标为东径：112°37′17″～112°38′43″，北纬26°58′09″～26°58′35″。矿山范围内有化工路2km与西部G107国道相连；南部衡(阳)-大(浦)高速公路西连 G107 国道，东通G030京珠高速，往东400m为湘江。水陆交通十分方便。</w:t>
      </w:r>
    </w:p>
    <w:p w14:paraId="2D4AE00D">
      <w:pPr>
        <w:tabs>
          <w:tab w:val="left" w:pos="7371"/>
        </w:tabs>
        <w:ind w:firstLine="519"/>
        <w:rPr>
          <w:rFonts w:cs="Times New Roman"/>
        </w:rPr>
      </w:pPr>
      <w:r>
        <w:rPr>
          <w:rFonts w:cs="Times New Roman"/>
        </w:rPr>
        <w:t>项目地理位置见附图1所示。</w:t>
      </w:r>
    </w:p>
    <w:p w14:paraId="0FC67793">
      <w:pPr>
        <w:pStyle w:val="7"/>
        <w:tabs>
          <w:tab w:val="left" w:pos="7371"/>
        </w:tabs>
      </w:pPr>
      <w:bookmarkStart w:id="255" w:name="_Toc86852271"/>
      <w:bookmarkStart w:id="256" w:name="_Toc89882447"/>
      <w:bookmarkStart w:id="257" w:name="_Toc90989228"/>
      <w:bookmarkStart w:id="258" w:name="_Toc121420811"/>
      <w:bookmarkStart w:id="259" w:name="_Toc90997654"/>
      <w:bookmarkStart w:id="260" w:name="_Toc89786122"/>
      <w:bookmarkStart w:id="261" w:name="_Toc90318407"/>
      <w:r>
        <w:t>3.1.2 气象气候</w:t>
      </w:r>
      <w:bookmarkEnd w:id="255"/>
      <w:bookmarkEnd w:id="256"/>
      <w:bookmarkEnd w:id="257"/>
      <w:bookmarkEnd w:id="258"/>
      <w:bookmarkEnd w:id="259"/>
      <w:bookmarkEnd w:id="260"/>
      <w:bookmarkEnd w:id="261"/>
    </w:p>
    <w:p w14:paraId="6F63D679">
      <w:pPr>
        <w:tabs>
          <w:tab w:val="left" w:pos="7371"/>
        </w:tabs>
        <w:ind w:firstLine="519"/>
        <w:rPr>
          <w:rFonts w:cs="Times New Roman"/>
        </w:rPr>
      </w:pPr>
      <w:r>
        <w:rPr>
          <w:rFonts w:cs="Times New Roman"/>
        </w:rPr>
        <w:t>衡阳市属湿润型亚热带大陆型气候，四季分明，气象条件为：</w:t>
      </w:r>
    </w:p>
    <w:p w14:paraId="2281A660">
      <w:pPr>
        <w:tabs>
          <w:tab w:val="left" w:pos="7371"/>
        </w:tabs>
        <w:ind w:firstLine="519"/>
        <w:rPr>
          <w:rFonts w:cs="Times New Roman"/>
        </w:rPr>
      </w:pPr>
      <w:r>
        <w:rPr>
          <w:rFonts w:cs="Times New Roman"/>
        </w:rPr>
        <w:t>年均气温：17.9</w:t>
      </w:r>
      <w:r>
        <w:rPr>
          <w:rFonts w:hint="eastAsia" w:ascii="宋体" w:hAnsi="宋体" w:cs="宋体"/>
        </w:rPr>
        <w:t>℃</w:t>
      </w:r>
    </w:p>
    <w:p w14:paraId="2A813551">
      <w:pPr>
        <w:tabs>
          <w:tab w:val="left" w:pos="7371"/>
        </w:tabs>
        <w:ind w:firstLine="519"/>
        <w:rPr>
          <w:rFonts w:cs="Times New Roman"/>
        </w:rPr>
      </w:pPr>
      <w:r>
        <w:rPr>
          <w:rFonts w:cs="Times New Roman"/>
        </w:rPr>
        <w:t>年均相对湿度：78％</w:t>
      </w:r>
    </w:p>
    <w:p w14:paraId="4A1BA7BE">
      <w:pPr>
        <w:tabs>
          <w:tab w:val="left" w:pos="7371"/>
        </w:tabs>
        <w:ind w:firstLine="519"/>
        <w:rPr>
          <w:rFonts w:cs="Times New Roman"/>
        </w:rPr>
      </w:pPr>
      <w:r>
        <w:rPr>
          <w:rFonts w:cs="Times New Roman"/>
        </w:rPr>
        <w:t>年均气压：1008.6hPa</w:t>
      </w:r>
    </w:p>
    <w:p w14:paraId="09282756">
      <w:pPr>
        <w:tabs>
          <w:tab w:val="left" w:pos="7371"/>
        </w:tabs>
        <w:ind w:firstLine="519"/>
        <w:rPr>
          <w:rFonts w:cs="Times New Roman"/>
        </w:rPr>
      </w:pPr>
      <w:r>
        <w:rPr>
          <w:rFonts w:cs="Times New Roman"/>
        </w:rPr>
        <w:t>年均降水量：1346.2mm</w:t>
      </w:r>
    </w:p>
    <w:p w14:paraId="5D51DB89">
      <w:pPr>
        <w:tabs>
          <w:tab w:val="left" w:pos="7371"/>
        </w:tabs>
        <w:ind w:firstLine="519"/>
        <w:rPr>
          <w:rFonts w:cs="Times New Roman"/>
        </w:rPr>
      </w:pPr>
      <w:r>
        <w:rPr>
          <w:rFonts w:cs="Times New Roman"/>
        </w:rPr>
        <w:t>年均日照：1684.0h</w:t>
      </w:r>
    </w:p>
    <w:p w14:paraId="7D5255CB">
      <w:pPr>
        <w:tabs>
          <w:tab w:val="left" w:pos="7371"/>
        </w:tabs>
        <w:ind w:firstLine="519"/>
        <w:rPr>
          <w:rFonts w:cs="Times New Roman"/>
        </w:rPr>
      </w:pPr>
      <w:r>
        <w:rPr>
          <w:rFonts w:cs="Times New Roman"/>
        </w:rPr>
        <w:t>日最高气压：1016.5Mpa</w:t>
      </w:r>
    </w:p>
    <w:p w14:paraId="04913541">
      <w:pPr>
        <w:tabs>
          <w:tab w:val="left" w:pos="7371"/>
        </w:tabs>
        <w:ind w:firstLine="519"/>
        <w:rPr>
          <w:rFonts w:cs="Times New Roman"/>
        </w:rPr>
      </w:pPr>
      <w:r>
        <w:rPr>
          <w:rFonts w:cs="Times New Roman"/>
        </w:rPr>
        <w:t>年均风速：2.0m/s</w:t>
      </w:r>
    </w:p>
    <w:p w14:paraId="643D8815">
      <w:pPr>
        <w:tabs>
          <w:tab w:val="left" w:pos="7371"/>
        </w:tabs>
        <w:ind w:firstLine="519"/>
        <w:rPr>
          <w:rFonts w:cs="Times New Roman"/>
        </w:rPr>
      </w:pPr>
      <w:r>
        <w:rPr>
          <w:rFonts w:cs="Times New Roman"/>
        </w:rPr>
        <w:t>年主导风向： NNE（频率11.25％）</w:t>
      </w:r>
    </w:p>
    <w:p w14:paraId="75484AAC">
      <w:pPr>
        <w:tabs>
          <w:tab w:val="left" w:pos="7371"/>
        </w:tabs>
        <w:ind w:firstLine="519"/>
        <w:rPr>
          <w:rFonts w:cs="Times New Roman"/>
        </w:rPr>
      </w:pPr>
      <w:r>
        <w:rPr>
          <w:rFonts w:cs="Times New Roman"/>
        </w:rPr>
        <w:t>年静风频率：25％</w:t>
      </w:r>
    </w:p>
    <w:p w14:paraId="68DE49BE">
      <w:pPr>
        <w:tabs>
          <w:tab w:val="left" w:pos="7371"/>
        </w:tabs>
        <w:ind w:firstLine="519"/>
        <w:rPr>
          <w:rFonts w:cs="Times New Roman"/>
          <w:szCs w:val="24"/>
        </w:rPr>
      </w:pPr>
      <w:r>
        <w:rPr>
          <w:rFonts w:cs="Times New Roman"/>
        </w:rPr>
        <w:t>夏季主导风向：S（频率为20%）和SSE（频率为15%）</w:t>
      </w:r>
      <w:r>
        <w:rPr>
          <w:rFonts w:cs="Times New Roman"/>
          <w:szCs w:val="24"/>
        </w:rPr>
        <w:t>。</w:t>
      </w:r>
    </w:p>
    <w:p w14:paraId="7D528AF4">
      <w:pPr>
        <w:pStyle w:val="2"/>
        <w:tabs>
          <w:tab w:val="left" w:pos="7371"/>
        </w:tabs>
        <w:ind w:firstLine="519"/>
        <w:rPr>
          <w:rFonts w:cs="Times New Roman"/>
        </w:rPr>
      </w:pPr>
      <w:r>
        <w:rPr>
          <w:rFonts w:cs="Times New Roman"/>
        </w:rPr>
        <w:t>该区域的风向玫瑰图见下图。</w:t>
      </w:r>
    </w:p>
    <w:p w14:paraId="2308F95F">
      <w:pPr>
        <w:pStyle w:val="3"/>
        <w:tabs>
          <w:tab w:val="left" w:pos="7371"/>
        </w:tabs>
        <w:ind w:firstLine="519"/>
        <w:rPr>
          <w:rFonts w:cs="Times New Roman"/>
        </w:rPr>
      </w:pPr>
    </w:p>
    <w:p w14:paraId="45EB5C43">
      <w:pPr>
        <w:tabs>
          <w:tab w:val="left" w:pos="7371"/>
        </w:tabs>
        <w:spacing w:line="240" w:lineRule="auto"/>
        <w:ind w:firstLine="0" w:firstLineChars="0"/>
        <w:rPr>
          <w:rFonts w:cs="Times New Roman"/>
        </w:rPr>
      </w:pPr>
      <w:r>
        <w:rPr>
          <w:rFonts w:cs="Times New Roman"/>
        </w:rPr>
        <w:drawing>
          <wp:inline distT="0" distB="0" distL="0" distR="0">
            <wp:extent cx="5278120" cy="863790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19"/>
                    <a:stretch>
                      <a:fillRect/>
                    </a:stretch>
                  </pic:blipFill>
                  <pic:spPr>
                    <a:xfrm>
                      <a:off x="0" y="0"/>
                      <a:ext cx="5278120" cy="8637905"/>
                    </a:xfrm>
                    <a:prstGeom prst="rect">
                      <a:avLst/>
                    </a:prstGeom>
                  </pic:spPr>
                </pic:pic>
              </a:graphicData>
            </a:graphic>
          </wp:inline>
        </w:drawing>
      </w:r>
    </w:p>
    <w:p w14:paraId="643D7C0E">
      <w:pPr>
        <w:pStyle w:val="9"/>
        <w:tabs>
          <w:tab w:val="left" w:pos="7371"/>
        </w:tabs>
      </w:pPr>
      <w:r>
        <w:t>图 3.1-1 全年风向玫瑰图</w:t>
      </w:r>
    </w:p>
    <w:p w14:paraId="690C1A94">
      <w:pPr>
        <w:pStyle w:val="7"/>
        <w:tabs>
          <w:tab w:val="left" w:pos="7371"/>
        </w:tabs>
      </w:pPr>
      <w:bookmarkStart w:id="262" w:name="_Toc90997655"/>
      <w:bookmarkStart w:id="263" w:name="_Toc90989229"/>
      <w:bookmarkStart w:id="264" w:name="_Toc121420812"/>
      <w:bookmarkStart w:id="265" w:name="_Toc89882448"/>
      <w:bookmarkStart w:id="266" w:name="_Toc90318408"/>
      <w:bookmarkStart w:id="267" w:name="_Toc86852272"/>
      <w:bookmarkStart w:id="268" w:name="_Toc89786123"/>
      <w:r>
        <w:t>3.1.3 地形地貌</w:t>
      </w:r>
      <w:bookmarkEnd w:id="262"/>
      <w:bookmarkEnd w:id="263"/>
      <w:bookmarkEnd w:id="264"/>
      <w:bookmarkEnd w:id="265"/>
      <w:bookmarkEnd w:id="266"/>
      <w:bookmarkEnd w:id="267"/>
      <w:bookmarkEnd w:id="268"/>
    </w:p>
    <w:p w14:paraId="43867DDF">
      <w:pPr>
        <w:tabs>
          <w:tab w:val="left" w:pos="7371"/>
        </w:tabs>
        <w:ind w:firstLine="519"/>
        <w:rPr>
          <w:rFonts w:cs="Times New Roman"/>
        </w:rPr>
      </w:pPr>
      <w:r>
        <w:rPr>
          <w:rFonts w:cs="Times New Roman"/>
        </w:rPr>
        <w:t>衡阳市处于湖南省凹形面的轴带部分。周围环绕着古老岩层形成断续环带的盆地形势。衡阳盆地南高北低。整个盆地南面地势较高，北面相对偏低，整个地形由西南向东北复合倾斜，而盆地由四周向中部降低。地貌类型以岗丘为主，四周山、丘围绕，中部平、岗丘交错，整个地形比降为7.9‰。其中山地占总面积的21%，丘陵占27%，岗地占27%，平原占21%，水面占4%。</w:t>
      </w:r>
    </w:p>
    <w:p w14:paraId="1984C4DF">
      <w:pPr>
        <w:tabs>
          <w:tab w:val="left" w:pos="7371"/>
        </w:tabs>
        <w:ind w:firstLine="519"/>
        <w:rPr>
          <w:rFonts w:cs="Times New Roman"/>
        </w:rPr>
      </w:pPr>
      <w:r>
        <w:rPr>
          <w:rFonts w:cs="Times New Roman"/>
        </w:rPr>
        <w:t>拟建地属河谷冲积平原与低缓丘陵区，地貌单元为湘江</w:t>
      </w:r>
      <w:r>
        <w:rPr>
          <w:rFonts w:hint="eastAsia" w:ascii="宋体" w:hAnsi="宋体" w:cs="宋体"/>
        </w:rPr>
        <w:t>Ⅰ</w:t>
      </w:r>
      <w:r>
        <w:rPr>
          <w:rFonts w:cs="Times New Roman"/>
        </w:rPr>
        <w:t>、</w:t>
      </w:r>
      <w:r>
        <w:rPr>
          <w:rFonts w:hint="eastAsia" w:ascii="宋体" w:hAnsi="宋体" w:cs="宋体"/>
        </w:rPr>
        <w:t>Ⅱ</w:t>
      </w:r>
      <w:r>
        <w:rPr>
          <w:rFonts w:cs="Times New Roman"/>
        </w:rPr>
        <w:t>级阶地及构造剥蚀丘陵地貌。</w:t>
      </w:r>
    </w:p>
    <w:p w14:paraId="30DB8F35">
      <w:pPr>
        <w:tabs>
          <w:tab w:val="left" w:pos="7371"/>
        </w:tabs>
        <w:ind w:firstLine="519"/>
        <w:rPr>
          <w:rFonts w:cs="Times New Roman"/>
        </w:rPr>
      </w:pPr>
      <w:r>
        <w:rPr>
          <w:rFonts w:cs="Times New Roman"/>
        </w:rPr>
        <w:t>根据《中国地震动参数区划图》（GB18306-2001），本地区地震动峰值加速度为0.05g，反应谱特征周期为0.35，对照地震烈度＜</w:t>
      </w:r>
      <w:r>
        <w:rPr>
          <w:rFonts w:hint="eastAsia" w:ascii="宋体" w:hAnsi="宋体" w:cs="宋体"/>
        </w:rPr>
        <w:t>Ⅳ</w:t>
      </w:r>
      <w:r>
        <w:rPr>
          <w:rFonts w:cs="Times New Roman"/>
        </w:rPr>
        <w:t>度。</w:t>
      </w:r>
    </w:p>
    <w:p w14:paraId="037283FE">
      <w:pPr>
        <w:pStyle w:val="7"/>
        <w:tabs>
          <w:tab w:val="left" w:pos="7371"/>
        </w:tabs>
      </w:pPr>
      <w:bookmarkStart w:id="269" w:name="_Toc89882449"/>
      <w:bookmarkStart w:id="270" w:name="_Toc90318409"/>
      <w:bookmarkStart w:id="271" w:name="_Toc89786124"/>
      <w:bookmarkStart w:id="272" w:name="_Toc86852273"/>
      <w:bookmarkStart w:id="273" w:name="_Toc121420813"/>
      <w:bookmarkStart w:id="274" w:name="_Toc90997656"/>
      <w:bookmarkStart w:id="275" w:name="_Toc90989230"/>
      <w:r>
        <w:t>3.1.4 水文</w:t>
      </w:r>
      <w:bookmarkEnd w:id="269"/>
      <w:bookmarkEnd w:id="270"/>
      <w:bookmarkEnd w:id="271"/>
      <w:bookmarkEnd w:id="272"/>
      <w:bookmarkEnd w:id="273"/>
      <w:bookmarkEnd w:id="274"/>
      <w:bookmarkEnd w:id="275"/>
    </w:p>
    <w:p w14:paraId="2F2A0E72">
      <w:pPr>
        <w:tabs>
          <w:tab w:val="left" w:pos="7371"/>
        </w:tabs>
        <w:ind w:firstLine="519"/>
        <w:rPr>
          <w:rFonts w:cs="Times New Roman"/>
        </w:rPr>
      </w:pPr>
      <w:r>
        <w:rPr>
          <w:rFonts w:cs="Times New Roman"/>
        </w:rPr>
        <w:t>评价区域地表水体发育，池塘星罗棋布，较大的地表水为湘江、蒸水、耒水等。评价水域湘江衡阳段位于湘江中下游，大源渡航电枢纽（2001 年完成竣工验收）建坝蓄水前后评价江段的水文特征发生了变化。</w:t>
      </w:r>
    </w:p>
    <w:p w14:paraId="20482B95">
      <w:pPr>
        <w:tabs>
          <w:tab w:val="left" w:pos="7371"/>
        </w:tabs>
        <w:ind w:firstLine="519"/>
        <w:rPr>
          <w:rFonts w:cs="Times New Roman"/>
        </w:rPr>
      </w:pPr>
      <w:r>
        <w:rPr>
          <w:rFonts w:cs="Times New Roman"/>
          <w:kern w:val="0"/>
          <w:szCs w:val="20"/>
        </w:rPr>
        <w:t>根据湘江衡阳水文站资料，工程纳污水体湘江衡阳段水文特征如下：</w:t>
      </w:r>
    </w:p>
    <w:p w14:paraId="20672AE3">
      <w:pPr>
        <w:pStyle w:val="9"/>
        <w:tabs>
          <w:tab w:val="left" w:pos="7371"/>
        </w:tabs>
      </w:pPr>
      <w:r>
        <w:t>表3.1-1 湘江衡阳段水文特征</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850"/>
        <w:gridCol w:w="2190"/>
        <w:gridCol w:w="2412"/>
      </w:tblGrid>
      <w:tr w14:paraId="273B10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0BB9546A">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序号</w:t>
            </w:r>
          </w:p>
        </w:tc>
        <w:tc>
          <w:tcPr>
            <w:tcW w:w="1671" w:type="pct"/>
            <w:vAlign w:val="center"/>
          </w:tcPr>
          <w:p w14:paraId="565205AD">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项目</w:t>
            </w:r>
          </w:p>
        </w:tc>
        <w:tc>
          <w:tcPr>
            <w:tcW w:w="1284" w:type="pct"/>
            <w:vAlign w:val="center"/>
          </w:tcPr>
          <w:p w14:paraId="5A6D56C2">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蓄水前</w:t>
            </w:r>
          </w:p>
        </w:tc>
        <w:tc>
          <w:tcPr>
            <w:tcW w:w="1415" w:type="pct"/>
            <w:vAlign w:val="center"/>
          </w:tcPr>
          <w:p w14:paraId="7C333012">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蓄水后</w:t>
            </w:r>
          </w:p>
        </w:tc>
      </w:tr>
      <w:tr w14:paraId="13C4E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5DE94B64">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w:t>
            </w:r>
          </w:p>
        </w:tc>
        <w:tc>
          <w:tcPr>
            <w:tcW w:w="1671" w:type="pct"/>
            <w:vAlign w:val="center"/>
          </w:tcPr>
          <w:p w14:paraId="29D4A0A2">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平均流量m</w:t>
            </w:r>
            <w:r>
              <w:rPr>
                <w:rFonts w:cs="Times New Roman"/>
                <w:kern w:val="0"/>
                <w:sz w:val="21"/>
                <w:szCs w:val="21"/>
                <w:vertAlign w:val="superscript"/>
              </w:rPr>
              <w:t>3</w:t>
            </w:r>
            <w:r>
              <w:rPr>
                <w:rFonts w:cs="Times New Roman"/>
                <w:kern w:val="0"/>
                <w:sz w:val="21"/>
                <w:szCs w:val="21"/>
              </w:rPr>
              <w:t>/s</w:t>
            </w:r>
          </w:p>
        </w:tc>
        <w:tc>
          <w:tcPr>
            <w:tcW w:w="1284" w:type="pct"/>
            <w:vAlign w:val="center"/>
          </w:tcPr>
          <w:p w14:paraId="71C1A830">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1360</w:t>
            </w:r>
          </w:p>
        </w:tc>
        <w:tc>
          <w:tcPr>
            <w:tcW w:w="1415" w:type="pct"/>
            <w:vAlign w:val="center"/>
          </w:tcPr>
          <w:p w14:paraId="64235952">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1320</w:t>
            </w:r>
          </w:p>
        </w:tc>
      </w:tr>
      <w:tr w14:paraId="1A3D9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60913D6B">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2</w:t>
            </w:r>
          </w:p>
        </w:tc>
        <w:tc>
          <w:tcPr>
            <w:tcW w:w="1671" w:type="pct"/>
            <w:vAlign w:val="center"/>
          </w:tcPr>
          <w:p w14:paraId="3427A6F7">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最大流量 m</w:t>
            </w:r>
            <w:r>
              <w:rPr>
                <w:rFonts w:cs="Times New Roman"/>
                <w:kern w:val="0"/>
                <w:sz w:val="21"/>
                <w:szCs w:val="21"/>
                <w:vertAlign w:val="superscript"/>
              </w:rPr>
              <w:t>3</w:t>
            </w:r>
            <w:r>
              <w:rPr>
                <w:rFonts w:cs="Times New Roman"/>
                <w:kern w:val="0"/>
                <w:sz w:val="21"/>
                <w:szCs w:val="21"/>
              </w:rPr>
              <w:t>/s</w:t>
            </w:r>
          </w:p>
        </w:tc>
        <w:tc>
          <w:tcPr>
            <w:tcW w:w="1284" w:type="pct"/>
            <w:vAlign w:val="center"/>
          </w:tcPr>
          <w:p w14:paraId="46B1B6C5">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18100</w:t>
            </w:r>
          </w:p>
        </w:tc>
        <w:tc>
          <w:tcPr>
            <w:tcW w:w="1415" w:type="pct"/>
            <w:vAlign w:val="center"/>
          </w:tcPr>
          <w:p w14:paraId="539FC174">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2780</w:t>
            </w:r>
          </w:p>
        </w:tc>
      </w:tr>
      <w:tr w14:paraId="30C64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432CB070">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3</w:t>
            </w:r>
          </w:p>
        </w:tc>
        <w:tc>
          <w:tcPr>
            <w:tcW w:w="1671" w:type="pct"/>
            <w:vAlign w:val="center"/>
          </w:tcPr>
          <w:p w14:paraId="617A3106">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最小流量m</w:t>
            </w:r>
            <w:r>
              <w:rPr>
                <w:rFonts w:cs="Times New Roman"/>
                <w:kern w:val="0"/>
                <w:sz w:val="21"/>
                <w:szCs w:val="21"/>
                <w:vertAlign w:val="superscript"/>
              </w:rPr>
              <w:t>3</w:t>
            </w:r>
            <w:r>
              <w:rPr>
                <w:rFonts w:cs="Times New Roman"/>
                <w:kern w:val="0"/>
                <w:sz w:val="21"/>
                <w:szCs w:val="21"/>
              </w:rPr>
              <w:t>/s</w:t>
            </w:r>
          </w:p>
        </w:tc>
        <w:tc>
          <w:tcPr>
            <w:tcW w:w="1284" w:type="pct"/>
            <w:vAlign w:val="center"/>
          </w:tcPr>
          <w:p w14:paraId="738B06CA">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30</w:t>
            </w:r>
          </w:p>
        </w:tc>
        <w:tc>
          <w:tcPr>
            <w:tcW w:w="1415" w:type="pct"/>
            <w:vAlign w:val="center"/>
          </w:tcPr>
          <w:p w14:paraId="470B47AA">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489</w:t>
            </w:r>
          </w:p>
        </w:tc>
      </w:tr>
      <w:tr w14:paraId="5BE59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78ED4A34">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4</w:t>
            </w:r>
          </w:p>
        </w:tc>
        <w:tc>
          <w:tcPr>
            <w:tcW w:w="1671" w:type="pct"/>
            <w:vAlign w:val="center"/>
          </w:tcPr>
          <w:p w14:paraId="0AE38781">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平均水位m</w:t>
            </w:r>
          </w:p>
        </w:tc>
        <w:tc>
          <w:tcPr>
            <w:tcW w:w="1284" w:type="pct"/>
            <w:vAlign w:val="center"/>
          </w:tcPr>
          <w:p w14:paraId="230C621D">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47.86</w:t>
            </w:r>
          </w:p>
        </w:tc>
        <w:tc>
          <w:tcPr>
            <w:tcW w:w="1415" w:type="pct"/>
            <w:vAlign w:val="center"/>
          </w:tcPr>
          <w:p w14:paraId="6163859E">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51.54</w:t>
            </w:r>
          </w:p>
        </w:tc>
      </w:tr>
      <w:tr w14:paraId="7E0AD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6B1C58AB">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5</w:t>
            </w:r>
          </w:p>
        </w:tc>
        <w:tc>
          <w:tcPr>
            <w:tcW w:w="1671" w:type="pct"/>
            <w:vAlign w:val="center"/>
          </w:tcPr>
          <w:p w14:paraId="47FB0564">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最大水深m</w:t>
            </w:r>
          </w:p>
        </w:tc>
        <w:tc>
          <w:tcPr>
            <w:tcW w:w="1284" w:type="pct"/>
            <w:vAlign w:val="center"/>
          </w:tcPr>
          <w:p w14:paraId="1E59E9D3">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8.20</w:t>
            </w:r>
          </w:p>
        </w:tc>
        <w:tc>
          <w:tcPr>
            <w:tcW w:w="1415" w:type="pct"/>
            <w:vAlign w:val="center"/>
          </w:tcPr>
          <w:p w14:paraId="7A2F97FA">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16.54</w:t>
            </w:r>
          </w:p>
        </w:tc>
      </w:tr>
      <w:tr w14:paraId="06D6D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4A338A0C">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6</w:t>
            </w:r>
          </w:p>
        </w:tc>
        <w:tc>
          <w:tcPr>
            <w:tcW w:w="1671" w:type="pct"/>
            <w:vAlign w:val="center"/>
          </w:tcPr>
          <w:p w14:paraId="6AE98CA6">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最小水深m</w:t>
            </w:r>
          </w:p>
        </w:tc>
        <w:tc>
          <w:tcPr>
            <w:tcW w:w="1284" w:type="pct"/>
            <w:vAlign w:val="center"/>
          </w:tcPr>
          <w:p w14:paraId="0FEB675E">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1.03</w:t>
            </w:r>
          </w:p>
        </w:tc>
        <w:tc>
          <w:tcPr>
            <w:tcW w:w="1415" w:type="pct"/>
            <w:vAlign w:val="center"/>
          </w:tcPr>
          <w:p w14:paraId="5F205F7E">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5.0</w:t>
            </w:r>
          </w:p>
        </w:tc>
      </w:tr>
      <w:tr w14:paraId="202C2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58C0B0B8">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7</w:t>
            </w:r>
          </w:p>
        </w:tc>
        <w:tc>
          <w:tcPr>
            <w:tcW w:w="1671" w:type="pct"/>
            <w:vAlign w:val="center"/>
          </w:tcPr>
          <w:p w14:paraId="7AE7D945">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平均水深m</w:t>
            </w:r>
          </w:p>
        </w:tc>
        <w:tc>
          <w:tcPr>
            <w:tcW w:w="1284" w:type="pct"/>
            <w:vAlign w:val="center"/>
          </w:tcPr>
          <w:p w14:paraId="7EC030A6">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3.85</w:t>
            </w:r>
          </w:p>
        </w:tc>
        <w:tc>
          <w:tcPr>
            <w:tcW w:w="1415" w:type="pct"/>
            <w:vAlign w:val="center"/>
          </w:tcPr>
          <w:p w14:paraId="1CBA480E">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7.12</w:t>
            </w:r>
          </w:p>
        </w:tc>
      </w:tr>
      <w:tr w14:paraId="03F80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66EDECE9">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8</w:t>
            </w:r>
          </w:p>
        </w:tc>
        <w:tc>
          <w:tcPr>
            <w:tcW w:w="1671" w:type="pct"/>
            <w:vAlign w:val="center"/>
          </w:tcPr>
          <w:p w14:paraId="113598E0">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平均流速m/s</w:t>
            </w:r>
          </w:p>
        </w:tc>
        <w:tc>
          <w:tcPr>
            <w:tcW w:w="1284" w:type="pct"/>
            <w:vAlign w:val="center"/>
          </w:tcPr>
          <w:p w14:paraId="48A4E58B">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0.87</w:t>
            </w:r>
          </w:p>
        </w:tc>
        <w:tc>
          <w:tcPr>
            <w:tcW w:w="1415" w:type="pct"/>
            <w:vAlign w:val="center"/>
          </w:tcPr>
          <w:p w14:paraId="0C69C350">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0.31</w:t>
            </w:r>
          </w:p>
        </w:tc>
      </w:tr>
      <w:tr w14:paraId="7DE9E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53204B69">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9</w:t>
            </w:r>
          </w:p>
        </w:tc>
        <w:tc>
          <w:tcPr>
            <w:tcW w:w="1671" w:type="pct"/>
            <w:vAlign w:val="center"/>
          </w:tcPr>
          <w:p w14:paraId="64D59F66">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平均河宽 m</w:t>
            </w:r>
          </w:p>
        </w:tc>
        <w:tc>
          <w:tcPr>
            <w:tcW w:w="1284" w:type="pct"/>
            <w:vAlign w:val="center"/>
          </w:tcPr>
          <w:p w14:paraId="1653EFD1">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414.5</w:t>
            </w:r>
          </w:p>
        </w:tc>
        <w:tc>
          <w:tcPr>
            <w:tcW w:w="1415" w:type="pct"/>
            <w:vAlign w:val="center"/>
          </w:tcPr>
          <w:p w14:paraId="15E59ED7">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592</w:t>
            </w:r>
          </w:p>
        </w:tc>
      </w:tr>
      <w:tr w14:paraId="2997E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442641B9">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10</w:t>
            </w:r>
          </w:p>
        </w:tc>
        <w:tc>
          <w:tcPr>
            <w:tcW w:w="1671" w:type="pct"/>
            <w:vAlign w:val="center"/>
          </w:tcPr>
          <w:p w14:paraId="7B2E975C">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平均水面比降(万分之一)</w:t>
            </w:r>
          </w:p>
        </w:tc>
        <w:tc>
          <w:tcPr>
            <w:tcW w:w="1284" w:type="pct"/>
            <w:vAlign w:val="center"/>
          </w:tcPr>
          <w:p w14:paraId="6E0B1F25">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1.24</w:t>
            </w:r>
          </w:p>
        </w:tc>
        <w:tc>
          <w:tcPr>
            <w:tcW w:w="1415" w:type="pct"/>
            <w:vAlign w:val="center"/>
          </w:tcPr>
          <w:p w14:paraId="29CB295D">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0.01</w:t>
            </w:r>
          </w:p>
        </w:tc>
      </w:tr>
      <w:tr w14:paraId="7D4C6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1" w:type="pct"/>
            <w:vAlign w:val="center"/>
          </w:tcPr>
          <w:p w14:paraId="5ABA0153">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11</w:t>
            </w:r>
          </w:p>
        </w:tc>
        <w:tc>
          <w:tcPr>
            <w:tcW w:w="1671" w:type="pct"/>
            <w:vAlign w:val="center"/>
          </w:tcPr>
          <w:p w14:paraId="2D51FFBC">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年平均水温</w:t>
            </w:r>
            <w:r>
              <w:rPr>
                <w:rFonts w:hint="eastAsia" w:ascii="宋体" w:hAnsi="宋体" w:cs="宋体"/>
                <w:kern w:val="0"/>
                <w:sz w:val="21"/>
                <w:szCs w:val="21"/>
              </w:rPr>
              <w:t>℃</w:t>
            </w:r>
          </w:p>
        </w:tc>
        <w:tc>
          <w:tcPr>
            <w:tcW w:w="1284" w:type="pct"/>
            <w:vAlign w:val="center"/>
          </w:tcPr>
          <w:p w14:paraId="7E0487E7">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19.5</w:t>
            </w:r>
          </w:p>
        </w:tc>
        <w:tc>
          <w:tcPr>
            <w:tcW w:w="1415" w:type="pct"/>
            <w:vAlign w:val="center"/>
          </w:tcPr>
          <w:p w14:paraId="6E7D03A2">
            <w:pPr>
              <w:tabs>
                <w:tab w:val="left" w:pos="7371"/>
              </w:tabs>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20.8</w:t>
            </w:r>
          </w:p>
        </w:tc>
      </w:tr>
    </w:tbl>
    <w:p w14:paraId="2F1033E8">
      <w:pPr>
        <w:tabs>
          <w:tab w:val="left" w:pos="7371"/>
        </w:tabs>
        <w:ind w:firstLine="519"/>
        <w:rPr>
          <w:rFonts w:cs="Times New Roman"/>
          <w:kern w:val="0"/>
          <w:szCs w:val="20"/>
        </w:rPr>
      </w:pPr>
      <w:r>
        <w:rPr>
          <w:rFonts w:cs="Times New Roman"/>
          <w:kern w:val="0"/>
          <w:szCs w:val="20"/>
        </w:rPr>
        <w:t>蒸水为湘江的支流，俗称草河，全长约194km，流域面积3470km</w:t>
      </w:r>
      <w:r>
        <w:rPr>
          <w:rFonts w:cs="Times New Roman"/>
          <w:kern w:val="0"/>
          <w:szCs w:val="20"/>
          <w:vertAlign w:val="superscript"/>
        </w:rPr>
        <w:t>2</w:t>
      </w:r>
      <w:r>
        <w:rPr>
          <w:rFonts w:cs="Times New Roman"/>
          <w:kern w:val="0"/>
          <w:szCs w:val="20"/>
        </w:rPr>
        <w:t>，系山溪季节性河，河水陡涨陡落。衡阳市境内蒸水长度约150km。它发源于邵东县东南部的简家陇乡蒸源村，经衡阳县金兰镇，呈“乙”字型，再流经衡阳县三湖镇、渣江镇、台源镇、西渡镇，衡南县三塘镇，最后经呆鹰岭、衡阳市蒸湘区、石鼓区，在石鼓区的石鼓公园处石鼓书院石鼓咀草桥流入湘江。</w:t>
      </w:r>
    </w:p>
    <w:p w14:paraId="58B9C4DD">
      <w:pPr>
        <w:tabs>
          <w:tab w:val="left" w:pos="7371"/>
        </w:tabs>
        <w:ind w:firstLine="519"/>
        <w:rPr>
          <w:rFonts w:cs="Times New Roman"/>
          <w:kern w:val="0"/>
          <w:szCs w:val="20"/>
        </w:rPr>
      </w:pPr>
      <w:r>
        <w:rPr>
          <w:rFonts w:cs="Times New Roman"/>
          <w:kern w:val="0"/>
          <w:szCs w:val="20"/>
        </w:rPr>
        <w:t>耒水为湘江最大、最长的支流，总长453km，流经衡阳市区南部的汝城县、资兴市、郴县、永兴县、耒阳市、衡南县至衡阳市珠晖区，耒河口汇入湘江。流域面积11783平方千米。河流总落差886m，河面平均宽度300m，河床平均坡降为0.27‰。多年平均流量为258m</w:t>
      </w:r>
      <w:r>
        <w:rPr>
          <w:rFonts w:cs="Times New Roman"/>
          <w:kern w:val="0"/>
          <w:szCs w:val="20"/>
          <w:vertAlign w:val="superscript"/>
        </w:rPr>
        <w:t>3</w:t>
      </w:r>
      <w:r>
        <w:rPr>
          <w:rFonts w:cs="Times New Roman"/>
          <w:kern w:val="0"/>
          <w:szCs w:val="20"/>
        </w:rPr>
        <w:t>/s，多年平均径流量为81.54亿m</w:t>
      </w:r>
      <w:r>
        <w:rPr>
          <w:rFonts w:cs="Times New Roman"/>
          <w:kern w:val="0"/>
          <w:szCs w:val="20"/>
          <w:vertAlign w:val="superscript"/>
        </w:rPr>
        <w:t>3</w:t>
      </w:r>
      <w:r>
        <w:rPr>
          <w:rFonts w:cs="Times New Roman"/>
          <w:kern w:val="0"/>
          <w:szCs w:val="20"/>
        </w:rPr>
        <w:t>，最大一日洪水总量出现于1961年6月13日，为4605亿m</w:t>
      </w:r>
      <w:r>
        <w:rPr>
          <w:rFonts w:cs="Times New Roman"/>
          <w:kern w:val="0"/>
          <w:szCs w:val="20"/>
          <w:vertAlign w:val="superscript"/>
        </w:rPr>
        <w:t>3</w:t>
      </w:r>
      <w:r>
        <w:rPr>
          <w:rFonts w:cs="Times New Roman"/>
          <w:kern w:val="0"/>
          <w:szCs w:val="20"/>
        </w:rPr>
        <w:t>。</w:t>
      </w:r>
    </w:p>
    <w:p w14:paraId="225262B9">
      <w:pPr>
        <w:tabs>
          <w:tab w:val="left" w:pos="7371"/>
        </w:tabs>
        <w:ind w:firstLine="519"/>
        <w:rPr>
          <w:rFonts w:cs="Times New Roman"/>
        </w:rPr>
      </w:pPr>
      <w:r>
        <w:rPr>
          <w:rFonts w:cs="Times New Roman"/>
          <w:kern w:val="0"/>
          <w:szCs w:val="20"/>
        </w:rPr>
        <w:t>项目区域地下水自上而下可划分为三个含水层，即风化、裂隙、潜水含水层，易于接受降雨的渗漏补给，径流条件好，常在丘陵谷地形成下降泉出露地表，流量随季节变化，枯水季显著减少或干涸；裂隙承压水带，一般在地表以下40～120m之间，含水层延伸不稳定，呈透镜状，地下水具承压；盐层上部盐水带，厚度 5～20m不等，呈透镜状，溶蚀明显。</w:t>
      </w:r>
    </w:p>
    <w:p w14:paraId="79107637">
      <w:pPr>
        <w:pStyle w:val="7"/>
        <w:tabs>
          <w:tab w:val="left" w:pos="7371"/>
        </w:tabs>
      </w:pPr>
      <w:bookmarkStart w:id="276" w:name="_Toc121420814"/>
      <w:bookmarkStart w:id="277" w:name="_Toc90989231"/>
      <w:bookmarkStart w:id="278" w:name="_Toc90318410"/>
      <w:bookmarkStart w:id="279" w:name="_Toc89786125"/>
      <w:bookmarkStart w:id="280" w:name="_Toc90997657"/>
      <w:bookmarkStart w:id="281" w:name="_Toc89882450"/>
      <w:r>
        <w:t>3.1.5 生态环境</w:t>
      </w:r>
      <w:bookmarkEnd w:id="276"/>
      <w:bookmarkEnd w:id="277"/>
      <w:bookmarkEnd w:id="278"/>
      <w:bookmarkEnd w:id="279"/>
      <w:bookmarkEnd w:id="280"/>
      <w:bookmarkEnd w:id="281"/>
    </w:p>
    <w:p w14:paraId="1A2BF2C8">
      <w:pPr>
        <w:tabs>
          <w:tab w:val="left" w:pos="7371"/>
        </w:tabs>
        <w:ind w:firstLine="519"/>
        <w:jc w:val="left"/>
        <w:rPr>
          <w:rFonts w:cs="Times New Roman"/>
          <w:szCs w:val="24"/>
        </w:rPr>
      </w:pPr>
      <w:r>
        <w:rPr>
          <w:rFonts w:cs="Times New Roman"/>
          <w:szCs w:val="24"/>
        </w:rPr>
        <w:t>区域</w:t>
      </w:r>
      <w:r>
        <w:rPr>
          <w:rFonts w:hint="eastAsia" w:cs="Times New Roman"/>
          <w:szCs w:val="24"/>
        </w:rPr>
        <w:t>内</w:t>
      </w:r>
      <w:r>
        <w:rPr>
          <w:rFonts w:cs="Times New Roman"/>
          <w:szCs w:val="24"/>
        </w:rPr>
        <w:t>主要为剥蚀丘陵地貌，风化强烈，地势起伏很小。在山包及山坡上，地表土壤厚度一般大于10m。坡脚下及相对平坦的沟谷中土壤厚度最大可达近40m。</w:t>
      </w:r>
    </w:p>
    <w:p w14:paraId="54CE8F1C">
      <w:pPr>
        <w:tabs>
          <w:tab w:val="left" w:pos="7371"/>
        </w:tabs>
        <w:ind w:firstLine="519"/>
        <w:jc w:val="left"/>
        <w:rPr>
          <w:rFonts w:cs="Times New Roman"/>
          <w:szCs w:val="24"/>
        </w:rPr>
      </w:pPr>
      <w:r>
        <w:rPr>
          <w:rFonts w:cs="Times New Roman"/>
          <w:szCs w:val="24"/>
        </w:rPr>
        <w:t>区内山包上和山坡地段一般为林地，其土壤相对较为贫瘠，有机质含量少。在坡脚下，由于雨水从山坡上冲下大量有机质及细碎颗粒风化物，土壤厚度相对较大，以砂壤土和壤土为主，有机质含量相对增多。在沟谷低洼处多为水田，土壤厚度较大，以壤土为主，有机质含量中等。本次建设地及周边</w:t>
      </w:r>
      <w:r>
        <w:rPr>
          <w:rFonts w:hint="eastAsia" w:cs="Times New Roman"/>
          <w:szCs w:val="24"/>
        </w:rPr>
        <w:t>区域</w:t>
      </w:r>
      <w:r>
        <w:rPr>
          <w:rFonts w:cs="Times New Roman"/>
          <w:szCs w:val="24"/>
        </w:rPr>
        <w:t>内</w:t>
      </w:r>
      <w:r>
        <w:rPr>
          <w:rFonts w:hint="eastAsia" w:cs="Times New Roman"/>
          <w:szCs w:val="24"/>
        </w:rPr>
        <w:t>植物主要</w:t>
      </w:r>
      <w:r>
        <w:rPr>
          <w:rFonts w:cs="Times New Roman"/>
          <w:szCs w:val="24"/>
        </w:rPr>
        <w:t>为</w:t>
      </w:r>
      <w:r>
        <w:rPr>
          <w:rFonts w:hint="eastAsia" w:cs="Times New Roman"/>
          <w:szCs w:val="24"/>
        </w:rPr>
        <w:t>灌木及道路两侧绿化带</w:t>
      </w:r>
      <w:r>
        <w:rPr>
          <w:rFonts w:cs="Times New Roman"/>
          <w:szCs w:val="24"/>
        </w:rPr>
        <w:t>，植被发育，覆盖率在60%以上。</w:t>
      </w:r>
    </w:p>
    <w:p w14:paraId="1D84FA7C">
      <w:pPr>
        <w:tabs>
          <w:tab w:val="left" w:pos="7371"/>
        </w:tabs>
        <w:ind w:firstLine="519"/>
        <w:jc w:val="left"/>
        <w:rPr>
          <w:rFonts w:cs="Times New Roman"/>
          <w:szCs w:val="24"/>
        </w:rPr>
      </w:pPr>
      <w:r>
        <w:rPr>
          <w:rFonts w:cs="Times New Roman"/>
          <w:szCs w:val="24"/>
        </w:rPr>
        <w:t>园区内人为活动频繁，野生动物失去较适宜的栖息繁衍场所。主要动物是田鼠、青蛙、蛇、山雀等常见物种，未见国家保护的珍稀野生动物，无自然保护区、森林公园、风景游览区等需特殊保护的环境敏感点。</w:t>
      </w:r>
    </w:p>
    <w:p w14:paraId="1F016DAD">
      <w:pPr>
        <w:pStyle w:val="6"/>
        <w:tabs>
          <w:tab w:val="left" w:pos="7371"/>
        </w:tabs>
        <w:spacing w:before="170" w:after="170"/>
        <w:rPr>
          <w:rFonts w:cs="Times New Roman"/>
        </w:rPr>
      </w:pPr>
      <w:bookmarkStart w:id="282" w:name="_Toc121420815"/>
      <w:r>
        <w:rPr>
          <w:rFonts w:cs="Times New Roman"/>
        </w:rPr>
        <w:t>3.2 松木经开区概况</w:t>
      </w:r>
      <w:bookmarkEnd w:id="282"/>
    </w:p>
    <w:p w14:paraId="5F3D81F1">
      <w:pPr>
        <w:pStyle w:val="7"/>
        <w:tabs>
          <w:tab w:val="left" w:pos="7371"/>
        </w:tabs>
      </w:pPr>
      <w:bookmarkStart w:id="283" w:name="_Toc86852275"/>
      <w:bookmarkStart w:id="284" w:name="_Toc90318412"/>
      <w:bookmarkStart w:id="285" w:name="_Toc121420816"/>
      <w:bookmarkStart w:id="286" w:name="_Toc89882452"/>
      <w:bookmarkStart w:id="287" w:name="_Toc89786127"/>
      <w:bookmarkStart w:id="288" w:name="_Toc90989233"/>
      <w:bookmarkStart w:id="289" w:name="_Toc90997659"/>
      <w:r>
        <w:t xml:space="preserve">3.2.1 </w:t>
      </w:r>
      <w:bookmarkEnd w:id="283"/>
      <w:r>
        <w:t>基本情况</w:t>
      </w:r>
      <w:bookmarkEnd w:id="284"/>
      <w:bookmarkEnd w:id="285"/>
      <w:bookmarkEnd w:id="286"/>
      <w:bookmarkEnd w:id="287"/>
      <w:bookmarkEnd w:id="288"/>
      <w:bookmarkEnd w:id="289"/>
    </w:p>
    <w:p w14:paraId="1A3FBD29">
      <w:pPr>
        <w:tabs>
          <w:tab w:val="left" w:pos="7371"/>
        </w:tabs>
        <w:ind w:firstLine="519"/>
        <w:jc w:val="left"/>
        <w:rPr>
          <w:rFonts w:cs="Times New Roman"/>
          <w:szCs w:val="24"/>
        </w:rPr>
      </w:pPr>
      <w:r>
        <w:rPr>
          <w:rFonts w:cs="Times New Roman"/>
          <w:szCs w:val="24"/>
        </w:rPr>
        <w:t>湖南衡阳松木经济开发区是衡阳市人民政府2003年批准成立，2006 年4月经湖南省人民政府湘政函[2006]79号文件批复，国家发改委于2006年7月6日以[2006]41号公告的第七批省级开发区。园区位于衡阳市北郊，沿湘江布局。核心区用地总面积420公顷（4.2 平方公里），东至湘江、南至金雁路、西至107国道、北至上倪路，2009年获得湖南省环境保护厅的批复。2012年进行了扩区调规，新增用地面积6.45</w:t>
      </w:r>
      <w:bookmarkStart w:id="290" w:name="_Hlk90474484"/>
      <w:r>
        <w:rPr>
          <w:rFonts w:cs="Times New Roman"/>
          <w:szCs w:val="24"/>
        </w:rPr>
        <w:t>km</w:t>
      </w:r>
      <w:r>
        <w:rPr>
          <w:rFonts w:cs="Times New Roman"/>
          <w:szCs w:val="24"/>
          <w:vertAlign w:val="superscript"/>
        </w:rPr>
        <w:t>2</w:t>
      </w:r>
      <w:bookmarkEnd w:id="290"/>
      <w:r>
        <w:rPr>
          <w:rFonts w:cs="Times New Roman"/>
          <w:szCs w:val="24"/>
        </w:rPr>
        <w:t>，并更名为湖南衡阳松木经济开发区，同年获得了湖南省环境保护厅的批复（湘环评【2013】213号）。</w:t>
      </w:r>
      <w:r>
        <w:rPr>
          <w:rFonts w:hint="eastAsia" w:cs="Times New Roman"/>
          <w:szCs w:val="24"/>
        </w:rPr>
        <w:t>2</w:t>
      </w:r>
      <w:r>
        <w:rPr>
          <w:rFonts w:cs="Times New Roman"/>
          <w:szCs w:val="24"/>
        </w:rPr>
        <w:t>016</w:t>
      </w:r>
      <w:r>
        <w:rPr>
          <w:rFonts w:hint="eastAsia" w:cs="Times New Roman"/>
          <w:szCs w:val="24"/>
        </w:rPr>
        <w:t>年进行了调区扩区，规划面积调整至777.4公顷，湖南省发展和改革委员会以湘发改函[2016]233号对湖南衡阳松木经济开发区调区扩区方案进行了批复。2018年国家发展改革委、科技部、国土资源部、住房城乡建设部、商务部、海关总署以联合公告[2018]4号文核准湖南衡阳松木经济开发区面积为777.4公顷。2</w:t>
      </w:r>
      <w:r>
        <w:rPr>
          <w:rFonts w:cs="Times New Roman"/>
          <w:szCs w:val="24"/>
        </w:rPr>
        <w:t>021</w:t>
      </w:r>
      <w:r>
        <w:rPr>
          <w:rFonts w:hint="eastAsia" w:cs="Times New Roman"/>
          <w:szCs w:val="24"/>
        </w:rPr>
        <w:t>年，再次进行了调区扩区，新增用地面积</w:t>
      </w:r>
      <w:r>
        <w:rPr>
          <w:rFonts w:cs="Times New Roman"/>
          <w:szCs w:val="24"/>
        </w:rPr>
        <w:t>5.932 km</w:t>
      </w:r>
      <w:r>
        <w:rPr>
          <w:rFonts w:cs="Times New Roman"/>
          <w:szCs w:val="24"/>
          <w:vertAlign w:val="superscript"/>
        </w:rPr>
        <w:t>2</w:t>
      </w:r>
      <w:r>
        <w:rPr>
          <w:rFonts w:hint="eastAsia" w:cs="Times New Roman"/>
          <w:szCs w:val="24"/>
        </w:rPr>
        <w:t>，与原松木经开区连成一个整体，东至湘江北路，西至衡岳大道，南至松梅路，北至怀邵衡铁路。</w:t>
      </w:r>
    </w:p>
    <w:p w14:paraId="1B2D9C7C">
      <w:pPr>
        <w:tabs>
          <w:tab w:val="left" w:pos="7371"/>
        </w:tabs>
        <w:ind w:firstLine="519"/>
        <w:jc w:val="left"/>
        <w:rPr>
          <w:rFonts w:cs="Times New Roman"/>
          <w:szCs w:val="24"/>
        </w:rPr>
      </w:pPr>
      <w:r>
        <w:rPr>
          <w:rFonts w:cs="Times New Roman"/>
          <w:szCs w:val="24"/>
        </w:rPr>
        <w:t>湖南衡阳松木经济开发区园区位于衡阳市石鼓区、珠晖区内，整体规划控制范围为107国道以东、东外环路以西，内外环线以北，南岳高速公路以南，规划控制面积为54.66平方公里，沿衡阳市北郊湘江两岸布局，湘江自南向北将园区分为东西两片。先后被评定为国家级循环化改造示范试点园区、国家高技术产业基地、湖南省信息化与工业化融合试验区、最具产业影响力产业经开区。</w:t>
      </w:r>
    </w:p>
    <w:p w14:paraId="25C1AA9B">
      <w:pPr>
        <w:tabs>
          <w:tab w:val="left" w:pos="7371"/>
        </w:tabs>
        <w:ind w:firstLine="519"/>
        <w:jc w:val="left"/>
        <w:rPr>
          <w:rFonts w:cs="Times New Roman"/>
          <w:szCs w:val="24"/>
        </w:rPr>
      </w:pPr>
      <w:r>
        <w:rPr>
          <w:rFonts w:cs="Times New Roman"/>
          <w:szCs w:val="24"/>
        </w:rPr>
        <w:t>根据规划，园区调区扩规后，总体定位</w:t>
      </w:r>
      <w:r>
        <w:rPr>
          <w:rFonts w:hint="eastAsia" w:cs="Times New Roman"/>
          <w:szCs w:val="24"/>
        </w:rPr>
        <w:t>以承接产业转移和经济转型为契机，依托松木经开区丰富的盐卤资源和产业优势，大力发展盐卤化工及精细化工（含医药化工和制药）、新能源、新材料三大主导产业，积极培育现代服务业，着力打造中南地区最大的盐卤化工及精细化工产业基地，重点创建千亿级现代产业集聚中心，国家重点盐化工及精细化工产业基地，国家级新能源产业示范基地和国家级循环经济示范基地</w:t>
      </w:r>
      <w:r>
        <w:rPr>
          <w:rFonts w:cs="Times New Roman"/>
          <w:szCs w:val="24"/>
        </w:rPr>
        <w:t>。拟建项目位于松木经济开发区江西片区，与松木经济开发区规划及产业定位相符。</w:t>
      </w:r>
    </w:p>
    <w:p w14:paraId="1C68AAA1">
      <w:pPr>
        <w:pStyle w:val="7"/>
        <w:tabs>
          <w:tab w:val="left" w:pos="7371"/>
        </w:tabs>
      </w:pPr>
      <w:bookmarkStart w:id="291" w:name="_Toc86852276"/>
      <w:bookmarkStart w:id="292" w:name="_Toc90989234"/>
      <w:bookmarkStart w:id="293" w:name="_Toc89882453"/>
      <w:bookmarkStart w:id="294" w:name="_Toc90997660"/>
      <w:bookmarkStart w:id="295" w:name="_Toc89786128"/>
      <w:bookmarkStart w:id="296" w:name="_Toc121420817"/>
      <w:bookmarkStart w:id="297" w:name="_Toc90318413"/>
      <w:r>
        <w:t xml:space="preserve">3.2.2 </w:t>
      </w:r>
      <w:bookmarkEnd w:id="291"/>
      <w:r>
        <w:t>功能分区与布局</w:t>
      </w:r>
      <w:bookmarkEnd w:id="292"/>
      <w:bookmarkEnd w:id="293"/>
      <w:bookmarkEnd w:id="294"/>
      <w:bookmarkEnd w:id="295"/>
      <w:bookmarkEnd w:id="296"/>
      <w:bookmarkEnd w:id="297"/>
    </w:p>
    <w:p w14:paraId="3C593809">
      <w:pPr>
        <w:tabs>
          <w:tab w:val="left" w:pos="7371"/>
        </w:tabs>
        <w:ind w:firstLine="519"/>
        <w:jc w:val="left"/>
        <w:rPr>
          <w:rFonts w:cs="Times New Roman"/>
          <w:szCs w:val="24"/>
        </w:rPr>
      </w:pPr>
      <w:r>
        <w:rPr>
          <w:rFonts w:hint="eastAsia" w:cs="Times New Roman"/>
          <w:szCs w:val="24"/>
        </w:rPr>
        <w:t>松木经开区建设用地空间布局规划为“一心、两轴、七区”。</w:t>
      </w:r>
    </w:p>
    <w:p w14:paraId="7A0AD652">
      <w:pPr>
        <w:tabs>
          <w:tab w:val="left" w:pos="7371"/>
        </w:tabs>
        <w:ind w:firstLine="519"/>
        <w:jc w:val="left"/>
        <w:rPr>
          <w:rFonts w:cs="Times New Roman"/>
          <w:szCs w:val="24"/>
        </w:rPr>
      </w:pPr>
      <w:r>
        <w:rPr>
          <w:rFonts w:hint="eastAsia" w:cs="Times New Roman"/>
          <w:szCs w:val="24"/>
        </w:rPr>
        <w:t>一心：衡阳松木经开区内的综合服务中心；</w:t>
      </w:r>
    </w:p>
    <w:p w14:paraId="41E0972E">
      <w:pPr>
        <w:tabs>
          <w:tab w:val="left" w:pos="7371"/>
        </w:tabs>
        <w:ind w:firstLine="519"/>
        <w:jc w:val="left"/>
        <w:rPr>
          <w:rFonts w:cs="Times New Roman"/>
          <w:szCs w:val="24"/>
        </w:rPr>
      </w:pPr>
      <w:r>
        <w:rPr>
          <w:rFonts w:hint="eastAsia" w:cs="Times New Roman"/>
          <w:szCs w:val="24"/>
        </w:rPr>
        <w:t>两轴：以蒸阳北路为载体的主要发展轴，以上倪路为载体的次要发展轴。</w:t>
      </w:r>
    </w:p>
    <w:p w14:paraId="03DCF670">
      <w:pPr>
        <w:tabs>
          <w:tab w:val="left" w:pos="7371"/>
        </w:tabs>
        <w:ind w:firstLine="519"/>
        <w:jc w:val="left"/>
        <w:rPr>
          <w:rFonts w:cs="Times New Roman"/>
          <w:szCs w:val="24"/>
        </w:rPr>
      </w:pPr>
      <w:r>
        <w:rPr>
          <w:rFonts w:hint="eastAsia" w:cs="Times New Roman"/>
          <w:szCs w:val="24"/>
        </w:rPr>
        <w:t>七区：综合服务区、生活配套区、新能源产业区、新材料产业区、盐卤化工及精细化工产业区（含医药化工和制药）、装备制造产业区以及现代物流区。</w:t>
      </w:r>
    </w:p>
    <w:p w14:paraId="012C856A">
      <w:pPr>
        <w:tabs>
          <w:tab w:val="left" w:pos="7371"/>
        </w:tabs>
        <w:ind w:firstLine="519"/>
        <w:jc w:val="left"/>
        <w:rPr>
          <w:rFonts w:cs="Times New Roman"/>
          <w:szCs w:val="24"/>
        </w:rPr>
      </w:pPr>
      <w:r>
        <w:rPr>
          <w:rFonts w:hint="eastAsia" w:cs="Times New Roman"/>
          <w:szCs w:val="24"/>
        </w:rPr>
        <w:t>1、综合服务区：主要功能是为园区管理、生产技术及产品贸易服务，布局在衡岳大道、松枫路、松林路等围合的区域，规划用地面积 55.84 公顷。主要有行政办公中心、商务办公中心、交易展览中心、教育科研及培训中心。其中商务办公中心内重点发展金融、保险、电信、信息服务和咨询等行业。</w:t>
      </w:r>
    </w:p>
    <w:p w14:paraId="073733FC">
      <w:pPr>
        <w:tabs>
          <w:tab w:val="left" w:pos="7371"/>
        </w:tabs>
        <w:ind w:firstLine="519"/>
        <w:jc w:val="left"/>
        <w:rPr>
          <w:rFonts w:cs="Times New Roman"/>
          <w:szCs w:val="24"/>
        </w:rPr>
      </w:pPr>
      <w:r>
        <w:rPr>
          <w:rFonts w:hint="eastAsia" w:cs="Times New Roman"/>
          <w:szCs w:val="24"/>
        </w:rPr>
        <w:t>2、生活配套区：根据“以人为本”的原则，规划在龙详路、衡岳大道、新安南路以及松梅路围合区域，布置两个比较大的居住片区， 为园区的拆迁安置服务，生活居住区按规范配置居住小区级公建，规划中学和小学，规划居住用地 43.54 公顷，占整个衡阳松木经开区建设用地的 3.25%。生活配套区将建设成为具有完备的公共配套设施和充足的绿地休闲空间、社区活动场所及开放度较高的新型社区。</w:t>
      </w:r>
    </w:p>
    <w:p w14:paraId="6661143C">
      <w:pPr>
        <w:tabs>
          <w:tab w:val="left" w:pos="7371"/>
        </w:tabs>
        <w:ind w:firstLine="519"/>
        <w:jc w:val="left"/>
        <w:rPr>
          <w:rFonts w:cs="Times New Roman"/>
          <w:szCs w:val="24"/>
        </w:rPr>
      </w:pPr>
      <w:r>
        <w:rPr>
          <w:rFonts w:hint="eastAsia" w:cs="Times New Roman"/>
          <w:szCs w:val="24"/>
        </w:rPr>
        <w:t>3、工业产业区：考虑方便运输、风向、湘江水流方向、工业污染和建设用地的适用性及一类、二类分别集中的原则，结合园区道路网特点及园区近期发展需要，规划工业用地 806.37 公顷，占整个衡阳松木经开区建设用地的 60.18%。规划期间（2020年-2025年），重点抓好盐卤化工及精细化工产业集中区、新能源产业集中区、新材料产业集中区建设，配套发展装备制造、医药化工和制药、现代物流，引进创新型项目，加大对生态工业项目在税收，服务、政策等方面扶持力度</w:t>
      </w:r>
      <w:r>
        <w:rPr>
          <w:rFonts w:cs="Times New Roman"/>
          <w:szCs w:val="24"/>
        </w:rPr>
        <w:t>。</w:t>
      </w:r>
    </w:p>
    <w:p w14:paraId="7372B7C2">
      <w:pPr>
        <w:pStyle w:val="2"/>
        <w:ind w:firstLine="519"/>
      </w:pPr>
      <w:r>
        <w:rPr>
          <w:rFonts w:hint="eastAsia"/>
        </w:rPr>
        <w:t>针对松木经开区现状已形成的产业聚集区，结合沿湘江岸线1公里以内需搬迁和保留的企业，对区内已有的产业布局进行微调，便于形成密切的生态链和污染的防治，实现基础设施共享。在经开区各类产业用地进行布局调整的同时，结合园区发展需要和用地条件，进行各产业用地的扩区规划，划分为三个片区7 个功能产业区。盐卤化工及精细化工产业区（含医药化工和制药）全部布设在湘江岸线1公里以外，对于保留的11家化工企业，不再在湘江岸线1公里范围内新建扩建化工项目；沿湘江岸线1公里以内布设装备制造和现代物流产业区。沿湘江岸线1公里以内的装备制造和现代物流片区主要行业类别为：C344泵、阀门、压缩机及类似机械制造、C345轴承、齿轮和传动部件制造、C348通用零部件制造、C351采矿、冶金、建筑专用设备制造、C381电机制造、C343物料搬运设备制造、C359环保、邮政、社会公共服务及其他专用设备制造、C372城市轨道交通设备制造；交通运输、仓储G5437城市配送、G5920通用仓储。禁止外排废水中主要污染物以镉、汞、铅、砷及其他重金属为主的企业准入。禁止装备制造配套的电镀、铅酸电池生产项目以及其他涉及排放重金属废水的项目准入。禁止危险化学品仓储项目准入。功能分区详见表</w:t>
      </w:r>
      <w:r>
        <w:t>3</w:t>
      </w:r>
      <w:r>
        <w:rPr>
          <w:rFonts w:hint="eastAsia"/>
        </w:rPr>
        <w:t>.</w:t>
      </w:r>
      <w:r>
        <w:t>2-1</w:t>
      </w:r>
      <w:r>
        <w:rPr>
          <w:rFonts w:hint="eastAsia"/>
        </w:rPr>
        <w:t>。</w:t>
      </w:r>
    </w:p>
    <w:p w14:paraId="5D80FA1B">
      <w:pPr>
        <w:keepLines/>
        <w:ind w:firstLine="0" w:firstLineChars="0"/>
        <w:jc w:val="center"/>
        <w:outlineLvl w:val="4"/>
        <w:rPr>
          <w:rFonts w:cs="Times New Roman"/>
          <w:b/>
          <w:bCs/>
          <w:sz w:val="21"/>
          <w:szCs w:val="28"/>
        </w:rPr>
      </w:pPr>
      <w:r>
        <w:rPr>
          <w:rFonts w:hint="eastAsia" w:cs="Times New Roman"/>
          <w:b/>
          <w:bCs/>
          <w:sz w:val="21"/>
          <w:szCs w:val="28"/>
        </w:rPr>
        <w:t>表</w:t>
      </w:r>
      <w:r>
        <w:rPr>
          <w:rFonts w:cs="Times New Roman"/>
          <w:b/>
          <w:bCs/>
          <w:sz w:val="21"/>
          <w:szCs w:val="28"/>
        </w:rPr>
        <w:t xml:space="preserve">3.2-1 </w:t>
      </w:r>
      <w:r>
        <w:rPr>
          <w:rFonts w:hint="eastAsia" w:cs="Times New Roman"/>
          <w:b/>
          <w:bCs/>
          <w:sz w:val="21"/>
          <w:szCs w:val="28"/>
        </w:rPr>
        <w:t>松木经开区产业分区一览表</w:t>
      </w:r>
    </w:p>
    <w:tbl>
      <w:tblPr>
        <w:tblStyle w:val="29"/>
        <w:tblW w:w="892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90"/>
        <w:gridCol w:w="2135"/>
        <w:gridCol w:w="5700"/>
      </w:tblGrid>
      <w:tr w14:paraId="0C83106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6" w:hRule="atLeast"/>
          <w:jc w:val="center"/>
        </w:trPr>
        <w:tc>
          <w:tcPr>
            <w:tcW w:w="1091" w:type="dxa"/>
            <w:tcBorders>
              <w:top w:val="single" w:color="000000" w:sz="12" w:space="0"/>
              <w:left w:val="single" w:color="000000" w:sz="12" w:space="0"/>
              <w:bottom w:val="single" w:color="000000" w:sz="4" w:space="0"/>
              <w:right w:val="single" w:color="000000" w:sz="4" w:space="0"/>
            </w:tcBorders>
            <w:vAlign w:val="center"/>
          </w:tcPr>
          <w:p w14:paraId="28AAAA79">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产业区</w:t>
            </w:r>
          </w:p>
        </w:tc>
        <w:tc>
          <w:tcPr>
            <w:tcW w:w="2136" w:type="dxa"/>
            <w:tcBorders>
              <w:top w:val="single" w:color="000000" w:sz="12" w:space="0"/>
              <w:left w:val="nil"/>
              <w:bottom w:val="single" w:color="000000" w:sz="4" w:space="0"/>
              <w:right w:val="single" w:color="000000" w:sz="4" w:space="0"/>
            </w:tcBorders>
            <w:vAlign w:val="center"/>
          </w:tcPr>
          <w:p w14:paraId="3C7C5DBA">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地理位置</w:t>
            </w:r>
          </w:p>
        </w:tc>
        <w:tc>
          <w:tcPr>
            <w:tcW w:w="5703" w:type="dxa"/>
            <w:tcBorders>
              <w:top w:val="single" w:color="000000" w:sz="12" w:space="0"/>
              <w:left w:val="nil"/>
              <w:bottom w:val="single" w:color="000000" w:sz="4" w:space="0"/>
              <w:right w:val="single" w:color="000000" w:sz="12" w:space="0"/>
            </w:tcBorders>
            <w:vAlign w:val="center"/>
          </w:tcPr>
          <w:p w14:paraId="638FA6E6">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产业集群布局</w:t>
            </w:r>
          </w:p>
        </w:tc>
      </w:tr>
      <w:tr w14:paraId="5698BE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73" w:hRule="atLeast"/>
          <w:jc w:val="center"/>
        </w:trPr>
        <w:tc>
          <w:tcPr>
            <w:tcW w:w="1091" w:type="dxa"/>
            <w:tcBorders>
              <w:top w:val="single" w:color="000000" w:sz="4" w:space="0"/>
              <w:left w:val="single" w:color="000000" w:sz="12" w:space="0"/>
              <w:bottom w:val="single" w:color="000000" w:sz="12" w:space="0"/>
              <w:right w:val="single" w:color="000000" w:sz="4" w:space="0"/>
            </w:tcBorders>
            <w:vAlign w:val="center"/>
          </w:tcPr>
          <w:p w14:paraId="05B065FD">
            <w:pPr>
              <w:tabs>
                <w:tab w:val="left" w:pos="1021"/>
              </w:tabs>
              <w:wordWrap/>
              <w:topLinePunct w:val="0"/>
              <w:adjustRightInd/>
              <w:snapToGrid/>
              <w:spacing w:line="240" w:lineRule="auto"/>
              <w:ind w:firstLine="0" w:firstLineChars="0"/>
              <w:jc w:val="center"/>
              <w:outlineLvl w:val="4"/>
              <w:rPr>
                <w:rFonts w:cs="Times New Roman"/>
                <w:bCs/>
                <w:sz w:val="21"/>
                <w:szCs w:val="21"/>
              </w:rPr>
            </w:pPr>
          </w:p>
          <w:p w14:paraId="0DAFD5D6">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片区一：</w:t>
            </w:r>
            <w:r>
              <w:rPr>
                <w:rFonts w:cs="Times New Roman"/>
                <w:bCs/>
                <w:sz w:val="21"/>
                <w:szCs w:val="21"/>
              </w:rPr>
              <w:t>426.4</w:t>
            </w:r>
            <w:r>
              <w:rPr>
                <w:rFonts w:hint="eastAsia" w:cs="Times New Roman"/>
                <w:bCs/>
                <w:sz w:val="21"/>
                <w:szCs w:val="21"/>
              </w:rPr>
              <w:t>公顷</w:t>
            </w:r>
          </w:p>
          <w:p w14:paraId="58B96BD5">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（湘江岸线</w:t>
            </w:r>
            <w:r>
              <w:rPr>
                <w:rFonts w:cs="Times New Roman"/>
                <w:bCs/>
                <w:sz w:val="21"/>
                <w:szCs w:val="21"/>
              </w:rPr>
              <w:t>1km</w:t>
            </w:r>
            <w:r>
              <w:rPr>
                <w:rFonts w:hint="eastAsia" w:cs="Times New Roman"/>
                <w:bCs/>
                <w:sz w:val="21"/>
                <w:szCs w:val="21"/>
              </w:rPr>
              <w:t>范围）</w:t>
            </w:r>
          </w:p>
          <w:p w14:paraId="49870E8F">
            <w:pPr>
              <w:tabs>
                <w:tab w:val="left" w:pos="1021"/>
              </w:tabs>
              <w:wordWrap/>
              <w:topLinePunct w:val="0"/>
              <w:adjustRightInd/>
              <w:snapToGrid/>
              <w:spacing w:line="240" w:lineRule="auto"/>
              <w:ind w:firstLine="0" w:firstLineChars="0"/>
              <w:jc w:val="center"/>
              <w:outlineLvl w:val="4"/>
              <w:rPr>
                <w:rFonts w:cs="Times New Roman"/>
                <w:bCs/>
                <w:sz w:val="21"/>
                <w:szCs w:val="21"/>
              </w:rPr>
            </w:pPr>
          </w:p>
        </w:tc>
        <w:tc>
          <w:tcPr>
            <w:tcW w:w="2136" w:type="dxa"/>
            <w:tcBorders>
              <w:top w:val="single" w:color="000000" w:sz="4" w:space="0"/>
              <w:left w:val="nil"/>
              <w:bottom w:val="single" w:color="000000" w:sz="12" w:space="0"/>
              <w:right w:val="single" w:color="000000" w:sz="4" w:space="0"/>
            </w:tcBorders>
            <w:vAlign w:val="center"/>
          </w:tcPr>
          <w:p w14:paraId="52E87693">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东起湘江北路，西至湘江岸线</w:t>
            </w:r>
            <w:r>
              <w:rPr>
                <w:rFonts w:cs="Times New Roman"/>
                <w:bCs/>
                <w:sz w:val="21"/>
                <w:szCs w:val="21"/>
              </w:rPr>
              <w:t>1km</w:t>
            </w:r>
            <w:r>
              <w:rPr>
                <w:rFonts w:hint="eastAsia" w:cs="Times New Roman"/>
                <w:bCs/>
                <w:sz w:val="21"/>
                <w:szCs w:val="21"/>
              </w:rPr>
              <w:t>红线，北起向衡路，南至友谊路。</w:t>
            </w:r>
          </w:p>
        </w:tc>
        <w:tc>
          <w:tcPr>
            <w:tcW w:w="5703" w:type="dxa"/>
            <w:tcBorders>
              <w:top w:val="single" w:color="000000" w:sz="4" w:space="0"/>
              <w:left w:val="nil"/>
              <w:bottom w:val="single" w:color="000000" w:sz="4" w:space="0"/>
              <w:right w:val="single" w:color="000000" w:sz="12" w:space="0"/>
            </w:tcBorders>
            <w:vAlign w:val="center"/>
          </w:tcPr>
          <w:p w14:paraId="2CF2A444">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cs="Times New Roman"/>
                <w:bCs/>
                <w:sz w:val="21"/>
                <w:szCs w:val="21"/>
              </w:rPr>
              <w:t>1</w:t>
            </w:r>
            <w:r>
              <w:rPr>
                <w:rFonts w:hint="eastAsia" w:cs="Times New Roman"/>
                <w:bCs/>
                <w:sz w:val="21"/>
                <w:szCs w:val="21"/>
              </w:rPr>
              <w:t>、装备制造产业：以智能制造产业园、阀门、压缩机及类似机械制造、通用零部件制造、采矿、冶金、建筑专用设备制造为发展目标，发展壮大先进装备制造业。</w:t>
            </w:r>
            <w:r>
              <w:rPr>
                <w:rFonts w:cs="Times New Roman"/>
                <w:bCs/>
                <w:sz w:val="21"/>
                <w:szCs w:val="21"/>
              </w:rPr>
              <w:t>2</w:t>
            </w:r>
            <w:r>
              <w:rPr>
                <w:rFonts w:hint="eastAsia" w:cs="Times New Roman"/>
                <w:bCs/>
                <w:sz w:val="21"/>
                <w:szCs w:val="21"/>
              </w:rPr>
              <w:t>、现代物流及仓储：以松木千吨级码头为依托构建松木经开区现代物流业仓储发展新格局。</w:t>
            </w:r>
          </w:p>
        </w:tc>
      </w:tr>
      <w:tr w14:paraId="525389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1" w:hRule="atLeast"/>
          <w:jc w:val="center"/>
        </w:trPr>
        <w:tc>
          <w:tcPr>
            <w:tcW w:w="1091" w:type="dxa"/>
            <w:tcBorders>
              <w:top w:val="single" w:color="000000" w:sz="4" w:space="0"/>
              <w:left w:val="single" w:color="000000" w:sz="12" w:space="0"/>
              <w:bottom w:val="single" w:color="000000" w:sz="12" w:space="0"/>
              <w:right w:val="single" w:color="000000" w:sz="4" w:space="0"/>
            </w:tcBorders>
            <w:vAlign w:val="center"/>
          </w:tcPr>
          <w:p w14:paraId="126FC80D">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片区二：</w:t>
            </w:r>
            <w:r>
              <w:rPr>
                <w:rFonts w:cs="Times New Roman"/>
                <w:bCs/>
                <w:sz w:val="21"/>
                <w:szCs w:val="21"/>
              </w:rPr>
              <w:t>328</w:t>
            </w:r>
            <w:r>
              <w:rPr>
                <w:rFonts w:hint="eastAsia" w:cs="Times New Roman"/>
                <w:bCs/>
                <w:sz w:val="21"/>
                <w:szCs w:val="21"/>
              </w:rPr>
              <w:t>公顷</w:t>
            </w:r>
          </w:p>
          <w:p w14:paraId="7F1850E4">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（化工类）</w:t>
            </w:r>
          </w:p>
        </w:tc>
        <w:tc>
          <w:tcPr>
            <w:tcW w:w="2136" w:type="dxa"/>
            <w:tcBorders>
              <w:top w:val="single" w:color="000000" w:sz="4" w:space="0"/>
              <w:left w:val="nil"/>
              <w:bottom w:val="single" w:color="000000" w:sz="12" w:space="0"/>
              <w:right w:val="single" w:color="000000" w:sz="4" w:space="0"/>
            </w:tcBorders>
            <w:vAlign w:val="center"/>
          </w:tcPr>
          <w:p w14:paraId="4606DBCC">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东起湘江岸线</w:t>
            </w:r>
            <w:r>
              <w:rPr>
                <w:rFonts w:cs="Times New Roman"/>
                <w:bCs/>
                <w:sz w:val="21"/>
                <w:szCs w:val="21"/>
              </w:rPr>
              <w:t>1km</w:t>
            </w:r>
            <w:r>
              <w:rPr>
                <w:rFonts w:hint="eastAsia" w:cs="Times New Roman"/>
                <w:bCs/>
                <w:sz w:val="21"/>
                <w:szCs w:val="21"/>
              </w:rPr>
              <w:t>红线，西至金华路及蒸阳北路；北起向衡路，南至衡大北路。</w:t>
            </w:r>
          </w:p>
        </w:tc>
        <w:tc>
          <w:tcPr>
            <w:tcW w:w="5703" w:type="dxa"/>
            <w:tcBorders>
              <w:top w:val="single" w:color="000000" w:sz="4" w:space="0"/>
              <w:left w:val="nil"/>
              <w:bottom w:val="single" w:color="000000" w:sz="4" w:space="0"/>
              <w:right w:val="single" w:color="000000" w:sz="12" w:space="0"/>
            </w:tcBorders>
            <w:vAlign w:val="center"/>
          </w:tcPr>
          <w:p w14:paraId="18F1CBA9">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主要发展盐卤化工及精细化工（含医药化工和制药）（其中医药产业主要类别为化学药品原料药制造、化学药品制剂制造、生物药品制造、基因工程药物和疫苗制造、中药饮片加工、成药生产、卫生材料及医药用品制造、药用辅料及包装材料等，包括</w:t>
            </w:r>
            <w:r>
              <w:rPr>
                <w:rFonts w:cs="Times New Roman"/>
                <w:bCs/>
                <w:sz w:val="21"/>
                <w:szCs w:val="21"/>
              </w:rPr>
              <w:t>C2710</w:t>
            </w:r>
            <w:r>
              <w:rPr>
                <w:rFonts w:hint="eastAsia" w:cs="Times New Roman"/>
                <w:bCs/>
                <w:sz w:val="21"/>
                <w:szCs w:val="21"/>
              </w:rPr>
              <w:t>化学药品原料药制造、</w:t>
            </w:r>
            <w:r>
              <w:rPr>
                <w:rFonts w:cs="Times New Roman"/>
                <w:bCs/>
                <w:sz w:val="21"/>
                <w:szCs w:val="21"/>
              </w:rPr>
              <w:t>C2720</w:t>
            </w:r>
            <w:r>
              <w:rPr>
                <w:rFonts w:hint="eastAsia" w:cs="Times New Roman"/>
                <w:bCs/>
                <w:sz w:val="21"/>
                <w:szCs w:val="21"/>
              </w:rPr>
              <w:t>化学药品制剂制造、</w:t>
            </w:r>
            <w:r>
              <w:rPr>
                <w:rFonts w:cs="Times New Roman"/>
                <w:bCs/>
                <w:sz w:val="21"/>
                <w:szCs w:val="21"/>
              </w:rPr>
              <w:t>C2761</w:t>
            </w:r>
            <w:r>
              <w:rPr>
                <w:rFonts w:hint="eastAsia" w:cs="Times New Roman"/>
                <w:bCs/>
                <w:sz w:val="21"/>
                <w:szCs w:val="21"/>
              </w:rPr>
              <w:t>生物药品制造、</w:t>
            </w:r>
            <w:r>
              <w:rPr>
                <w:rFonts w:cs="Times New Roman"/>
                <w:bCs/>
                <w:sz w:val="21"/>
                <w:szCs w:val="21"/>
              </w:rPr>
              <w:t>C2762</w:t>
            </w:r>
            <w:r>
              <w:rPr>
                <w:rFonts w:hint="eastAsia" w:cs="Times New Roman"/>
                <w:bCs/>
                <w:sz w:val="21"/>
                <w:szCs w:val="21"/>
              </w:rPr>
              <w:t>基因工程药物和疫苗制造、</w:t>
            </w:r>
            <w:r>
              <w:rPr>
                <w:rFonts w:cs="Times New Roman"/>
                <w:bCs/>
                <w:sz w:val="21"/>
                <w:szCs w:val="21"/>
              </w:rPr>
              <w:t>C2730</w:t>
            </w:r>
            <w:r>
              <w:rPr>
                <w:rFonts w:hint="eastAsia" w:cs="Times New Roman"/>
                <w:bCs/>
                <w:sz w:val="21"/>
                <w:szCs w:val="21"/>
              </w:rPr>
              <w:t>中药饮片加工、</w:t>
            </w:r>
            <w:r>
              <w:rPr>
                <w:rFonts w:cs="Times New Roman"/>
                <w:bCs/>
                <w:sz w:val="21"/>
                <w:szCs w:val="21"/>
              </w:rPr>
              <w:t>C2740</w:t>
            </w:r>
            <w:r>
              <w:rPr>
                <w:rFonts w:hint="eastAsia" w:cs="Times New Roman"/>
                <w:bCs/>
                <w:sz w:val="21"/>
                <w:szCs w:val="21"/>
              </w:rPr>
              <w:t>中成药生产、</w:t>
            </w:r>
            <w:r>
              <w:rPr>
                <w:rFonts w:cs="Times New Roman"/>
                <w:bCs/>
                <w:sz w:val="21"/>
                <w:szCs w:val="21"/>
              </w:rPr>
              <w:t>C2770</w:t>
            </w:r>
            <w:r>
              <w:rPr>
                <w:rFonts w:hint="eastAsia" w:cs="Times New Roman"/>
                <w:bCs/>
                <w:sz w:val="21"/>
                <w:szCs w:val="21"/>
              </w:rPr>
              <w:t>卫生材料及医药用品制造、</w:t>
            </w:r>
            <w:r>
              <w:rPr>
                <w:rFonts w:cs="Times New Roman"/>
                <w:bCs/>
                <w:sz w:val="21"/>
                <w:szCs w:val="21"/>
              </w:rPr>
              <w:t>C2780</w:t>
            </w:r>
            <w:r>
              <w:rPr>
                <w:rFonts w:hint="eastAsia" w:cs="Times New Roman"/>
                <w:bCs/>
                <w:sz w:val="21"/>
                <w:szCs w:val="21"/>
              </w:rPr>
              <w:t>药用辅料及包装材料等行业类别）。</w:t>
            </w:r>
          </w:p>
          <w:p w14:paraId="0C33930E">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主要有建滔化工、新澧化工、建衡化工等企业入驻。其他工业企业结合环境治理和企业发展需求进行微调。医药化工和制药重点承接化学制药、生物制药、现代中药和医药器械等医药化工和制药产业等产业。</w:t>
            </w:r>
          </w:p>
        </w:tc>
      </w:tr>
      <w:tr w14:paraId="130A0F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80" w:hRule="atLeast"/>
          <w:jc w:val="center"/>
        </w:trPr>
        <w:tc>
          <w:tcPr>
            <w:tcW w:w="1091" w:type="dxa"/>
            <w:tcBorders>
              <w:top w:val="single" w:color="000000" w:sz="4" w:space="0"/>
              <w:left w:val="single" w:color="000000" w:sz="12" w:space="0"/>
              <w:bottom w:val="single" w:color="000000" w:sz="12" w:space="0"/>
              <w:right w:val="single" w:color="000000" w:sz="4" w:space="0"/>
            </w:tcBorders>
            <w:vAlign w:val="center"/>
          </w:tcPr>
          <w:p w14:paraId="71E25CF5">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片区三：</w:t>
            </w:r>
            <w:r>
              <w:rPr>
                <w:rFonts w:cs="Times New Roman"/>
                <w:bCs/>
                <w:sz w:val="21"/>
                <w:szCs w:val="21"/>
              </w:rPr>
              <w:t>616.2</w:t>
            </w:r>
            <w:r>
              <w:rPr>
                <w:rFonts w:hint="eastAsia" w:cs="Times New Roman"/>
                <w:bCs/>
                <w:sz w:val="21"/>
                <w:szCs w:val="21"/>
              </w:rPr>
              <w:t>公顷</w:t>
            </w:r>
          </w:p>
          <w:p w14:paraId="6B29119E">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（其他类）</w:t>
            </w:r>
          </w:p>
        </w:tc>
        <w:tc>
          <w:tcPr>
            <w:tcW w:w="2136" w:type="dxa"/>
            <w:tcBorders>
              <w:top w:val="single" w:color="000000" w:sz="4" w:space="0"/>
              <w:left w:val="nil"/>
              <w:bottom w:val="single" w:color="000000" w:sz="12" w:space="0"/>
              <w:right w:val="single" w:color="000000" w:sz="4" w:space="0"/>
            </w:tcBorders>
            <w:vAlign w:val="center"/>
          </w:tcPr>
          <w:p w14:paraId="6D9B59FC">
            <w:pPr>
              <w:tabs>
                <w:tab w:val="left" w:pos="1021"/>
              </w:tabs>
              <w:wordWrap/>
              <w:topLinePunct w:val="0"/>
              <w:adjustRightInd/>
              <w:snapToGrid/>
              <w:spacing w:line="240" w:lineRule="auto"/>
              <w:ind w:firstLine="0" w:firstLineChars="0"/>
              <w:jc w:val="center"/>
              <w:outlineLvl w:val="4"/>
              <w:rPr>
                <w:rFonts w:cs="Times New Roman"/>
                <w:bCs/>
                <w:sz w:val="21"/>
                <w:szCs w:val="21"/>
              </w:rPr>
            </w:pPr>
          </w:p>
          <w:p w14:paraId="6CFD0F57">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东起五一路、蒸阳北路及金华路，西至衡岳大道，北起云升路，南至松梅路，</w:t>
            </w:r>
          </w:p>
        </w:tc>
        <w:tc>
          <w:tcPr>
            <w:tcW w:w="5703" w:type="dxa"/>
            <w:tcBorders>
              <w:top w:val="single" w:color="000000" w:sz="4" w:space="0"/>
              <w:left w:val="nil"/>
              <w:bottom w:val="single" w:color="000000" w:sz="12" w:space="0"/>
              <w:right w:val="single" w:color="000000" w:sz="12" w:space="0"/>
            </w:tcBorders>
            <w:vAlign w:val="center"/>
          </w:tcPr>
          <w:p w14:paraId="7038D7D5">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主要发展新能源、新材料（包括电池制造、照明器具制造、电车制造、电子设备制造、废弃资源综合利用、钢压延加工、有色金属合金制造、铝铜压延加工、电子元件及电子材料制造、有色金属压延加工等）及装备制造产业。具体包括</w:t>
            </w:r>
            <w:r>
              <w:rPr>
                <w:rFonts w:cs="Times New Roman"/>
                <w:bCs/>
                <w:sz w:val="21"/>
                <w:szCs w:val="21"/>
              </w:rPr>
              <w:t>C384</w:t>
            </w:r>
            <w:r>
              <w:rPr>
                <w:rFonts w:hint="eastAsia" w:cs="Times New Roman"/>
                <w:bCs/>
                <w:sz w:val="21"/>
                <w:szCs w:val="21"/>
              </w:rPr>
              <w:t>电池制造、</w:t>
            </w:r>
            <w:r>
              <w:rPr>
                <w:rFonts w:cs="Times New Roman"/>
                <w:bCs/>
                <w:sz w:val="21"/>
                <w:szCs w:val="21"/>
              </w:rPr>
              <w:t>C387</w:t>
            </w:r>
            <w:r>
              <w:rPr>
                <w:rFonts w:hint="eastAsia" w:cs="Times New Roman"/>
                <w:bCs/>
                <w:sz w:val="21"/>
                <w:szCs w:val="21"/>
              </w:rPr>
              <w:t>照明器具制造、</w:t>
            </w:r>
            <w:r>
              <w:rPr>
                <w:rFonts w:cs="Times New Roman"/>
                <w:bCs/>
                <w:sz w:val="21"/>
                <w:szCs w:val="21"/>
              </w:rPr>
              <w:t>C365</w:t>
            </w:r>
            <w:r>
              <w:rPr>
                <w:rFonts w:hint="eastAsia" w:cs="Times New Roman"/>
                <w:bCs/>
                <w:sz w:val="21"/>
                <w:szCs w:val="21"/>
              </w:rPr>
              <w:t>电车制造、</w:t>
            </w:r>
            <w:r>
              <w:rPr>
                <w:rFonts w:cs="Times New Roman"/>
                <w:bCs/>
                <w:sz w:val="21"/>
                <w:szCs w:val="21"/>
              </w:rPr>
              <w:t>C399</w:t>
            </w:r>
            <w:r>
              <w:rPr>
                <w:rFonts w:hint="eastAsia" w:cs="Times New Roman"/>
                <w:bCs/>
                <w:sz w:val="21"/>
                <w:szCs w:val="21"/>
              </w:rPr>
              <w:t>电子设备制造、</w:t>
            </w:r>
            <w:r>
              <w:rPr>
                <w:rFonts w:cs="Times New Roman"/>
                <w:bCs/>
                <w:sz w:val="21"/>
                <w:szCs w:val="21"/>
              </w:rPr>
              <w:t>C421</w:t>
            </w:r>
            <w:r>
              <w:rPr>
                <w:rFonts w:hint="eastAsia" w:cs="Times New Roman"/>
                <w:bCs/>
                <w:sz w:val="21"/>
                <w:szCs w:val="21"/>
              </w:rPr>
              <w:t>废弃资源综合利用、</w:t>
            </w:r>
            <w:r>
              <w:rPr>
                <w:rFonts w:cs="Times New Roman"/>
                <w:bCs/>
                <w:sz w:val="21"/>
                <w:szCs w:val="21"/>
              </w:rPr>
              <w:t>C3130</w:t>
            </w:r>
            <w:r>
              <w:rPr>
                <w:rFonts w:hint="eastAsia" w:cs="Times New Roman"/>
                <w:bCs/>
                <w:sz w:val="21"/>
                <w:szCs w:val="21"/>
              </w:rPr>
              <w:t>钢压延加工、</w:t>
            </w:r>
            <w:r>
              <w:rPr>
                <w:rFonts w:cs="Times New Roman"/>
                <w:bCs/>
                <w:sz w:val="21"/>
                <w:szCs w:val="21"/>
              </w:rPr>
              <w:t>C3240</w:t>
            </w:r>
            <w:r>
              <w:rPr>
                <w:rFonts w:hint="eastAsia" w:cs="Times New Roman"/>
                <w:bCs/>
                <w:sz w:val="21"/>
                <w:szCs w:val="21"/>
              </w:rPr>
              <w:t>有色金属合金制造、</w:t>
            </w:r>
            <w:r>
              <w:rPr>
                <w:rFonts w:cs="Times New Roman"/>
                <w:bCs/>
                <w:sz w:val="21"/>
                <w:szCs w:val="21"/>
              </w:rPr>
              <w:t>C3251</w:t>
            </w:r>
            <w:r>
              <w:rPr>
                <w:rFonts w:hint="eastAsia" w:cs="Times New Roman"/>
                <w:bCs/>
                <w:sz w:val="21"/>
                <w:szCs w:val="21"/>
              </w:rPr>
              <w:t>铜压延加工、</w:t>
            </w:r>
            <w:r>
              <w:rPr>
                <w:rFonts w:cs="Times New Roman"/>
                <w:bCs/>
                <w:sz w:val="21"/>
                <w:szCs w:val="21"/>
              </w:rPr>
              <w:t>C3252</w:t>
            </w:r>
            <w:r>
              <w:rPr>
                <w:rFonts w:hint="eastAsia" w:cs="Times New Roman"/>
                <w:bCs/>
                <w:sz w:val="21"/>
                <w:szCs w:val="21"/>
              </w:rPr>
              <w:t>铝压延加工、</w:t>
            </w:r>
            <w:r>
              <w:rPr>
                <w:rFonts w:cs="Times New Roman"/>
                <w:bCs/>
                <w:sz w:val="21"/>
                <w:szCs w:val="21"/>
              </w:rPr>
              <w:t>C398</w:t>
            </w:r>
            <w:r>
              <w:rPr>
                <w:rFonts w:hint="eastAsia" w:cs="Times New Roman"/>
                <w:bCs/>
                <w:sz w:val="21"/>
                <w:szCs w:val="21"/>
              </w:rPr>
              <w:t>电子元件及电子材料制造、</w:t>
            </w:r>
            <w:r>
              <w:rPr>
                <w:rFonts w:cs="Times New Roman"/>
                <w:bCs/>
                <w:sz w:val="21"/>
                <w:szCs w:val="21"/>
              </w:rPr>
              <w:t>C325</w:t>
            </w:r>
            <w:r>
              <w:rPr>
                <w:rFonts w:hint="eastAsia" w:cs="Times New Roman"/>
                <w:bCs/>
                <w:sz w:val="21"/>
                <w:szCs w:val="21"/>
              </w:rPr>
              <w:t>有色金属压延加工等。</w:t>
            </w:r>
          </w:p>
          <w:p w14:paraId="558A43A6">
            <w:pPr>
              <w:tabs>
                <w:tab w:val="left" w:pos="1021"/>
              </w:tabs>
              <w:wordWrap/>
              <w:topLinePunct w:val="0"/>
              <w:adjustRightInd/>
              <w:snapToGrid/>
              <w:spacing w:line="240" w:lineRule="auto"/>
              <w:ind w:firstLine="0" w:firstLineChars="0"/>
              <w:jc w:val="center"/>
              <w:outlineLvl w:val="4"/>
              <w:rPr>
                <w:rFonts w:cs="Times New Roman"/>
                <w:bCs/>
                <w:sz w:val="21"/>
                <w:szCs w:val="21"/>
              </w:rPr>
            </w:pPr>
            <w:r>
              <w:rPr>
                <w:rFonts w:hint="eastAsia" w:cs="Times New Roman"/>
                <w:bCs/>
                <w:sz w:val="21"/>
                <w:szCs w:val="21"/>
              </w:rPr>
              <w:t>片区内规划有：</w:t>
            </w:r>
            <w:r>
              <w:rPr>
                <w:rFonts w:cs="Times New Roman"/>
                <w:bCs/>
                <w:sz w:val="21"/>
                <w:szCs w:val="21"/>
              </w:rPr>
              <w:t>1</w:t>
            </w:r>
            <w:r>
              <w:rPr>
                <w:rFonts w:hint="eastAsia" w:cs="Times New Roman"/>
                <w:bCs/>
                <w:sz w:val="21"/>
                <w:szCs w:val="21"/>
              </w:rPr>
              <w:t>、综合服务区，是园区的公共服务中心，布置行政办公、金融商贸、咨询培训和企业研发设计等机构。</w:t>
            </w:r>
            <w:r>
              <w:rPr>
                <w:rFonts w:cs="Times New Roman"/>
                <w:bCs/>
                <w:sz w:val="21"/>
                <w:szCs w:val="21"/>
              </w:rPr>
              <w:t>2</w:t>
            </w:r>
            <w:r>
              <w:rPr>
                <w:rFonts w:hint="eastAsia" w:cs="Times New Roman"/>
                <w:bCs/>
                <w:sz w:val="21"/>
                <w:szCs w:val="21"/>
              </w:rPr>
              <w:t>、新能源产业，主要有力赛储能、瑞达电源、电科电源、福邦新材、瑞启锂电池、湖南理昂再生能源等等企业入驻；重点承接太阳能光伏玻璃、储能、新能源汽车、生物质发电等产业。</w:t>
            </w:r>
            <w:r>
              <w:rPr>
                <w:rFonts w:cs="Times New Roman"/>
                <w:bCs/>
                <w:sz w:val="21"/>
                <w:szCs w:val="21"/>
              </w:rPr>
              <w:t>3</w:t>
            </w:r>
            <w:r>
              <w:rPr>
                <w:rFonts w:hint="eastAsia" w:cs="Times New Roman"/>
                <w:bCs/>
                <w:sz w:val="21"/>
                <w:szCs w:val="21"/>
              </w:rPr>
              <w:t>、新材料产业，重点承接高性能陶瓷材料、高新能金属材料、纳米材料、电子信息材料、新型高分子材料、复合材料等新材料产业。</w:t>
            </w:r>
            <w:r>
              <w:rPr>
                <w:rFonts w:cs="Times New Roman"/>
                <w:bCs/>
                <w:sz w:val="21"/>
                <w:szCs w:val="21"/>
              </w:rPr>
              <w:t>4</w:t>
            </w:r>
            <w:r>
              <w:rPr>
                <w:rFonts w:hint="eastAsia" w:cs="Times New Roman"/>
                <w:bCs/>
                <w:sz w:val="21"/>
                <w:szCs w:val="21"/>
              </w:rPr>
              <w:t>、装备制造，以比亚迪制造产业园为依托，带动电车制造、电子设备制造、汽车零部件及配件制造业等。</w:t>
            </w:r>
          </w:p>
        </w:tc>
      </w:tr>
    </w:tbl>
    <w:p w14:paraId="6FDC4F48">
      <w:pPr>
        <w:pStyle w:val="7"/>
        <w:tabs>
          <w:tab w:val="left" w:pos="7371"/>
        </w:tabs>
      </w:pPr>
      <w:bookmarkStart w:id="298" w:name="_Toc86852277"/>
      <w:bookmarkStart w:id="299" w:name="_Toc89882454"/>
      <w:bookmarkStart w:id="300" w:name="_Toc121420818"/>
      <w:bookmarkStart w:id="301" w:name="_Toc90989235"/>
      <w:bookmarkStart w:id="302" w:name="_Toc90318414"/>
      <w:bookmarkStart w:id="303" w:name="_Toc89786129"/>
      <w:bookmarkStart w:id="304" w:name="_Toc90997661"/>
      <w:r>
        <w:t xml:space="preserve">3.2.3 </w:t>
      </w:r>
      <w:bookmarkEnd w:id="298"/>
      <w:r>
        <w:t>配套基础设施建设现状</w:t>
      </w:r>
      <w:bookmarkEnd w:id="299"/>
      <w:bookmarkEnd w:id="300"/>
      <w:bookmarkEnd w:id="301"/>
      <w:bookmarkEnd w:id="302"/>
      <w:bookmarkEnd w:id="303"/>
      <w:bookmarkEnd w:id="304"/>
    </w:p>
    <w:p w14:paraId="7847F045">
      <w:pPr>
        <w:tabs>
          <w:tab w:val="left" w:pos="7371"/>
        </w:tabs>
        <w:ind w:firstLine="519"/>
        <w:jc w:val="left"/>
        <w:rPr>
          <w:rFonts w:cs="Times New Roman"/>
          <w:szCs w:val="24"/>
        </w:rPr>
      </w:pPr>
      <w:r>
        <w:rPr>
          <w:rFonts w:cs="Times New Roman"/>
          <w:szCs w:val="24"/>
        </w:rPr>
        <w:t>松木水厂位于湘江流域衡阳段下游的衡阳市石鼓区江霞村，首期建设规模为日供水3万吨，首期用地22.65亩，总投资4500万元。该项目采取BOT模式运作，引进新加坡联合工程公司入园投资建设。目前，松木水厂已建成投产，向园区企业正常供水，充分保证了入园企业的生产用水需要。经济开发区采用雨污分流排水体制，江西片区污水进入松木污水处理厂，松木污水处理厂位于湘江河畔的新安村观音塘组，一期设计处理能力为3万m</w:t>
      </w:r>
      <w:r>
        <w:rPr>
          <w:rFonts w:cs="Times New Roman"/>
          <w:szCs w:val="24"/>
          <w:vertAlign w:val="superscript"/>
        </w:rPr>
        <w:t>3</w:t>
      </w:r>
      <w:r>
        <w:rPr>
          <w:rFonts w:cs="Times New Roman"/>
          <w:szCs w:val="24"/>
        </w:rPr>
        <w:t>/d，目前已建成1万m</w:t>
      </w:r>
      <w:r>
        <w:rPr>
          <w:rFonts w:cs="Times New Roman"/>
          <w:szCs w:val="24"/>
          <w:vertAlign w:val="superscript"/>
        </w:rPr>
        <w:t>3</w:t>
      </w:r>
      <w:r>
        <w:rPr>
          <w:rFonts w:cs="Times New Roman"/>
          <w:szCs w:val="24"/>
        </w:rPr>
        <w:t>/d设计规模，实际处理规模为6500m</w:t>
      </w:r>
      <w:r>
        <w:rPr>
          <w:rFonts w:cs="Times New Roman"/>
          <w:szCs w:val="24"/>
          <w:vertAlign w:val="superscript"/>
        </w:rPr>
        <w:t>3</w:t>
      </w:r>
      <w:r>
        <w:rPr>
          <w:rFonts w:cs="Times New Roman"/>
          <w:szCs w:val="24"/>
        </w:rPr>
        <w:t>/d，可接纳松木经济开发区工业区一期范围及二期范围用地内的污水，各主次干道都已敷设污水管道和雨水管道。园区现有的建滔220kV变站、三角塘110kV变电站及松木110kV变电站均已投入使用；在建的天然气调压站及储配站，储气量为30万m</w:t>
      </w:r>
      <w:r>
        <w:rPr>
          <w:rFonts w:cs="Times New Roman"/>
          <w:szCs w:val="24"/>
          <w:vertAlign w:val="superscript"/>
        </w:rPr>
        <w:t>3</w:t>
      </w:r>
      <w:r>
        <w:rPr>
          <w:rFonts w:cs="Times New Roman"/>
          <w:szCs w:val="24"/>
        </w:rPr>
        <w:t>，日供气量可达15万m</w:t>
      </w:r>
      <w:r>
        <w:rPr>
          <w:rFonts w:cs="Times New Roman"/>
          <w:szCs w:val="24"/>
          <w:vertAlign w:val="superscript"/>
        </w:rPr>
        <w:t>3</w:t>
      </w:r>
      <w:r>
        <w:rPr>
          <w:rFonts w:cs="Times New Roman"/>
          <w:szCs w:val="24"/>
        </w:rPr>
        <w:t>/d，天然气输气管道已经铺设到园区各主干道；区内集中供热蒸汽管廊正在加速建设，可提供1.0MPa蒸汽。目前，园区内道路、水、电、通讯、有线电视、网络、天然气、码头等基础设施日臻完善，具备了承接大型企业和大项目入园投资建设的条件。</w:t>
      </w:r>
    </w:p>
    <w:p w14:paraId="2F6D9362">
      <w:pPr>
        <w:pStyle w:val="6"/>
        <w:spacing w:before="170" w:after="170"/>
        <w:rPr>
          <w:rFonts w:cs="Times New Roman"/>
        </w:rPr>
      </w:pPr>
      <w:bookmarkStart w:id="305" w:name="_Toc121420819"/>
      <w:r>
        <w:rPr>
          <w:rFonts w:hint="eastAsia" w:cs="Times New Roman"/>
        </w:rPr>
        <w:t>3</w:t>
      </w:r>
      <w:r>
        <w:rPr>
          <w:rFonts w:cs="Times New Roman"/>
        </w:rPr>
        <w:t xml:space="preserve">.3 </w:t>
      </w:r>
      <w:r>
        <w:rPr>
          <w:rFonts w:hint="eastAsia" w:cs="Times New Roman"/>
        </w:rPr>
        <w:t>环境质量现状</w:t>
      </w:r>
      <w:r>
        <w:rPr>
          <w:rFonts w:cs="Times New Roman"/>
        </w:rPr>
        <w:t>评价</w:t>
      </w:r>
      <w:bookmarkEnd w:id="305"/>
    </w:p>
    <w:p w14:paraId="0ED6B9E3">
      <w:pPr>
        <w:pStyle w:val="7"/>
      </w:pPr>
      <w:bookmarkStart w:id="306" w:name="_Toc90997663"/>
      <w:bookmarkStart w:id="307" w:name="_Toc121420820"/>
      <w:r>
        <w:t>3.3.1 环境空气质量现状</w:t>
      </w:r>
      <w:r>
        <w:rPr>
          <w:rFonts w:hint="eastAsia"/>
        </w:rPr>
        <w:t>评价</w:t>
      </w:r>
      <w:bookmarkEnd w:id="306"/>
      <w:bookmarkEnd w:id="307"/>
    </w:p>
    <w:p w14:paraId="4E3ADBE7">
      <w:pPr>
        <w:ind w:firstLine="519"/>
        <w:rPr>
          <w:rFonts w:cs="Times New Roman"/>
        </w:rPr>
      </w:pPr>
      <w:r>
        <w:rPr>
          <w:rFonts w:cs="Times New Roman"/>
        </w:rPr>
        <w:t>根据《环境影响评价技术导则 大气环境》（HJ 2.2-2018），项目所在区域达标判定，优先采用国家或地方生态环境主管部门公开发布的评价基准年环境质量公告或环境质量报告中的数据或结论。国家或地方生态环境主管部门未发布城市环境空气质量达标情况的，可按照HJ 663中各评价项目的年评价指标进行判定。年评价指标中的年均浓度和相应百分位数24h平均或8h平均质量浓度满足GB3095中浓度限值要求的即为达标。</w:t>
      </w:r>
    </w:p>
    <w:p w14:paraId="2AD9ECC1">
      <w:pPr>
        <w:ind w:firstLine="519"/>
        <w:rPr>
          <w:rFonts w:cs="Times New Roman"/>
        </w:rPr>
      </w:pPr>
      <w:r>
        <w:rPr>
          <w:rFonts w:cs="Times New Roman"/>
        </w:rPr>
        <w:t>根据衡阳市环境空气质量常规监测点衡阳化工总厂2021年空气监测数据，衡阳化工总厂监测点考核区域为松木经开区，即本项目所在地区域，松木经开区PM</w:t>
      </w:r>
      <w:r>
        <w:rPr>
          <w:rFonts w:cs="Times New Roman"/>
          <w:vertAlign w:val="subscript"/>
        </w:rPr>
        <w:t>10</w:t>
      </w:r>
      <w:r>
        <w:rPr>
          <w:rFonts w:cs="Times New Roman"/>
        </w:rPr>
        <w:t>、PM</w:t>
      </w:r>
      <w:r>
        <w:rPr>
          <w:rFonts w:cs="Times New Roman"/>
          <w:vertAlign w:val="subscript"/>
        </w:rPr>
        <w:t>2.5</w:t>
      </w:r>
      <w:r>
        <w:rPr>
          <w:rFonts w:cs="Times New Roman"/>
        </w:rPr>
        <w:t>、SO</w:t>
      </w:r>
      <w:r>
        <w:rPr>
          <w:rFonts w:cs="Times New Roman"/>
          <w:vertAlign w:val="subscript"/>
        </w:rPr>
        <w:t>2</w:t>
      </w:r>
      <w:r>
        <w:rPr>
          <w:rFonts w:cs="Times New Roman"/>
        </w:rPr>
        <w:t>、NO</w:t>
      </w:r>
      <w:r>
        <w:rPr>
          <w:rFonts w:cs="Times New Roman"/>
          <w:vertAlign w:val="subscript"/>
        </w:rPr>
        <w:t>2</w:t>
      </w:r>
      <w:r>
        <w:rPr>
          <w:rFonts w:cs="Times New Roman"/>
        </w:rPr>
        <w:t>、CO、O</w:t>
      </w:r>
      <w:r>
        <w:rPr>
          <w:rFonts w:cs="Times New Roman"/>
          <w:vertAlign w:val="subscript"/>
        </w:rPr>
        <w:t>3</w:t>
      </w:r>
      <w:r>
        <w:rPr>
          <w:rFonts w:cs="Times New Roman"/>
        </w:rPr>
        <w:t>环境空气质量状况如下。</w:t>
      </w:r>
    </w:p>
    <w:p w14:paraId="416BA454">
      <w:pPr>
        <w:pStyle w:val="9"/>
      </w:pPr>
      <w:r>
        <w:t>表3.3-1  区域环境空气质量检测结果统计表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6" w:type="dxa"/>
          <w:bottom w:w="0" w:type="dxa"/>
          <w:right w:w="6" w:type="dxa"/>
        </w:tblCellMar>
      </w:tblPr>
      <w:tblGrid>
        <w:gridCol w:w="715"/>
        <w:gridCol w:w="933"/>
        <w:gridCol w:w="1911"/>
        <w:gridCol w:w="1275"/>
        <w:gridCol w:w="1135"/>
        <w:gridCol w:w="1135"/>
        <w:gridCol w:w="1238"/>
      </w:tblGrid>
      <w:tr w14:paraId="56369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464" w:hRule="atLeast"/>
        </w:trPr>
        <w:tc>
          <w:tcPr>
            <w:tcW w:w="429" w:type="pct"/>
            <w:vAlign w:val="center"/>
          </w:tcPr>
          <w:p w14:paraId="5D5908FD">
            <w:pPr>
              <w:pStyle w:val="48"/>
            </w:pPr>
            <w:r>
              <w:t>序号</w:t>
            </w:r>
          </w:p>
        </w:tc>
        <w:tc>
          <w:tcPr>
            <w:tcW w:w="559" w:type="pct"/>
            <w:vAlign w:val="center"/>
          </w:tcPr>
          <w:p w14:paraId="43BC59DE">
            <w:pPr>
              <w:pStyle w:val="48"/>
            </w:pPr>
            <w:r>
              <w:t>项目</w:t>
            </w:r>
          </w:p>
        </w:tc>
        <w:tc>
          <w:tcPr>
            <w:tcW w:w="1145" w:type="pct"/>
            <w:vAlign w:val="center"/>
          </w:tcPr>
          <w:p w14:paraId="7FC81050">
            <w:pPr>
              <w:pStyle w:val="48"/>
            </w:pPr>
            <w:r>
              <w:t>类别</w:t>
            </w:r>
          </w:p>
        </w:tc>
        <w:tc>
          <w:tcPr>
            <w:tcW w:w="764" w:type="pct"/>
            <w:vAlign w:val="center"/>
          </w:tcPr>
          <w:p w14:paraId="17DD5612">
            <w:pPr>
              <w:pStyle w:val="48"/>
            </w:pPr>
            <w:r>
              <w:t>单位</w:t>
            </w:r>
          </w:p>
        </w:tc>
        <w:tc>
          <w:tcPr>
            <w:tcW w:w="680" w:type="pct"/>
            <w:vAlign w:val="center"/>
          </w:tcPr>
          <w:p w14:paraId="284F78C5">
            <w:pPr>
              <w:pStyle w:val="48"/>
            </w:pPr>
            <w:r>
              <w:t>统计结果</w:t>
            </w:r>
          </w:p>
        </w:tc>
        <w:tc>
          <w:tcPr>
            <w:tcW w:w="680" w:type="pct"/>
            <w:vAlign w:val="center"/>
          </w:tcPr>
          <w:p w14:paraId="5549DA25">
            <w:pPr>
              <w:pStyle w:val="48"/>
            </w:pPr>
            <w:r>
              <w:t>标准值</w:t>
            </w:r>
          </w:p>
        </w:tc>
        <w:tc>
          <w:tcPr>
            <w:tcW w:w="742" w:type="pct"/>
            <w:vAlign w:val="center"/>
          </w:tcPr>
          <w:p w14:paraId="58A8730B">
            <w:pPr>
              <w:pStyle w:val="48"/>
            </w:pPr>
            <w:r>
              <w:t>是否达标</w:t>
            </w:r>
          </w:p>
        </w:tc>
      </w:tr>
      <w:tr w14:paraId="071D0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454" w:hRule="atLeast"/>
        </w:trPr>
        <w:tc>
          <w:tcPr>
            <w:tcW w:w="429" w:type="pct"/>
            <w:vAlign w:val="center"/>
          </w:tcPr>
          <w:p w14:paraId="468E52B0">
            <w:pPr>
              <w:pStyle w:val="48"/>
            </w:pPr>
            <w:r>
              <w:t>1</w:t>
            </w:r>
          </w:p>
        </w:tc>
        <w:tc>
          <w:tcPr>
            <w:tcW w:w="559" w:type="pct"/>
            <w:vAlign w:val="center"/>
          </w:tcPr>
          <w:p w14:paraId="19DEE286">
            <w:pPr>
              <w:pStyle w:val="48"/>
            </w:pPr>
            <w:r>
              <w:t>SO</w:t>
            </w:r>
            <w:r>
              <w:rPr>
                <w:vertAlign w:val="subscript"/>
              </w:rPr>
              <w:t>2</w:t>
            </w:r>
          </w:p>
        </w:tc>
        <w:tc>
          <w:tcPr>
            <w:tcW w:w="1145" w:type="pct"/>
            <w:vAlign w:val="center"/>
          </w:tcPr>
          <w:p w14:paraId="763A09B7">
            <w:pPr>
              <w:pStyle w:val="48"/>
            </w:pPr>
            <w:r>
              <w:t>年均值</w:t>
            </w:r>
          </w:p>
        </w:tc>
        <w:tc>
          <w:tcPr>
            <w:tcW w:w="764" w:type="pct"/>
            <w:vAlign w:val="center"/>
          </w:tcPr>
          <w:p w14:paraId="77480203">
            <w:pPr>
              <w:pStyle w:val="48"/>
            </w:pPr>
            <w:r>
              <w:t>μg/m</w:t>
            </w:r>
            <w:r>
              <w:rPr>
                <w:vertAlign w:val="superscript"/>
              </w:rPr>
              <w:t>3</w:t>
            </w:r>
          </w:p>
        </w:tc>
        <w:tc>
          <w:tcPr>
            <w:tcW w:w="680" w:type="pct"/>
            <w:tcBorders>
              <w:right w:val="single" w:color="auto" w:sz="4" w:space="0"/>
            </w:tcBorders>
            <w:vAlign w:val="center"/>
          </w:tcPr>
          <w:p w14:paraId="39AE0724">
            <w:pPr>
              <w:pStyle w:val="48"/>
            </w:pPr>
            <w:r>
              <w:t>12</w:t>
            </w:r>
          </w:p>
        </w:tc>
        <w:tc>
          <w:tcPr>
            <w:tcW w:w="680" w:type="pct"/>
            <w:vAlign w:val="center"/>
          </w:tcPr>
          <w:p w14:paraId="56B311BA">
            <w:pPr>
              <w:pStyle w:val="48"/>
            </w:pPr>
            <w:r>
              <w:t>60</w:t>
            </w:r>
          </w:p>
        </w:tc>
        <w:tc>
          <w:tcPr>
            <w:tcW w:w="742" w:type="pct"/>
            <w:vAlign w:val="center"/>
          </w:tcPr>
          <w:p w14:paraId="6294BCB6">
            <w:pPr>
              <w:pStyle w:val="48"/>
            </w:pPr>
            <w:r>
              <w:t>达标</w:t>
            </w:r>
          </w:p>
        </w:tc>
      </w:tr>
      <w:tr w14:paraId="49D1E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429" w:type="pct"/>
            <w:vAlign w:val="center"/>
          </w:tcPr>
          <w:p w14:paraId="0C87421D">
            <w:pPr>
              <w:pStyle w:val="48"/>
            </w:pPr>
            <w:r>
              <w:t>2</w:t>
            </w:r>
          </w:p>
        </w:tc>
        <w:tc>
          <w:tcPr>
            <w:tcW w:w="559" w:type="pct"/>
            <w:vAlign w:val="center"/>
          </w:tcPr>
          <w:p w14:paraId="3FC1494A">
            <w:pPr>
              <w:pStyle w:val="48"/>
            </w:pPr>
            <w:r>
              <w:t>NO</w:t>
            </w:r>
            <w:r>
              <w:rPr>
                <w:vertAlign w:val="subscript"/>
              </w:rPr>
              <w:t>2</w:t>
            </w:r>
          </w:p>
        </w:tc>
        <w:tc>
          <w:tcPr>
            <w:tcW w:w="1145" w:type="pct"/>
            <w:vAlign w:val="center"/>
          </w:tcPr>
          <w:p w14:paraId="5FA97152">
            <w:pPr>
              <w:pStyle w:val="48"/>
            </w:pPr>
            <w:r>
              <w:t>年均值</w:t>
            </w:r>
          </w:p>
        </w:tc>
        <w:tc>
          <w:tcPr>
            <w:tcW w:w="764" w:type="pct"/>
            <w:vAlign w:val="center"/>
          </w:tcPr>
          <w:p w14:paraId="1E111415">
            <w:pPr>
              <w:pStyle w:val="48"/>
            </w:pPr>
            <w:r>
              <w:t>μg/m</w:t>
            </w:r>
            <w:r>
              <w:rPr>
                <w:vertAlign w:val="superscript"/>
              </w:rPr>
              <w:t>3</w:t>
            </w:r>
          </w:p>
        </w:tc>
        <w:tc>
          <w:tcPr>
            <w:tcW w:w="680" w:type="pct"/>
            <w:tcBorders>
              <w:right w:val="single" w:color="auto" w:sz="4" w:space="0"/>
            </w:tcBorders>
            <w:vAlign w:val="center"/>
          </w:tcPr>
          <w:p w14:paraId="0C00A27A">
            <w:pPr>
              <w:pStyle w:val="48"/>
            </w:pPr>
            <w:r>
              <w:t>20</w:t>
            </w:r>
          </w:p>
        </w:tc>
        <w:tc>
          <w:tcPr>
            <w:tcW w:w="680" w:type="pct"/>
            <w:vAlign w:val="center"/>
          </w:tcPr>
          <w:p w14:paraId="3DAB8814">
            <w:pPr>
              <w:pStyle w:val="48"/>
            </w:pPr>
            <w:r>
              <w:t>40</w:t>
            </w:r>
          </w:p>
        </w:tc>
        <w:tc>
          <w:tcPr>
            <w:tcW w:w="742" w:type="pct"/>
            <w:vAlign w:val="center"/>
          </w:tcPr>
          <w:p w14:paraId="2C828227">
            <w:pPr>
              <w:pStyle w:val="48"/>
            </w:pPr>
            <w:r>
              <w:t>达标</w:t>
            </w:r>
          </w:p>
        </w:tc>
      </w:tr>
      <w:tr w14:paraId="11700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454" w:hRule="atLeast"/>
        </w:trPr>
        <w:tc>
          <w:tcPr>
            <w:tcW w:w="429" w:type="pct"/>
            <w:vAlign w:val="center"/>
          </w:tcPr>
          <w:p w14:paraId="0A583D63">
            <w:pPr>
              <w:pStyle w:val="48"/>
            </w:pPr>
            <w:r>
              <w:t>3</w:t>
            </w:r>
          </w:p>
        </w:tc>
        <w:tc>
          <w:tcPr>
            <w:tcW w:w="559" w:type="pct"/>
            <w:vAlign w:val="center"/>
          </w:tcPr>
          <w:p w14:paraId="42F3E2B9">
            <w:pPr>
              <w:pStyle w:val="48"/>
            </w:pPr>
            <w:r>
              <w:t>PM</w:t>
            </w:r>
            <w:r>
              <w:rPr>
                <w:vertAlign w:val="subscript"/>
              </w:rPr>
              <w:t>10</w:t>
            </w:r>
          </w:p>
        </w:tc>
        <w:tc>
          <w:tcPr>
            <w:tcW w:w="1145" w:type="pct"/>
            <w:vAlign w:val="center"/>
          </w:tcPr>
          <w:p w14:paraId="37135464">
            <w:pPr>
              <w:pStyle w:val="48"/>
            </w:pPr>
            <w:r>
              <w:t>年均值</w:t>
            </w:r>
          </w:p>
        </w:tc>
        <w:tc>
          <w:tcPr>
            <w:tcW w:w="764" w:type="pct"/>
            <w:vAlign w:val="center"/>
          </w:tcPr>
          <w:p w14:paraId="0396E0CD">
            <w:pPr>
              <w:pStyle w:val="48"/>
            </w:pPr>
            <w:r>
              <w:t>μg/m</w:t>
            </w:r>
            <w:r>
              <w:rPr>
                <w:vertAlign w:val="superscript"/>
              </w:rPr>
              <w:t>3</w:t>
            </w:r>
          </w:p>
        </w:tc>
        <w:tc>
          <w:tcPr>
            <w:tcW w:w="680" w:type="pct"/>
            <w:tcBorders>
              <w:right w:val="single" w:color="auto" w:sz="4" w:space="0"/>
            </w:tcBorders>
            <w:vAlign w:val="center"/>
          </w:tcPr>
          <w:p w14:paraId="6BAD1F8D">
            <w:pPr>
              <w:pStyle w:val="48"/>
            </w:pPr>
            <w:r>
              <w:t>58</w:t>
            </w:r>
          </w:p>
        </w:tc>
        <w:tc>
          <w:tcPr>
            <w:tcW w:w="680" w:type="pct"/>
            <w:vAlign w:val="center"/>
          </w:tcPr>
          <w:p w14:paraId="1328B563">
            <w:pPr>
              <w:pStyle w:val="48"/>
            </w:pPr>
            <w:r>
              <w:t>70</w:t>
            </w:r>
          </w:p>
        </w:tc>
        <w:tc>
          <w:tcPr>
            <w:tcW w:w="742" w:type="pct"/>
            <w:vAlign w:val="center"/>
          </w:tcPr>
          <w:p w14:paraId="1D99AAC5">
            <w:pPr>
              <w:pStyle w:val="48"/>
            </w:pPr>
            <w:r>
              <w:t>达标</w:t>
            </w:r>
          </w:p>
        </w:tc>
      </w:tr>
      <w:tr w14:paraId="4F983E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454" w:hRule="atLeast"/>
        </w:trPr>
        <w:tc>
          <w:tcPr>
            <w:tcW w:w="429" w:type="pct"/>
            <w:vAlign w:val="center"/>
          </w:tcPr>
          <w:p w14:paraId="3190EBD8">
            <w:pPr>
              <w:pStyle w:val="48"/>
            </w:pPr>
            <w:r>
              <w:t>4</w:t>
            </w:r>
          </w:p>
        </w:tc>
        <w:tc>
          <w:tcPr>
            <w:tcW w:w="559" w:type="pct"/>
            <w:vAlign w:val="center"/>
          </w:tcPr>
          <w:p w14:paraId="3AED0BEE">
            <w:pPr>
              <w:pStyle w:val="48"/>
            </w:pPr>
            <w:r>
              <w:t>PM</w:t>
            </w:r>
            <w:r>
              <w:rPr>
                <w:vertAlign w:val="subscript"/>
              </w:rPr>
              <w:t>2.5</w:t>
            </w:r>
          </w:p>
        </w:tc>
        <w:tc>
          <w:tcPr>
            <w:tcW w:w="1145" w:type="pct"/>
            <w:vAlign w:val="center"/>
          </w:tcPr>
          <w:p w14:paraId="0227F816">
            <w:pPr>
              <w:pStyle w:val="48"/>
            </w:pPr>
            <w:r>
              <w:t>年均值</w:t>
            </w:r>
          </w:p>
        </w:tc>
        <w:tc>
          <w:tcPr>
            <w:tcW w:w="764" w:type="pct"/>
            <w:vAlign w:val="center"/>
          </w:tcPr>
          <w:p w14:paraId="541DBB26">
            <w:pPr>
              <w:pStyle w:val="48"/>
            </w:pPr>
            <w:r>
              <w:t>μg/m</w:t>
            </w:r>
            <w:r>
              <w:rPr>
                <w:vertAlign w:val="superscript"/>
              </w:rPr>
              <w:t>3</w:t>
            </w:r>
          </w:p>
        </w:tc>
        <w:tc>
          <w:tcPr>
            <w:tcW w:w="680" w:type="pct"/>
            <w:tcBorders>
              <w:right w:val="single" w:color="auto" w:sz="4" w:space="0"/>
            </w:tcBorders>
            <w:vAlign w:val="center"/>
          </w:tcPr>
          <w:p w14:paraId="25831621">
            <w:pPr>
              <w:pStyle w:val="48"/>
            </w:pPr>
            <w:r>
              <w:t>36</w:t>
            </w:r>
          </w:p>
        </w:tc>
        <w:tc>
          <w:tcPr>
            <w:tcW w:w="680" w:type="pct"/>
            <w:vAlign w:val="center"/>
          </w:tcPr>
          <w:p w14:paraId="18AC29CF">
            <w:pPr>
              <w:pStyle w:val="48"/>
            </w:pPr>
            <w:r>
              <w:t>35</w:t>
            </w:r>
          </w:p>
        </w:tc>
        <w:tc>
          <w:tcPr>
            <w:tcW w:w="742" w:type="pct"/>
            <w:vAlign w:val="center"/>
          </w:tcPr>
          <w:p w14:paraId="37C44C60">
            <w:pPr>
              <w:pStyle w:val="48"/>
            </w:pPr>
            <w:r>
              <w:rPr>
                <w:rFonts w:hint="eastAsia"/>
              </w:rPr>
              <w:t>超</w:t>
            </w:r>
            <w:r>
              <w:t>标</w:t>
            </w:r>
          </w:p>
        </w:tc>
      </w:tr>
      <w:tr w14:paraId="510A6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454" w:hRule="atLeast"/>
        </w:trPr>
        <w:tc>
          <w:tcPr>
            <w:tcW w:w="429" w:type="pct"/>
            <w:vAlign w:val="center"/>
          </w:tcPr>
          <w:p w14:paraId="4522A72A">
            <w:pPr>
              <w:pStyle w:val="48"/>
            </w:pPr>
            <w:r>
              <w:t>5</w:t>
            </w:r>
          </w:p>
        </w:tc>
        <w:tc>
          <w:tcPr>
            <w:tcW w:w="559" w:type="pct"/>
            <w:vAlign w:val="center"/>
          </w:tcPr>
          <w:p w14:paraId="0489B1B0">
            <w:pPr>
              <w:pStyle w:val="48"/>
            </w:pPr>
            <w:r>
              <w:t>CO</w:t>
            </w:r>
          </w:p>
        </w:tc>
        <w:tc>
          <w:tcPr>
            <w:tcW w:w="1145" w:type="pct"/>
            <w:vAlign w:val="center"/>
          </w:tcPr>
          <w:p w14:paraId="5E2D9678">
            <w:pPr>
              <w:pStyle w:val="48"/>
            </w:pPr>
            <w:r>
              <w:rPr>
                <w:rFonts w:hint="eastAsia"/>
              </w:rPr>
              <w:t>日平均第95百分位数</w:t>
            </w:r>
          </w:p>
        </w:tc>
        <w:tc>
          <w:tcPr>
            <w:tcW w:w="764" w:type="pct"/>
            <w:vAlign w:val="center"/>
          </w:tcPr>
          <w:p w14:paraId="2AF2B8A5">
            <w:pPr>
              <w:pStyle w:val="48"/>
            </w:pPr>
            <w:r>
              <w:t>mg/m</w:t>
            </w:r>
            <w:r>
              <w:rPr>
                <w:vertAlign w:val="superscript"/>
              </w:rPr>
              <w:t>3</w:t>
            </w:r>
          </w:p>
        </w:tc>
        <w:tc>
          <w:tcPr>
            <w:tcW w:w="680" w:type="pct"/>
            <w:tcBorders>
              <w:right w:val="single" w:color="auto" w:sz="4" w:space="0"/>
            </w:tcBorders>
            <w:vAlign w:val="center"/>
          </w:tcPr>
          <w:p w14:paraId="72E45236">
            <w:pPr>
              <w:pStyle w:val="48"/>
            </w:pPr>
            <w:r>
              <w:t>1.1</w:t>
            </w:r>
          </w:p>
        </w:tc>
        <w:tc>
          <w:tcPr>
            <w:tcW w:w="680" w:type="pct"/>
            <w:vAlign w:val="center"/>
          </w:tcPr>
          <w:p w14:paraId="179F6D12">
            <w:pPr>
              <w:pStyle w:val="48"/>
            </w:pPr>
            <w:r>
              <w:t>/</w:t>
            </w:r>
          </w:p>
        </w:tc>
        <w:tc>
          <w:tcPr>
            <w:tcW w:w="742" w:type="pct"/>
            <w:vAlign w:val="center"/>
          </w:tcPr>
          <w:p w14:paraId="2304C009">
            <w:pPr>
              <w:pStyle w:val="48"/>
            </w:pPr>
            <w:r>
              <w:t>达标</w:t>
            </w:r>
          </w:p>
        </w:tc>
      </w:tr>
      <w:tr w14:paraId="35188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6" w:type="dxa"/>
            <w:bottom w:w="0" w:type="dxa"/>
            <w:right w:w="6" w:type="dxa"/>
          </w:tblCellMar>
        </w:tblPrEx>
        <w:trPr>
          <w:trHeight w:val="454" w:hRule="atLeast"/>
        </w:trPr>
        <w:tc>
          <w:tcPr>
            <w:tcW w:w="429" w:type="pct"/>
            <w:vAlign w:val="center"/>
          </w:tcPr>
          <w:p w14:paraId="6CC3D08A">
            <w:pPr>
              <w:pStyle w:val="48"/>
            </w:pPr>
            <w:r>
              <w:t>6</w:t>
            </w:r>
          </w:p>
        </w:tc>
        <w:tc>
          <w:tcPr>
            <w:tcW w:w="559" w:type="pct"/>
            <w:vAlign w:val="center"/>
          </w:tcPr>
          <w:p w14:paraId="0AA6EB26">
            <w:pPr>
              <w:pStyle w:val="48"/>
            </w:pPr>
            <w:r>
              <w:t>O</w:t>
            </w:r>
            <w:r>
              <w:rPr>
                <w:vertAlign w:val="subscript"/>
              </w:rPr>
              <w:t>3</w:t>
            </w:r>
          </w:p>
        </w:tc>
        <w:tc>
          <w:tcPr>
            <w:tcW w:w="1145" w:type="pct"/>
            <w:vAlign w:val="center"/>
          </w:tcPr>
          <w:p w14:paraId="684E78D0">
            <w:pPr>
              <w:pStyle w:val="48"/>
            </w:pPr>
            <w:r>
              <w:rPr>
                <w:rFonts w:hint="eastAsia"/>
              </w:rPr>
              <w:t>日8h最大平均第90百分位数</w:t>
            </w:r>
          </w:p>
        </w:tc>
        <w:tc>
          <w:tcPr>
            <w:tcW w:w="764" w:type="pct"/>
            <w:vAlign w:val="center"/>
          </w:tcPr>
          <w:p w14:paraId="7524A370">
            <w:pPr>
              <w:pStyle w:val="48"/>
            </w:pPr>
            <w:r>
              <w:t>μg/m</w:t>
            </w:r>
            <w:r>
              <w:rPr>
                <w:vertAlign w:val="superscript"/>
              </w:rPr>
              <w:t>3</w:t>
            </w:r>
          </w:p>
        </w:tc>
        <w:tc>
          <w:tcPr>
            <w:tcW w:w="680" w:type="pct"/>
            <w:tcBorders>
              <w:right w:val="single" w:color="auto" w:sz="4" w:space="0"/>
            </w:tcBorders>
            <w:vAlign w:val="center"/>
          </w:tcPr>
          <w:p w14:paraId="55DBF8C0">
            <w:pPr>
              <w:pStyle w:val="48"/>
            </w:pPr>
            <w:r>
              <w:t>136</w:t>
            </w:r>
          </w:p>
        </w:tc>
        <w:tc>
          <w:tcPr>
            <w:tcW w:w="680" w:type="pct"/>
            <w:vAlign w:val="center"/>
          </w:tcPr>
          <w:p w14:paraId="0820B922">
            <w:pPr>
              <w:pStyle w:val="48"/>
            </w:pPr>
            <w:r>
              <w:t>/</w:t>
            </w:r>
          </w:p>
        </w:tc>
        <w:tc>
          <w:tcPr>
            <w:tcW w:w="742" w:type="pct"/>
            <w:vAlign w:val="center"/>
          </w:tcPr>
          <w:p w14:paraId="6FED0859">
            <w:pPr>
              <w:pStyle w:val="48"/>
            </w:pPr>
            <w:r>
              <w:t>达标</w:t>
            </w:r>
          </w:p>
        </w:tc>
      </w:tr>
    </w:tbl>
    <w:p w14:paraId="616D18ED">
      <w:pPr>
        <w:ind w:firstLine="519"/>
        <w:rPr>
          <w:rFonts w:cs="Times New Roman"/>
        </w:rPr>
      </w:pPr>
      <w:r>
        <w:rPr>
          <w:rFonts w:cs="Times New Roman"/>
        </w:rPr>
        <w:t>通过上表可知，松木经开区为环境空气“</w:t>
      </w:r>
      <w:r>
        <w:rPr>
          <w:rFonts w:hint="eastAsia" w:cs="Times New Roman"/>
        </w:rPr>
        <w:t>不</w:t>
      </w:r>
      <w:r>
        <w:rPr>
          <w:rFonts w:cs="Times New Roman"/>
        </w:rPr>
        <w:t>达标区域”</w:t>
      </w:r>
      <w:r>
        <w:rPr>
          <w:rFonts w:hint="eastAsia" w:cs="Times New Roman"/>
        </w:rPr>
        <w:t>，主要影响指标为</w:t>
      </w:r>
      <w:r>
        <w:rPr>
          <w:rFonts w:cs="Times New Roman"/>
        </w:rPr>
        <w:t>PM</w:t>
      </w:r>
      <w:r>
        <w:rPr>
          <w:rFonts w:cs="Times New Roman"/>
          <w:vertAlign w:val="subscript"/>
        </w:rPr>
        <w:t>2.5</w:t>
      </w:r>
      <w:r>
        <w:rPr>
          <w:rFonts w:cs="Times New Roman"/>
        </w:rPr>
        <w:t>。</w:t>
      </w:r>
      <w:r>
        <w:rPr>
          <w:rFonts w:hint="eastAsia" w:cs="Times New Roman"/>
        </w:rPr>
        <w:t xml:space="preserve">根据《衡阳市大气环境质量限期达标规划》（2020-2025）， </w:t>
      </w:r>
      <w:r>
        <w:rPr>
          <w:rFonts w:cs="Times New Roman"/>
        </w:rPr>
        <w:t xml:space="preserve">  </w:t>
      </w:r>
      <w:r>
        <w:rPr>
          <w:rFonts w:hint="eastAsia" w:cs="Times New Roman"/>
        </w:rPr>
        <w:t>2</w:t>
      </w:r>
      <w:r>
        <w:rPr>
          <w:rFonts w:cs="Times New Roman"/>
        </w:rPr>
        <w:t>021</w:t>
      </w:r>
      <w:r>
        <w:rPr>
          <w:rFonts w:hint="eastAsia" w:cs="Times New Roman"/>
        </w:rPr>
        <w:t>年衡阳市环境空气 PM</w:t>
      </w:r>
      <w:r>
        <w:rPr>
          <w:rFonts w:hint="eastAsia" w:cs="Times New Roman"/>
          <w:vertAlign w:val="subscript"/>
        </w:rPr>
        <w:t>2.5</w:t>
      </w:r>
      <w:r>
        <w:rPr>
          <w:rFonts w:hint="eastAsia" w:cs="Times New Roman"/>
        </w:rPr>
        <w:t>年均浓度约束性指标值为38.5</w:t>
      </w:r>
      <w:r>
        <w:rPr>
          <w:rFonts w:cs="Times New Roman"/>
        </w:rPr>
        <w:t>μg/m</w:t>
      </w:r>
      <w:r>
        <w:rPr>
          <w:rFonts w:cs="Times New Roman"/>
          <w:vertAlign w:val="superscript"/>
        </w:rPr>
        <w:t>3</w:t>
      </w:r>
      <w:r>
        <w:rPr>
          <w:rFonts w:hint="eastAsia" w:cs="Times New Roman"/>
        </w:rPr>
        <w:t>，项目所在区域已满足目标值要求。《衡阳市“十四五”空气质量改善规划》（衡环函【202</w:t>
      </w:r>
      <w:r>
        <w:rPr>
          <w:rFonts w:cs="Times New Roman"/>
        </w:rPr>
        <w:t>2</w:t>
      </w:r>
      <w:r>
        <w:rPr>
          <w:rFonts w:hint="eastAsia" w:cs="Times New Roman"/>
        </w:rPr>
        <w:t>】1</w:t>
      </w:r>
      <w:r>
        <w:rPr>
          <w:rFonts w:cs="Times New Roman"/>
        </w:rPr>
        <w:t>6</w:t>
      </w:r>
      <w:r>
        <w:rPr>
          <w:rFonts w:hint="eastAsia" w:cs="Times New Roman"/>
        </w:rPr>
        <w:t>号）已于202</w:t>
      </w:r>
      <w:r>
        <w:rPr>
          <w:rFonts w:cs="Times New Roman"/>
        </w:rPr>
        <w:t>2</w:t>
      </w:r>
      <w:r>
        <w:rPr>
          <w:rFonts w:hint="eastAsia" w:cs="Times New Roman"/>
        </w:rPr>
        <w:t>年</w:t>
      </w:r>
      <w:r>
        <w:rPr>
          <w:rFonts w:cs="Times New Roman"/>
        </w:rPr>
        <w:t>4</w:t>
      </w:r>
      <w:r>
        <w:rPr>
          <w:rFonts w:hint="eastAsia" w:cs="Times New Roman"/>
        </w:rPr>
        <w:t>月发布，根据规划附表，202</w:t>
      </w:r>
      <w:r>
        <w:rPr>
          <w:rFonts w:cs="Times New Roman"/>
        </w:rPr>
        <w:t>5</w:t>
      </w:r>
      <w:r>
        <w:rPr>
          <w:rFonts w:hint="eastAsia" w:cs="Times New Roman"/>
        </w:rPr>
        <w:t>年松木经开区PM</w:t>
      </w:r>
      <w:r>
        <w:rPr>
          <w:rFonts w:hint="eastAsia" w:cs="Times New Roman"/>
          <w:vertAlign w:val="subscript"/>
        </w:rPr>
        <w:t>2.5</w:t>
      </w:r>
      <w:r>
        <w:rPr>
          <w:rFonts w:hint="eastAsia" w:cs="Times New Roman"/>
        </w:rPr>
        <w:t>年平均浓度下降至3</w:t>
      </w:r>
      <w:r>
        <w:rPr>
          <w:rFonts w:cs="Times New Roman"/>
        </w:rPr>
        <w:t>3</w:t>
      </w:r>
      <w:r>
        <w:t>μg/m</w:t>
      </w:r>
      <w:r>
        <w:rPr>
          <w:vertAlign w:val="superscript"/>
        </w:rPr>
        <w:t>3</w:t>
      </w:r>
      <w:r>
        <w:rPr>
          <w:rFonts w:hint="eastAsia" w:cs="Times New Roman"/>
        </w:rPr>
        <w:t>。</w:t>
      </w:r>
    </w:p>
    <w:p w14:paraId="01C4B5F5">
      <w:pPr>
        <w:pStyle w:val="7"/>
      </w:pPr>
      <w:bookmarkStart w:id="308" w:name="_Toc90997664"/>
      <w:bookmarkStart w:id="309" w:name="_Toc121420821"/>
      <w:r>
        <w:t>3.3.2 地表水环境质量现状调查与评价</w:t>
      </w:r>
      <w:bookmarkEnd w:id="308"/>
      <w:bookmarkEnd w:id="309"/>
    </w:p>
    <w:p w14:paraId="434CB71C">
      <w:pPr>
        <w:pStyle w:val="8"/>
        <w:ind w:firstLine="0" w:firstLineChars="0"/>
        <w:rPr>
          <w:rFonts w:cs="Times New Roman"/>
        </w:rPr>
      </w:pPr>
      <w:r>
        <w:rPr>
          <w:rFonts w:cs="Times New Roman"/>
        </w:rPr>
        <w:t>3.3.2.1 区域水环境质量调查</w:t>
      </w:r>
    </w:p>
    <w:p w14:paraId="1AA59F8E">
      <w:pPr>
        <w:ind w:firstLine="519"/>
        <w:rPr>
          <w:rFonts w:cs="Times New Roman"/>
        </w:rPr>
      </w:pPr>
      <w:r>
        <w:rPr>
          <w:rFonts w:cs="Times New Roman"/>
        </w:rPr>
        <w:t>本项目纳污水体为湘江，根据衡阳市生态环境局发布的《关于2021年12月及1-12月全市环境质量状况的通报》，2021年1月-12月</w:t>
      </w:r>
      <w:r>
        <w:rPr>
          <w:rFonts w:hint="eastAsia" w:cs="Times New Roman"/>
        </w:rPr>
        <w:t>湘江城北水厂断面（松木污水处理厂排口上游约11km）和</w:t>
      </w:r>
      <w:r>
        <w:rPr>
          <w:rFonts w:cs="Times New Roman"/>
        </w:rPr>
        <w:t>鱼石村断面</w:t>
      </w:r>
      <w:r>
        <w:rPr>
          <w:rFonts w:hint="eastAsia" w:cs="Times New Roman"/>
        </w:rPr>
        <w:t>（松木污水处理厂排口下游约12km）均</w:t>
      </w:r>
      <w:r>
        <w:rPr>
          <w:rFonts w:cs="Times New Roman"/>
        </w:rPr>
        <w:t>为</w:t>
      </w:r>
      <w:r>
        <w:rPr>
          <w:rFonts w:cs="Times New Roman"/>
        </w:rPr>
        <w:fldChar w:fldCharType="begin"/>
      </w:r>
      <w:r>
        <w:rPr>
          <w:rFonts w:cs="Times New Roman"/>
        </w:rPr>
        <w:instrText xml:space="preserve"> = 2 \* ROMAN </w:instrText>
      </w:r>
      <w:r>
        <w:rPr>
          <w:rFonts w:cs="Times New Roman"/>
        </w:rPr>
        <w:fldChar w:fldCharType="separate"/>
      </w:r>
      <w:r>
        <w:rPr>
          <w:rFonts w:cs="Times New Roman"/>
        </w:rPr>
        <w:t>II</w:t>
      </w:r>
      <w:r>
        <w:rPr>
          <w:rFonts w:cs="Times New Roman"/>
        </w:rPr>
        <w:fldChar w:fldCharType="end"/>
      </w:r>
      <w:r>
        <w:rPr>
          <w:rFonts w:cs="Times New Roman"/>
        </w:rPr>
        <w:t>类。</w:t>
      </w:r>
    </w:p>
    <w:p w14:paraId="164DCC24">
      <w:pPr>
        <w:pStyle w:val="8"/>
        <w:ind w:firstLine="0" w:firstLineChars="0"/>
        <w:rPr>
          <w:rFonts w:cs="Times New Roman"/>
        </w:rPr>
      </w:pPr>
      <w:r>
        <w:rPr>
          <w:rFonts w:cs="Times New Roman"/>
        </w:rPr>
        <w:t>3.3.2.2 地表水环境质量引用监测</w:t>
      </w:r>
    </w:p>
    <w:p w14:paraId="2FD6AB8C">
      <w:pPr>
        <w:ind w:firstLine="519"/>
        <w:rPr>
          <w:rFonts w:cs="Times New Roman"/>
        </w:rPr>
      </w:pPr>
      <w:r>
        <w:rPr>
          <w:rFonts w:cs="Times New Roman"/>
        </w:rPr>
        <w:t>本次环评，引用</w:t>
      </w:r>
      <w:r>
        <w:rPr>
          <w:rFonts w:hint="eastAsia" w:cs="Times New Roman"/>
        </w:rPr>
        <w:t>《衡阳小桔制药有限公司年产500T邻氯西林酰氯等医药化工中间体生产线建设项目环境影响报告书》</w:t>
      </w:r>
      <w:r>
        <w:rPr>
          <w:rFonts w:cs="Times New Roman"/>
        </w:rPr>
        <w:t>中委托</w:t>
      </w:r>
      <w:r>
        <w:rPr>
          <w:rFonts w:hint="eastAsia" w:cs="Times New Roman"/>
        </w:rPr>
        <w:t>湖南桓泓检测技术有限公司</w:t>
      </w:r>
      <w:r>
        <w:rPr>
          <w:rFonts w:cs="Times New Roman"/>
        </w:rPr>
        <w:t>于2022年11月1日至3日对湘江</w:t>
      </w:r>
      <w:r>
        <w:rPr>
          <w:rFonts w:hint="eastAsia" w:cs="Times New Roman"/>
        </w:rPr>
        <w:t>松木污水处理厂排放口上下游</w:t>
      </w:r>
      <w:r>
        <w:rPr>
          <w:rFonts w:cs="Times New Roman"/>
        </w:rPr>
        <w:t>的监测数据。</w:t>
      </w:r>
    </w:p>
    <w:p w14:paraId="5E951191">
      <w:pPr>
        <w:ind w:firstLine="519"/>
        <w:rPr>
          <w:rFonts w:cs="Times New Roman"/>
        </w:rPr>
      </w:pPr>
      <w:r>
        <w:rPr>
          <w:rFonts w:cs="Times New Roman"/>
        </w:rPr>
        <w:t>（1）监测断面：共设置3个监测断面，即SY1~SY3，详见下表所示。</w:t>
      </w:r>
    </w:p>
    <w:p w14:paraId="694CF684">
      <w:pPr>
        <w:pStyle w:val="9"/>
      </w:pPr>
      <w:r>
        <w:t>表3.3-2  地表水环境质量监测断面</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05"/>
        <w:gridCol w:w="7123"/>
      </w:tblGrid>
      <w:tr w14:paraId="3D01A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824" w:type="pct"/>
            <w:vAlign w:val="center"/>
          </w:tcPr>
          <w:p w14:paraId="7A9FA44B">
            <w:pPr>
              <w:pStyle w:val="48"/>
            </w:pPr>
            <w:r>
              <w:t>编号</w:t>
            </w:r>
          </w:p>
        </w:tc>
        <w:tc>
          <w:tcPr>
            <w:tcW w:w="4176" w:type="pct"/>
            <w:vAlign w:val="center"/>
          </w:tcPr>
          <w:p w14:paraId="1789B720">
            <w:pPr>
              <w:pStyle w:val="48"/>
            </w:pPr>
            <w:r>
              <w:t>监测断面</w:t>
            </w:r>
          </w:p>
        </w:tc>
      </w:tr>
      <w:tr w14:paraId="07E3E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824" w:type="pct"/>
            <w:vAlign w:val="center"/>
          </w:tcPr>
          <w:p w14:paraId="66CC5CD7">
            <w:pPr>
              <w:pStyle w:val="48"/>
            </w:pPr>
            <w:r>
              <w:t>SY1</w:t>
            </w:r>
          </w:p>
        </w:tc>
        <w:tc>
          <w:tcPr>
            <w:tcW w:w="4176" w:type="pct"/>
            <w:vAlign w:val="center"/>
          </w:tcPr>
          <w:p w14:paraId="07EE00A4">
            <w:pPr>
              <w:pStyle w:val="48"/>
            </w:pPr>
            <w:r>
              <w:t>松木污水处理厂排污口上游 500m 处</w:t>
            </w:r>
          </w:p>
        </w:tc>
      </w:tr>
      <w:tr w14:paraId="624D6D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824" w:type="pct"/>
            <w:vAlign w:val="center"/>
          </w:tcPr>
          <w:p w14:paraId="79B77908">
            <w:pPr>
              <w:pStyle w:val="48"/>
            </w:pPr>
            <w:r>
              <w:t>SY2</w:t>
            </w:r>
          </w:p>
        </w:tc>
        <w:tc>
          <w:tcPr>
            <w:tcW w:w="4176" w:type="pct"/>
            <w:vAlign w:val="center"/>
          </w:tcPr>
          <w:p w14:paraId="7238AFF4">
            <w:pPr>
              <w:pStyle w:val="48"/>
            </w:pPr>
            <w:r>
              <w:t>松木污水处理厂排污口下游 500m 处</w:t>
            </w:r>
          </w:p>
        </w:tc>
      </w:tr>
      <w:tr w14:paraId="0BB84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824" w:type="pct"/>
            <w:vAlign w:val="center"/>
          </w:tcPr>
          <w:p w14:paraId="06965D75">
            <w:pPr>
              <w:pStyle w:val="48"/>
            </w:pPr>
            <w:r>
              <w:rPr>
                <w:rFonts w:hint="eastAsia"/>
              </w:rPr>
              <w:t>SY</w:t>
            </w:r>
            <w:r>
              <w:t>3</w:t>
            </w:r>
          </w:p>
        </w:tc>
        <w:tc>
          <w:tcPr>
            <w:tcW w:w="4176" w:type="pct"/>
            <w:vAlign w:val="center"/>
          </w:tcPr>
          <w:p w14:paraId="4F6F1DBB">
            <w:pPr>
              <w:pStyle w:val="48"/>
            </w:pPr>
            <w:r>
              <w:rPr>
                <w:rFonts w:hint="eastAsia"/>
              </w:rPr>
              <w:t xml:space="preserve">松木污水处理厂排污口下游 </w:t>
            </w:r>
            <w:r>
              <w:t>30</w:t>
            </w:r>
            <w:r>
              <w:rPr>
                <w:rFonts w:hint="eastAsia"/>
              </w:rPr>
              <w:t>00m 处</w:t>
            </w:r>
          </w:p>
        </w:tc>
      </w:tr>
    </w:tbl>
    <w:p w14:paraId="7A6E5045">
      <w:pPr>
        <w:ind w:firstLine="519"/>
        <w:rPr>
          <w:rFonts w:cs="Times New Roman"/>
        </w:rPr>
      </w:pPr>
      <w:r>
        <w:rPr>
          <w:rFonts w:cs="Times New Roman"/>
        </w:rPr>
        <w:t>（2）监测因子：</w:t>
      </w:r>
      <w:r>
        <w:rPr>
          <w:rFonts w:hint="eastAsia" w:cs="Times New Roman"/>
        </w:rPr>
        <w:t>水温、pH、化学需氧量、BOD</w:t>
      </w:r>
      <w:r>
        <w:rPr>
          <w:rFonts w:hint="eastAsia" w:cs="Times New Roman"/>
          <w:vertAlign w:val="subscript"/>
        </w:rPr>
        <w:t>5</w:t>
      </w:r>
      <w:r>
        <w:rPr>
          <w:rFonts w:hint="eastAsia" w:cs="Times New Roman"/>
        </w:rPr>
        <w:t>、总磷、NH</w:t>
      </w:r>
      <w:r>
        <w:rPr>
          <w:rFonts w:hint="eastAsia" w:cs="Times New Roman"/>
          <w:vertAlign w:val="subscript"/>
        </w:rPr>
        <w:t>3</w:t>
      </w:r>
      <w:r>
        <w:rPr>
          <w:rFonts w:hint="eastAsia" w:cs="Times New Roman"/>
        </w:rPr>
        <w:t>-N、铅、镍、锌、砷、汞、镉、铬（六价）、铊</w:t>
      </w:r>
      <w:r>
        <w:rPr>
          <w:rFonts w:cs="Times New Roman"/>
        </w:rPr>
        <w:t>。</w:t>
      </w:r>
    </w:p>
    <w:p w14:paraId="10FE6C26">
      <w:pPr>
        <w:ind w:firstLine="519"/>
        <w:rPr>
          <w:rFonts w:cs="Times New Roman"/>
        </w:rPr>
      </w:pPr>
      <w:r>
        <w:rPr>
          <w:rFonts w:cs="Times New Roman"/>
        </w:rPr>
        <w:t>（3）监测频次：连续监测3天，每天一次。</w:t>
      </w:r>
    </w:p>
    <w:p w14:paraId="42A5767A">
      <w:pPr>
        <w:ind w:firstLine="519"/>
        <w:rPr>
          <w:rFonts w:cs="Times New Roman"/>
        </w:rPr>
      </w:pPr>
      <w:r>
        <w:rPr>
          <w:rFonts w:cs="Times New Roman"/>
        </w:rPr>
        <w:t>（4）执行标准：执行《地表水环境质量标准》（GB3838-2002）</w:t>
      </w:r>
      <w:r>
        <w:rPr>
          <w:rFonts w:hint="eastAsia" w:ascii="宋体" w:hAnsi="宋体" w:cs="宋体"/>
        </w:rPr>
        <w:t>Ⅲ</w:t>
      </w:r>
      <w:r>
        <w:rPr>
          <w:rFonts w:cs="Times New Roman"/>
        </w:rPr>
        <w:t>类标准执行。</w:t>
      </w:r>
    </w:p>
    <w:p w14:paraId="5E386197">
      <w:pPr>
        <w:ind w:firstLine="519"/>
        <w:rPr>
          <w:rFonts w:cs="Times New Roman"/>
        </w:rPr>
      </w:pPr>
      <w:r>
        <w:rPr>
          <w:rFonts w:cs="Times New Roman"/>
        </w:rPr>
        <w:t>（5）监测结果：监测结果见下表。</w:t>
      </w:r>
    </w:p>
    <w:p w14:paraId="125E8938">
      <w:pPr>
        <w:pStyle w:val="9"/>
      </w:pPr>
      <w:r>
        <w:t>表3.3-3 引用地表水环境质量检测结果（单位：mg/L，pH除外）</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5"/>
        <w:gridCol w:w="2011"/>
        <w:gridCol w:w="1854"/>
        <w:gridCol w:w="2030"/>
        <w:gridCol w:w="880"/>
        <w:gridCol w:w="948"/>
      </w:tblGrid>
      <w:tr w14:paraId="0A16B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blHeader/>
        </w:trPr>
        <w:tc>
          <w:tcPr>
            <w:tcW w:w="472" w:type="pct"/>
            <w:shd w:val="clear" w:color="auto" w:fill="auto"/>
            <w:vAlign w:val="center"/>
          </w:tcPr>
          <w:p w14:paraId="08F48DE2">
            <w:pPr>
              <w:pStyle w:val="48"/>
            </w:pPr>
            <w:r>
              <w:t>断面</w:t>
            </w:r>
          </w:p>
        </w:tc>
        <w:tc>
          <w:tcPr>
            <w:tcW w:w="1179" w:type="pct"/>
            <w:shd w:val="clear" w:color="auto" w:fill="auto"/>
            <w:vAlign w:val="center"/>
          </w:tcPr>
          <w:p w14:paraId="6889DA8E">
            <w:pPr>
              <w:pStyle w:val="48"/>
            </w:pPr>
            <w:r>
              <w:t>项目</w:t>
            </w:r>
          </w:p>
        </w:tc>
        <w:tc>
          <w:tcPr>
            <w:tcW w:w="1087" w:type="pct"/>
            <w:shd w:val="clear" w:color="auto" w:fill="auto"/>
            <w:noWrap/>
            <w:vAlign w:val="center"/>
          </w:tcPr>
          <w:p w14:paraId="57C39D2B">
            <w:pPr>
              <w:pStyle w:val="48"/>
            </w:pPr>
            <w:r>
              <w:t>浓度范围</w:t>
            </w:r>
          </w:p>
        </w:tc>
        <w:tc>
          <w:tcPr>
            <w:tcW w:w="1190" w:type="pct"/>
            <w:shd w:val="clear" w:color="auto" w:fill="auto"/>
            <w:noWrap/>
            <w:vAlign w:val="center"/>
          </w:tcPr>
          <w:p w14:paraId="10EB283A">
            <w:pPr>
              <w:pStyle w:val="48"/>
            </w:pPr>
            <w:r>
              <w:t>水质指数</w:t>
            </w:r>
          </w:p>
        </w:tc>
        <w:tc>
          <w:tcPr>
            <w:tcW w:w="516" w:type="pct"/>
            <w:vAlign w:val="center"/>
          </w:tcPr>
          <w:p w14:paraId="62C26237">
            <w:pPr>
              <w:pStyle w:val="48"/>
            </w:pPr>
            <w:r>
              <w:t>评价结果</w:t>
            </w:r>
          </w:p>
        </w:tc>
        <w:tc>
          <w:tcPr>
            <w:tcW w:w="556" w:type="pct"/>
            <w:shd w:val="clear" w:color="auto" w:fill="auto"/>
            <w:noWrap/>
            <w:vAlign w:val="center"/>
          </w:tcPr>
          <w:p w14:paraId="4A097D3C">
            <w:pPr>
              <w:pStyle w:val="48"/>
            </w:pPr>
            <w:r>
              <w:t>标准值</w:t>
            </w:r>
          </w:p>
        </w:tc>
      </w:tr>
      <w:tr w14:paraId="48F7CF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restart"/>
            <w:shd w:val="clear" w:color="auto" w:fill="auto"/>
            <w:vAlign w:val="center"/>
          </w:tcPr>
          <w:p w14:paraId="52EE2B6D">
            <w:pPr>
              <w:pStyle w:val="48"/>
            </w:pPr>
            <w:r>
              <w:t>SY1 松木污水处理厂排污口上游500m 处</w:t>
            </w:r>
          </w:p>
        </w:tc>
        <w:tc>
          <w:tcPr>
            <w:tcW w:w="1179" w:type="pct"/>
            <w:shd w:val="clear" w:color="auto" w:fill="auto"/>
            <w:vAlign w:val="center"/>
          </w:tcPr>
          <w:p w14:paraId="785A969B">
            <w:pPr>
              <w:pStyle w:val="48"/>
            </w:pPr>
            <w:r>
              <w:t>水温（</w:t>
            </w:r>
            <w:r>
              <w:rPr>
                <w:rFonts w:hint="eastAsia" w:ascii="宋体" w:hAnsi="宋体" w:cs="宋体"/>
              </w:rPr>
              <w:t>℃</w:t>
            </w:r>
            <w:r>
              <w:t>）</w:t>
            </w:r>
          </w:p>
        </w:tc>
        <w:tc>
          <w:tcPr>
            <w:tcW w:w="1087" w:type="pct"/>
            <w:shd w:val="clear" w:color="auto" w:fill="auto"/>
            <w:noWrap/>
            <w:vAlign w:val="center"/>
          </w:tcPr>
          <w:p w14:paraId="79817D58">
            <w:pPr>
              <w:pStyle w:val="48"/>
            </w:pPr>
            <w:r>
              <w:t>**</w:t>
            </w:r>
          </w:p>
        </w:tc>
        <w:tc>
          <w:tcPr>
            <w:tcW w:w="1190" w:type="pct"/>
            <w:shd w:val="clear" w:color="auto" w:fill="auto"/>
            <w:noWrap/>
            <w:vAlign w:val="center"/>
          </w:tcPr>
          <w:p w14:paraId="4D2D149B">
            <w:pPr>
              <w:pStyle w:val="48"/>
            </w:pPr>
            <w:r>
              <w:t>/</w:t>
            </w:r>
          </w:p>
        </w:tc>
        <w:tc>
          <w:tcPr>
            <w:tcW w:w="516" w:type="pct"/>
            <w:vAlign w:val="center"/>
          </w:tcPr>
          <w:p w14:paraId="0B2F82F2">
            <w:pPr>
              <w:pStyle w:val="48"/>
            </w:pPr>
            <w:r>
              <w:t>/</w:t>
            </w:r>
          </w:p>
        </w:tc>
        <w:tc>
          <w:tcPr>
            <w:tcW w:w="556" w:type="pct"/>
            <w:shd w:val="clear" w:color="auto" w:fill="auto"/>
            <w:vAlign w:val="center"/>
          </w:tcPr>
          <w:p w14:paraId="38BA544B">
            <w:pPr>
              <w:pStyle w:val="48"/>
            </w:pPr>
            <w:r>
              <w:t>/</w:t>
            </w:r>
          </w:p>
        </w:tc>
      </w:tr>
      <w:tr w14:paraId="0390C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5E9702FA">
            <w:pPr>
              <w:pStyle w:val="48"/>
            </w:pPr>
          </w:p>
        </w:tc>
        <w:tc>
          <w:tcPr>
            <w:tcW w:w="1179" w:type="pct"/>
            <w:shd w:val="clear" w:color="auto" w:fill="auto"/>
            <w:vAlign w:val="center"/>
          </w:tcPr>
          <w:p w14:paraId="006416EE">
            <w:pPr>
              <w:pStyle w:val="48"/>
            </w:pPr>
            <w:r>
              <w:t>pH值（无量纲）</w:t>
            </w:r>
          </w:p>
        </w:tc>
        <w:tc>
          <w:tcPr>
            <w:tcW w:w="1087" w:type="pct"/>
            <w:shd w:val="clear" w:color="auto" w:fill="auto"/>
            <w:noWrap/>
          </w:tcPr>
          <w:p w14:paraId="31B707EB">
            <w:pPr>
              <w:pStyle w:val="48"/>
            </w:pPr>
            <w:r>
              <w:t>**</w:t>
            </w:r>
          </w:p>
        </w:tc>
        <w:tc>
          <w:tcPr>
            <w:tcW w:w="1190" w:type="pct"/>
            <w:shd w:val="clear" w:color="auto" w:fill="auto"/>
            <w:noWrap/>
          </w:tcPr>
          <w:p w14:paraId="4D7377B7">
            <w:pPr>
              <w:pStyle w:val="48"/>
            </w:pPr>
            <w:r>
              <w:t>**</w:t>
            </w:r>
          </w:p>
        </w:tc>
        <w:tc>
          <w:tcPr>
            <w:tcW w:w="516" w:type="pct"/>
            <w:vAlign w:val="center"/>
          </w:tcPr>
          <w:p w14:paraId="1EA55777">
            <w:pPr>
              <w:pStyle w:val="48"/>
            </w:pPr>
            <w:r>
              <w:t>达标</w:t>
            </w:r>
          </w:p>
        </w:tc>
        <w:tc>
          <w:tcPr>
            <w:tcW w:w="556" w:type="pct"/>
            <w:shd w:val="clear" w:color="auto" w:fill="auto"/>
            <w:vAlign w:val="center"/>
          </w:tcPr>
          <w:p w14:paraId="4D6B4BF2">
            <w:pPr>
              <w:pStyle w:val="48"/>
            </w:pPr>
            <w:r>
              <w:t>6-9</w:t>
            </w:r>
          </w:p>
        </w:tc>
      </w:tr>
      <w:tr w14:paraId="51C8E2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519A3BA5">
            <w:pPr>
              <w:pStyle w:val="48"/>
            </w:pPr>
          </w:p>
        </w:tc>
        <w:tc>
          <w:tcPr>
            <w:tcW w:w="1179" w:type="pct"/>
            <w:shd w:val="clear" w:color="auto" w:fill="auto"/>
            <w:vAlign w:val="center"/>
          </w:tcPr>
          <w:p w14:paraId="2E9CD3D0">
            <w:pPr>
              <w:pStyle w:val="48"/>
              <w:rPr>
                <w:b/>
                <w:bCs/>
              </w:rPr>
            </w:pPr>
            <w:r>
              <w:t>化学需氧量</w:t>
            </w:r>
          </w:p>
        </w:tc>
        <w:tc>
          <w:tcPr>
            <w:tcW w:w="1087" w:type="pct"/>
            <w:shd w:val="clear" w:color="auto" w:fill="auto"/>
            <w:noWrap/>
          </w:tcPr>
          <w:p w14:paraId="2527AE18">
            <w:pPr>
              <w:pStyle w:val="48"/>
            </w:pPr>
            <w:r>
              <w:t>**</w:t>
            </w:r>
          </w:p>
        </w:tc>
        <w:tc>
          <w:tcPr>
            <w:tcW w:w="1190" w:type="pct"/>
            <w:shd w:val="clear" w:color="auto" w:fill="auto"/>
            <w:noWrap/>
          </w:tcPr>
          <w:p w14:paraId="66AD216D">
            <w:pPr>
              <w:pStyle w:val="48"/>
            </w:pPr>
            <w:r>
              <w:t>**</w:t>
            </w:r>
          </w:p>
        </w:tc>
        <w:tc>
          <w:tcPr>
            <w:tcW w:w="516" w:type="pct"/>
            <w:vAlign w:val="center"/>
          </w:tcPr>
          <w:p w14:paraId="4C4EEAB2">
            <w:pPr>
              <w:pStyle w:val="48"/>
            </w:pPr>
            <w:r>
              <w:t>达标</w:t>
            </w:r>
          </w:p>
        </w:tc>
        <w:tc>
          <w:tcPr>
            <w:tcW w:w="556" w:type="pct"/>
            <w:shd w:val="clear" w:color="auto" w:fill="auto"/>
            <w:vAlign w:val="center"/>
          </w:tcPr>
          <w:p w14:paraId="09767AD2">
            <w:pPr>
              <w:pStyle w:val="48"/>
            </w:pPr>
            <w:r>
              <w:t>20</w:t>
            </w:r>
          </w:p>
        </w:tc>
      </w:tr>
      <w:tr w14:paraId="720AE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1A73AE81">
            <w:pPr>
              <w:pStyle w:val="48"/>
            </w:pPr>
          </w:p>
        </w:tc>
        <w:tc>
          <w:tcPr>
            <w:tcW w:w="1179" w:type="pct"/>
            <w:shd w:val="clear" w:color="auto" w:fill="auto"/>
            <w:vAlign w:val="center"/>
          </w:tcPr>
          <w:p w14:paraId="6A0DF698">
            <w:pPr>
              <w:pStyle w:val="48"/>
              <w:rPr>
                <w:b/>
                <w:bCs/>
              </w:rPr>
            </w:pPr>
            <w:r>
              <w:t>五日生化需氧量</w:t>
            </w:r>
          </w:p>
        </w:tc>
        <w:tc>
          <w:tcPr>
            <w:tcW w:w="1087" w:type="pct"/>
            <w:shd w:val="clear" w:color="auto" w:fill="auto"/>
            <w:noWrap/>
          </w:tcPr>
          <w:p w14:paraId="38A97B9B">
            <w:pPr>
              <w:pStyle w:val="48"/>
            </w:pPr>
            <w:r>
              <w:t>**</w:t>
            </w:r>
          </w:p>
        </w:tc>
        <w:tc>
          <w:tcPr>
            <w:tcW w:w="1190" w:type="pct"/>
            <w:shd w:val="clear" w:color="auto" w:fill="auto"/>
            <w:noWrap/>
          </w:tcPr>
          <w:p w14:paraId="79229661">
            <w:pPr>
              <w:pStyle w:val="48"/>
            </w:pPr>
            <w:r>
              <w:t>**</w:t>
            </w:r>
          </w:p>
        </w:tc>
        <w:tc>
          <w:tcPr>
            <w:tcW w:w="516" w:type="pct"/>
            <w:vAlign w:val="center"/>
          </w:tcPr>
          <w:p w14:paraId="7AD733DA">
            <w:pPr>
              <w:pStyle w:val="48"/>
            </w:pPr>
            <w:r>
              <w:t>达标</w:t>
            </w:r>
          </w:p>
        </w:tc>
        <w:tc>
          <w:tcPr>
            <w:tcW w:w="556" w:type="pct"/>
            <w:shd w:val="clear" w:color="auto" w:fill="auto"/>
            <w:vAlign w:val="center"/>
          </w:tcPr>
          <w:p w14:paraId="7112AEB7">
            <w:pPr>
              <w:pStyle w:val="48"/>
            </w:pPr>
            <w:r>
              <w:t>4</w:t>
            </w:r>
          </w:p>
        </w:tc>
      </w:tr>
      <w:tr w14:paraId="049DB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15329222">
            <w:pPr>
              <w:pStyle w:val="48"/>
            </w:pPr>
          </w:p>
        </w:tc>
        <w:tc>
          <w:tcPr>
            <w:tcW w:w="1179" w:type="pct"/>
            <w:shd w:val="clear" w:color="auto" w:fill="auto"/>
            <w:vAlign w:val="center"/>
          </w:tcPr>
          <w:p w14:paraId="732B7E45">
            <w:pPr>
              <w:pStyle w:val="48"/>
              <w:rPr>
                <w:b/>
                <w:bCs/>
              </w:rPr>
            </w:pPr>
            <w:r>
              <w:t>氨氮</w:t>
            </w:r>
          </w:p>
        </w:tc>
        <w:tc>
          <w:tcPr>
            <w:tcW w:w="1087" w:type="pct"/>
            <w:shd w:val="clear" w:color="auto" w:fill="auto"/>
            <w:noWrap/>
          </w:tcPr>
          <w:p w14:paraId="1A8571A1">
            <w:pPr>
              <w:pStyle w:val="48"/>
            </w:pPr>
            <w:r>
              <w:t>**</w:t>
            </w:r>
          </w:p>
        </w:tc>
        <w:tc>
          <w:tcPr>
            <w:tcW w:w="1190" w:type="pct"/>
            <w:shd w:val="clear" w:color="auto" w:fill="auto"/>
            <w:noWrap/>
          </w:tcPr>
          <w:p w14:paraId="652CE0C8">
            <w:pPr>
              <w:pStyle w:val="48"/>
            </w:pPr>
            <w:r>
              <w:t>**</w:t>
            </w:r>
          </w:p>
        </w:tc>
        <w:tc>
          <w:tcPr>
            <w:tcW w:w="516" w:type="pct"/>
            <w:vAlign w:val="center"/>
          </w:tcPr>
          <w:p w14:paraId="7C66D38E">
            <w:pPr>
              <w:pStyle w:val="48"/>
            </w:pPr>
            <w:r>
              <w:t>达标</w:t>
            </w:r>
          </w:p>
        </w:tc>
        <w:tc>
          <w:tcPr>
            <w:tcW w:w="556" w:type="pct"/>
            <w:shd w:val="clear" w:color="auto" w:fill="auto"/>
            <w:vAlign w:val="center"/>
          </w:tcPr>
          <w:p w14:paraId="7E011AE6">
            <w:pPr>
              <w:pStyle w:val="48"/>
            </w:pPr>
            <w:r>
              <w:t>1.0</w:t>
            </w:r>
          </w:p>
        </w:tc>
      </w:tr>
      <w:tr w14:paraId="703FA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03A4DDA8">
            <w:pPr>
              <w:pStyle w:val="48"/>
            </w:pPr>
          </w:p>
        </w:tc>
        <w:tc>
          <w:tcPr>
            <w:tcW w:w="1179" w:type="pct"/>
            <w:shd w:val="clear" w:color="auto" w:fill="auto"/>
            <w:vAlign w:val="center"/>
          </w:tcPr>
          <w:p w14:paraId="2BD86B40">
            <w:pPr>
              <w:pStyle w:val="48"/>
            </w:pPr>
            <w:r>
              <w:t>总磷（以P计）</w:t>
            </w:r>
          </w:p>
        </w:tc>
        <w:tc>
          <w:tcPr>
            <w:tcW w:w="1087" w:type="pct"/>
            <w:shd w:val="clear" w:color="auto" w:fill="auto"/>
            <w:noWrap/>
          </w:tcPr>
          <w:p w14:paraId="77FC3F07">
            <w:pPr>
              <w:pStyle w:val="48"/>
            </w:pPr>
            <w:r>
              <w:t>**</w:t>
            </w:r>
          </w:p>
        </w:tc>
        <w:tc>
          <w:tcPr>
            <w:tcW w:w="1190" w:type="pct"/>
            <w:shd w:val="clear" w:color="auto" w:fill="auto"/>
            <w:noWrap/>
          </w:tcPr>
          <w:p w14:paraId="4A141F62">
            <w:pPr>
              <w:pStyle w:val="48"/>
            </w:pPr>
            <w:r>
              <w:t>**</w:t>
            </w:r>
          </w:p>
        </w:tc>
        <w:tc>
          <w:tcPr>
            <w:tcW w:w="516" w:type="pct"/>
            <w:vAlign w:val="center"/>
          </w:tcPr>
          <w:p w14:paraId="64051B15">
            <w:pPr>
              <w:pStyle w:val="48"/>
            </w:pPr>
            <w:r>
              <w:t>达标</w:t>
            </w:r>
          </w:p>
        </w:tc>
        <w:tc>
          <w:tcPr>
            <w:tcW w:w="556" w:type="pct"/>
            <w:shd w:val="clear" w:color="auto" w:fill="auto"/>
            <w:vAlign w:val="center"/>
          </w:tcPr>
          <w:p w14:paraId="748AB3DB">
            <w:pPr>
              <w:pStyle w:val="48"/>
            </w:pPr>
            <w:r>
              <w:t>0.2</w:t>
            </w:r>
          </w:p>
        </w:tc>
      </w:tr>
      <w:tr w14:paraId="4F64B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280B5FA0">
            <w:pPr>
              <w:pStyle w:val="48"/>
            </w:pPr>
          </w:p>
        </w:tc>
        <w:tc>
          <w:tcPr>
            <w:tcW w:w="1179" w:type="pct"/>
            <w:shd w:val="clear" w:color="auto" w:fill="auto"/>
            <w:vAlign w:val="center"/>
          </w:tcPr>
          <w:p w14:paraId="60E2B67D">
            <w:pPr>
              <w:pStyle w:val="48"/>
            </w:pPr>
            <w:r>
              <w:t>锌</w:t>
            </w:r>
          </w:p>
        </w:tc>
        <w:tc>
          <w:tcPr>
            <w:tcW w:w="1087" w:type="pct"/>
            <w:shd w:val="clear" w:color="auto" w:fill="auto"/>
            <w:noWrap/>
          </w:tcPr>
          <w:p w14:paraId="09B86901">
            <w:pPr>
              <w:pStyle w:val="48"/>
            </w:pPr>
            <w:r>
              <w:t>**</w:t>
            </w:r>
          </w:p>
        </w:tc>
        <w:tc>
          <w:tcPr>
            <w:tcW w:w="1190" w:type="pct"/>
            <w:shd w:val="clear" w:color="auto" w:fill="auto"/>
            <w:noWrap/>
          </w:tcPr>
          <w:p w14:paraId="5F2E32E7">
            <w:pPr>
              <w:pStyle w:val="48"/>
            </w:pPr>
            <w:r>
              <w:t>**</w:t>
            </w:r>
          </w:p>
        </w:tc>
        <w:tc>
          <w:tcPr>
            <w:tcW w:w="516" w:type="pct"/>
            <w:vAlign w:val="center"/>
          </w:tcPr>
          <w:p w14:paraId="6CCE94C9">
            <w:pPr>
              <w:pStyle w:val="48"/>
            </w:pPr>
            <w:r>
              <w:t>达标</w:t>
            </w:r>
          </w:p>
        </w:tc>
        <w:tc>
          <w:tcPr>
            <w:tcW w:w="556" w:type="pct"/>
            <w:shd w:val="clear" w:color="auto" w:fill="auto"/>
            <w:vAlign w:val="center"/>
          </w:tcPr>
          <w:p w14:paraId="235975B7">
            <w:pPr>
              <w:pStyle w:val="48"/>
            </w:pPr>
            <w:r>
              <w:t>1.0</w:t>
            </w:r>
          </w:p>
        </w:tc>
      </w:tr>
      <w:tr w14:paraId="4119C7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2967D4BD">
            <w:pPr>
              <w:pStyle w:val="48"/>
            </w:pPr>
          </w:p>
        </w:tc>
        <w:tc>
          <w:tcPr>
            <w:tcW w:w="1179" w:type="pct"/>
            <w:shd w:val="clear" w:color="auto" w:fill="auto"/>
            <w:vAlign w:val="center"/>
          </w:tcPr>
          <w:p w14:paraId="18927FA9">
            <w:pPr>
              <w:pStyle w:val="48"/>
            </w:pPr>
            <w:r>
              <w:t>砷</w:t>
            </w:r>
          </w:p>
        </w:tc>
        <w:tc>
          <w:tcPr>
            <w:tcW w:w="1087" w:type="pct"/>
            <w:shd w:val="clear" w:color="auto" w:fill="auto"/>
            <w:noWrap/>
          </w:tcPr>
          <w:p w14:paraId="1C7D7D97">
            <w:pPr>
              <w:pStyle w:val="48"/>
            </w:pPr>
            <w:r>
              <w:t>**</w:t>
            </w:r>
          </w:p>
        </w:tc>
        <w:tc>
          <w:tcPr>
            <w:tcW w:w="1190" w:type="pct"/>
            <w:shd w:val="clear" w:color="auto" w:fill="auto"/>
            <w:noWrap/>
          </w:tcPr>
          <w:p w14:paraId="684A0F19">
            <w:pPr>
              <w:pStyle w:val="48"/>
            </w:pPr>
            <w:r>
              <w:t>**</w:t>
            </w:r>
          </w:p>
        </w:tc>
        <w:tc>
          <w:tcPr>
            <w:tcW w:w="516" w:type="pct"/>
            <w:vAlign w:val="center"/>
          </w:tcPr>
          <w:p w14:paraId="35FA0E83">
            <w:pPr>
              <w:pStyle w:val="48"/>
            </w:pPr>
            <w:r>
              <w:t>达标</w:t>
            </w:r>
          </w:p>
        </w:tc>
        <w:tc>
          <w:tcPr>
            <w:tcW w:w="556" w:type="pct"/>
            <w:shd w:val="clear" w:color="auto" w:fill="auto"/>
            <w:vAlign w:val="center"/>
          </w:tcPr>
          <w:p w14:paraId="63490235">
            <w:pPr>
              <w:pStyle w:val="48"/>
            </w:pPr>
            <w:r>
              <w:t>0.05</w:t>
            </w:r>
          </w:p>
        </w:tc>
      </w:tr>
      <w:tr w14:paraId="53E38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028361A0">
            <w:pPr>
              <w:pStyle w:val="48"/>
            </w:pPr>
          </w:p>
        </w:tc>
        <w:tc>
          <w:tcPr>
            <w:tcW w:w="1179" w:type="pct"/>
            <w:shd w:val="clear" w:color="auto" w:fill="auto"/>
            <w:vAlign w:val="center"/>
          </w:tcPr>
          <w:p w14:paraId="4368E450">
            <w:pPr>
              <w:pStyle w:val="48"/>
            </w:pPr>
            <w:r>
              <w:t>汞</w:t>
            </w:r>
          </w:p>
        </w:tc>
        <w:tc>
          <w:tcPr>
            <w:tcW w:w="1087" w:type="pct"/>
            <w:shd w:val="clear" w:color="auto" w:fill="auto"/>
            <w:noWrap/>
          </w:tcPr>
          <w:p w14:paraId="4493E609">
            <w:pPr>
              <w:pStyle w:val="48"/>
            </w:pPr>
            <w:r>
              <w:t>**</w:t>
            </w:r>
          </w:p>
        </w:tc>
        <w:tc>
          <w:tcPr>
            <w:tcW w:w="1190" w:type="pct"/>
            <w:shd w:val="clear" w:color="auto" w:fill="auto"/>
            <w:noWrap/>
          </w:tcPr>
          <w:p w14:paraId="6DBAC72C">
            <w:pPr>
              <w:pStyle w:val="48"/>
            </w:pPr>
            <w:r>
              <w:t>**</w:t>
            </w:r>
          </w:p>
        </w:tc>
        <w:tc>
          <w:tcPr>
            <w:tcW w:w="516" w:type="pct"/>
            <w:vAlign w:val="center"/>
          </w:tcPr>
          <w:p w14:paraId="7CA8F7C4">
            <w:pPr>
              <w:pStyle w:val="48"/>
            </w:pPr>
            <w:r>
              <w:t>达标</w:t>
            </w:r>
          </w:p>
        </w:tc>
        <w:tc>
          <w:tcPr>
            <w:tcW w:w="556" w:type="pct"/>
            <w:shd w:val="clear" w:color="auto" w:fill="auto"/>
            <w:vAlign w:val="center"/>
          </w:tcPr>
          <w:p w14:paraId="4FF51DB5">
            <w:pPr>
              <w:pStyle w:val="48"/>
            </w:pPr>
            <w:r>
              <w:t>0.0001</w:t>
            </w:r>
          </w:p>
        </w:tc>
      </w:tr>
      <w:tr w14:paraId="41D03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5F9DD1B9">
            <w:pPr>
              <w:pStyle w:val="48"/>
            </w:pPr>
          </w:p>
        </w:tc>
        <w:tc>
          <w:tcPr>
            <w:tcW w:w="1179" w:type="pct"/>
            <w:shd w:val="clear" w:color="auto" w:fill="auto"/>
            <w:vAlign w:val="center"/>
          </w:tcPr>
          <w:p w14:paraId="1039C1C1">
            <w:pPr>
              <w:pStyle w:val="48"/>
            </w:pPr>
            <w:r>
              <w:t>镉</w:t>
            </w:r>
          </w:p>
        </w:tc>
        <w:tc>
          <w:tcPr>
            <w:tcW w:w="1087" w:type="pct"/>
            <w:shd w:val="clear" w:color="auto" w:fill="auto"/>
            <w:noWrap/>
          </w:tcPr>
          <w:p w14:paraId="1A58A19C">
            <w:pPr>
              <w:pStyle w:val="48"/>
            </w:pPr>
            <w:r>
              <w:t>**</w:t>
            </w:r>
          </w:p>
        </w:tc>
        <w:tc>
          <w:tcPr>
            <w:tcW w:w="1190" w:type="pct"/>
            <w:shd w:val="clear" w:color="auto" w:fill="auto"/>
            <w:noWrap/>
          </w:tcPr>
          <w:p w14:paraId="1D9FCCCE">
            <w:pPr>
              <w:pStyle w:val="48"/>
            </w:pPr>
            <w:r>
              <w:t>**</w:t>
            </w:r>
          </w:p>
        </w:tc>
        <w:tc>
          <w:tcPr>
            <w:tcW w:w="516" w:type="pct"/>
            <w:vAlign w:val="center"/>
          </w:tcPr>
          <w:p w14:paraId="4CC3E9EB">
            <w:pPr>
              <w:pStyle w:val="48"/>
            </w:pPr>
            <w:r>
              <w:t>达标</w:t>
            </w:r>
          </w:p>
        </w:tc>
        <w:tc>
          <w:tcPr>
            <w:tcW w:w="556" w:type="pct"/>
            <w:shd w:val="clear" w:color="auto" w:fill="auto"/>
            <w:vAlign w:val="center"/>
          </w:tcPr>
          <w:p w14:paraId="276E482F">
            <w:pPr>
              <w:pStyle w:val="48"/>
            </w:pPr>
            <w:r>
              <w:t>0.005</w:t>
            </w:r>
          </w:p>
        </w:tc>
      </w:tr>
      <w:tr w14:paraId="214AD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4383C267">
            <w:pPr>
              <w:pStyle w:val="48"/>
            </w:pPr>
          </w:p>
        </w:tc>
        <w:tc>
          <w:tcPr>
            <w:tcW w:w="1179" w:type="pct"/>
            <w:shd w:val="clear" w:color="auto" w:fill="auto"/>
            <w:vAlign w:val="center"/>
          </w:tcPr>
          <w:p w14:paraId="15DABF9D">
            <w:pPr>
              <w:pStyle w:val="48"/>
            </w:pPr>
            <w:r>
              <w:t>铬（六价）</w:t>
            </w:r>
          </w:p>
        </w:tc>
        <w:tc>
          <w:tcPr>
            <w:tcW w:w="1087" w:type="pct"/>
            <w:shd w:val="clear" w:color="auto" w:fill="auto"/>
            <w:noWrap/>
          </w:tcPr>
          <w:p w14:paraId="0F3D9EFC">
            <w:pPr>
              <w:pStyle w:val="48"/>
            </w:pPr>
            <w:r>
              <w:t>**</w:t>
            </w:r>
          </w:p>
        </w:tc>
        <w:tc>
          <w:tcPr>
            <w:tcW w:w="1190" w:type="pct"/>
            <w:shd w:val="clear" w:color="auto" w:fill="auto"/>
            <w:noWrap/>
          </w:tcPr>
          <w:p w14:paraId="2C48E8FC">
            <w:pPr>
              <w:pStyle w:val="48"/>
            </w:pPr>
            <w:r>
              <w:t>**</w:t>
            </w:r>
          </w:p>
        </w:tc>
        <w:tc>
          <w:tcPr>
            <w:tcW w:w="516" w:type="pct"/>
            <w:vAlign w:val="center"/>
          </w:tcPr>
          <w:p w14:paraId="63118BCC">
            <w:pPr>
              <w:pStyle w:val="48"/>
            </w:pPr>
            <w:r>
              <w:t>达标</w:t>
            </w:r>
          </w:p>
        </w:tc>
        <w:tc>
          <w:tcPr>
            <w:tcW w:w="556" w:type="pct"/>
            <w:shd w:val="clear" w:color="auto" w:fill="auto"/>
            <w:vAlign w:val="center"/>
          </w:tcPr>
          <w:p w14:paraId="7CBBF158">
            <w:pPr>
              <w:pStyle w:val="48"/>
            </w:pPr>
            <w:r>
              <w:t>0.05</w:t>
            </w:r>
          </w:p>
        </w:tc>
      </w:tr>
      <w:tr w14:paraId="71B86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671C2E72">
            <w:pPr>
              <w:pStyle w:val="48"/>
            </w:pPr>
          </w:p>
        </w:tc>
        <w:tc>
          <w:tcPr>
            <w:tcW w:w="1179" w:type="pct"/>
            <w:shd w:val="clear" w:color="auto" w:fill="auto"/>
            <w:vAlign w:val="center"/>
          </w:tcPr>
          <w:p w14:paraId="189FBFCD">
            <w:pPr>
              <w:pStyle w:val="48"/>
              <w:rPr>
                <w:b/>
                <w:bCs/>
              </w:rPr>
            </w:pPr>
            <w:r>
              <w:t>铅</w:t>
            </w:r>
          </w:p>
        </w:tc>
        <w:tc>
          <w:tcPr>
            <w:tcW w:w="1087" w:type="pct"/>
            <w:shd w:val="clear" w:color="auto" w:fill="auto"/>
            <w:noWrap/>
          </w:tcPr>
          <w:p w14:paraId="3BF787C1">
            <w:pPr>
              <w:pStyle w:val="48"/>
            </w:pPr>
            <w:r>
              <w:t>**</w:t>
            </w:r>
          </w:p>
        </w:tc>
        <w:tc>
          <w:tcPr>
            <w:tcW w:w="1190" w:type="pct"/>
            <w:shd w:val="clear" w:color="auto" w:fill="auto"/>
            <w:noWrap/>
          </w:tcPr>
          <w:p w14:paraId="483FD8D0">
            <w:pPr>
              <w:pStyle w:val="48"/>
            </w:pPr>
            <w:r>
              <w:t>**</w:t>
            </w:r>
          </w:p>
        </w:tc>
        <w:tc>
          <w:tcPr>
            <w:tcW w:w="516" w:type="pct"/>
            <w:vAlign w:val="center"/>
          </w:tcPr>
          <w:p w14:paraId="262D8BF0">
            <w:pPr>
              <w:pStyle w:val="48"/>
            </w:pPr>
            <w:r>
              <w:t>达标</w:t>
            </w:r>
          </w:p>
        </w:tc>
        <w:tc>
          <w:tcPr>
            <w:tcW w:w="556" w:type="pct"/>
            <w:shd w:val="clear" w:color="auto" w:fill="auto"/>
            <w:vAlign w:val="center"/>
          </w:tcPr>
          <w:p w14:paraId="372FA033">
            <w:pPr>
              <w:pStyle w:val="48"/>
            </w:pPr>
            <w:r>
              <w:t>0.05</w:t>
            </w:r>
          </w:p>
        </w:tc>
      </w:tr>
      <w:tr w14:paraId="7305A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61C1CD2A">
            <w:pPr>
              <w:pStyle w:val="48"/>
            </w:pPr>
          </w:p>
        </w:tc>
        <w:tc>
          <w:tcPr>
            <w:tcW w:w="1179" w:type="pct"/>
            <w:shd w:val="clear" w:color="auto" w:fill="auto"/>
            <w:vAlign w:val="center"/>
          </w:tcPr>
          <w:p w14:paraId="730269D9">
            <w:pPr>
              <w:pStyle w:val="48"/>
            </w:pPr>
            <w:r>
              <w:t>镍</w:t>
            </w:r>
          </w:p>
        </w:tc>
        <w:tc>
          <w:tcPr>
            <w:tcW w:w="1087" w:type="pct"/>
            <w:shd w:val="clear" w:color="auto" w:fill="auto"/>
            <w:noWrap/>
          </w:tcPr>
          <w:p w14:paraId="123B82B5">
            <w:pPr>
              <w:pStyle w:val="48"/>
            </w:pPr>
            <w:r>
              <w:t>**</w:t>
            </w:r>
          </w:p>
        </w:tc>
        <w:tc>
          <w:tcPr>
            <w:tcW w:w="1190" w:type="pct"/>
            <w:shd w:val="clear" w:color="auto" w:fill="auto"/>
            <w:noWrap/>
          </w:tcPr>
          <w:p w14:paraId="4EE0D644">
            <w:pPr>
              <w:pStyle w:val="48"/>
            </w:pPr>
            <w:r>
              <w:t>**</w:t>
            </w:r>
          </w:p>
        </w:tc>
        <w:tc>
          <w:tcPr>
            <w:tcW w:w="516" w:type="pct"/>
            <w:vAlign w:val="center"/>
          </w:tcPr>
          <w:p w14:paraId="7EBE5EAB">
            <w:pPr>
              <w:pStyle w:val="48"/>
            </w:pPr>
            <w:r>
              <w:t>达标</w:t>
            </w:r>
          </w:p>
        </w:tc>
        <w:tc>
          <w:tcPr>
            <w:tcW w:w="556" w:type="pct"/>
            <w:shd w:val="clear" w:color="auto" w:fill="auto"/>
            <w:vAlign w:val="center"/>
          </w:tcPr>
          <w:p w14:paraId="7EA1ED88">
            <w:pPr>
              <w:pStyle w:val="48"/>
            </w:pPr>
            <w:r>
              <w:t>0.02</w:t>
            </w:r>
          </w:p>
        </w:tc>
      </w:tr>
      <w:tr w14:paraId="53C1E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6B4CBC34">
            <w:pPr>
              <w:pStyle w:val="48"/>
            </w:pPr>
          </w:p>
        </w:tc>
        <w:tc>
          <w:tcPr>
            <w:tcW w:w="1179" w:type="pct"/>
            <w:shd w:val="clear" w:color="auto" w:fill="auto"/>
            <w:vAlign w:val="center"/>
          </w:tcPr>
          <w:p w14:paraId="2D51DCAD">
            <w:pPr>
              <w:pStyle w:val="48"/>
            </w:pPr>
            <w:bookmarkStart w:id="310" w:name="_Hlk123715307"/>
            <w:r>
              <w:rPr>
                <w:rFonts w:hint="eastAsia"/>
              </w:rPr>
              <w:t>铊</w:t>
            </w:r>
            <w:bookmarkEnd w:id="310"/>
          </w:p>
        </w:tc>
        <w:tc>
          <w:tcPr>
            <w:tcW w:w="1087" w:type="pct"/>
            <w:shd w:val="clear" w:color="auto" w:fill="auto"/>
            <w:noWrap/>
          </w:tcPr>
          <w:p w14:paraId="26701340">
            <w:pPr>
              <w:pStyle w:val="48"/>
            </w:pPr>
            <w:r>
              <w:t>**</w:t>
            </w:r>
          </w:p>
        </w:tc>
        <w:tc>
          <w:tcPr>
            <w:tcW w:w="1190" w:type="pct"/>
            <w:shd w:val="clear" w:color="auto" w:fill="auto"/>
            <w:noWrap/>
          </w:tcPr>
          <w:p w14:paraId="0E97BCC1">
            <w:pPr>
              <w:pStyle w:val="48"/>
            </w:pPr>
            <w:r>
              <w:t>**</w:t>
            </w:r>
          </w:p>
        </w:tc>
        <w:tc>
          <w:tcPr>
            <w:tcW w:w="516" w:type="pct"/>
            <w:vAlign w:val="center"/>
          </w:tcPr>
          <w:p w14:paraId="4A437994">
            <w:pPr>
              <w:pStyle w:val="48"/>
            </w:pPr>
            <w:r>
              <w:t>达标</w:t>
            </w:r>
          </w:p>
        </w:tc>
        <w:tc>
          <w:tcPr>
            <w:tcW w:w="556" w:type="pct"/>
            <w:shd w:val="clear" w:color="auto" w:fill="auto"/>
            <w:vAlign w:val="center"/>
          </w:tcPr>
          <w:p w14:paraId="40E7D5E9">
            <w:pPr>
              <w:pStyle w:val="48"/>
            </w:pPr>
            <w:r>
              <w:rPr>
                <w:rFonts w:hint="eastAsia"/>
              </w:rPr>
              <w:t>0</w:t>
            </w:r>
            <w:r>
              <w:t>.0001</w:t>
            </w:r>
          </w:p>
        </w:tc>
      </w:tr>
      <w:tr w14:paraId="70CEC9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restart"/>
            <w:shd w:val="clear" w:color="auto" w:fill="auto"/>
            <w:vAlign w:val="center"/>
          </w:tcPr>
          <w:p w14:paraId="493ACFD3">
            <w:pPr>
              <w:pStyle w:val="48"/>
            </w:pPr>
            <w:r>
              <w:t>SY2 松木污水处理厂排污口下游500m 处</w:t>
            </w:r>
          </w:p>
        </w:tc>
        <w:tc>
          <w:tcPr>
            <w:tcW w:w="1179" w:type="pct"/>
            <w:shd w:val="clear" w:color="auto" w:fill="auto"/>
            <w:vAlign w:val="center"/>
          </w:tcPr>
          <w:p w14:paraId="37977B9A">
            <w:pPr>
              <w:pStyle w:val="48"/>
            </w:pPr>
            <w:r>
              <w:t>水温（</w:t>
            </w:r>
            <w:r>
              <w:rPr>
                <w:rFonts w:hint="eastAsia" w:ascii="宋体" w:hAnsi="宋体" w:cs="宋体"/>
              </w:rPr>
              <w:t>℃</w:t>
            </w:r>
            <w:r>
              <w:t>）</w:t>
            </w:r>
          </w:p>
        </w:tc>
        <w:tc>
          <w:tcPr>
            <w:tcW w:w="1087" w:type="pct"/>
            <w:shd w:val="clear" w:color="auto" w:fill="auto"/>
            <w:noWrap/>
          </w:tcPr>
          <w:p w14:paraId="4D3958F4">
            <w:pPr>
              <w:pStyle w:val="48"/>
            </w:pPr>
            <w:r>
              <w:t>**</w:t>
            </w:r>
          </w:p>
        </w:tc>
        <w:tc>
          <w:tcPr>
            <w:tcW w:w="1190" w:type="pct"/>
            <w:shd w:val="clear" w:color="auto" w:fill="auto"/>
            <w:noWrap/>
          </w:tcPr>
          <w:p w14:paraId="191547CE">
            <w:pPr>
              <w:pStyle w:val="48"/>
            </w:pPr>
            <w:r>
              <w:t>**</w:t>
            </w:r>
          </w:p>
        </w:tc>
        <w:tc>
          <w:tcPr>
            <w:tcW w:w="516" w:type="pct"/>
            <w:vAlign w:val="center"/>
          </w:tcPr>
          <w:p w14:paraId="1FA76B25">
            <w:pPr>
              <w:pStyle w:val="48"/>
            </w:pPr>
            <w:r>
              <w:t>/</w:t>
            </w:r>
          </w:p>
        </w:tc>
        <w:tc>
          <w:tcPr>
            <w:tcW w:w="556" w:type="pct"/>
            <w:shd w:val="clear" w:color="auto" w:fill="auto"/>
            <w:vAlign w:val="center"/>
          </w:tcPr>
          <w:p w14:paraId="208B1E8C">
            <w:pPr>
              <w:pStyle w:val="48"/>
            </w:pPr>
            <w:r>
              <w:t>/</w:t>
            </w:r>
          </w:p>
        </w:tc>
      </w:tr>
      <w:tr w14:paraId="301D6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4F5DF37C">
            <w:pPr>
              <w:pStyle w:val="48"/>
            </w:pPr>
          </w:p>
        </w:tc>
        <w:tc>
          <w:tcPr>
            <w:tcW w:w="1179" w:type="pct"/>
            <w:shd w:val="clear" w:color="auto" w:fill="auto"/>
            <w:vAlign w:val="center"/>
          </w:tcPr>
          <w:p w14:paraId="5A043140">
            <w:pPr>
              <w:pStyle w:val="48"/>
            </w:pPr>
            <w:r>
              <w:t>pH值（无量纲）</w:t>
            </w:r>
          </w:p>
        </w:tc>
        <w:tc>
          <w:tcPr>
            <w:tcW w:w="1087" w:type="pct"/>
            <w:shd w:val="clear" w:color="auto" w:fill="auto"/>
            <w:noWrap/>
          </w:tcPr>
          <w:p w14:paraId="3D90DE5C">
            <w:pPr>
              <w:pStyle w:val="48"/>
            </w:pPr>
            <w:r>
              <w:t>**</w:t>
            </w:r>
          </w:p>
        </w:tc>
        <w:tc>
          <w:tcPr>
            <w:tcW w:w="1190" w:type="pct"/>
            <w:shd w:val="clear" w:color="auto" w:fill="auto"/>
            <w:noWrap/>
          </w:tcPr>
          <w:p w14:paraId="0DA67DDA">
            <w:pPr>
              <w:pStyle w:val="48"/>
            </w:pPr>
            <w:r>
              <w:t>**</w:t>
            </w:r>
          </w:p>
        </w:tc>
        <w:tc>
          <w:tcPr>
            <w:tcW w:w="516" w:type="pct"/>
            <w:vAlign w:val="center"/>
          </w:tcPr>
          <w:p w14:paraId="3CB16D5A">
            <w:pPr>
              <w:pStyle w:val="48"/>
            </w:pPr>
            <w:r>
              <w:t>达标</w:t>
            </w:r>
          </w:p>
        </w:tc>
        <w:tc>
          <w:tcPr>
            <w:tcW w:w="556" w:type="pct"/>
            <w:shd w:val="clear" w:color="auto" w:fill="auto"/>
            <w:vAlign w:val="center"/>
          </w:tcPr>
          <w:p w14:paraId="1CE2B1FD">
            <w:pPr>
              <w:pStyle w:val="48"/>
            </w:pPr>
            <w:r>
              <w:t>6-9</w:t>
            </w:r>
          </w:p>
        </w:tc>
      </w:tr>
      <w:tr w14:paraId="31BE3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0EBB9C47">
            <w:pPr>
              <w:pStyle w:val="48"/>
            </w:pPr>
          </w:p>
        </w:tc>
        <w:tc>
          <w:tcPr>
            <w:tcW w:w="1179" w:type="pct"/>
            <w:shd w:val="clear" w:color="auto" w:fill="auto"/>
            <w:vAlign w:val="center"/>
          </w:tcPr>
          <w:p w14:paraId="447006A2">
            <w:pPr>
              <w:pStyle w:val="48"/>
              <w:rPr>
                <w:b/>
                <w:bCs/>
              </w:rPr>
            </w:pPr>
            <w:r>
              <w:t>化学需氧量</w:t>
            </w:r>
          </w:p>
        </w:tc>
        <w:tc>
          <w:tcPr>
            <w:tcW w:w="1087" w:type="pct"/>
            <w:shd w:val="clear" w:color="auto" w:fill="auto"/>
            <w:noWrap/>
          </w:tcPr>
          <w:p w14:paraId="66E1125A">
            <w:pPr>
              <w:pStyle w:val="48"/>
            </w:pPr>
            <w:r>
              <w:t>**</w:t>
            </w:r>
          </w:p>
        </w:tc>
        <w:tc>
          <w:tcPr>
            <w:tcW w:w="1190" w:type="pct"/>
            <w:shd w:val="clear" w:color="auto" w:fill="auto"/>
            <w:noWrap/>
          </w:tcPr>
          <w:p w14:paraId="341C2FBA">
            <w:pPr>
              <w:pStyle w:val="48"/>
            </w:pPr>
            <w:r>
              <w:t>**</w:t>
            </w:r>
          </w:p>
        </w:tc>
        <w:tc>
          <w:tcPr>
            <w:tcW w:w="516" w:type="pct"/>
            <w:vAlign w:val="center"/>
          </w:tcPr>
          <w:p w14:paraId="76BB4986">
            <w:pPr>
              <w:pStyle w:val="48"/>
            </w:pPr>
            <w:r>
              <w:t>达标</w:t>
            </w:r>
          </w:p>
        </w:tc>
        <w:tc>
          <w:tcPr>
            <w:tcW w:w="556" w:type="pct"/>
            <w:shd w:val="clear" w:color="auto" w:fill="auto"/>
            <w:vAlign w:val="center"/>
          </w:tcPr>
          <w:p w14:paraId="544D1E70">
            <w:pPr>
              <w:pStyle w:val="48"/>
            </w:pPr>
            <w:r>
              <w:t>20</w:t>
            </w:r>
          </w:p>
        </w:tc>
      </w:tr>
      <w:tr w14:paraId="21E2D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06AEAE58">
            <w:pPr>
              <w:pStyle w:val="48"/>
            </w:pPr>
          </w:p>
        </w:tc>
        <w:tc>
          <w:tcPr>
            <w:tcW w:w="1179" w:type="pct"/>
            <w:shd w:val="clear" w:color="auto" w:fill="auto"/>
            <w:vAlign w:val="center"/>
          </w:tcPr>
          <w:p w14:paraId="1EB6EC8F">
            <w:pPr>
              <w:pStyle w:val="48"/>
              <w:rPr>
                <w:b/>
                <w:bCs/>
              </w:rPr>
            </w:pPr>
            <w:r>
              <w:t>五日生化需氧量</w:t>
            </w:r>
          </w:p>
        </w:tc>
        <w:tc>
          <w:tcPr>
            <w:tcW w:w="1087" w:type="pct"/>
            <w:shd w:val="clear" w:color="auto" w:fill="auto"/>
            <w:noWrap/>
          </w:tcPr>
          <w:p w14:paraId="0E0530F1">
            <w:pPr>
              <w:pStyle w:val="48"/>
            </w:pPr>
            <w:r>
              <w:t>**</w:t>
            </w:r>
          </w:p>
        </w:tc>
        <w:tc>
          <w:tcPr>
            <w:tcW w:w="1190" w:type="pct"/>
            <w:shd w:val="clear" w:color="auto" w:fill="auto"/>
            <w:noWrap/>
          </w:tcPr>
          <w:p w14:paraId="35338AA8">
            <w:pPr>
              <w:pStyle w:val="48"/>
            </w:pPr>
            <w:r>
              <w:t>**</w:t>
            </w:r>
          </w:p>
        </w:tc>
        <w:tc>
          <w:tcPr>
            <w:tcW w:w="516" w:type="pct"/>
            <w:vAlign w:val="center"/>
          </w:tcPr>
          <w:p w14:paraId="4B4B7529">
            <w:pPr>
              <w:pStyle w:val="48"/>
            </w:pPr>
            <w:r>
              <w:t>达标</w:t>
            </w:r>
          </w:p>
        </w:tc>
        <w:tc>
          <w:tcPr>
            <w:tcW w:w="556" w:type="pct"/>
            <w:shd w:val="clear" w:color="auto" w:fill="auto"/>
            <w:vAlign w:val="center"/>
          </w:tcPr>
          <w:p w14:paraId="04471A3A">
            <w:pPr>
              <w:pStyle w:val="48"/>
            </w:pPr>
            <w:r>
              <w:t>4</w:t>
            </w:r>
          </w:p>
        </w:tc>
      </w:tr>
      <w:tr w14:paraId="179FE2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434C8B1A">
            <w:pPr>
              <w:pStyle w:val="48"/>
            </w:pPr>
          </w:p>
        </w:tc>
        <w:tc>
          <w:tcPr>
            <w:tcW w:w="1179" w:type="pct"/>
            <w:shd w:val="clear" w:color="auto" w:fill="auto"/>
            <w:vAlign w:val="center"/>
          </w:tcPr>
          <w:p w14:paraId="54E410EF">
            <w:pPr>
              <w:pStyle w:val="48"/>
              <w:rPr>
                <w:b/>
                <w:bCs/>
              </w:rPr>
            </w:pPr>
            <w:r>
              <w:t>氨氮</w:t>
            </w:r>
          </w:p>
        </w:tc>
        <w:tc>
          <w:tcPr>
            <w:tcW w:w="1087" w:type="pct"/>
            <w:shd w:val="clear" w:color="auto" w:fill="auto"/>
            <w:noWrap/>
          </w:tcPr>
          <w:p w14:paraId="44AF2191">
            <w:pPr>
              <w:pStyle w:val="48"/>
            </w:pPr>
            <w:r>
              <w:t>**</w:t>
            </w:r>
          </w:p>
        </w:tc>
        <w:tc>
          <w:tcPr>
            <w:tcW w:w="1190" w:type="pct"/>
            <w:shd w:val="clear" w:color="auto" w:fill="auto"/>
            <w:noWrap/>
          </w:tcPr>
          <w:p w14:paraId="1C6C52FB">
            <w:pPr>
              <w:pStyle w:val="48"/>
            </w:pPr>
            <w:r>
              <w:t>**</w:t>
            </w:r>
          </w:p>
        </w:tc>
        <w:tc>
          <w:tcPr>
            <w:tcW w:w="516" w:type="pct"/>
            <w:vAlign w:val="center"/>
          </w:tcPr>
          <w:p w14:paraId="1F0F3300">
            <w:pPr>
              <w:pStyle w:val="48"/>
            </w:pPr>
            <w:r>
              <w:t>达标</w:t>
            </w:r>
          </w:p>
        </w:tc>
        <w:tc>
          <w:tcPr>
            <w:tcW w:w="556" w:type="pct"/>
            <w:shd w:val="clear" w:color="auto" w:fill="auto"/>
            <w:vAlign w:val="center"/>
          </w:tcPr>
          <w:p w14:paraId="73C76B9C">
            <w:pPr>
              <w:pStyle w:val="48"/>
            </w:pPr>
            <w:r>
              <w:t>1.0</w:t>
            </w:r>
          </w:p>
        </w:tc>
      </w:tr>
      <w:tr w14:paraId="078C5C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74BEBE12">
            <w:pPr>
              <w:pStyle w:val="48"/>
            </w:pPr>
          </w:p>
        </w:tc>
        <w:tc>
          <w:tcPr>
            <w:tcW w:w="1179" w:type="pct"/>
            <w:shd w:val="clear" w:color="auto" w:fill="auto"/>
            <w:vAlign w:val="center"/>
          </w:tcPr>
          <w:p w14:paraId="476E233D">
            <w:pPr>
              <w:pStyle w:val="48"/>
              <w:rPr>
                <w:b/>
                <w:bCs/>
              </w:rPr>
            </w:pPr>
            <w:r>
              <w:t>总磷（以P计）</w:t>
            </w:r>
          </w:p>
        </w:tc>
        <w:tc>
          <w:tcPr>
            <w:tcW w:w="1087" w:type="pct"/>
            <w:shd w:val="clear" w:color="auto" w:fill="auto"/>
            <w:noWrap/>
          </w:tcPr>
          <w:p w14:paraId="7CC390F1">
            <w:pPr>
              <w:pStyle w:val="48"/>
            </w:pPr>
            <w:r>
              <w:t>**</w:t>
            </w:r>
          </w:p>
        </w:tc>
        <w:tc>
          <w:tcPr>
            <w:tcW w:w="1190" w:type="pct"/>
            <w:shd w:val="clear" w:color="auto" w:fill="auto"/>
            <w:noWrap/>
          </w:tcPr>
          <w:p w14:paraId="5DC4B3D3">
            <w:pPr>
              <w:pStyle w:val="48"/>
            </w:pPr>
            <w:r>
              <w:t>**</w:t>
            </w:r>
          </w:p>
        </w:tc>
        <w:tc>
          <w:tcPr>
            <w:tcW w:w="516" w:type="pct"/>
            <w:vAlign w:val="center"/>
          </w:tcPr>
          <w:p w14:paraId="0AA13A98">
            <w:pPr>
              <w:pStyle w:val="48"/>
            </w:pPr>
            <w:r>
              <w:t>达标</w:t>
            </w:r>
          </w:p>
        </w:tc>
        <w:tc>
          <w:tcPr>
            <w:tcW w:w="556" w:type="pct"/>
            <w:shd w:val="clear" w:color="auto" w:fill="auto"/>
            <w:vAlign w:val="center"/>
          </w:tcPr>
          <w:p w14:paraId="41B2877C">
            <w:pPr>
              <w:pStyle w:val="48"/>
            </w:pPr>
            <w:r>
              <w:t>0.2</w:t>
            </w:r>
          </w:p>
        </w:tc>
      </w:tr>
      <w:tr w14:paraId="63BCA5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0F8AA2C5">
            <w:pPr>
              <w:pStyle w:val="48"/>
            </w:pPr>
          </w:p>
        </w:tc>
        <w:tc>
          <w:tcPr>
            <w:tcW w:w="1179" w:type="pct"/>
            <w:shd w:val="clear" w:color="auto" w:fill="auto"/>
            <w:vAlign w:val="center"/>
          </w:tcPr>
          <w:p w14:paraId="1B6FCE48">
            <w:pPr>
              <w:pStyle w:val="48"/>
            </w:pPr>
            <w:r>
              <w:t>锌</w:t>
            </w:r>
          </w:p>
        </w:tc>
        <w:tc>
          <w:tcPr>
            <w:tcW w:w="1087" w:type="pct"/>
            <w:shd w:val="clear" w:color="auto" w:fill="auto"/>
            <w:noWrap/>
          </w:tcPr>
          <w:p w14:paraId="0583860B">
            <w:pPr>
              <w:pStyle w:val="48"/>
            </w:pPr>
            <w:r>
              <w:t>**</w:t>
            </w:r>
          </w:p>
        </w:tc>
        <w:tc>
          <w:tcPr>
            <w:tcW w:w="1190" w:type="pct"/>
            <w:shd w:val="clear" w:color="auto" w:fill="auto"/>
            <w:noWrap/>
          </w:tcPr>
          <w:p w14:paraId="5A9742C5">
            <w:pPr>
              <w:pStyle w:val="48"/>
            </w:pPr>
            <w:r>
              <w:t>**</w:t>
            </w:r>
          </w:p>
        </w:tc>
        <w:tc>
          <w:tcPr>
            <w:tcW w:w="516" w:type="pct"/>
            <w:vAlign w:val="center"/>
          </w:tcPr>
          <w:p w14:paraId="0C0AD3F4">
            <w:pPr>
              <w:pStyle w:val="48"/>
            </w:pPr>
            <w:r>
              <w:t>达标</w:t>
            </w:r>
          </w:p>
        </w:tc>
        <w:tc>
          <w:tcPr>
            <w:tcW w:w="556" w:type="pct"/>
            <w:shd w:val="clear" w:color="auto" w:fill="auto"/>
            <w:vAlign w:val="center"/>
          </w:tcPr>
          <w:p w14:paraId="22BD32D7">
            <w:pPr>
              <w:pStyle w:val="48"/>
            </w:pPr>
            <w:r>
              <w:t>1.0</w:t>
            </w:r>
          </w:p>
        </w:tc>
      </w:tr>
      <w:tr w14:paraId="3367D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24BB4C06">
            <w:pPr>
              <w:pStyle w:val="48"/>
            </w:pPr>
          </w:p>
        </w:tc>
        <w:tc>
          <w:tcPr>
            <w:tcW w:w="1179" w:type="pct"/>
            <w:shd w:val="clear" w:color="auto" w:fill="auto"/>
            <w:vAlign w:val="center"/>
          </w:tcPr>
          <w:p w14:paraId="0CE45B3A">
            <w:pPr>
              <w:pStyle w:val="48"/>
            </w:pPr>
            <w:r>
              <w:t>砷</w:t>
            </w:r>
          </w:p>
        </w:tc>
        <w:tc>
          <w:tcPr>
            <w:tcW w:w="1087" w:type="pct"/>
            <w:shd w:val="clear" w:color="auto" w:fill="auto"/>
            <w:noWrap/>
          </w:tcPr>
          <w:p w14:paraId="5E534636">
            <w:pPr>
              <w:pStyle w:val="48"/>
            </w:pPr>
            <w:r>
              <w:t>**</w:t>
            </w:r>
          </w:p>
        </w:tc>
        <w:tc>
          <w:tcPr>
            <w:tcW w:w="1190" w:type="pct"/>
            <w:shd w:val="clear" w:color="auto" w:fill="auto"/>
            <w:noWrap/>
          </w:tcPr>
          <w:p w14:paraId="5A2BF153">
            <w:pPr>
              <w:pStyle w:val="48"/>
            </w:pPr>
            <w:r>
              <w:t>**</w:t>
            </w:r>
          </w:p>
        </w:tc>
        <w:tc>
          <w:tcPr>
            <w:tcW w:w="516" w:type="pct"/>
            <w:vAlign w:val="center"/>
          </w:tcPr>
          <w:p w14:paraId="082067A8">
            <w:pPr>
              <w:pStyle w:val="48"/>
            </w:pPr>
            <w:r>
              <w:t>达标</w:t>
            </w:r>
          </w:p>
        </w:tc>
        <w:tc>
          <w:tcPr>
            <w:tcW w:w="556" w:type="pct"/>
            <w:shd w:val="clear" w:color="auto" w:fill="auto"/>
            <w:vAlign w:val="center"/>
          </w:tcPr>
          <w:p w14:paraId="482C1999">
            <w:pPr>
              <w:pStyle w:val="48"/>
            </w:pPr>
            <w:r>
              <w:t>0.05</w:t>
            </w:r>
          </w:p>
        </w:tc>
      </w:tr>
      <w:tr w14:paraId="1BC5E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612C5C7D">
            <w:pPr>
              <w:pStyle w:val="48"/>
            </w:pPr>
          </w:p>
        </w:tc>
        <w:tc>
          <w:tcPr>
            <w:tcW w:w="1179" w:type="pct"/>
            <w:shd w:val="clear" w:color="auto" w:fill="auto"/>
            <w:vAlign w:val="center"/>
          </w:tcPr>
          <w:p w14:paraId="2B184815">
            <w:pPr>
              <w:pStyle w:val="48"/>
            </w:pPr>
            <w:r>
              <w:t>汞</w:t>
            </w:r>
          </w:p>
        </w:tc>
        <w:tc>
          <w:tcPr>
            <w:tcW w:w="1087" w:type="pct"/>
            <w:shd w:val="clear" w:color="auto" w:fill="auto"/>
            <w:noWrap/>
          </w:tcPr>
          <w:p w14:paraId="15716C5E">
            <w:pPr>
              <w:pStyle w:val="48"/>
            </w:pPr>
            <w:r>
              <w:t>**</w:t>
            </w:r>
          </w:p>
        </w:tc>
        <w:tc>
          <w:tcPr>
            <w:tcW w:w="1190" w:type="pct"/>
            <w:shd w:val="clear" w:color="auto" w:fill="auto"/>
            <w:noWrap/>
          </w:tcPr>
          <w:p w14:paraId="4831EFA2">
            <w:pPr>
              <w:pStyle w:val="48"/>
            </w:pPr>
            <w:r>
              <w:t>**</w:t>
            </w:r>
          </w:p>
        </w:tc>
        <w:tc>
          <w:tcPr>
            <w:tcW w:w="516" w:type="pct"/>
            <w:vAlign w:val="center"/>
          </w:tcPr>
          <w:p w14:paraId="75D73DFC">
            <w:pPr>
              <w:pStyle w:val="48"/>
            </w:pPr>
            <w:r>
              <w:t>达标</w:t>
            </w:r>
          </w:p>
        </w:tc>
        <w:tc>
          <w:tcPr>
            <w:tcW w:w="556" w:type="pct"/>
            <w:shd w:val="clear" w:color="auto" w:fill="auto"/>
            <w:vAlign w:val="center"/>
          </w:tcPr>
          <w:p w14:paraId="2C35BE13">
            <w:pPr>
              <w:pStyle w:val="48"/>
            </w:pPr>
            <w:r>
              <w:t>0.0001</w:t>
            </w:r>
          </w:p>
        </w:tc>
      </w:tr>
      <w:tr w14:paraId="5C0D7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3A21D314">
            <w:pPr>
              <w:pStyle w:val="48"/>
            </w:pPr>
          </w:p>
        </w:tc>
        <w:tc>
          <w:tcPr>
            <w:tcW w:w="1179" w:type="pct"/>
            <w:shd w:val="clear" w:color="auto" w:fill="auto"/>
            <w:vAlign w:val="center"/>
          </w:tcPr>
          <w:p w14:paraId="609C3940">
            <w:pPr>
              <w:pStyle w:val="48"/>
            </w:pPr>
            <w:r>
              <w:t>镉</w:t>
            </w:r>
          </w:p>
        </w:tc>
        <w:tc>
          <w:tcPr>
            <w:tcW w:w="1087" w:type="pct"/>
            <w:shd w:val="clear" w:color="auto" w:fill="auto"/>
            <w:noWrap/>
          </w:tcPr>
          <w:p w14:paraId="36670511">
            <w:pPr>
              <w:pStyle w:val="48"/>
            </w:pPr>
            <w:r>
              <w:t>**</w:t>
            </w:r>
          </w:p>
        </w:tc>
        <w:tc>
          <w:tcPr>
            <w:tcW w:w="1190" w:type="pct"/>
            <w:shd w:val="clear" w:color="auto" w:fill="auto"/>
            <w:noWrap/>
          </w:tcPr>
          <w:p w14:paraId="64F05282">
            <w:pPr>
              <w:pStyle w:val="48"/>
            </w:pPr>
            <w:r>
              <w:t>**</w:t>
            </w:r>
          </w:p>
        </w:tc>
        <w:tc>
          <w:tcPr>
            <w:tcW w:w="516" w:type="pct"/>
            <w:vAlign w:val="center"/>
          </w:tcPr>
          <w:p w14:paraId="7BD74D26">
            <w:pPr>
              <w:pStyle w:val="48"/>
            </w:pPr>
            <w:r>
              <w:t>达标</w:t>
            </w:r>
          </w:p>
        </w:tc>
        <w:tc>
          <w:tcPr>
            <w:tcW w:w="556" w:type="pct"/>
            <w:shd w:val="clear" w:color="auto" w:fill="auto"/>
            <w:vAlign w:val="center"/>
          </w:tcPr>
          <w:p w14:paraId="2B843CB3">
            <w:pPr>
              <w:pStyle w:val="48"/>
            </w:pPr>
            <w:r>
              <w:t>0.005</w:t>
            </w:r>
          </w:p>
        </w:tc>
      </w:tr>
      <w:tr w14:paraId="05848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022FB82C">
            <w:pPr>
              <w:pStyle w:val="48"/>
            </w:pPr>
          </w:p>
        </w:tc>
        <w:tc>
          <w:tcPr>
            <w:tcW w:w="1179" w:type="pct"/>
            <w:shd w:val="clear" w:color="auto" w:fill="auto"/>
            <w:vAlign w:val="center"/>
          </w:tcPr>
          <w:p w14:paraId="42B54CE4">
            <w:pPr>
              <w:pStyle w:val="48"/>
            </w:pPr>
            <w:r>
              <w:t>铬（六价）</w:t>
            </w:r>
          </w:p>
        </w:tc>
        <w:tc>
          <w:tcPr>
            <w:tcW w:w="1087" w:type="pct"/>
            <w:shd w:val="clear" w:color="auto" w:fill="auto"/>
            <w:noWrap/>
          </w:tcPr>
          <w:p w14:paraId="1E56778C">
            <w:pPr>
              <w:pStyle w:val="48"/>
            </w:pPr>
            <w:r>
              <w:t>**</w:t>
            </w:r>
          </w:p>
        </w:tc>
        <w:tc>
          <w:tcPr>
            <w:tcW w:w="1190" w:type="pct"/>
            <w:shd w:val="clear" w:color="auto" w:fill="auto"/>
            <w:noWrap/>
          </w:tcPr>
          <w:p w14:paraId="0B405B28">
            <w:pPr>
              <w:pStyle w:val="48"/>
            </w:pPr>
            <w:r>
              <w:t>**</w:t>
            </w:r>
          </w:p>
        </w:tc>
        <w:tc>
          <w:tcPr>
            <w:tcW w:w="516" w:type="pct"/>
            <w:vAlign w:val="center"/>
          </w:tcPr>
          <w:p w14:paraId="18BFFE3C">
            <w:pPr>
              <w:pStyle w:val="48"/>
            </w:pPr>
            <w:r>
              <w:t>达标</w:t>
            </w:r>
          </w:p>
        </w:tc>
        <w:tc>
          <w:tcPr>
            <w:tcW w:w="556" w:type="pct"/>
            <w:shd w:val="clear" w:color="auto" w:fill="auto"/>
            <w:vAlign w:val="center"/>
          </w:tcPr>
          <w:p w14:paraId="012DD2EE">
            <w:pPr>
              <w:pStyle w:val="48"/>
            </w:pPr>
            <w:r>
              <w:t>0.05</w:t>
            </w:r>
          </w:p>
        </w:tc>
      </w:tr>
      <w:tr w14:paraId="34BC2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0D998427">
            <w:pPr>
              <w:pStyle w:val="48"/>
            </w:pPr>
          </w:p>
        </w:tc>
        <w:tc>
          <w:tcPr>
            <w:tcW w:w="1179" w:type="pct"/>
            <w:shd w:val="clear" w:color="auto" w:fill="auto"/>
            <w:vAlign w:val="center"/>
          </w:tcPr>
          <w:p w14:paraId="72642DC3">
            <w:pPr>
              <w:pStyle w:val="48"/>
            </w:pPr>
            <w:r>
              <w:t>铅</w:t>
            </w:r>
          </w:p>
        </w:tc>
        <w:tc>
          <w:tcPr>
            <w:tcW w:w="1087" w:type="pct"/>
            <w:shd w:val="clear" w:color="auto" w:fill="auto"/>
            <w:noWrap/>
          </w:tcPr>
          <w:p w14:paraId="5692AB9C">
            <w:pPr>
              <w:pStyle w:val="48"/>
            </w:pPr>
            <w:r>
              <w:t>**</w:t>
            </w:r>
          </w:p>
        </w:tc>
        <w:tc>
          <w:tcPr>
            <w:tcW w:w="1190" w:type="pct"/>
            <w:shd w:val="clear" w:color="auto" w:fill="auto"/>
            <w:noWrap/>
          </w:tcPr>
          <w:p w14:paraId="5A84943A">
            <w:pPr>
              <w:pStyle w:val="48"/>
            </w:pPr>
            <w:r>
              <w:t>**</w:t>
            </w:r>
          </w:p>
        </w:tc>
        <w:tc>
          <w:tcPr>
            <w:tcW w:w="516" w:type="pct"/>
            <w:vAlign w:val="center"/>
          </w:tcPr>
          <w:p w14:paraId="4C9AF163">
            <w:pPr>
              <w:pStyle w:val="48"/>
            </w:pPr>
            <w:r>
              <w:t>达标</w:t>
            </w:r>
          </w:p>
        </w:tc>
        <w:tc>
          <w:tcPr>
            <w:tcW w:w="556" w:type="pct"/>
            <w:shd w:val="clear" w:color="auto" w:fill="auto"/>
            <w:vAlign w:val="center"/>
          </w:tcPr>
          <w:p w14:paraId="47BBFC90">
            <w:pPr>
              <w:pStyle w:val="48"/>
            </w:pPr>
            <w:r>
              <w:t>0.05</w:t>
            </w:r>
          </w:p>
        </w:tc>
      </w:tr>
      <w:tr w14:paraId="23739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4B248825">
            <w:pPr>
              <w:pStyle w:val="48"/>
            </w:pPr>
          </w:p>
        </w:tc>
        <w:tc>
          <w:tcPr>
            <w:tcW w:w="1179" w:type="pct"/>
            <w:shd w:val="clear" w:color="auto" w:fill="auto"/>
            <w:vAlign w:val="center"/>
          </w:tcPr>
          <w:p w14:paraId="68212EED">
            <w:pPr>
              <w:pStyle w:val="48"/>
            </w:pPr>
            <w:r>
              <w:t>镍</w:t>
            </w:r>
          </w:p>
        </w:tc>
        <w:tc>
          <w:tcPr>
            <w:tcW w:w="1087" w:type="pct"/>
            <w:shd w:val="clear" w:color="auto" w:fill="auto"/>
            <w:noWrap/>
          </w:tcPr>
          <w:p w14:paraId="07617FE0">
            <w:pPr>
              <w:pStyle w:val="48"/>
            </w:pPr>
            <w:r>
              <w:t>**</w:t>
            </w:r>
          </w:p>
        </w:tc>
        <w:tc>
          <w:tcPr>
            <w:tcW w:w="1190" w:type="pct"/>
            <w:shd w:val="clear" w:color="auto" w:fill="auto"/>
            <w:noWrap/>
          </w:tcPr>
          <w:p w14:paraId="5716095F">
            <w:pPr>
              <w:pStyle w:val="48"/>
            </w:pPr>
            <w:r>
              <w:t>**</w:t>
            </w:r>
          </w:p>
        </w:tc>
        <w:tc>
          <w:tcPr>
            <w:tcW w:w="516" w:type="pct"/>
            <w:vAlign w:val="center"/>
          </w:tcPr>
          <w:p w14:paraId="19119087">
            <w:pPr>
              <w:pStyle w:val="48"/>
            </w:pPr>
            <w:r>
              <w:t>达标</w:t>
            </w:r>
          </w:p>
        </w:tc>
        <w:tc>
          <w:tcPr>
            <w:tcW w:w="556" w:type="pct"/>
            <w:shd w:val="clear" w:color="auto" w:fill="auto"/>
            <w:vAlign w:val="center"/>
          </w:tcPr>
          <w:p w14:paraId="25AB0D88">
            <w:pPr>
              <w:pStyle w:val="48"/>
            </w:pPr>
            <w:r>
              <w:t>0.02</w:t>
            </w:r>
          </w:p>
        </w:tc>
      </w:tr>
      <w:tr w14:paraId="24FB6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2B24829A">
            <w:pPr>
              <w:pStyle w:val="48"/>
            </w:pPr>
          </w:p>
        </w:tc>
        <w:tc>
          <w:tcPr>
            <w:tcW w:w="1179" w:type="pct"/>
            <w:shd w:val="clear" w:color="auto" w:fill="auto"/>
            <w:vAlign w:val="center"/>
          </w:tcPr>
          <w:p w14:paraId="7E6CDE98">
            <w:pPr>
              <w:pStyle w:val="48"/>
            </w:pPr>
            <w:r>
              <w:rPr>
                <w:rFonts w:hint="eastAsia"/>
              </w:rPr>
              <w:t>铊</w:t>
            </w:r>
          </w:p>
        </w:tc>
        <w:tc>
          <w:tcPr>
            <w:tcW w:w="1087" w:type="pct"/>
            <w:shd w:val="clear" w:color="auto" w:fill="auto"/>
            <w:noWrap/>
          </w:tcPr>
          <w:p w14:paraId="229F9A3C">
            <w:pPr>
              <w:pStyle w:val="48"/>
            </w:pPr>
            <w:r>
              <w:t>**</w:t>
            </w:r>
          </w:p>
        </w:tc>
        <w:tc>
          <w:tcPr>
            <w:tcW w:w="1190" w:type="pct"/>
            <w:shd w:val="clear" w:color="auto" w:fill="auto"/>
            <w:noWrap/>
          </w:tcPr>
          <w:p w14:paraId="69B43EA7">
            <w:pPr>
              <w:pStyle w:val="48"/>
            </w:pPr>
            <w:r>
              <w:t>**</w:t>
            </w:r>
          </w:p>
        </w:tc>
        <w:tc>
          <w:tcPr>
            <w:tcW w:w="516" w:type="pct"/>
            <w:vAlign w:val="center"/>
          </w:tcPr>
          <w:p w14:paraId="26C2708D">
            <w:pPr>
              <w:pStyle w:val="48"/>
            </w:pPr>
            <w:r>
              <w:t>达标</w:t>
            </w:r>
          </w:p>
        </w:tc>
        <w:tc>
          <w:tcPr>
            <w:tcW w:w="556" w:type="pct"/>
            <w:shd w:val="clear" w:color="auto" w:fill="auto"/>
            <w:vAlign w:val="center"/>
          </w:tcPr>
          <w:p w14:paraId="3BE6548E">
            <w:pPr>
              <w:pStyle w:val="48"/>
            </w:pPr>
            <w:r>
              <w:rPr>
                <w:rFonts w:hint="eastAsia"/>
              </w:rPr>
              <w:t>0</w:t>
            </w:r>
            <w:r>
              <w:t>.0001</w:t>
            </w:r>
          </w:p>
        </w:tc>
      </w:tr>
      <w:tr w14:paraId="02705B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restart"/>
            <w:shd w:val="clear" w:color="auto" w:fill="auto"/>
            <w:vAlign w:val="center"/>
          </w:tcPr>
          <w:p w14:paraId="50BD6D1D">
            <w:pPr>
              <w:pStyle w:val="48"/>
            </w:pPr>
            <w:r>
              <w:rPr>
                <w:rFonts w:hint="eastAsia"/>
              </w:rPr>
              <w:t>S</w:t>
            </w:r>
            <w:r>
              <w:t>Y</w:t>
            </w:r>
            <w:r>
              <w:rPr>
                <w:rFonts w:hint="eastAsia"/>
              </w:rPr>
              <w:t>2 松木污水处理厂排污口下游</w:t>
            </w:r>
            <w:r>
              <w:t>30</w:t>
            </w:r>
            <w:r>
              <w:rPr>
                <w:rFonts w:hint="eastAsia"/>
              </w:rPr>
              <w:t>00m 处</w:t>
            </w:r>
          </w:p>
        </w:tc>
        <w:tc>
          <w:tcPr>
            <w:tcW w:w="1179" w:type="pct"/>
            <w:shd w:val="clear" w:color="auto" w:fill="auto"/>
            <w:vAlign w:val="center"/>
          </w:tcPr>
          <w:p w14:paraId="0F577C3F">
            <w:pPr>
              <w:pStyle w:val="48"/>
            </w:pPr>
            <w:r>
              <w:t>水温（</w:t>
            </w:r>
            <w:r>
              <w:rPr>
                <w:rFonts w:hint="eastAsia" w:ascii="宋体" w:hAnsi="宋体" w:cs="宋体"/>
              </w:rPr>
              <w:t>℃</w:t>
            </w:r>
            <w:r>
              <w:t>）</w:t>
            </w:r>
          </w:p>
        </w:tc>
        <w:tc>
          <w:tcPr>
            <w:tcW w:w="1087" w:type="pct"/>
            <w:shd w:val="clear" w:color="auto" w:fill="auto"/>
            <w:noWrap/>
          </w:tcPr>
          <w:p w14:paraId="6C1F4B60">
            <w:pPr>
              <w:pStyle w:val="48"/>
            </w:pPr>
            <w:r>
              <w:t>**</w:t>
            </w:r>
          </w:p>
        </w:tc>
        <w:tc>
          <w:tcPr>
            <w:tcW w:w="1190" w:type="pct"/>
            <w:shd w:val="clear" w:color="auto" w:fill="auto"/>
            <w:noWrap/>
          </w:tcPr>
          <w:p w14:paraId="0F236716">
            <w:pPr>
              <w:pStyle w:val="48"/>
            </w:pPr>
            <w:r>
              <w:t>**</w:t>
            </w:r>
          </w:p>
        </w:tc>
        <w:tc>
          <w:tcPr>
            <w:tcW w:w="516" w:type="pct"/>
            <w:vAlign w:val="center"/>
          </w:tcPr>
          <w:p w14:paraId="582BBD31">
            <w:pPr>
              <w:pStyle w:val="48"/>
            </w:pPr>
            <w:r>
              <w:t>/</w:t>
            </w:r>
          </w:p>
        </w:tc>
        <w:tc>
          <w:tcPr>
            <w:tcW w:w="556" w:type="pct"/>
            <w:shd w:val="clear" w:color="auto" w:fill="auto"/>
            <w:vAlign w:val="center"/>
          </w:tcPr>
          <w:p w14:paraId="31E4F0BF">
            <w:pPr>
              <w:pStyle w:val="48"/>
            </w:pPr>
            <w:r>
              <w:t>/</w:t>
            </w:r>
          </w:p>
        </w:tc>
      </w:tr>
      <w:tr w14:paraId="21562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28C80F5D">
            <w:pPr>
              <w:pStyle w:val="48"/>
            </w:pPr>
          </w:p>
        </w:tc>
        <w:tc>
          <w:tcPr>
            <w:tcW w:w="1179" w:type="pct"/>
            <w:shd w:val="clear" w:color="auto" w:fill="auto"/>
            <w:vAlign w:val="center"/>
          </w:tcPr>
          <w:p w14:paraId="3E681595">
            <w:pPr>
              <w:pStyle w:val="48"/>
            </w:pPr>
            <w:r>
              <w:t>pH值（无量纲）</w:t>
            </w:r>
          </w:p>
        </w:tc>
        <w:tc>
          <w:tcPr>
            <w:tcW w:w="1087" w:type="pct"/>
            <w:shd w:val="clear" w:color="auto" w:fill="auto"/>
            <w:noWrap/>
          </w:tcPr>
          <w:p w14:paraId="5794DE09">
            <w:pPr>
              <w:pStyle w:val="48"/>
            </w:pPr>
            <w:r>
              <w:t>**</w:t>
            </w:r>
          </w:p>
        </w:tc>
        <w:tc>
          <w:tcPr>
            <w:tcW w:w="1190" w:type="pct"/>
            <w:shd w:val="clear" w:color="auto" w:fill="auto"/>
            <w:noWrap/>
          </w:tcPr>
          <w:p w14:paraId="0AD55CE4">
            <w:pPr>
              <w:pStyle w:val="48"/>
            </w:pPr>
            <w:r>
              <w:t>**</w:t>
            </w:r>
          </w:p>
        </w:tc>
        <w:tc>
          <w:tcPr>
            <w:tcW w:w="516" w:type="pct"/>
            <w:vAlign w:val="center"/>
          </w:tcPr>
          <w:p w14:paraId="5763D7BF">
            <w:pPr>
              <w:pStyle w:val="48"/>
            </w:pPr>
            <w:r>
              <w:t>达标</w:t>
            </w:r>
          </w:p>
        </w:tc>
        <w:tc>
          <w:tcPr>
            <w:tcW w:w="556" w:type="pct"/>
            <w:shd w:val="clear" w:color="auto" w:fill="auto"/>
            <w:vAlign w:val="center"/>
          </w:tcPr>
          <w:p w14:paraId="177E1A3F">
            <w:pPr>
              <w:pStyle w:val="48"/>
            </w:pPr>
            <w:r>
              <w:t>6-9</w:t>
            </w:r>
          </w:p>
        </w:tc>
      </w:tr>
      <w:tr w14:paraId="33412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522B349D">
            <w:pPr>
              <w:pStyle w:val="48"/>
            </w:pPr>
          </w:p>
        </w:tc>
        <w:tc>
          <w:tcPr>
            <w:tcW w:w="1179" w:type="pct"/>
            <w:shd w:val="clear" w:color="auto" w:fill="auto"/>
            <w:vAlign w:val="center"/>
          </w:tcPr>
          <w:p w14:paraId="61C2F9D3">
            <w:pPr>
              <w:pStyle w:val="48"/>
            </w:pPr>
            <w:r>
              <w:t>化学需氧量</w:t>
            </w:r>
          </w:p>
        </w:tc>
        <w:tc>
          <w:tcPr>
            <w:tcW w:w="1087" w:type="pct"/>
            <w:shd w:val="clear" w:color="auto" w:fill="auto"/>
            <w:noWrap/>
          </w:tcPr>
          <w:p w14:paraId="73ECB6C9">
            <w:pPr>
              <w:pStyle w:val="48"/>
            </w:pPr>
            <w:r>
              <w:t>**</w:t>
            </w:r>
          </w:p>
        </w:tc>
        <w:tc>
          <w:tcPr>
            <w:tcW w:w="1190" w:type="pct"/>
            <w:shd w:val="clear" w:color="auto" w:fill="auto"/>
            <w:noWrap/>
          </w:tcPr>
          <w:p w14:paraId="692D7A90">
            <w:pPr>
              <w:pStyle w:val="48"/>
            </w:pPr>
            <w:r>
              <w:t>**</w:t>
            </w:r>
          </w:p>
        </w:tc>
        <w:tc>
          <w:tcPr>
            <w:tcW w:w="516" w:type="pct"/>
            <w:vAlign w:val="center"/>
          </w:tcPr>
          <w:p w14:paraId="05AA34E3">
            <w:pPr>
              <w:pStyle w:val="48"/>
            </w:pPr>
            <w:r>
              <w:t>达标</w:t>
            </w:r>
          </w:p>
        </w:tc>
        <w:tc>
          <w:tcPr>
            <w:tcW w:w="556" w:type="pct"/>
            <w:shd w:val="clear" w:color="auto" w:fill="auto"/>
            <w:vAlign w:val="center"/>
          </w:tcPr>
          <w:p w14:paraId="4C2C74EA">
            <w:pPr>
              <w:pStyle w:val="48"/>
            </w:pPr>
            <w:r>
              <w:t>20</w:t>
            </w:r>
          </w:p>
        </w:tc>
      </w:tr>
      <w:tr w14:paraId="75C21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2269D26D">
            <w:pPr>
              <w:pStyle w:val="48"/>
            </w:pPr>
          </w:p>
        </w:tc>
        <w:tc>
          <w:tcPr>
            <w:tcW w:w="1179" w:type="pct"/>
            <w:shd w:val="clear" w:color="auto" w:fill="auto"/>
            <w:vAlign w:val="center"/>
          </w:tcPr>
          <w:p w14:paraId="1C5FB9F5">
            <w:pPr>
              <w:pStyle w:val="48"/>
            </w:pPr>
            <w:r>
              <w:t>五日生化需氧量</w:t>
            </w:r>
          </w:p>
        </w:tc>
        <w:tc>
          <w:tcPr>
            <w:tcW w:w="1087" w:type="pct"/>
            <w:shd w:val="clear" w:color="auto" w:fill="auto"/>
            <w:noWrap/>
          </w:tcPr>
          <w:p w14:paraId="60FD65D7">
            <w:pPr>
              <w:pStyle w:val="48"/>
            </w:pPr>
            <w:r>
              <w:t>**</w:t>
            </w:r>
          </w:p>
        </w:tc>
        <w:tc>
          <w:tcPr>
            <w:tcW w:w="1190" w:type="pct"/>
            <w:shd w:val="clear" w:color="auto" w:fill="auto"/>
            <w:noWrap/>
          </w:tcPr>
          <w:p w14:paraId="08C3E1B1">
            <w:pPr>
              <w:pStyle w:val="48"/>
            </w:pPr>
            <w:r>
              <w:t>**</w:t>
            </w:r>
          </w:p>
        </w:tc>
        <w:tc>
          <w:tcPr>
            <w:tcW w:w="516" w:type="pct"/>
            <w:vAlign w:val="center"/>
          </w:tcPr>
          <w:p w14:paraId="3C2A5738">
            <w:pPr>
              <w:pStyle w:val="48"/>
            </w:pPr>
            <w:r>
              <w:t>达标</w:t>
            </w:r>
          </w:p>
        </w:tc>
        <w:tc>
          <w:tcPr>
            <w:tcW w:w="556" w:type="pct"/>
            <w:shd w:val="clear" w:color="auto" w:fill="auto"/>
            <w:vAlign w:val="center"/>
          </w:tcPr>
          <w:p w14:paraId="617CCF47">
            <w:pPr>
              <w:pStyle w:val="48"/>
            </w:pPr>
            <w:r>
              <w:t>4</w:t>
            </w:r>
          </w:p>
        </w:tc>
      </w:tr>
      <w:tr w14:paraId="77E569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6DED0222">
            <w:pPr>
              <w:pStyle w:val="48"/>
            </w:pPr>
          </w:p>
        </w:tc>
        <w:tc>
          <w:tcPr>
            <w:tcW w:w="1179" w:type="pct"/>
            <w:shd w:val="clear" w:color="auto" w:fill="auto"/>
            <w:vAlign w:val="center"/>
          </w:tcPr>
          <w:p w14:paraId="6DDF5AAD">
            <w:pPr>
              <w:pStyle w:val="48"/>
            </w:pPr>
            <w:r>
              <w:t>氨氮</w:t>
            </w:r>
          </w:p>
        </w:tc>
        <w:tc>
          <w:tcPr>
            <w:tcW w:w="1087" w:type="pct"/>
            <w:shd w:val="clear" w:color="auto" w:fill="auto"/>
            <w:noWrap/>
          </w:tcPr>
          <w:p w14:paraId="6732B8DC">
            <w:pPr>
              <w:pStyle w:val="48"/>
            </w:pPr>
            <w:r>
              <w:t>**</w:t>
            </w:r>
          </w:p>
        </w:tc>
        <w:tc>
          <w:tcPr>
            <w:tcW w:w="1190" w:type="pct"/>
            <w:shd w:val="clear" w:color="auto" w:fill="auto"/>
            <w:noWrap/>
          </w:tcPr>
          <w:p w14:paraId="3EFDBB36">
            <w:pPr>
              <w:pStyle w:val="48"/>
            </w:pPr>
            <w:r>
              <w:t>**</w:t>
            </w:r>
          </w:p>
        </w:tc>
        <w:tc>
          <w:tcPr>
            <w:tcW w:w="516" w:type="pct"/>
            <w:vAlign w:val="center"/>
          </w:tcPr>
          <w:p w14:paraId="1B207FE2">
            <w:pPr>
              <w:pStyle w:val="48"/>
            </w:pPr>
            <w:r>
              <w:t>达标</w:t>
            </w:r>
          </w:p>
        </w:tc>
        <w:tc>
          <w:tcPr>
            <w:tcW w:w="556" w:type="pct"/>
            <w:shd w:val="clear" w:color="auto" w:fill="auto"/>
            <w:vAlign w:val="center"/>
          </w:tcPr>
          <w:p w14:paraId="5AE74B8D">
            <w:pPr>
              <w:pStyle w:val="48"/>
            </w:pPr>
            <w:r>
              <w:t>1.0</w:t>
            </w:r>
          </w:p>
        </w:tc>
      </w:tr>
      <w:tr w14:paraId="65667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7137735F">
            <w:pPr>
              <w:pStyle w:val="48"/>
            </w:pPr>
          </w:p>
        </w:tc>
        <w:tc>
          <w:tcPr>
            <w:tcW w:w="1179" w:type="pct"/>
            <w:shd w:val="clear" w:color="auto" w:fill="auto"/>
            <w:vAlign w:val="center"/>
          </w:tcPr>
          <w:p w14:paraId="098CF0A8">
            <w:pPr>
              <w:pStyle w:val="48"/>
            </w:pPr>
            <w:r>
              <w:t>总磷（以P计）</w:t>
            </w:r>
          </w:p>
        </w:tc>
        <w:tc>
          <w:tcPr>
            <w:tcW w:w="1087" w:type="pct"/>
            <w:shd w:val="clear" w:color="auto" w:fill="auto"/>
            <w:noWrap/>
          </w:tcPr>
          <w:p w14:paraId="101B56AF">
            <w:pPr>
              <w:pStyle w:val="48"/>
            </w:pPr>
            <w:r>
              <w:t>**</w:t>
            </w:r>
          </w:p>
        </w:tc>
        <w:tc>
          <w:tcPr>
            <w:tcW w:w="1190" w:type="pct"/>
            <w:shd w:val="clear" w:color="auto" w:fill="auto"/>
            <w:noWrap/>
          </w:tcPr>
          <w:p w14:paraId="7270C3A1">
            <w:pPr>
              <w:pStyle w:val="48"/>
            </w:pPr>
            <w:r>
              <w:t>**</w:t>
            </w:r>
          </w:p>
        </w:tc>
        <w:tc>
          <w:tcPr>
            <w:tcW w:w="516" w:type="pct"/>
            <w:vAlign w:val="center"/>
          </w:tcPr>
          <w:p w14:paraId="7C7DBCA7">
            <w:pPr>
              <w:pStyle w:val="48"/>
            </w:pPr>
            <w:r>
              <w:t>达标</w:t>
            </w:r>
          </w:p>
        </w:tc>
        <w:tc>
          <w:tcPr>
            <w:tcW w:w="556" w:type="pct"/>
            <w:shd w:val="clear" w:color="auto" w:fill="auto"/>
            <w:vAlign w:val="center"/>
          </w:tcPr>
          <w:p w14:paraId="37DD9A13">
            <w:pPr>
              <w:pStyle w:val="48"/>
            </w:pPr>
            <w:r>
              <w:t>0.2</w:t>
            </w:r>
          </w:p>
        </w:tc>
      </w:tr>
      <w:tr w14:paraId="01387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66170F49">
            <w:pPr>
              <w:pStyle w:val="48"/>
            </w:pPr>
          </w:p>
        </w:tc>
        <w:tc>
          <w:tcPr>
            <w:tcW w:w="1179" w:type="pct"/>
            <w:shd w:val="clear" w:color="auto" w:fill="auto"/>
            <w:vAlign w:val="center"/>
          </w:tcPr>
          <w:p w14:paraId="5AC9BACE">
            <w:pPr>
              <w:pStyle w:val="48"/>
            </w:pPr>
            <w:r>
              <w:t>锌</w:t>
            </w:r>
          </w:p>
        </w:tc>
        <w:tc>
          <w:tcPr>
            <w:tcW w:w="1087" w:type="pct"/>
            <w:shd w:val="clear" w:color="auto" w:fill="auto"/>
            <w:noWrap/>
          </w:tcPr>
          <w:p w14:paraId="7F85EF68">
            <w:pPr>
              <w:pStyle w:val="48"/>
            </w:pPr>
            <w:r>
              <w:t>**</w:t>
            </w:r>
          </w:p>
        </w:tc>
        <w:tc>
          <w:tcPr>
            <w:tcW w:w="1190" w:type="pct"/>
            <w:shd w:val="clear" w:color="auto" w:fill="auto"/>
            <w:noWrap/>
          </w:tcPr>
          <w:p w14:paraId="171A5DA1">
            <w:pPr>
              <w:pStyle w:val="48"/>
              <w:rPr>
                <w:rFonts w:hint="eastAsia"/>
              </w:rPr>
            </w:pPr>
            <w:r>
              <w:t>**</w:t>
            </w:r>
          </w:p>
        </w:tc>
        <w:tc>
          <w:tcPr>
            <w:tcW w:w="516" w:type="pct"/>
            <w:vAlign w:val="center"/>
          </w:tcPr>
          <w:p w14:paraId="44F251EA">
            <w:pPr>
              <w:pStyle w:val="48"/>
            </w:pPr>
            <w:r>
              <w:t>达标</w:t>
            </w:r>
          </w:p>
        </w:tc>
        <w:tc>
          <w:tcPr>
            <w:tcW w:w="556" w:type="pct"/>
            <w:shd w:val="clear" w:color="auto" w:fill="auto"/>
            <w:vAlign w:val="center"/>
          </w:tcPr>
          <w:p w14:paraId="20958B26">
            <w:pPr>
              <w:pStyle w:val="48"/>
            </w:pPr>
            <w:r>
              <w:t>1.0</w:t>
            </w:r>
          </w:p>
        </w:tc>
      </w:tr>
      <w:tr w14:paraId="260C5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56041445">
            <w:pPr>
              <w:pStyle w:val="48"/>
            </w:pPr>
          </w:p>
        </w:tc>
        <w:tc>
          <w:tcPr>
            <w:tcW w:w="1179" w:type="pct"/>
            <w:shd w:val="clear" w:color="auto" w:fill="auto"/>
            <w:vAlign w:val="center"/>
          </w:tcPr>
          <w:p w14:paraId="2AD95C65">
            <w:pPr>
              <w:pStyle w:val="48"/>
            </w:pPr>
            <w:r>
              <w:t>砷</w:t>
            </w:r>
          </w:p>
        </w:tc>
        <w:tc>
          <w:tcPr>
            <w:tcW w:w="1087" w:type="pct"/>
            <w:shd w:val="clear" w:color="auto" w:fill="auto"/>
            <w:noWrap/>
          </w:tcPr>
          <w:p w14:paraId="2B4A929D">
            <w:pPr>
              <w:pStyle w:val="48"/>
            </w:pPr>
            <w:r>
              <w:t>**</w:t>
            </w:r>
          </w:p>
        </w:tc>
        <w:tc>
          <w:tcPr>
            <w:tcW w:w="1190" w:type="pct"/>
            <w:shd w:val="clear" w:color="auto" w:fill="auto"/>
            <w:noWrap/>
          </w:tcPr>
          <w:p w14:paraId="04762D34">
            <w:pPr>
              <w:pStyle w:val="48"/>
            </w:pPr>
            <w:r>
              <w:t>**</w:t>
            </w:r>
          </w:p>
        </w:tc>
        <w:tc>
          <w:tcPr>
            <w:tcW w:w="516" w:type="pct"/>
            <w:vAlign w:val="center"/>
          </w:tcPr>
          <w:p w14:paraId="0C258CA1">
            <w:pPr>
              <w:pStyle w:val="48"/>
            </w:pPr>
            <w:r>
              <w:t>达标</w:t>
            </w:r>
          </w:p>
        </w:tc>
        <w:tc>
          <w:tcPr>
            <w:tcW w:w="556" w:type="pct"/>
            <w:shd w:val="clear" w:color="auto" w:fill="auto"/>
            <w:vAlign w:val="center"/>
          </w:tcPr>
          <w:p w14:paraId="14598411">
            <w:pPr>
              <w:pStyle w:val="48"/>
            </w:pPr>
            <w:r>
              <w:t>0.05</w:t>
            </w:r>
          </w:p>
        </w:tc>
      </w:tr>
      <w:tr w14:paraId="5C212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27940B19">
            <w:pPr>
              <w:pStyle w:val="48"/>
            </w:pPr>
          </w:p>
        </w:tc>
        <w:tc>
          <w:tcPr>
            <w:tcW w:w="1179" w:type="pct"/>
            <w:shd w:val="clear" w:color="auto" w:fill="auto"/>
            <w:vAlign w:val="center"/>
          </w:tcPr>
          <w:p w14:paraId="5C4C3C8A">
            <w:pPr>
              <w:pStyle w:val="48"/>
            </w:pPr>
            <w:r>
              <w:t>汞</w:t>
            </w:r>
          </w:p>
        </w:tc>
        <w:tc>
          <w:tcPr>
            <w:tcW w:w="1087" w:type="pct"/>
            <w:shd w:val="clear" w:color="auto" w:fill="auto"/>
            <w:noWrap/>
          </w:tcPr>
          <w:p w14:paraId="535ACE92">
            <w:pPr>
              <w:pStyle w:val="48"/>
            </w:pPr>
            <w:r>
              <w:t>**</w:t>
            </w:r>
          </w:p>
        </w:tc>
        <w:tc>
          <w:tcPr>
            <w:tcW w:w="1190" w:type="pct"/>
            <w:shd w:val="clear" w:color="auto" w:fill="auto"/>
            <w:noWrap/>
          </w:tcPr>
          <w:p w14:paraId="71EFF00C">
            <w:pPr>
              <w:pStyle w:val="48"/>
            </w:pPr>
            <w:r>
              <w:t>**</w:t>
            </w:r>
          </w:p>
        </w:tc>
        <w:tc>
          <w:tcPr>
            <w:tcW w:w="516" w:type="pct"/>
            <w:vAlign w:val="center"/>
          </w:tcPr>
          <w:p w14:paraId="72031705">
            <w:pPr>
              <w:pStyle w:val="48"/>
            </w:pPr>
            <w:r>
              <w:t>达标</w:t>
            </w:r>
          </w:p>
        </w:tc>
        <w:tc>
          <w:tcPr>
            <w:tcW w:w="556" w:type="pct"/>
            <w:shd w:val="clear" w:color="auto" w:fill="auto"/>
            <w:vAlign w:val="center"/>
          </w:tcPr>
          <w:p w14:paraId="6D02338F">
            <w:pPr>
              <w:pStyle w:val="48"/>
            </w:pPr>
            <w:r>
              <w:t>0.0001</w:t>
            </w:r>
          </w:p>
        </w:tc>
      </w:tr>
      <w:tr w14:paraId="404E6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324A8BFF">
            <w:pPr>
              <w:pStyle w:val="48"/>
            </w:pPr>
          </w:p>
        </w:tc>
        <w:tc>
          <w:tcPr>
            <w:tcW w:w="1179" w:type="pct"/>
            <w:shd w:val="clear" w:color="auto" w:fill="auto"/>
            <w:vAlign w:val="center"/>
          </w:tcPr>
          <w:p w14:paraId="5B2C6C4B">
            <w:pPr>
              <w:pStyle w:val="48"/>
            </w:pPr>
            <w:r>
              <w:t>镉</w:t>
            </w:r>
          </w:p>
        </w:tc>
        <w:tc>
          <w:tcPr>
            <w:tcW w:w="1087" w:type="pct"/>
            <w:shd w:val="clear" w:color="auto" w:fill="auto"/>
            <w:noWrap/>
          </w:tcPr>
          <w:p w14:paraId="79A64BE3">
            <w:pPr>
              <w:pStyle w:val="48"/>
            </w:pPr>
            <w:r>
              <w:t>**</w:t>
            </w:r>
          </w:p>
        </w:tc>
        <w:tc>
          <w:tcPr>
            <w:tcW w:w="1190" w:type="pct"/>
            <w:shd w:val="clear" w:color="auto" w:fill="auto"/>
            <w:noWrap/>
          </w:tcPr>
          <w:p w14:paraId="5FD7027E">
            <w:pPr>
              <w:pStyle w:val="48"/>
            </w:pPr>
            <w:r>
              <w:t>**</w:t>
            </w:r>
          </w:p>
        </w:tc>
        <w:tc>
          <w:tcPr>
            <w:tcW w:w="516" w:type="pct"/>
            <w:vAlign w:val="center"/>
          </w:tcPr>
          <w:p w14:paraId="675B399B">
            <w:pPr>
              <w:pStyle w:val="48"/>
            </w:pPr>
            <w:r>
              <w:t>达标</w:t>
            </w:r>
          </w:p>
        </w:tc>
        <w:tc>
          <w:tcPr>
            <w:tcW w:w="556" w:type="pct"/>
            <w:shd w:val="clear" w:color="auto" w:fill="auto"/>
            <w:vAlign w:val="center"/>
          </w:tcPr>
          <w:p w14:paraId="591324D8">
            <w:pPr>
              <w:pStyle w:val="48"/>
            </w:pPr>
            <w:r>
              <w:t>0.005</w:t>
            </w:r>
          </w:p>
        </w:tc>
      </w:tr>
      <w:tr w14:paraId="56BCB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67CD4092">
            <w:pPr>
              <w:pStyle w:val="48"/>
            </w:pPr>
          </w:p>
        </w:tc>
        <w:tc>
          <w:tcPr>
            <w:tcW w:w="1179" w:type="pct"/>
            <w:shd w:val="clear" w:color="auto" w:fill="auto"/>
            <w:vAlign w:val="center"/>
          </w:tcPr>
          <w:p w14:paraId="0EFF506D">
            <w:pPr>
              <w:pStyle w:val="48"/>
            </w:pPr>
            <w:r>
              <w:t>铬（六价）</w:t>
            </w:r>
          </w:p>
        </w:tc>
        <w:tc>
          <w:tcPr>
            <w:tcW w:w="1087" w:type="pct"/>
            <w:shd w:val="clear" w:color="auto" w:fill="auto"/>
            <w:noWrap/>
          </w:tcPr>
          <w:p w14:paraId="060414FE">
            <w:pPr>
              <w:pStyle w:val="48"/>
            </w:pPr>
            <w:r>
              <w:t>**</w:t>
            </w:r>
          </w:p>
        </w:tc>
        <w:tc>
          <w:tcPr>
            <w:tcW w:w="1190" w:type="pct"/>
            <w:shd w:val="clear" w:color="auto" w:fill="auto"/>
            <w:noWrap/>
          </w:tcPr>
          <w:p w14:paraId="246B1320">
            <w:pPr>
              <w:pStyle w:val="48"/>
            </w:pPr>
            <w:r>
              <w:t>**</w:t>
            </w:r>
          </w:p>
        </w:tc>
        <w:tc>
          <w:tcPr>
            <w:tcW w:w="516" w:type="pct"/>
            <w:vAlign w:val="center"/>
          </w:tcPr>
          <w:p w14:paraId="67D45F3B">
            <w:pPr>
              <w:pStyle w:val="48"/>
            </w:pPr>
            <w:r>
              <w:t>达标</w:t>
            </w:r>
          </w:p>
        </w:tc>
        <w:tc>
          <w:tcPr>
            <w:tcW w:w="556" w:type="pct"/>
            <w:shd w:val="clear" w:color="auto" w:fill="auto"/>
            <w:vAlign w:val="center"/>
          </w:tcPr>
          <w:p w14:paraId="42D3E23F">
            <w:pPr>
              <w:pStyle w:val="48"/>
            </w:pPr>
            <w:r>
              <w:t>0.05</w:t>
            </w:r>
          </w:p>
        </w:tc>
      </w:tr>
      <w:tr w14:paraId="21F03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5C4FB418">
            <w:pPr>
              <w:pStyle w:val="48"/>
            </w:pPr>
          </w:p>
        </w:tc>
        <w:tc>
          <w:tcPr>
            <w:tcW w:w="1179" w:type="pct"/>
            <w:shd w:val="clear" w:color="auto" w:fill="auto"/>
            <w:vAlign w:val="center"/>
          </w:tcPr>
          <w:p w14:paraId="51467CCC">
            <w:pPr>
              <w:pStyle w:val="48"/>
            </w:pPr>
            <w:r>
              <w:t>铅</w:t>
            </w:r>
          </w:p>
        </w:tc>
        <w:tc>
          <w:tcPr>
            <w:tcW w:w="1087" w:type="pct"/>
            <w:shd w:val="clear" w:color="auto" w:fill="auto"/>
            <w:noWrap/>
          </w:tcPr>
          <w:p w14:paraId="1438F1B8">
            <w:pPr>
              <w:pStyle w:val="48"/>
            </w:pPr>
            <w:r>
              <w:t>**</w:t>
            </w:r>
          </w:p>
        </w:tc>
        <w:tc>
          <w:tcPr>
            <w:tcW w:w="1190" w:type="pct"/>
            <w:shd w:val="clear" w:color="auto" w:fill="auto"/>
            <w:noWrap/>
          </w:tcPr>
          <w:p w14:paraId="4D4739A4">
            <w:pPr>
              <w:pStyle w:val="48"/>
            </w:pPr>
            <w:r>
              <w:t>**</w:t>
            </w:r>
          </w:p>
        </w:tc>
        <w:tc>
          <w:tcPr>
            <w:tcW w:w="516" w:type="pct"/>
            <w:vAlign w:val="center"/>
          </w:tcPr>
          <w:p w14:paraId="0C3E2F62">
            <w:pPr>
              <w:pStyle w:val="48"/>
            </w:pPr>
            <w:r>
              <w:t>达标</w:t>
            </w:r>
          </w:p>
        </w:tc>
        <w:tc>
          <w:tcPr>
            <w:tcW w:w="556" w:type="pct"/>
            <w:shd w:val="clear" w:color="auto" w:fill="auto"/>
            <w:vAlign w:val="center"/>
          </w:tcPr>
          <w:p w14:paraId="1F39D74D">
            <w:pPr>
              <w:pStyle w:val="48"/>
            </w:pPr>
            <w:r>
              <w:t>0.05</w:t>
            </w:r>
          </w:p>
        </w:tc>
      </w:tr>
      <w:tr w14:paraId="74A0F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4C3CB648">
            <w:pPr>
              <w:pStyle w:val="48"/>
            </w:pPr>
          </w:p>
        </w:tc>
        <w:tc>
          <w:tcPr>
            <w:tcW w:w="1179" w:type="pct"/>
            <w:shd w:val="clear" w:color="auto" w:fill="auto"/>
            <w:vAlign w:val="center"/>
          </w:tcPr>
          <w:p w14:paraId="4C17B46A">
            <w:pPr>
              <w:pStyle w:val="48"/>
            </w:pPr>
            <w:r>
              <w:t>镍</w:t>
            </w:r>
          </w:p>
        </w:tc>
        <w:tc>
          <w:tcPr>
            <w:tcW w:w="1087" w:type="pct"/>
            <w:shd w:val="clear" w:color="auto" w:fill="auto"/>
            <w:noWrap/>
          </w:tcPr>
          <w:p w14:paraId="73B0CC11">
            <w:pPr>
              <w:pStyle w:val="48"/>
              <w:rPr>
                <w:rFonts w:hint="eastAsia"/>
              </w:rPr>
            </w:pPr>
            <w:r>
              <w:t>**</w:t>
            </w:r>
          </w:p>
        </w:tc>
        <w:tc>
          <w:tcPr>
            <w:tcW w:w="1190" w:type="pct"/>
            <w:shd w:val="clear" w:color="auto" w:fill="auto"/>
            <w:noWrap/>
          </w:tcPr>
          <w:p w14:paraId="0768B537">
            <w:pPr>
              <w:pStyle w:val="48"/>
              <w:rPr>
                <w:rFonts w:hint="eastAsia"/>
              </w:rPr>
            </w:pPr>
            <w:r>
              <w:t>**</w:t>
            </w:r>
          </w:p>
        </w:tc>
        <w:tc>
          <w:tcPr>
            <w:tcW w:w="516" w:type="pct"/>
            <w:vAlign w:val="center"/>
          </w:tcPr>
          <w:p w14:paraId="41F1A01F">
            <w:pPr>
              <w:pStyle w:val="48"/>
            </w:pPr>
            <w:r>
              <w:t>达标</w:t>
            </w:r>
          </w:p>
        </w:tc>
        <w:tc>
          <w:tcPr>
            <w:tcW w:w="556" w:type="pct"/>
            <w:shd w:val="clear" w:color="auto" w:fill="auto"/>
            <w:vAlign w:val="center"/>
          </w:tcPr>
          <w:p w14:paraId="2635B95A">
            <w:pPr>
              <w:pStyle w:val="48"/>
            </w:pPr>
            <w:r>
              <w:t>0.02</w:t>
            </w:r>
          </w:p>
        </w:tc>
      </w:tr>
      <w:tr w14:paraId="6FAD9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2" w:type="pct"/>
            <w:vMerge w:val="continue"/>
            <w:shd w:val="clear" w:color="auto" w:fill="auto"/>
            <w:vAlign w:val="center"/>
          </w:tcPr>
          <w:p w14:paraId="3DA8F068">
            <w:pPr>
              <w:pStyle w:val="48"/>
            </w:pPr>
          </w:p>
        </w:tc>
        <w:tc>
          <w:tcPr>
            <w:tcW w:w="1179" w:type="pct"/>
            <w:shd w:val="clear" w:color="auto" w:fill="auto"/>
            <w:vAlign w:val="center"/>
          </w:tcPr>
          <w:p w14:paraId="63885262">
            <w:pPr>
              <w:pStyle w:val="48"/>
            </w:pPr>
            <w:r>
              <w:rPr>
                <w:rFonts w:hint="eastAsia"/>
              </w:rPr>
              <w:t>铊</w:t>
            </w:r>
          </w:p>
        </w:tc>
        <w:tc>
          <w:tcPr>
            <w:tcW w:w="1087" w:type="pct"/>
            <w:shd w:val="clear" w:color="auto" w:fill="auto"/>
            <w:noWrap/>
          </w:tcPr>
          <w:p w14:paraId="0BDDA7C8">
            <w:pPr>
              <w:pStyle w:val="48"/>
              <w:rPr>
                <w:rFonts w:hint="eastAsia"/>
              </w:rPr>
            </w:pPr>
            <w:r>
              <w:t>**</w:t>
            </w:r>
          </w:p>
        </w:tc>
        <w:tc>
          <w:tcPr>
            <w:tcW w:w="1190" w:type="pct"/>
            <w:shd w:val="clear" w:color="auto" w:fill="auto"/>
            <w:noWrap/>
          </w:tcPr>
          <w:p w14:paraId="760AFDA6">
            <w:pPr>
              <w:pStyle w:val="48"/>
              <w:rPr>
                <w:rFonts w:hint="eastAsia"/>
              </w:rPr>
            </w:pPr>
            <w:r>
              <w:t>**</w:t>
            </w:r>
          </w:p>
        </w:tc>
        <w:tc>
          <w:tcPr>
            <w:tcW w:w="516" w:type="pct"/>
            <w:vAlign w:val="center"/>
          </w:tcPr>
          <w:p w14:paraId="31558D16">
            <w:pPr>
              <w:pStyle w:val="48"/>
            </w:pPr>
            <w:r>
              <w:t>达标</w:t>
            </w:r>
          </w:p>
        </w:tc>
        <w:tc>
          <w:tcPr>
            <w:tcW w:w="556" w:type="pct"/>
            <w:shd w:val="clear" w:color="auto" w:fill="auto"/>
            <w:vAlign w:val="center"/>
          </w:tcPr>
          <w:p w14:paraId="0CED8A6A">
            <w:pPr>
              <w:pStyle w:val="48"/>
            </w:pPr>
            <w:r>
              <w:rPr>
                <w:rFonts w:hint="eastAsia"/>
              </w:rPr>
              <w:t>0</w:t>
            </w:r>
            <w:r>
              <w:t>.0001</w:t>
            </w:r>
          </w:p>
        </w:tc>
      </w:tr>
    </w:tbl>
    <w:p w14:paraId="13202B2A">
      <w:pPr>
        <w:ind w:firstLine="519"/>
        <w:rPr>
          <w:rFonts w:cs="Times New Roman"/>
        </w:rPr>
      </w:pPr>
      <w:r>
        <w:rPr>
          <w:rFonts w:cs="Times New Roman"/>
        </w:rPr>
        <w:t>由上表可知，地表水监测断面中，各断面监测因子均达到《地表水环境质量标准》（GB38388-2002）中III类标准。</w:t>
      </w:r>
    </w:p>
    <w:p w14:paraId="71EF9066">
      <w:pPr>
        <w:pStyle w:val="8"/>
        <w:ind w:firstLine="0" w:firstLineChars="0"/>
        <w:rPr>
          <w:rFonts w:cs="Times New Roman"/>
        </w:rPr>
      </w:pPr>
      <w:r>
        <w:rPr>
          <w:rFonts w:cs="Times New Roman"/>
        </w:rPr>
        <w:t xml:space="preserve">3.3.2.3 </w:t>
      </w:r>
      <w:r>
        <w:rPr>
          <w:rFonts w:hint="eastAsia" w:cs="Times New Roman"/>
        </w:rPr>
        <w:t>地表水环境质量补充监测</w:t>
      </w:r>
    </w:p>
    <w:p w14:paraId="65AC5C42">
      <w:pPr>
        <w:ind w:firstLine="519"/>
        <w:rPr>
          <w:rFonts w:cs="Times New Roman"/>
        </w:rPr>
      </w:pPr>
      <w:r>
        <w:rPr>
          <w:rFonts w:hint="eastAsia" w:cs="Times New Roman"/>
        </w:rPr>
        <w:t>本次环评，委托湖南启帆检测技术有限公司于</w:t>
      </w:r>
      <w:r>
        <w:rPr>
          <w:rFonts w:cs="Times New Roman"/>
        </w:rPr>
        <w:t>2021</w:t>
      </w:r>
      <w:r>
        <w:rPr>
          <w:rFonts w:hint="eastAsia" w:cs="Times New Roman"/>
        </w:rPr>
        <w:t>年</w:t>
      </w:r>
      <w:r>
        <w:rPr>
          <w:rFonts w:cs="Times New Roman"/>
        </w:rPr>
        <w:t xml:space="preserve"> 11</w:t>
      </w:r>
      <w:r>
        <w:rPr>
          <w:rFonts w:hint="eastAsia" w:cs="Times New Roman"/>
        </w:rPr>
        <w:t>月</w:t>
      </w:r>
      <w:r>
        <w:rPr>
          <w:rFonts w:cs="Times New Roman"/>
        </w:rPr>
        <w:t>26</w:t>
      </w:r>
      <w:r>
        <w:rPr>
          <w:rFonts w:hint="eastAsia" w:cs="Times New Roman"/>
        </w:rPr>
        <w:t>日至</w:t>
      </w:r>
      <w:r>
        <w:rPr>
          <w:rFonts w:cs="Times New Roman"/>
        </w:rPr>
        <w:t>28</w:t>
      </w:r>
      <w:r>
        <w:rPr>
          <w:rFonts w:hint="eastAsia" w:cs="Times New Roman"/>
        </w:rPr>
        <w:t>日对湘江进行了采样监测。</w:t>
      </w:r>
    </w:p>
    <w:p w14:paraId="22F2BD55">
      <w:pPr>
        <w:ind w:firstLine="519"/>
        <w:rPr>
          <w:rFonts w:cs="Times New Roman"/>
        </w:rPr>
      </w:pPr>
      <w:r>
        <w:rPr>
          <w:rFonts w:hint="eastAsia" w:cs="Times New Roman"/>
        </w:rPr>
        <w:t>（</w:t>
      </w:r>
      <w:r>
        <w:rPr>
          <w:rFonts w:cs="Times New Roman"/>
        </w:rPr>
        <w:t>1</w:t>
      </w:r>
      <w:r>
        <w:rPr>
          <w:rFonts w:hint="eastAsia" w:cs="Times New Roman"/>
        </w:rPr>
        <w:t>）监测断面：共设置</w:t>
      </w:r>
      <w:r>
        <w:rPr>
          <w:rFonts w:cs="Times New Roman"/>
        </w:rPr>
        <w:t>2</w:t>
      </w:r>
      <w:r>
        <w:rPr>
          <w:rFonts w:hint="eastAsia" w:cs="Times New Roman"/>
        </w:rPr>
        <w:t>个监测断面，即</w:t>
      </w:r>
      <w:r>
        <w:rPr>
          <w:rFonts w:cs="Times New Roman"/>
        </w:rPr>
        <w:t>S1~S2</w:t>
      </w:r>
      <w:r>
        <w:rPr>
          <w:rFonts w:hint="eastAsia" w:cs="Times New Roman"/>
        </w:rPr>
        <w:t>，详见下表所示。</w:t>
      </w:r>
    </w:p>
    <w:p w14:paraId="79719CBA">
      <w:pPr>
        <w:keepLines/>
        <w:ind w:firstLine="0" w:firstLineChars="0"/>
        <w:jc w:val="center"/>
        <w:outlineLvl w:val="4"/>
        <w:rPr>
          <w:rFonts w:cs="Times New Roman"/>
          <w:b/>
          <w:bCs/>
          <w:sz w:val="21"/>
          <w:szCs w:val="28"/>
        </w:rPr>
      </w:pPr>
      <w:r>
        <w:rPr>
          <w:rFonts w:hint="eastAsia" w:cs="Times New Roman"/>
          <w:b/>
          <w:bCs/>
          <w:sz w:val="21"/>
          <w:szCs w:val="28"/>
        </w:rPr>
        <w:t>表</w:t>
      </w:r>
      <w:r>
        <w:rPr>
          <w:rFonts w:cs="Times New Roman"/>
          <w:b/>
          <w:bCs/>
          <w:sz w:val="21"/>
          <w:szCs w:val="28"/>
        </w:rPr>
        <w:t xml:space="preserve">3.3-4  </w:t>
      </w:r>
      <w:r>
        <w:rPr>
          <w:rFonts w:hint="eastAsia" w:cs="Times New Roman"/>
          <w:b/>
          <w:bCs/>
          <w:sz w:val="21"/>
          <w:szCs w:val="28"/>
        </w:rPr>
        <w:t>地表水环境质量监测断面</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05"/>
        <w:gridCol w:w="7123"/>
      </w:tblGrid>
      <w:tr w14:paraId="252143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10" w:hRule="exact"/>
          <w:jc w:val="center"/>
        </w:trPr>
        <w:tc>
          <w:tcPr>
            <w:tcW w:w="824" w:type="pct"/>
            <w:tcBorders>
              <w:top w:val="single" w:color="auto" w:sz="12" w:space="0"/>
              <w:left w:val="single" w:color="auto" w:sz="12" w:space="0"/>
              <w:bottom w:val="single" w:color="auto" w:sz="6" w:space="0"/>
              <w:right w:val="single" w:color="auto" w:sz="6" w:space="0"/>
            </w:tcBorders>
            <w:vAlign w:val="center"/>
          </w:tcPr>
          <w:p w14:paraId="6EAAF327">
            <w:pPr>
              <w:spacing w:line="240" w:lineRule="auto"/>
              <w:ind w:firstLine="0" w:firstLineChars="0"/>
              <w:jc w:val="center"/>
              <w:rPr>
                <w:rFonts w:cs="Times New Roman"/>
                <w:sz w:val="21"/>
              </w:rPr>
            </w:pPr>
            <w:r>
              <w:rPr>
                <w:rFonts w:hint="eastAsia" w:cs="Times New Roman"/>
                <w:sz w:val="21"/>
              </w:rPr>
              <w:t>编号</w:t>
            </w:r>
          </w:p>
        </w:tc>
        <w:tc>
          <w:tcPr>
            <w:tcW w:w="4176" w:type="pct"/>
            <w:tcBorders>
              <w:top w:val="single" w:color="auto" w:sz="12" w:space="0"/>
              <w:left w:val="single" w:color="auto" w:sz="6" w:space="0"/>
              <w:bottom w:val="single" w:color="auto" w:sz="6" w:space="0"/>
              <w:right w:val="single" w:color="auto" w:sz="12" w:space="0"/>
            </w:tcBorders>
            <w:vAlign w:val="center"/>
          </w:tcPr>
          <w:p w14:paraId="15AD150A">
            <w:pPr>
              <w:spacing w:line="240" w:lineRule="auto"/>
              <w:ind w:firstLine="0" w:firstLineChars="0"/>
              <w:jc w:val="center"/>
              <w:rPr>
                <w:rFonts w:cs="Times New Roman"/>
                <w:sz w:val="21"/>
              </w:rPr>
            </w:pPr>
            <w:r>
              <w:rPr>
                <w:rFonts w:hint="eastAsia" w:cs="Times New Roman"/>
                <w:sz w:val="21"/>
              </w:rPr>
              <w:t>监测断面</w:t>
            </w:r>
          </w:p>
        </w:tc>
      </w:tr>
      <w:tr w14:paraId="7E057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824" w:type="pct"/>
            <w:tcBorders>
              <w:top w:val="single" w:color="auto" w:sz="6" w:space="0"/>
              <w:left w:val="single" w:color="auto" w:sz="12" w:space="0"/>
              <w:bottom w:val="single" w:color="auto" w:sz="6" w:space="0"/>
              <w:right w:val="single" w:color="auto" w:sz="6" w:space="0"/>
            </w:tcBorders>
            <w:vAlign w:val="center"/>
          </w:tcPr>
          <w:p w14:paraId="2E766428">
            <w:pPr>
              <w:spacing w:line="240" w:lineRule="auto"/>
              <w:ind w:firstLine="0" w:firstLineChars="0"/>
              <w:jc w:val="center"/>
              <w:rPr>
                <w:rFonts w:cs="Times New Roman"/>
                <w:sz w:val="21"/>
              </w:rPr>
            </w:pPr>
            <w:r>
              <w:rPr>
                <w:rFonts w:cs="Times New Roman"/>
                <w:sz w:val="21"/>
              </w:rPr>
              <w:t>S1</w:t>
            </w:r>
          </w:p>
        </w:tc>
        <w:tc>
          <w:tcPr>
            <w:tcW w:w="4176" w:type="pct"/>
            <w:tcBorders>
              <w:top w:val="single" w:color="auto" w:sz="6" w:space="0"/>
              <w:left w:val="single" w:color="auto" w:sz="6" w:space="0"/>
              <w:bottom w:val="single" w:color="auto" w:sz="6" w:space="0"/>
              <w:right w:val="single" w:color="auto" w:sz="12" w:space="0"/>
            </w:tcBorders>
            <w:vAlign w:val="center"/>
          </w:tcPr>
          <w:p w14:paraId="44B81395">
            <w:pPr>
              <w:spacing w:line="240" w:lineRule="auto"/>
              <w:ind w:firstLine="0" w:firstLineChars="0"/>
              <w:jc w:val="center"/>
              <w:rPr>
                <w:rFonts w:cs="Times New Roman"/>
                <w:sz w:val="21"/>
              </w:rPr>
            </w:pPr>
            <w:r>
              <w:rPr>
                <w:rFonts w:hint="eastAsia" w:cs="Times New Roman"/>
                <w:sz w:val="21"/>
              </w:rPr>
              <w:t>松木污水处理厂排污口上游</w:t>
            </w:r>
            <w:r>
              <w:rPr>
                <w:rFonts w:cs="Times New Roman"/>
                <w:sz w:val="21"/>
              </w:rPr>
              <w:t xml:space="preserve"> 500m </w:t>
            </w:r>
            <w:r>
              <w:rPr>
                <w:rFonts w:hint="eastAsia" w:cs="Times New Roman"/>
                <w:sz w:val="21"/>
              </w:rPr>
              <w:t>处</w:t>
            </w:r>
          </w:p>
        </w:tc>
      </w:tr>
      <w:tr w14:paraId="271AB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824" w:type="pct"/>
            <w:tcBorders>
              <w:top w:val="single" w:color="auto" w:sz="6" w:space="0"/>
              <w:left w:val="single" w:color="auto" w:sz="12" w:space="0"/>
              <w:bottom w:val="single" w:color="auto" w:sz="12" w:space="0"/>
              <w:right w:val="single" w:color="auto" w:sz="6" w:space="0"/>
            </w:tcBorders>
            <w:vAlign w:val="center"/>
          </w:tcPr>
          <w:p w14:paraId="6B6334F9">
            <w:pPr>
              <w:spacing w:line="240" w:lineRule="auto"/>
              <w:ind w:firstLine="0" w:firstLineChars="0"/>
              <w:jc w:val="center"/>
              <w:rPr>
                <w:rFonts w:cs="Times New Roman"/>
                <w:sz w:val="21"/>
              </w:rPr>
            </w:pPr>
            <w:r>
              <w:rPr>
                <w:rFonts w:cs="Times New Roman"/>
                <w:sz w:val="21"/>
              </w:rPr>
              <w:t>S2</w:t>
            </w:r>
          </w:p>
        </w:tc>
        <w:tc>
          <w:tcPr>
            <w:tcW w:w="4176" w:type="pct"/>
            <w:tcBorders>
              <w:top w:val="single" w:color="auto" w:sz="6" w:space="0"/>
              <w:left w:val="single" w:color="auto" w:sz="6" w:space="0"/>
              <w:bottom w:val="single" w:color="auto" w:sz="12" w:space="0"/>
              <w:right w:val="single" w:color="auto" w:sz="12" w:space="0"/>
            </w:tcBorders>
            <w:vAlign w:val="center"/>
          </w:tcPr>
          <w:p w14:paraId="23725F30">
            <w:pPr>
              <w:spacing w:line="240" w:lineRule="auto"/>
              <w:ind w:firstLine="0" w:firstLineChars="0"/>
              <w:jc w:val="center"/>
              <w:rPr>
                <w:rFonts w:cs="Times New Roman"/>
                <w:sz w:val="21"/>
              </w:rPr>
            </w:pPr>
            <w:r>
              <w:rPr>
                <w:rFonts w:hint="eastAsia" w:cs="Times New Roman"/>
                <w:sz w:val="21"/>
              </w:rPr>
              <w:t>松木污水处理厂排污口下游</w:t>
            </w:r>
            <w:r>
              <w:rPr>
                <w:rFonts w:cs="Times New Roman"/>
                <w:sz w:val="21"/>
              </w:rPr>
              <w:t xml:space="preserve"> 1000m </w:t>
            </w:r>
            <w:r>
              <w:rPr>
                <w:rFonts w:hint="eastAsia" w:cs="Times New Roman"/>
                <w:sz w:val="21"/>
              </w:rPr>
              <w:t>处</w:t>
            </w:r>
          </w:p>
        </w:tc>
      </w:tr>
    </w:tbl>
    <w:p w14:paraId="2563C492">
      <w:pPr>
        <w:ind w:firstLine="519"/>
        <w:rPr>
          <w:rFonts w:cs="Times New Roman"/>
        </w:rPr>
      </w:pPr>
      <w:r>
        <w:rPr>
          <w:rFonts w:hint="eastAsia" w:cs="Times New Roman"/>
        </w:rPr>
        <w:t>（</w:t>
      </w:r>
      <w:r>
        <w:rPr>
          <w:rFonts w:cs="Times New Roman"/>
        </w:rPr>
        <w:t>2</w:t>
      </w:r>
      <w:r>
        <w:rPr>
          <w:rFonts w:hint="eastAsia" w:cs="Times New Roman"/>
        </w:rPr>
        <w:t>）监测因子：氯化物、硫酸盐。</w:t>
      </w:r>
    </w:p>
    <w:p w14:paraId="185F279E">
      <w:pPr>
        <w:ind w:firstLine="519"/>
        <w:rPr>
          <w:rFonts w:cs="Times New Roman"/>
        </w:rPr>
      </w:pPr>
      <w:r>
        <w:rPr>
          <w:rFonts w:hint="eastAsia" w:cs="Times New Roman"/>
        </w:rPr>
        <w:t>（</w:t>
      </w:r>
      <w:r>
        <w:rPr>
          <w:rFonts w:cs="Times New Roman"/>
        </w:rPr>
        <w:t>3</w:t>
      </w:r>
      <w:r>
        <w:rPr>
          <w:rFonts w:hint="eastAsia" w:cs="Times New Roman"/>
        </w:rPr>
        <w:t>）监测频次：连续监测</w:t>
      </w:r>
      <w:r>
        <w:rPr>
          <w:rFonts w:cs="Times New Roman"/>
        </w:rPr>
        <w:t>3</w:t>
      </w:r>
      <w:r>
        <w:rPr>
          <w:rFonts w:hint="eastAsia" w:cs="Times New Roman"/>
        </w:rPr>
        <w:t>天，每天一次。</w:t>
      </w:r>
    </w:p>
    <w:p w14:paraId="47BC94E3">
      <w:pPr>
        <w:ind w:firstLine="519"/>
        <w:rPr>
          <w:rFonts w:cs="Times New Roman"/>
        </w:rPr>
      </w:pPr>
      <w:r>
        <w:rPr>
          <w:rFonts w:hint="eastAsia" w:cs="Times New Roman"/>
        </w:rPr>
        <w:t>（</w:t>
      </w:r>
      <w:r>
        <w:rPr>
          <w:rFonts w:cs="Times New Roman"/>
        </w:rPr>
        <w:t>4</w:t>
      </w:r>
      <w:r>
        <w:rPr>
          <w:rFonts w:hint="eastAsia" w:cs="Times New Roman"/>
        </w:rPr>
        <w:t>）执行标准：执行《地表水环境质量标准》（</w:t>
      </w:r>
      <w:r>
        <w:rPr>
          <w:rFonts w:cs="Times New Roman"/>
        </w:rPr>
        <w:t>GB3838-2002</w:t>
      </w:r>
      <w:r>
        <w:rPr>
          <w:rFonts w:hint="eastAsia" w:cs="Times New Roman"/>
        </w:rPr>
        <w:t>）</w:t>
      </w:r>
      <w:r>
        <w:rPr>
          <w:rFonts w:hint="eastAsia" w:ascii="宋体" w:hAnsi="宋体" w:cs="宋体"/>
        </w:rPr>
        <w:t>表2中</w:t>
      </w:r>
      <w:r>
        <w:rPr>
          <w:rFonts w:hint="eastAsia" w:cs="Times New Roman"/>
        </w:rPr>
        <w:t>标准。</w:t>
      </w:r>
    </w:p>
    <w:p w14:paraId="3551FD72">
      <w:pPr>
        <w:ind w:firstLine="519"/>
        <w:rPr>
          <w:rFonts w:cs="Times New Roman"/>
        </w:rPr>
      </w:pPr>
      <w:r>
        <w:rPr>
          <w:rFonts w:hint="eastAsia" w:cs="Times New Roman"/>
        </w:rPr>
        <w:t>（</w:t>
      </w:r>
      <w:r>
        <w:rPr>
          <w:rFonts w:cs="Times New Roman"/>
        </w:rPr>
        <w:t>5</w:t>
      </w:r>
      <w:r>
        <w:rPr>
          <w:rFonts w:hint="eastAsia" w:cs="Times New Roman"/>
        </w:rPr>
        <w:t>）监测结果：监测结果见下表。</w:t>
      </w:r>
    </w:p>
    <w:p w14:paraId="06BC1AE8">
      <w:pPr>
        <w:keepLines/>
        <w:ind w:firstLine="0" w:firstLineChars="0"/>
        <w:jc w:val="center"/>
        <w:outlineLvl w:val="4"/>
        <w:rPr>
          <w:rFonts w:cs="Times New Roman"/>
          <w:b/>
          <w:bCs/>
          <w:sz w:val="21"/>
          <w:szCs w:val="28"/>
        </w:rPr>
      </w:pPr>
      <w:r>
        <w:rPr>
          <w:rFonts w:hint="eastAsia" w:cs="Times New Roman"/>
          <w:b/>
          <w:bCs/>
          <w:sz w:val="21"/>
          <w:szCs w:val="28"/>
        </w:rPr>
        <w:t>表</w:t>
      </w:r>
      <w:r>
        <w:rPr>
          <w:rFonts w:cs="Times New Roman"/>
          <w:b/>
          <w:bCs/>
          <w:sz w:val="21"/>
          <w:szCs w:val="28"/>
        </w:rPr>
        <w:t xml:space="preserve">3.3-5  </w:t>
      </w:r>
      <w:r>
        <w:rPr>
          <w:rFonts w:hint="eastAsia" w:cs="Times New Roman"/>
          <w:b/>
          <w:bCs/>
          <w:sz w:val="21"/>
          <w:szCs w:val="28"/>
        </w:rPr>
        <w:t>地表水环境质量检测结果（单位：</w:t>
      </w:r>
      <w:r>
        <w:rPr>
          <w:rFonts w:cs="Times New Roman"/>
          <w:b/>
          <w:bCs/>
          <w:sz w:val="21"/>
          <w:szCs w:val="28"/>
        </w:rPr>
        <w:t>mg/L</w:t>
      </w:r>
      <w:r>
        <w:rPr>
          <w:rFonts w:hint="eastAsia" w:cs="Times New Roman"/>
          <w:b/>
          <w:bCs/>
          <w:sz w:val="21"/>
          <w:szCs w:val="28"/>
        </w:rPr>
        <w:t>，</w:t>
      </w:r>
      <w:r>
        <w:rPr>
          <w:rFonts w:cs="Times New Roman"/>
          <w:b/>
          <w:bCs/>
          <w:sz w:val="21"/>
          <w:szCs w:val="28"/>
        </w:rPr>
        <w:t>pH</w:t>
      </w:r>
      <w:r>
        <w:rPr>
          <w:rFonts w:hint="eastAsia" w:cs="Times New Roman"/>
          <w:b/>
          <w:bCs/>
          <w:sz w:val="21"/>
          <w:szCs w:val="28"/>
        </w:rPr>
        <w:t>除外）</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0"/>
        <w:gridCol w:w="2017"/>
        <w:gridCol w:w="1353"/>
        <w:gridCol w:w="1231"/>
        <w:gridCol w:w="1215"/>
        <w:gridCol w:w="1012"/>
      </w:tblGrid>
      <w:tr w14:paraId="65476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1002" w:type="pct"/>
            <w:tcBorders>
              <w:top w:val="single" w:color="auto" w:sz="12" w:space="0"/>
              <w:left w:val="single" w:color="auto" w:sz="12" w:space="0"/>
              <w:bottom w:val="single" w:color="auto" w:sz="6" w:space="0"/>
              <w:right w:val="single" w:color="auto" w:sz="6" w:space="0"/>
            </w:tcBorders>
            <w:vAlign w:val="center"/>
          </w:tcPr>
          <w:p w14:paraId="4EAE386F">
            <w:pPr>
              <w:spacing w:line="240" w:lineRule="auto"/>
              <w:ind w:firstLine="0" w:firstLineChars="0"/>
              <w:jc w:val="center"/>
              <w:rPr>
                <w:rFonts w:cs="Times New Roman"/>
                <w:sz w:val="21"/>
              </w:rPr>
            </w:pPr>
            <w:r>
              <w:rPr>
                <w:rFonts w:hint="eastAsia" w:cs="Times New Roman"/>
                <w:sz w:val="21"/>
              </w:rPr>
              <w:t>断面</w:t>
            </w:r>
          </w:p>
        </w:tc>
        <w:tc>
          <w:tcPr>
            <w:tcW w:w="1188" w:type="pct"/>
            <w:tcBorders>
              <w:top w:val="single" w:color="auto" w:sz="12" w:space="0"/>
              <w:left w:val="single" w:color="auto" w:sz="6" w:space="0"/>
              <w:bottom w:val="single" w:color="auto" w:sz="6" w:space="0"/>
              <w:right w:val="single" w:color="auto" w:sz="6" w:space="0"/>
            </w:tcBorders>
            <w:vAlign w:val="center"/>
          </w:tcPr>
          <w:p w14:paraId="3245A47B">
            <w:pPr>
              <w:spacing w:line="240" w:lineRule="auto"/>
              <w:ind w:firstLine="0" w:firstLineChars="0"/>
              <w:jc w:val="center"/>
              <w:rPr>
                <w:rFonts w:cs="Times New Roman"/>
                <w:sz w:val="21"/>
              </w:rPr>
            </w:pPr>
            <w:r>
              <w:rPr>
                <w:rFonts w:hint="eastAsia" w:cs="Times New Roman"/>
                <w:sz w:val="21"/>
              </w:rPr>
              <w:t>项目</w:t>
            </w:r>
          </w:p>
        </w:tc>
        <w:tc>
          <w:tcPr>
            <w:tcW w:w="798" w:type="pct"/>
            <w:tcBorders>
              <w:top w:val="single" w:color="auto" w:sz="12" w:space="0"/>
              <w:left w:val="single" w:color="auto" w:sz="6" w:space="0"/>
              <w:bottom w:val="single" w:color="auto" w:sz="6" w:space="0"/>
              <w:right w:val="single" w:color="auto" w:sz="6" w:space="0"/>
            </w:tcBorders>
            <w:noWrap/>
            <w:vAlign w:val="center"/>
          </w:tcPr>
          <w:p w14:paraId="36973E38">
            <w:pPr>
              <w:spacing w:line="240" w:lineRule="auto"/>
              <w:ind w:firstLine="0" w:firstLineChars="0"/>
              <w:jc w:val="center"/>
              <w:rPr>
                <w:rFonts w:cs="Times New Roman"/>
                <w:sz w:val="21"/>
              </w:rPr>
            </w:pPr>
            <w:r>
              <w:rPr>
                <w:rFonts w:hint="eastAsia" w:cs="Times New Roman"/>
                <w:sz w:val="21"/>
              </w:rPr>
              <w:t>浓度范围</w:t>
            </w:r>
          </w:p>
        </w:tc>
        <w:tc>
          <w:tcPr>
            <w:tcW w:w="697" w:type="pct"/>
            <w:tcBorders>
              <w:top w:val="single" w:color="auto" w:sz="12" w:space="0"/>
              <w:left w:val="single" w:color="auto" w:sz="6" w:space="0"/>
              <w:bottom w:val="single" w:color="auto" w:sz="6" w:space="0"/>
              <w:right w:val="single" w:color="auto" w:sz="6" w:space="0"/>
            </w:tcBorders>
            <w:noWrap/>
            <w:vAlign w:val="center"/>
          </w:tcPr>
          <w:p w14:paraId="71B14452">
            <w:pPr>
              <w:spacing w:line="240" w:lineRule="auto"/>
              <w:ind w:firstLine="0" w:firstLineChars="0"/>
              <w:jc w:val="center"/>
              <w:rPr>
                <w:rFonts w:cs="Times New Roman"/>
                <w:sz w:val="21"/>
              </w:rPr>
            </w:pPr>
            <w:r>
              <w:rPr>
                <w:rFonts w:hint="eastAsia" w:cs="Times New Roman"/>
                <w:sz w:val="21"/>
              </w:rPr>
              <w:t>水质指数</w:t>
            </w:r>
          </w:p>
        </w:tc>
        <w:tc>
          <w:tcPr>
            <w:tcW w:w="717" w:type="pct"/>
            <w:tcBorders>
              <w:top w:val="single" w:color="auto" w:sz="12" w:space="0"/>
              <w:left w:val="single" w:color="auto" w:sz="6" w:space="0"/>
              <w:bottom w:val="single" w:color="auto" w:sz="6" w:space="0"/>
              <w:right w:val="single" w:color="auto" w:sz="6" w:space="0"/>
            </w:tcBorders>
            <w:vAlign w:val="center"/>
          </w:tcPr>
          <w:p w14:paraId="399E67B0">
            <w:pPr>
              <w:spacing w:line="240" w:lineRule="auto"/>
              <w:ind w:firstLine="0" w:firstLineChars="0"/>
              <w:jc w:val="center"/>
              <w:rPr>
                <w:rFonts w:cs="Times New Roman"/>
                <w:sz w:val="21"/>
              </w:rPr>
            </w:pPr>
            <w:r>
              <w:rPr>
                <w:rFonts w:hint="eastAsia" w:cs="Times New Roman"/>
                <w:sz w:val="21"/>
              </w:rPr>
              <w:t>评价结果</w:t>
            </w:r>
          </w:p>
        </w:tc>
        <w:tc>
          <w:tcPr>
            <w:tcW w:w="600" w:type="pct"/>
            <w:tcBorders>
              <w:top w:val="single" w:color="auto" w:sz="12" w:space="0"/>
              <w:left w:val="single" w:color="auto" w:sz="6" w:space="0"/>
              <w:bottom w:val="single" w:color="auto" w:sz="6" w:space="0"/>
              <w:right w:val="single" w:color="auto" w:sz="12" w:space="0"/>
            </w:tcBorders>
            <w:noWrap/>
            <w:vAlign w:val="center"/>
          </w:tcPr>
          <w:p w14:paraId="7AC7D9C8">
            <w:pPr>
              <w:spacing w:line="240" w:lineRule="auto"/>
              <w:ind w:firstLine="0" w:firstLineChars="0"/>
              <w:jc w:val="center"/>
              <w:rPr>
                <w:rFonts w:cs="Times New Roman"/>
                <w:sz w:val="21"/>
              </w:rPr>
            </w:pPr>
            <w:r>
              <w:rPr>
                <w:rFonts w:hint="eastAsia" w:cs="Times New Roman"/>
                <w:sz w:val="21"/>
              </w:rPr>
              <w:t>标准值</w:t>
            </w:r>
          </w:p>
        </w:tc>
      </w:tr>
      <w:tr w14:paraId="71C2E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2" w:type="pct"/>
            <w:vMerge w:val="restart"/>
            <w:tcBorders>
              <w:top w:val="single" w:color="auto" w:sz="6" w:space="0"/>
              <w:left w:val="single" w:color="auto" w:sz="12" w:space="0"/>
              <w:bottom w:val="single" w:color="auto" w:sz="6" w:space="0"/>
              <w:right w:val="single" w:color="auto" w:sz="6" w:space="0"/>
            </w:tcBorders>
            <w:vAlign w:val="center"/>
          </w:tcPr>
          <w:p w14:paraId="316E5B4C">
            <w:pPr>
              <w:spacing w:line="240" w:lineRule="auto"/>
              <w:ind w:firstLine="0" w:firstLineChars="0"/>
              <w:jc w:val="center"/>
              <w:rPr>
                <w:rFonts w:cs="Times New Roman"/>
                <w:sz w:val="21"/>
              </w:rPr>
            </w:pPr>
            <w:r>
              <w:rPr>
                <w:rFonts w:cs="Times New Roman"/>
                <w:sz w:val="21"/>
              </w:rPr>
              <w:t xml:space="preserve">S1 </w:t>
            </w:r>
            <w:r>
              <w:rPr>
                <w:rFonts w:hint="eastAsia" w:cs="Times New Roman"/>
                <w:sz w:val="21"/>
              </w:rPr>
              <w:t>松木污水处理厂排污口上游</w:t>
            </w:r>
            <w:r>
              <w:rPr>
                <w:rFonts w:cs="Times New Roman"/>
                <w:sz w:val="21"/>
              </w:rPr>
              <w:t xml:space="preserve">500m </w:t>
            </w:r>
            <w:r>
              <w:rPr>
                <w:rFonts w:hint="eastAsia" w:cs="Times New Roman"/>
                <w:sz w:val="21"/>
              </w:rPr>
              <w:t>处</w:t>
            </w:r>
          </w:p>
        </w:tc>
        <w:tc>
          <w:tcPr>
            <w:tcW w:w="1188" w:type="pct"/>
            <w:tcBorders>
              <w:top w:val="single" w:color="auto" w:sz="6" w:space="0"/>
              <w:left w:val="single" w:color="auto" w:sz="6" w:space="0"/>
              <w:bottom w:val="single" w:color="auto" w:sz="6" w:space="0"/>
              <w:right w:val="single" w:color="auto" w:sz="6" w:space="0"/>
            </w:tcBorders>
            <w:vAlign w:val="center"/>
          </w:tcPr>
          <w:p w14:paraId="493812FE">
            <w:pPr>
              <w:spacing w:line="240" w:lineRule="auto"/>
              <w:ind w:firstLine="0" w:firstLineChars="0"/>
              <w:jc w:val="center"/>
              <w:rPr>
                <w:rFonts w:cs="Times New Roman"/>
                <w:sz w:val="21"/>
                <w:szCs w:val="21"/>
              </w:rPr>
            </w:pPr>
            <w:r>
              <w:rPr>
                <w:rFonts w:hint="eastAsia" w:cs="Times New Roman"/>
                <w:sz w:val="21"/>
                <w:szCs w:val="21"/>
              </w:rPr>
              <w:t>氯化物（以</w:t>
            </w:r>
            <w:r>
              <w:rPr>
                <w:rFonts w:cs="Times New Roman"/>
                <w:sz w:val="21"/>
                <w:szCs w:val="21"/>
              </w:rPr>
              <w:t>Cl</w:t>
            </w:r>
            <w:r>
              <w:rPr>
                <w:rFonts w:cs="Times New Roman"/>
                <w:sz w:val="21"/>
                <w:szCs w:val="21"/>
                <w:vertAlign w:val="superscript"/>
              </w:rPr>
              <w:t>-</w:t>
            </w:r>
            <w:r>
              <w:rPr>
                <w:rFonts w:hint="eastAsia" w:cs="Times New Roman"/>
                <w:sz w:val="21"/>
                <w:szCs w:val="21"/>
              </w:rPr>
              <w:t>计）</w:t>
            </w:r>
          </w:p>
        </w:tc>
        <w:tc>
          <w:tcPr>
            <w:tcW w:w="798" w:type="pct"/>
            <w:tcBorders>
              <w:top w:val="single" w:color="auto" w:sz="6" w:space="0"/>
              <w:left w:val="single" w:color="auto" w:sz="6" w:space="0"/>
              <w:bottom w:val="single" w:color="auto" w:sz="6" w:space="0"/>
              <w:right w:val="single" w:color="auto" w:sz="6" w:space="0"/>
            </w:tcBorders>
            <w:noWrap/>
            <w:vAlign w:val="center"/>
          </w:tcPr>
          <w:p w14:paraId="2C27B643">
            <w:pPr>
              <w:spacing w:line="240" w:lineRule="auto"/>
              <w:ind w:firstLine="0" w:firstLineChars="0"/>
              <w:jc w:val="center"/>
              <w:rPr>
                <w:rFonts w:cs="Times New Roman"/>
                <w:sz w:val="21"/>
              </w:rPr>
            </w:pPr>
            <w:r>
              <w:rPr>
                <w:rFonts w:cs="Times New Roman"/>
                <w:sz w:val="21"/>
              </w:rPr>
              <w:t>10L</w:t>
            </w:r>
          </w:p>
        </w:tc>
        <w:tc>
          <w:tcPr>
            <w:tcW w:w="697" w:type="pct"/>
            <w:tcBorders>
              <w:top w:val="single" w:color="auto" w:sz="6" w:space="0"/>
              <w:left w:val="single" w:color="auto" w:sz="6" w:space="0"/>
              <w:bottom w:val="single" w:color="auto" w:sz="6" w:space="0"/>
              <w:right w:val="single" w:color="auto" w:sz="6" w:space="0"/>
            </w:tcBorders>
            <w:noWrap/>
            <w:vAlign w:val="center"/>
          </w:tcPr>
          <w:p w14:paraId="13DEEF91">
            <w:pPr>
              <w:spacing w:line="240" w:lineRule="auto"/>
              <w:ind w:firstLine="0" w:firstLineChars="0"/>
              <w:jc w:val="center"/>
              <w:rPr>
                <w:rFonts w:cs="Times New Roman"/>
                <w:sz w:val="21"/>
              </w:rPr>
            </w:pPr>
            <w:r>
              <w:rPr>
                <w:rFonts w:cs="Times New Roman"/>
                <w:sz w:val="21"/>
              </w:rPr>
              <w:t>/</w:t>
            </w:r>
          </w:p>
        </w:tc>
        <w:tc>
          <w:tcPr>
            <w:tcW w:w="717" w:type="pct"/>
            <w:tcBorders>
              <w:top w:val="single" w:color="auto" w:sz="6" w:space="0"/>
              <w:left w:val="single" w:color="auto" w:sz="6" w:space="0"/>
              <w:bottom w:val="single" w:color="auto" w:sz="6" w:space="0"/>
              <w:right w:val="single" w:color="auto" w:sz="6" w:space="0"/>
            </w:tcBorders>
            <w:vAlign w:val="center"/>
          </w:tcPr>
          <w:p w14:paraId="1790EDB4">
            <w:pPr>
              <w:spacing w:line="240" w:lineRule="auto"/>
              <w:ind w:firstLine="0" w:firstLineChars="0"/>
              <w:jc w:val="center"/>
              <w:rPr>
                <w:rFonts w:cs="Times New Roman"/>
                <w:sz w:val="21"/>
              </w:rPr>
            </w:pPr>
            <w:r>
              <w:rPr>
                <w:rFonts w:hint="eastAsia" w:cs="Times New Roman"/>
                <w:sz w:val="21"/>
              </w:rPr>
              <w:t>达标</w:t>
            </w:r>
          </w:p>
        </w:tc>
        <w:tc>
          <w:tcPr>
            <w:tcW w:w="600" w:type="pct"/>
            <w:tcBorders>
              <w:top w:val="single" w:color="auto" w:sz="6" w:space="0"/>
              <w:left w:val="single" w:color="auto" w:sz="6" w:space="0"/>
              <w:bottom w:val="single" w:color="auto" w:sz="6" w:space="0"/>
              <w:right w:val="single" w:color="auto" w:sz="12" w:space="0"/>
            </w:tcBorders>
            <w:vAlign w:val="center"/>
          </w:tcPr>
          <w:p w14:paraId="46135F71">
            <w:pPr>
              <w:spacing w:line="240" w:lineRule="auto"/>
              <w:ind w:firstLine="0" w:firstLineChars="0"/>
              <w:jc w:val="center"/>
              <w:rPr>
                <w:rFonts w:cs="Times New Roman"/>
                <w:sz w:val="21"/>
              </w:rPr>
            </w:pPr>
            <w:r>
              <w:rPr>
                <w:rFonts w:cs="Times New Roman"/>
                <w:sz w:val="21"/>
              </w:rPr>
              <w:t>250</w:t>
            </w:r>
          </w:p>
        </w:tc>
      </w:tr>
      <w:tr w14:paraId="68656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0" w:type="auto"/>
            <w:vMerge w:val="continue"/>
            <w:tcBorders>
              <w:top w:val="single" w:color="auto" w:sz="6" w:space="0"/>
              <w:left w:val="single" w:color="auto" w:sz="12" w:space="0"/>
              <w:bottom w:val="single" w:color="auto" w:sz="6" w:space="0"/>
              <w:right w:val="single" w:color="auto" w:sz="6" w:space="0"/>
            </w:tcBorders>
            <w:vAlign w:val="center"/>
          </w:tcPr>
          <w:p w14:paraId="257528F6">
            <w:pPr>
              <w:widowControl/>
              <w:wordWrap/>
              <w:topLinePunct w:val="0"/>
              <w:adjustRightInd/>
              <w:snapToGrid/>
              <w:spacing w:line="240" w:lineRule="auto"/>
              <w:ind w:firstLine="0" w:firstLineChars="0"/>
              <w:jc w:val="left"/>
              <w:rPr>
                <w:rFonts w:cs="Times New Roman"/>
                <w:sz w:val="21"/>
              </w:rPr>
            </w:pPr>
          </w:p>
        </w:tc>
        <w:tc>
          <w:tcPr>
            <w:tcW w:w="1188" w:type="pct"/>
            <w:tcBorders>
              <w:top w:val="single" w:color="auto" w:sz="6" w:space="0"/>
              <w:left w:val="single" w:color="auto" w:sz="6" w:space="0"/>
              <w:bottom w:val="single" w:color="auto" w:sz="6" w:space="0"/>
              <w:right w:val="single" w:color="auto" w:sz="6" w:space="0"/>
            </w:tcBorders>
            <w:vAlign w:val="center"/>
          </w:tcPr>
          <w:p w14:paraId="72102706">
            <w:pPr>
              <w:spacing w:line="240" w:lineRule="auto"/>
              <w:ind w:firstLine="0" w:firstLineChars="0"/>
              <w:jc w:val="center"/>
              <w:rPr>
                <w:rFonts w:cs="Times New Roman"/>
                <w:sz w:val="21"/>
                <w:szCs w:val="21"/>
              </w:rPr>
            </w:pPr>
            <w:r>
              <w:rPr>
                <w:rFonts w:hint="eastAsia" w:cs="Times New Roman"/>
                <w:sz w:val="21"/>
                <w:szCs w:val="21"/>
              </w:rPr>
              <w:t>硫酸盐（以</w:t>
            </w:r>
            <w:r>
              <w:rPr>
                <w:rFonts w:cs="Times New Roman"/>
                <w:sz w:val="21"/>
                <w:szCs w:val="21"/>
              </w:rPr>
              <w:t>SO</w:t>
            </w:r>
            <w:r>
              <w:rPr>
                <w:rFonts w:cs="Times New Roman"/>
                <w:sz w:val="21"/>
                <w:szCs w:val="21"/>
                <w:vertAlign w:val="subscript"/>
              </w:rPr>
              <w:t>4</w:t>
            </w:r>
            <w:r>
              <w:rPr>
                <w:rFonts w:cs="Times New Roman"/>
                <w:sz w:val="21"/>
                <w:szCs w:val="21"/>
                <w:vertAlign w:val="superscript"/>
              </w:rPr>
              <w:t>2-</w:t>
            </w:r>
            <w:r>
              <w:rPr>
                <w:rFonts w:hint="eastAsia" w:cs="Times New Roman"/>
                <w:sz w:val="21"/>
                <w:szCs w:val="21"/>
              </w:rPr>
              <w:t>计）</w:t>
            </w:r>
          </w:p>
        </w:tc>
        <w:tc>
          <w:tcPr>
            <w:tcW w:w="798" w:type="pct"/>
            <w:tcBorders>
              <w:top w:val="single" w:color="auto" w:sz="6" w:space="0"/>
              <w:left w:val="single" w:color="auto" w:sz="6" w:space="0"/>
              <w:bottom w:val="single" w:color="auto" w:sz="6" w:space="0"/>
              <w:right w:val="single" w:color="auto" w:sz="6" w:space="0"/>
            </w:tcBorders>
            <w:noWrap/>
            <w:vAlign w:val="center"/>
          </w:tcPr>
          <w:p w14:paraId="10698A65">
            <w:pPr>
              <w:spacing w:line="240" w:lineRule="auto"/>
              <w:ind w:firstLine="0" w:firstLineChars="0"/>
              <w:jc w:val="center"/>
              <w:rPr>
                <w:rFonts w:cs="Times New Roman"/>
                <w:sz w:val="21"/>
              </w:rPr>
            </w:pPr>
            <w:r>
              <w:rPr>
                <w:rFonts w:cs="Times New Roman"/>
                <w:sz w:val="21"/>
              </w:rPr>
              <w:t>16-17</w:t>
            </w:r>
          </w:p>
        </w:tc>
        <w:tc>
          <w:tcPr>
            <w:tcW w:w="697" w:type="pct"/>
            <w:tcBorders>
              <w:top w:val="single" w:color="auto" w:sz="6" w:space="0"/>
              <w:left w:val="single" w:color="auto" w:sz="6" w:space="0"/>
              <w:bottom w:val="single" w:color="auto" w:sz="6" w:space="0"/>
              <w:right w:val="single" w:color="auto" w:sz="6" w:space="0"/>
            </w:tcBorders>
            <w:noWrap/>
            <w:vAlign w:val="center"/>
          </w:tcPr>
          <w:p w14:paraId="149C4CED">
            <w:pPr>
              <w:spacing w:line="240" w:lineRule="auto"/>
              <w:ind w:firstLine="0" w:firstLineChars="0"/>
              <w:jc w:val="center"/>
              <w:rPr>
                <w:rFonts w:cs="Times New Roman"/>
                <w:sz w:val="21"/>
              </w:rPr>
            </w:pPr>
            <w:r>
              <w:rPr>
                <w:rFonts w:cs="Times New Roman"/>
                <w:sz w:val="21"/>
              </w:rPr>
              <w:t>0.064-0.068</w:t>
            </w:r>
          </w:p>
        </w:tc>
        <w:tc>
          <w:tcPr>
            <w:tcW w:w="717" w:type="pct"/>
            <w:tcBorders>
              <w:top w:val="single" w:color="auto" w:sz="6" w:space="0"/>
              <w:left w:val="single" w:color="auto" w:sz="6" w:space="0"/>
              <w:bottom w:val="single" w:color="auto" w:sz="6" w:space="0"/>
              <w:right w:val="single" w:color="auto" w:sz="6" w:space="0"/>
            </w:tcBorders>
            <w:vAlign w:val="center"/>
          </w:tcPr>
          <w:p w14:paraId="1D97B3CB">
            <w:pPr>
              <w:spacing w:line="240" w:lineRule="auto"/>
              <w:ind w:firstLine="0" w:firstLineChars="0"/>
              <w:jc w:val="center"/>
              <w:rPr>
                <w:rFonts w:cs="Times New Roman"/>
                <w:sz w:val="21"/>
              </w:rPr>
            </w:pPr>
            <w:r>
              <w:rPr>
                <w:rFonts w:hint="eastAsia" w:cs="Times New Roman"/>
                <w:sz w:val="21"/>
              </w:rPr>
              <w:t>达标</w:t>
            </w:r>
          </w:p>
        </w:tc>
        <w:tc>
          <w:tcPr>
            <w:tcW w:w="600" w:type="pct"/>
            <w:tcBorders>
              <w:top w:val="single" w:color="auto" w:sz="6" w:space="0"/>
              <w:left w:val="single" w:color="auto" w:sz="6" w:space="0"/>
              <w:bottom w:val="single" w:color="auto" w:sz="6" w:space="0"/>
              <w:right w:val="single" w:color="auto" w:sz="12" w:space="0"/>
            </w:tcBorders>
            <w:vAlign w:val="center"/>
          </w:tcPr>
          <w:p w14:paraId="3C93B9C1">
            <w:pPr>
              <w:spacing w:line="240" w:lineRule="auto"/>
              <w:ind w:firstLine="0" w:firstLineChars="0"/>
              <w:jc w:val="center"/>
              <w:rPr>
                <w:rFonts w:cs="Times New Roman"/>
                <w:sz w:val="21"/>
              </w:rPr>
            </w:pPr>
            <w:r>
              <w:rPr>
                <w:rFonts w:cs="Times New Roman"/>
                <w:sz w:val="21"/>
              </w:rPr>
              <w:t>250</w:t>
            </w:r>
          </w:p>
        </w:tc>
      </w:tr>
      <w:tr w14:paraId="4E441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2" w:type="pct"/>
            <w:vMerge w:val="restart"/>
            <w:tcBorders>
              <w:top w:val="single" w:color="auto" w:sz="6" w:space="0"/>
              <w:left w:val="single" w:color="auto" w:sz="12" w:space="0"/>
              <w:bottom w:val="single" w:color="auto" w:sz="12" w:space="0"/>
              <w:right w:val="single" w:color="auto" w:sz="6" w:space="0"/>
            </w:tcBorders>
            <w:vAlign w:val="center"/>
          </w:tcPr>
          <w:p w14:paraId="6555360E">
            <w:pPr>
              <w:spacing w:line="240" w:lineRule="auto"/>
              <w:ind w:firstLine="0" w:firstLineChars="0"/>
              <w:jc w:val="center"/>
              <w:rPr>
                <w:rFonts w:cs="Times New Roman"/>
                <w:sz w:val="21"/>
              </w:rPr>
            </w:pPr>
            <w:r>
              <w:rPr>
                <w:rFonts w:cs="Times New Roman"/>
                <w:sz w:val="21"/>
              </w:rPr>
              <w:t xml:space="preserve">S2 </w:t>
            </w:r>
            <w:r>
              <w:rPr>
                <w:rFonts w:hint="eastAsia" w:cs="Times New Roman"/>
                <w:sz w:val="21"/>
              </w:rPr>
              <w:t>松木污水处理厂排污口下游</w:t>
            </w:r>
            <w:r>
              <w:rPr>
                <w:rFonts w:cs="Times New Roman"/>
                <w:sz w:val="21"/>
              </w:rPr>
              <w:t xml:space="preserve">1000m </w:t>
            </w:r>
            <w:r>
              <w:rPr>
                <w:rFonts w:hint="eastAsia" w:cs="Times New Roman"/>
                <w:sz w:val="21"/>
              </w:rPr>
              <w:t>处</w:t>
            </w:r>
          </w:p>
        </w:tc>
        <w:tc>
          <w:tcPr>
            <w:tcW w:w="1188" w:type="pct"/>
            <w:tcBorders>
              <w:top w:val="single" w:color="auto" w:sz="6" w:space="0"/>
              <w:left w:val="single" w:color="auto" w:sz="6" w:space="0"/>
              <w:bottom w:val="single" w:color="auto" w:sz="6" w:space="0"/>
              <w:right w:val="single" w:color="auto" w:sz="6" w:space="0"/>
            </w:tcBorders>
            <w:vAlign w:val="center"/>
          </w:tcPr>
          <w:p w14:paraId="0DC982FF">
            <w:pPr>
              <w:spacing w:line="240" w:lineRule="auto"/>
              <w:ind w:firstLine="0" w:firstLineChars="0"/>
              <w:jc w:val="center"/>
              <w:rPr>
                <w:rFonts w:cs="Times New Roman"/>
                <w:sz w:val="21"/>
              </w:rPr>
            </w:pPr>
            <w:r>
              <w:rPr>
                <w:rFonts w:hint="eastAsia" w:cs="Times New Roman"/>
                <w:sz w:val="21"/>
                <w:szCs w:val="21"/>
              </w:rPr>
              <w:t>氯化物（以</w:t>
            </w:r>
            <w:r>
              <w:rPr>
                <w:rFonts w:cs="Times New Roman"/>
                <w:sz w:val="21"/>
                <w:szCs w:val="21"/>
              </w:rPr>
              <w:t>Cl</w:t>
            </w:r>
            <w:r>
              <w:rPr>
                <w:rFonts w:cs="Times New Roman"/>
                <w:sz w:val="21"/>
                <w:szCs w:val="21"/>
                <w:vertAlign w:val="superscript"/>
              </w:rPr>
              <w:t>-</w:t>
            </w:r>
            <w:r>
              <w:rPr>
                <w:rFonts w:hint="eastAsia" w:cs="Times New Roman"/>
                <w:sz w:val="21"/>
                <w:szCs w:val="21"/>
              </w:rPr>
              <w:t>计）</w:t>
            </w:r>
          </w:p>
        </w:tc>
        <w:tc>
          <w:tcPr>
            <w:tcW w:w="798" w:type="pct"/>
            <w:tcBorders>
              <w:top w:val="single" w:color="auto" w:sz="6" w:space="0"/>
              <w:left w:val="single" w:color="auto" w:sz="6" w:space="0"/>
              <w:bottom w:val="single" w:color="auto" w:sz="6" w:space="0"/>
              <w:right w:val="single" w:color="auto" w:sz="6" w:space="0"/>
            </w:tcBorders>
            <w:noWrap/>
            <w:vAlign w:val="center"/>
          </w:tcPr>
          <w:p w14:paraId="404ED56D">
            <w:pPr>
              <w:spacing w:line="240" w:lineRule="auto"/>
              <w:ind w:firstLine="0" w:firstLineChars="0"/>
              <w:jc w:val="center"/>
              <w:rPr>
                <w:rFonts w:cs="Times New Roman"/>
                <w:sz w:val="21"/>
              </w:rPr>
            </w:pPr>
            <w:r>
              <w:rPr>
                <w:rFonts w:cs="Times New Roman"/>
                <w:sz w:val="21"/>
              </w:rPr>
              <w:t>10L</w:t>
            </w:r>
          </w:p>
        </w:tc>
        <w:tc>
          <w:tcPr>
            <w:tcW w:w="697" w:type="pct"/>
            <w:tcBorders>
              <w:top w:val="single" w:color="auto" w:sz="6" w:space="0"/>
              <w:left w:val="single" w:color="auto" w:sz="6" w:space="0"/>
              <w:bottom w:val="single" w:color="auto" w:sz="6" w:space="0"/>
              <w:right w:val="single" w:color="auto" w:sz="6" w:space="0"/>
            </w:tcBorders>
            <w:noWrap/>
            <w:vAlign w:val="center"/>
          </w:tcPr>
          <w:p w14:paraId="78D935B8">
            <w:pPr>
              <w:spacing w:line="240" w:lineRule="auto"/>
              <w:ind w:firstLine="0" w:firstLineChars="0"/>
              <w:jc w:val="center"/>
              <w:rPr>
                <w:rFonts w:cs="Times New Roman"/>
                <w:sz w:val="21"/>
              </w:rPr>
            </w:pPr>
            <w:r>
              <w:rPr>
                <w:rFonts w:cs="Times New Roman"/>
                <w:sz w:val="21"/>
              </w:rPr>
              <w:t>/</w:t>
            </w:r>
          </w:p>
        </w:tc>
        <w:tc>
          <w:tcPr>
            <w:tcW w:w="717" w:type="pct"/>
            <w:tcBorders>
              <w:top w:val="single" w:color="auto" w:sz="6" w:space="0"/>
              <w:left w:val="single" w:color="auto" w:sz="6" w:space="0"/>
              <w:bottom w:val="single" w:color="auto" w:sz="6" w:space="0"/>
              <w:right w:val="single" w:color="auto" w:sz="6" w:space="0"/>
            </w:tcBorders>
            <w:vAlign w:val="center"/>
          </w:tcPr>
          <w:p w14:paraId="1FBAE75B">
            <w:pPr>
              <w:spacing w:line="240" w:lineRule="auto"/>
              <w:ind w:firstLine="0" w:firstLineChars="0"/>
              <w:jc w:val="center"/>
              <w:rPr>
                <w:rFonts w:cs="Times New Roman"/>
                <w:sz w:val="21"/>
              </w:rPr>
            </w:pPr>
            <w:r>
              <w:rPr>
                <w:rFonts w:hint="eastAsia" w:cs="Times New Roman"/>
                <w:sz w:val="21"/>
              </w:rPr>
              <w:t>达标</w:t>
            </w:r>
          </w:p>
        </w:tc>
        <w:tc>
          <w:tcPr>
            <w:tcW w:w="600" w:type="pct"/>
            <w:tcBorders>
              <w:top w:val="single" w:color="auto" w:sz="6" w:space="0"/>
              <w:left w:val="single" w:color="auto" w:sz="6" w:space="0"/>
              <w:bottom w:val="single" w:color="auto" w:sz="6" w:space="0"/>
              <w:right w:val="single" w:color="auto" w:sz="12" w:space="0"/>
            </w:tcBorders>
            <w:vAlign w:val="center"/>
          </w:tcPr>
          <w:p w14:paraId="78D5B0D4">
            <w:pPr>
              <w:spacing w:line="240" w:lineRule="auto"/>
              <w:ind w:firstLine="0" w:firstLineChars="0"/>
              <w:jc w:val="center"/>
              <w:rPr>
                <w:rFonts w:cs="Times New Roman"/>
                <w:sz w:val="21"/>
              </w:rPr>
            </w:pPr>
            <w:r>
              <w:rPr>
                <w:rFonts w:cs="Times New Roman"/>
                <w:sz w:val="21"/>
              </w:rPr>
              <w:t>250</w:t>
            </w:r>
          </w:p>
        </w:tc>
      </w:tr>
      <w:tr w14:paraId="72A5F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0" w:type="auto"/>
            <w:vMerge w:val="continue"/>
            <w:tcBorders>
              <w:top w:val="single" w:color="auto" w:sz="6" w:space="0"/>
              <w:left w:val="single" w:color="auto" w:sz="12" w:space="0"/>
              <w:bottom w:val="single" w:color="auto" w:sz="12" w:space="0"/>
              <w:right w:val="single" w:color="auto" w:sz="6" w:space="0"/>
            </w:tcBorders>
            <w:vAlign w:val="center"/>
          </w:tcPr>
          <w:p w14:paraId="5DAB44E3">
            <w:pPr>
              <w:widowControl/>
              <w:wordWrap/>
              <w:topLinePunct w:val="0"/>
              <w:adjustRightInd/>
              <w:snapToGrid/>
              <w:spacing w:line="240" w:lineRule="auto"/>
              <w:ind w:firstLine="0" w:firstLineChars="0"/>
              <w:jc w:val="left"/>
              <w:rPr>
                <w:rFonts w:cs="Times New Roman"/>
                <w:sz w:val="21"/>
              </w:rPr>
            </w:pPr>
          </w:p>
        </w:tc>
        <w:tc>
          <w:tcPr>
            <w:tcW w:w="1188" w:type="pct"/>
            <w:tcBorders>
              <w:top w:val="single" w:color="auto" w:sz="6" w:space="0"/>
              <w:left w:val="single" w:color="auto" w:sz="6" w:space="0"/>
              <w:bottom w:val="single" w:color="auto" w:sz="12" w:space="0"/>
              <w:right w:val="single" w:color="auto" w:sz="6" w:space="0"/>
            </w:tcBorders>
            <w:vAlign w:val="center"/>
          </w:tcPr>
          <w:p w14:paraId="5CA1BE02">
            <w:pPr>
              <w:spacing w:line="240" w:lineRule="auto"/>
              <w:ind w:firstLine="0" w:firstLineChars="0"/>
              <w:jc w:val="center"/>
              <w:rPr>
                <w:rFonts w:cs="Times New Roman"/>
                <w:sz w:val="21"/>
              </w:rPr>
            </w:pPr>
            <w:r>
              <w:rPr>
                <w:rFonts w:hint="eastAsia" w:cs="Times New Roman"/>
                <w:sz w:val="21"/>
                <w:szCs w:val="21"/>
              </w:rPr>
              <w:t>硫酸盐（以</w:t>
            </w:r>
            <w:r>
              <w:rPr>
                <w:rFonts w:cs="Times New Roman"/>
                <w:sz w:val="21"/>
                <w:szCs w:val="21"/>
              </w:rPr>
              <w:t>SO</w:t>
            </w:r>
            <w:r>
              <w:rPr>
                <w:rFonts w:cs="Times New Roman"/>
                <w:sz w:val="21"/>
                <w:szCs w:val="21"/>
                <w:vertAlign w:val="subscript"/>
              </w:rPr>
              <w:t>4</w:t>
            </w:r>
            <w:r>
              <w:rPr>
                <w:rFonts w:cs="Times New Roman"/>
                <w:sz w:val="21"/>
                <w:szCs w:val="21"/>
                <w:vertAlign w:val="superscript"/>
              </w:rPr>
              <w:t>2-</w:t>
            </w:r>
            <w:r>
              <w:rPr>
                <w:rFonts w:hint="eastAsia" w:cs="Times New Roman"/>
                <w:sz w:val="21"/>
                <w:szCs w:val="21"/>
              </w:rPr>
              <w:t>计）</w:t>
            </w:r>
          </w:p>
        </w:tc>
        <w:tc>
          <w:tcPr>
            <w:tcW w:w="798" w:type="pct"/>
            <w:tcBorders>
              <w:top w:val="single" w:color="auto" w:sz="6" w:space="0"/>
              <w:left w:val="single" w:color="auto" w:sz="6" w:space="0"/>
              <w:bottom w:val="single" w:color="auto" w:sz="12" w:space="0"/>
              <w:right w:val="single" w:color="auto" w:sz="6" w:space="0"/>
            </w:tcBorders>
            <w:noWrap/>
            <w:vAlign w:val="center"/>
          </w:tcPr>
          <w:p w14:paraId="2A111BAF">
            <w:pPr>
              <w:spacing w:line="240" w:lineRule="auto"/>
              <w:ind w:firstLine="0" w:firstLineChars="0"/>
              <w:jc w:val="center"/>
              <w:rPr>
                <w:rFonts w:cs="Times New Roman"/>
                <w:sz w:val="21"/>
              </w:rPr>
            </w:pPr>
            <w:r>
              <w:rPr>
                <w:rFonts w:cs="Times New Roman"/>
                <w:sz w:val="21"/>
              </w:rPr>
              <w:t>11-13</w:t>
            </w:r>
          </w:p>
        </w:tc>
        <w:tc>
          <w:tcPr>
            <w:tcW w:w="697" w:type="pct"/>
            <w:tcBorders>
              <w:top w:val="single" w:color="auto" w:sz="6" w:space="0"/>
              <w:left w:val="single" w:color="auto" w:sz="6" w:space="0"/>
              <w:bottom w:val="single" w:color="auto" w:sz="12" w:space="0"/>
              <w:right w:val="single" w:color="auto" w:sz="6" w:space="0"/>
            </w:tcBorders>
            <w:noWrap/>
            <w:vAlign w:val="center"/>
          </w:tcPr>
          <w:p w14:paraId="7249A3D4">
            <w:pPr>
              <w:spacing w:line="240" w:lineRule="auto"/>
              <w:ind w:firstLine="0" w:firstLineChars="0"/>
              <w:jc w:val="center"/>
              <w:rPr>
                <w:rFonts w:cs="Times New Roman"/>
                <w:sz w:val="21"/>
              </w:rPr>
            </w:pPr>
            <w:r>
              <w:rPr>
                <w:rFonts w:cs="Times New Roman"/>
                <w:sz w:val="21"/>
              </w:rPr>
              <w:t>0.044-0.052</w:t>
            </w:r>
          </w:p>
        </w:tc>
        <w:tc>
          <w:tcPr>
            <w:tcW w:w="717" w:type="pct"/>
            <w:tcBorders>
              <w:top w:val="single" w:color="auto" w:sz="6" w:space="0"/>
              <w:left w:val="single" w:color="auto" w:sz="6" w:space="0"/>
              <w:bottom w:val="single" w:color="auto" w:sz="12" w:space="0"/>
              <w:right w:val="single" w:color="auto" w:sz="6" w:space="0"/>
            </w:tcBorders>
            <w:vAlign w:val="center"/>
          </w:tcPr>
          <w:p w14:paraId="059990E8">
            <w:pPr>
              <w:spacing w:line="240" w:lineRule="auto"/>
              <w:ind w:firstLine="0" w:firstLineChars="0"/>
              <w:jc w:val="center"/>
              <w:rPr>
                <w:rFonts w:cs="Times New Roman"/>
                <w:sz w:val="21"/>
              </w:rPr>
            </w:pPr>
            <w:r>
              <w:rPr>
                <w:rFonts w:hint="eastAsia" w:cs="Times New Roman"/>
                <w:sz w:val="21"/>
              </w:rPr>
              <w:t>达标</w:t>
            </w:r>
          </w:p>
        </w:tc>
        <w:tc>
          <w:tcPr>
            <w:tcW w:w="600" w:type="pct"/>
            <w:tcBorders>
              <w:top w:val="single" w:color="auto" w:sz="6" w:space="0"/>
              <w:left w:val="single" w:color="auto" w:sz="6" w:space="0"/>
              <w:bottom w:val="single" w:color="auto" w:sz="12" w:space="0"/>
              <w:right w:val="single" w:color="auto" w:sz="12" w:space="0"/>
            </w:tcBorders>
            <w:vAlign w:val="center"/>
          </w:tcPr>
          <w:p w14:paraId="26DF72E9">
            <w:pPr>
              <w:spacing w:line="240" w:lineRule="auto"/>
              <w:ind w:firstLine="0" w:firstLineChars="0"/>
              <w:jc w:val="center"/>
              <w:rPr>
                <w:rFonts w:cs="Times New Roman"/>
                <w:sz w:val="21"/>
              </w:rPr>
            </w:pPr>
            <w:r>
              <w:rPr>
                <w:rFonts w:cs="Times New Roman"/>
                <w:sz w:val="21"/>
              </w:rPr>
              <w:t>250</w:t>
            </w:r>
          </w:p>
        </w:tc>
      </w:tr>
    </w:tbl>
    <w:p w14:paraId="3F037CE6">
      <w:pPr>
        <w:ind w:firstLine="519"/>
        <w:rPr>
          <w:rFonts w:cs="Times New Roman"/>
        </w:rPr>
      </w:pPr>
      <w:r>
        <w:rPr>
          <w:rFonts w:hint="eastAsia" w:cs="Times New Roman"/>
        </w:rPr>
        <w:t>由上表可知，地表水监测断面中，各断面监测因子均达到《地表水环境质量标准》（</w:t>
      </w:r>
      <w:r>
        <w:rPr>
          <w:rFonts w:cs="Times New Roman"/>
        </w:rPr>
        <w:t>GB38388-2002</w:t>
      </w:r>
      <w:r>
        <w:rPr>
          <w:rFonts w:hint="eastAsia" w:cs="Times New Roman"/>
        </w:rPr>
        <w:t>）表2中标准。</w:t>
      </w:r>
    </w:p>
    <w:p w14:paraId="53F6934B">
      <w:pPr>
        <w:pStyle w:val="7"/>
      </w:pPr>
      <w:bookmarkStart w:id="311" w:name="_Toc121420822"/>
      <w:bookmarkStart w:id="312" w:name="_Toc90997665"/>
      <w:r>
        <w:t>3.3.3 地下水环境质量现状调查与评价</w:t>
      </w:r>
      <w:bookmarkEnd w:id="311"/>
      <w:bookmarkEnd w:id="312"/>
    </w:p>
    <w:p w14:paraId="4C55282A">
      <w:pPr>
        <w:pStyle w:val="8"/>
        <w:ind w:firstLine="0" w:firstLineChars="0"/>
        <w:rPr>
          <w:rFonts w:cs="Times New Roman"/>
        </w:rPr>
      </w:pPr>
      <w:r>
        <w:rPr>
          <w:rFonts w:cs="Times New Roman"/>
        </w:rPr>
        <w:t>3.3.3.1 地</w:t>
      </w:r>
      <w:r>
        <w:rPr>
          <w:rFonts w:hint="eastAsia" w:cs="Times New Roman"/>
        </w:rPr>
        <w:t>下</w:t>
      </w:r>
      <w:r>
        <w:rPr>
          <w:rFonts w:cs="Times New Roman"/>
        </w:rPr>
        <w:t>水环境质量引用监测</w:t>
      </w:r>
    </w:p>
    <w:p w14:paraId="67B4E9C9">
      <w:pPr>
        <w:ind w:firstLine="519"/>
        <w:rPr>
          <w:rFonts w:cs="Times New Roman"/>
        </w:rPr>
      </w:pPr>
      <w:r>
        <w:rPr>
          <w:rFonts w:cs="Times New Roman"/>
        </w:rPr>
        <w:t>本次环评，引用《</w:t>
      </w:r>
      <w:r>
        <w:rPr>
          <w:rFonts w:hint="eastAsia" w:cs="Times New Roman"/>
        </w:rPr>
        <w:t>衡阳市黎达化工有限公司技术改造项目环境影响报告书</w:t>
      </w:r>
      <w:r>
        <w:rPr>
          <w:rFonts w:cs="Times New Roman"/>
        </w:rPr>
        <w:t>》</w:t>
      </w:r>
      <w:r>
        <w:rPr>
          <w:rFonts w:hint="eastAsia" w:cs="Times New Roman"/>
        </w:rPr>
        <w:t>、《</w:t>
      </w:r>
      <w:bookmarkStart w:id="313" w:name="_Hlk116893189"/>
      <w:r>
        <w:rPr>
          <w:rFonts w:hint="eastAsia" w:cs="Times New Roman"/>
        </w:rPr>
        <w:t>衡阳市锦轩化工有限公司技改减排项目环境影响报告书》</w:t>
      </w:r>
      <w:bookmarkEnd w:id="313"/>
      <w:r>
        <w:rPr>
          <w:rFonts w:cs="Times New Roman"/>
        </w:rPr>
        <w:t>中于2020年 11月4日对</w:t>
      </w:r>
      <w:r>
        <w:rPr>
          <w:rFonts w:hint="eastAsia" w:cs="Times New Roman"/>
        </w:rPr>
        <w:t>地下水</w:t>
      </w:r>
      <w:r>
        <w:rPr>
          <w:rFonts w:cs="Times New Roman"/>
        </w:rPr>
        <w:t>的</w:t>
      </w:r>
      <w:r>
        <w:rPr>
          <w:rFonts w:hint="eastAsia" w:cs="Times New Roman"/>
        </w:rPr>
        <w:t>水位历史</w:t>
      </w:r>
      <w:r>
        <w:rPr>
          <w:rFonts w:cs="Times New Roman"/>
        </w:rPr>
        <w:t>监测数据</w:t>
      </w:r>
      <w:r>
        <w:rPr>
          <w:rFonts w:hint="eastAsia" w:cs="Times New Roman"/>
        </w:rPr>
        <w:t>及湖南谱实检测技术有限公司于2020年11月4日对</w:t>
      </w:r>
      <w:bookmarkStart w:id="314" w:name="_Hlk116893452"/>
      <w:r>
        <w:rPr>
          <w:rFonts w:hint="eastAsia" w:cs="Times New Roman"/>
        </w:rPr>
        <w:t>捷瑞化工场地内废水池东侧</w:t>
      </w:r>
      <w:bookmarkEnd w:id="314"/>
      <w:r>
        <w:rPr>
          <w:rFonts w:hint="eastAsia" w:cs="Times New Roman"/>
        </w:rPr>
        <w:t>（本项目矿区北面60m处）地下水水位进行的一期监测数据</w:t>
      </w:r>
      <w:r>
        <w:rPr>
          <w:rFonts w:cs="Times New Roman"/>
        </w:rPr>
        <w:t>。</w:t>
      </w:r>
    </w:p>
    <w:p w14:paraId="0DB59560">
      <w:pPr>
        <w:ind w:firstLine="519"/>
        <w:rPr>
          <w:rFonts w:cs="Times New Roman"/>
        </w:rPr>
      </w:pPr>
      <w:r>
        <w:rPr>
          <w:rFonts w:cs="Times New Roman"/>
        </w:rPr>
        <w:t>（1）</w:t>
      </w:r>
      <w:r>
        <w:rPr>
          <w:rFonts w:hint="eastAsia" w:cs="Times New Roman"/>
        </w:rPr>
        <w:t>引用监测点位</w:t>
      </w:r>
      <w:r>
        <w:rPr>
          <w:rFonts w:cs="Times New Roman"/>
        </w:rPr>
        <w:t>：</w:t>
      </w:r>
      <w:r>
        <w:rPr>
          <w:rFonts w:hint="eastAsia" w:cs="Times New Roman"/>
        </w:rPr>
        <w:t>本次引用《衡阳市黎达化工有限公司技术改造项目环境影响报告书》中</w:t>
      </w:r>
      <w:r>
        <w:rPr>
          <w:rFonts w:cs="Times New Roman"/>
        </w:rPr>
        <w:t>设置</w:t>
      </w:r>
      <w:r>
        <w:rPr>
          <w:rFonts w:hint="eastAsia" w:cs="Times New Roman"/>
        </w:rPr>
        <w:t>的</w:t>
      </w:r>
      <w:r>
        <w:rPr>
          <w:rFonts w:cs="Times New Roman"/>
        </w:rPr>
        <w:t>3个</w:t>
      </w:r>
      <w:r>
        <w:rPr>
          <w:rFonts w:hint="eastAsia" w:cs="Times New Roman"/>
        </w:rPr>
        <w:t>地下水</w:t>
      </w:r>
      <w:r>
        <w:rPr>
          <w:rFonts w:cs="Times New Roman"/>
        </w:rPr>
        <w:t>监测</w:t>
      </w:r>
      <w:r>
        <w:rPr>
          <w:rFonts w:hint="eastAsia" w:cs="Times New Roman"/>
        </w:rPr>
        <w:t>点位：D</w:t>
      </w:r>
      <w:r>
        <w:rPr>
          <w:rFonts w:cs="Times New Roman"/>
        </w:rPr>
        <w:t>Y1</w:t>
      </w:r>
      <w:r>
        <w:rPr>
          <w:rFonts w:hint="eastAsia" w:cs="Times New Roman"/>
        </w:rPr>
        <w:t>本技改项目原料仓库与洗车场中间位置、D</w:t>
      </w:r>
      <w:r>
        <w:rPr>
          <w:rFonts w:cs="Times New Roman"/>
        </w:rPr>
        <w:t>Y2</w:t>
      </w:r>
      <w:r>
        <w:rPr>
          <w:rFonts w:hint="eastAsia" w:cs="Times New Roman"/>
        </w:rPr>
        <w:t>项目东南面1500m处金兰村水井、</w:t>
      </w:r>
      <w:bookmarkStart w:id="315" w:name="_Hlk116893214"/>
      <w:r>
        <w:rPr>
          <w:rFonts w:hint="eastAsia" w:cs="Times New Roman"/>
        </w:rPr>
        <w:t>D</w:t>
      </w:r>
      <w:r>
        <w:rPr>
          <w:rFonts w:cs="Times New Roman"/>
        </w:rPr>
        <w:t>Y3</w:t>
      </w:r>
      <w:bookmarkEnd w:id="315"/>
      <w:r>
        <w:rPr>
          <w:rFonts w:hint="eastAsia" w:cs="Times New Roman"/>
        </w:rPr>
        <w:tab/>
      </w:r>
      <w:r>
        <w:rPr>
          <w:rFonts w:hint="eastAsia" w:cs="Times New Roman"/>
        </w:rPr>
        <w:t>西面2080m金源社区水井；引用捷瑞化工场地内的1个监测点位：</w:t>
      </w:r>
      <w:r>
        <w:rPr>
          <w:rFonts w:cs="Times New Roman"/>
        </w:rPr>
        <w:t>DY4</w:t>
      </w:r>
      <w:r>
        <w:rPr>
          <w:rFonts w:hint="eastAsia" w:cs="Times New Roman"/>
        </w:rPr>
        <w:t>捷瑞化工场地内废水池东侧；引用《衡阳市锦轩化工有限公司技改减排项目环境影响报告书》中设置的</w:t>
      </w:r>
      <w:r>
        <w:rPr>
          <w:rFonts w:cs="Times New Roman"/>
        </w:rPr>
        <w:t>1</w:t>
      </w:r>
      <w:r>
        <w:rPr>
          <w:rFonts w:hint="eastAsia" w:cs="Times New Roman"/>
        </w:rPr>
        <w:t>个监测点位：DY</w:t>
      </w:r>
      <w:r>
        <w:rPr>
          <w:rFonts w:cs="Times New Roman"/>
        </w:rPr>
        <w:t>5</w:t>
      </w:r>
      <w:r>
        <w:rPr>
          <w:rFonts w:hint="eastAsia" w:cs="Times New Roman"/>
        </w:rPr>
        <w:t>新竹村水井</w:t>
      </w:r>
      <w:r>
        <w:rPr>
          <w:rFonts w:cs="Times New Roman"/>
        </w:rPr>
        <w:t>。</w:t>
      </w:r>
    </w:p>
    <w:p w14:paraId="1CCBBE71">
      <w:pPr>
        <w:pStyle w:val="9"/>
      </w:pPr>
      <w:r>
        <w:t>表3.3-6  地</w:t>
      </w:r>
      <w:r>
        <w:rPr>
          <w:rFonts w:hint="eastAsia"/>
        </w:rPr>
        <w:t>下</w:t>
      </w:r>
      <w:r>
        <w:t>水环境质量监测断面</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6"/>
        <w:gridCol w:w="4329"/>
        <w:gridCol w:w="3433"/>
      </w:tblGrid>
      <w:tr w14:paraId="263E8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9" w:hRule="exact"/>
          <w:jc w:val="center"/>
        </w:trPr>
        <w:tc>
          <w:tcPr>
            <w:tcW w:w="449" w:type="pct"/>
            <w:tcBorders>
              <w:top w:val="single" w:color="auto" w:sz="12" w:space="0"/>
            </w:tcBorders>
            <w:vAlign w:val="center"/>
          </w:tcPr>
          <w:p w14:paraId="29A08BC4">
            <w:pPr>
              <w:pStyle w:val="48"/>
            </w:pPr>
            <w:r>
              <w:t>编号</w:t>
            </w:r>
          </w:p>
        </w:tc>
        <w:tc>
          <w:tcPr>
            <w:tcW w:w="2538" w:type="pct"/>
            <w:tcBorders>
              <w:top w:val="single" w:color="auto" w:sz="12" w:space="0"/>
            </w:tcBorders>
            <w:vAlign w:val="center"/>
          </w:tcPr>
          <w:p w14:paraId="52288402">
            <w:pPr>
              <w:pStyle w:val="48"/>
            </w:pPr>
            <w:r>
              <w:t>监测断面</w:t>
            </w:r>
          </w:p>
        </w:tc>
        <w:tc>
          <w:tcPr>
            <w:tcW w:w="2013" w:type="pct"/>
            <w:tcBorders>
              <w:top w:val="single" w:color="auto" w:sz="12" w:space="0"/>
            </w:tcBorders>
            <w:vAlign w:val="center"/>
          </w:tcPr>
          <w:p w14:paraId="5AAFAE53">
            <w:pPr>
              <w:pStyle w:val="48"/>
            </w:pPr>
            <w:r>
              <w:rPr>
                <w:rFonts w:hint="eastAsia"/>
              </w:rPr>
              <w:t>与本项目位置关系</w:t>
            </w:r>
          </w:p>
        </w:tc>
      </w:tr>
      <w:tr w14:paraId="157700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49" w:type="pct"/>
            <w:vAlign w:val="center"/>
          </w:tcPr>
          <w:p w14:paraId="294E3E54">
            <w:pPr>
              <w:pStyle w:val="48"/>
            </w:pPr>
            <w:r>
              <w:t>DY1</w:t>
            </w:r>
          </w:p>
        </w:tc>
        <w:tc>
          <w:tcPr>
            <w:tcW w:w="2538" w:type="pct"/>
            <w:tcBorders>
              <w:top w:val="single" w:color="auto" w:sz="4" w:space="0"/>
              <w:left w:val="single" w:color="auto" w:sz="4" w:space="0"/>
              <w:bottom w:val="single" w:color="auto" w:sz="4" w:space="0"/>
              <w:right w:val="single" w:color="auto" w:sz="4" w:space="0"/>
            </w:tcBorders>
            <w:vAlign w:val="center"/>
          </w:tcPr>
          <w:p w14:paraId="4B2D8113">
            <w:pPr>
              <w:pStyle w:val="48"/>
            </w:pPr>
            <w:r>
              <w:rPr>
                <w:rFonts w:hint="eastAsia"/>
                <w:kern w:val="0"/>
                <w:szCs w:val="21"/>
              </w:rPr>
              <w:t>本技改项目原料仓库与洗车场中间位置</w:t>
            </w:r>
          </w:p>
        </w:tc>
        <w:tc>
          <w:tcPr>
            <w:tcW w:w="2013" w:type="pct"/>
            <w:vAlign w:val="center"/>
          </w:tcPr>
          <w:p w14:paraId="268576CF">
            <w:pPr>
              <w:pStyle w:val="48"/>
            </w:pPr>
            <w:r>
              <w:rPr>
                <w:rFonts w:hint="eastAsia"/>
              </w:rPr>
              <w:t>矿区内北侧</w:t>
            </w:r>
          </w:p>
          <w:p w14:paraId="14D893C3">
            <w:pPr>
              <w:pStyle w:val="48"/>
            </w:pPr>
            <w:r>
              <w:rPr>
                <w:rFonts w:hint="eastAsia"/>
              </w:rPr>
              <w:t>新建井场东北侧</w:t>
            </w:r>
            <w:r>
              <w:t>4</w:t>
            </w:r>
            <w:r>
              <w:rPr>
                <w:rFonts w:hint="eastAsia"/>
              </w:rPr>
              <w:t>75m处</w:t>
            </w:r>
          </w:p>
        </w:tc>
      </w:tr>
      <w:tr w14:paraId="6077B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49" w:type="pct"/>
            <w:vAlign w:val="center"/>
          </w:tcPr>
          <w:p w14:paraId="2FB0EA6E">
            <w:pPr>
              <w:pStyle w:val="48"/>
            </w:pPr>
            <w:r>
              <w:t>DY2</w:t>
            </w:r>
          </w:p>
        </w:tc>
        <w:tc>
          <w:tcPr>
            <w:tcW w:w="2538" w:type="pct"/>
            <w:tcBorders>
              <w:top w:val="single" w:color="auto" w:sz="4" w:space="0"/>
              <w:left w:val="single" w:color="auto" w:sz="4" w:space="0"/>
              <w:bottom w:val="single" w:color="auto" w:sz="4" w:space="0"/>
              <w:right w:val="single" w:color="auto" w:sz="4" w:space="0"/>
            </w:tcBorders>
            <w:vAlign w:val="center"/>
          </w:tcPr>
          <w:p w14:paraId="70D1E078">
            <w:pPr>
              <w:pStyle w:val="48"/>
            </w:pPr>
            <w:r>
              <w:rPr>
                <w:rFonts w:hint="eastAsia"/>
                <w:kern w:val="0"/>
                <w:szCs w:val="21"/>
              </w:rPr>
              <w:t>项目东南面</w:t>
            </w:r>
            <w:r>
              <w:rPr>
                <w:kern w:val="0"/>
                <w:szCs w:val="21"/>
              </w:rPr>
              <w:t>1500m</w:t>
            </w:r>
            <w:r>
              <w:rPr>
                <w:rFonts w:hint="eastAsia"/>
                <w:kern w:val="0"/>
                <w:szCs w:val="21"/>
              </w:rPr>
              <w:t>处金兰村水井</w:t>
            </w:r>
          </w:p>
        </w:tc>
        <w:tc>
          <w:tcPr>
            <w:tcW w:w="2013" w:type="pct"/>
            <w:vAlign w:val="center"/>
          </w:tcPr>
          <w:p w14:paraId="0D23120C">
            <w:pPr>
              <w:pStyle w:val="48"/>
            </w:pPr>
            <w:r>
              <w:rPr>
                <w:rFonts w:hint="eastAsia"/>
              </w:rPr>
              <w:t>矿区东侧5</w:t>
            </w:r>
            <w:r>
              <w:t>70m</w:t>
            </w:r>
          </w:p>
          <w:p w14:paraId="4D4DCB2A">
            <w:pPr>
              <w:pStyle w:val="48"/>
            </w:pPr>
            <w:r>
              <w:rPr>
                <w:rFonts w:hint="eastAsia"/>
              </w:rPr>
              <w:t>新建井场东南侧</w:t>
            </w:r>
            <w:r>
              <w:t>2318</w:t>
            </w:r>
            <w:r>
              <w:rPr>
                <w:rFonts w:hint="eastAsia"/>
              </w:rPr>
              <w:t>m处</w:t>
            </w:r>
          </w:p>
        </w:tc>
      </w:tr>
      <w:tr w14:paraId="14E39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49" w:type="pct"/>
            <w:vAlign w:val="center"/>
          </w:tcPr>
          <w:p w14:paraId="1B8097C2">
            <w:pPr>
              <w:pStyle w:val="48"/>
            </w:pPr>
            <w:r>
              <w:rPr>
                <w:rFonts w:hint="eastAsia"/>
              </w:rPr>
              <w:t>DY</w:t>
            </w:r>
            <w:r>
              <w:t>3</w:t>
            </w:r>
          </w:p>
        </w:tc>
        <w:tc>
          <w:tcPr>
            <w:tcW w:w="2538" w:type="pct"/>
            <w:tcBorders>
              <w:top w:val="single" w:color="auto" w:sz="4" w:space="0"/>
              <w:left w:val="single" w:color="auto" w:sz="4" w:space="0"/>
              <w:bottom w:val="single" w:color="auto" w:sz="4" w:space="0"/>
              <w:right w:val="single" w:color="auto" w:sz="4" w:space="0"/>
            </w:tcBorders>
            <w:vAlign w:val="center"/>
          </w:tcPr>
          <w:p w14:paraId="379CE922">
            <w:pPr>
              <w:pStyle w:val="48"/>
            </w:pPr>
            <w:r>
              <w:rPr>
                <w:rFonts w:hint="eastAsia"/>
                <w:kern w:val="0"/>
                <w:szCs w:val="21"/>
              </w:rPr>
              <w:t>西面</w:t>
            </w:r>
            <w:r>
              <w:rPr>
                <w:kern w:val="0"/>
                <w:szCs w:val="21"/>
              </w:rPr>
              <w:t>2080m</w:t>
            </w:r>
            <w:r>
              <w:rPr>
                <w:rFonts w:hint="eastAsia"/>
                <w:kern w:val="0"/>
                <w:szCs w:val="21"/>
              </w:rPr>
              <w:t>金源社区水井</w:t>
            </w:r>
          </w:p>
        </w:tc>
        <w:tc>
          <w:tcPr>
            <w:tcW w:w="2013" w:type="pct"/>
            <w:vAlign w:val="center"/>
          </w:tcPr>
          <w:p w14:paraId="2C775DA1">
            <w:pPr>
              <w:pStyle w:val="48"/>
            </w:pPr>
            <w:r>
              <w:rPr>
                <w:rFonts w:hint="eastAsia"/>
              </w:rPr>
              <w:t>矿区西南侧5</w:t>
            </w:r>
            <w:r>
              <w:t>37m</w:t>
            </w:r>
          </w:p>
          <w:p w14:paraId="56F1081D">
            <w:pPr>
              <w:pStyle w:val="48"/>
            </w:pPr>
            <w:r>
              <w:rPr>
                <w:rFonts w:hint="eastAsia"/>
              </w:rPr>
              <w:t>新建井场西侧</w:t>
            </w:r>
            <w:r>
              <w:t>900</w:t>
            </w:r>
            <w:r>
              <w:rPr>
                <w:rFonts w:hint="eastAsia"/>
              </w:rPr>
              <w:t>m处</w:t>
            </w:r>
          </w:p>
        </w:tc>
      </w:tr>
      <w:tr w14:paraId="5EA66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49" w:type="pct"/>
            <w:vAlign w:val="center"/>
          </w:tcPr>
          <w:p w14:paraId="5E96A8BD">
            <w:pPr>
              <w:pStyle w:val="48"/>
            </w:pPr>
            <w:r>
              <w:t>DY4</w:t>
            </w:r>
          </w:p>
        </w:tc>
        <w:tc>
          <w:tcPr>
            <w:tcW w:w="2538" w:type="pct"/>
            <w:tcBorders>
              <w:top w:val="single" w:color="auto" w:sz="4" w:space="0"/>
              <w:left w:val="single" w:color="auto" w:sz="4" w:space="0"/>
              <w:bottom w:val="single" w:color="auto" w:sz="4" w:space="0"/>
              <w:right w:val="single" w:color="auto" w:sz="4" w:space="0"/>
            </w:tcBorders>
            <w:vAlign w:val="center"/>
          </w:tcPr>
          <w:p w14:paraId="05B9C737">
            <w:pPr>
              <w:pStyle w:val="48"/>
              <w:rPr>
                <w:kern w:val="0"/>
                <w:szCs w:val="21"/>
              </w:rPr>
            </w:pPr>
            <w:r>
              <w:rPr>
                <w:rFonts w:hint="eastAsia"/>
                <w:kern w:val="0"/>
                <w:szCs w:val="21"/>
              </w:rPr>
              <w:t>捷瑞化工废水池东侧</w:t>
            </w:r>
          </w:p>
        </w:tc>
        <w:tc>
          <w:tcPr>
            <w:tcW w:w="2013" w:type="pct"/>
            <w:vAlign w:val="center"/>
          </w:tcPr>
          <w:p w14:paraId="439FA1B7">
            <w:pPr>
              <w:pStyle w:val="48"/>
              <w:rPr>
                <w:kern w:val="0"/>
                <w:szCs w:val="21"/>
              </w:rPr>
            </w:pPr>
            <w:r>
              <w:rPr>
                <w:rFonts w:hint="eastAsia"/>
                <w:kern w:val="0"/>
                <w:szCs w:val="21"/>
              </w:rPr>
              <w:t>矿区北侧60m</w:t>
            </w:r>
            <w:r>
              <w:rPr>
                <w:kern w:val="0"/>
                <w:szCs w:val="21"/>
              </w:rPr>
              <w:t xml:space="preserve"> </w:t>
            </w:r>
          </w:p>
          <w:p w14:paraId="35CCC136">
            <w:pPr>
              <w:pStyle w:val="48"/>
            </w:pPr>
            <w:r>
              <w:rPr>
                <w:rFonts w:hint="eastAsia"/>
                <w:kern w:val="0"/>
                <w:szCs w:val="21"/>
              </w:rPr>
              <w:t>新建井场东侧</w:t>
            </w:r>
            <w:r>
              <w:rPr>
                <w:kern w:val="0"/>
                <w:szCs w:val="21"/>
              </w:rPr>
              <w:t>975</w:t>
            </w:r>
            <w:r>
              <w:rPr>
                <w:rFonts w:hint="eastAsia"/>
                <w:kern w:val="0"/>
                <w:szCs w:val="21"/>
              </w:rPr>
              <w:t>m处</w:t>
            </w:r>
          </w:p>
        </w:tc>
      </w:tr>
      <w:tr w14:paraId="257D7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exact"/>
          <w:jc w:val="center"/>
        </w:trPr>
        <w:tc>
          <w:tcPr>
            <w:tcW w:w="449" w:type="pct"/>
            <w:vAlign w:val="center"/>
          </w:tcPr>
          <w:p w14:paraId="43C90D7B">
            <w:pPr>
              <w:pStyle w:val="48"/>
            </w:pPr>
            <w:r>
              <w:t>DY5</w:t>
            </w:r>
          </w:p>
        </w:tc>
        <w:tc>
          <w:tcPr>
            <w:tcW w:w="2538" w:type="pct"/>
            <w:tcBorders>
              <w:top w:val="single" w:color="auto" w:sz="4" w:space="0"/>
              <w:left w:val="single" w:color="auto" w:sz="4" w:space="0"/>
              <w:bottom w:val="single" w:color="auto" w:sz="4" w:space="0"/>
              <w:right w:val="single" w:color="auto" w:sz="4" w:space="0"/>
            </w:tcBorders>
            <w:vAlign w:val="center"/>
          </w:tcPr>
          <w:p w14:paraId="0E769907">
            <w:pPr>
              <w:pStyle w:val="48"/>
              <w:rPr>
                <w:kern w:val="0"/>
                <w:szCs w:val="21"/>
              </w:rPr>
            </w:pPr>
            <w:bookmarkStart w:id="316" w:name="_Hlk116893269"/>
            <w:r>
              <w:rPr>
                <w:rFonts w:hint="eastAsia"/>
                <w:kern w:val="0"/>
                <w:szCs w:val="21"/>
              </w:rPr>
              <w:t>新竹村水井</w:t>
            </w:r>
            <w:bookmarkEnd w:id="316"/>
          </w:p>
        </w:tc>
        <w:tc>
          <w:tcPr>
            <w:tcW w:w="2013" w:type="pct"/>
            <w:vAlign w:val="center"/>
          </w:tcPr>
          <w:p w14:paraId="6020BDED">
            <w:pPr>
              <w:pStyle w:val="48"/>
            </w:pPr>
            <w:r>
              <w:rPr>
                <w:rFonts w:hint="eastAsia"/>
              </w:rPr>
              <w:t>矿区南侧650m处</w:t>
            </w:r>
          </w:p>
          <w:p w14:paraId="49118D04">
            <w:pPr>
              <w:spacing w:line="240" w:lineRule="auto"/>
              <w:ind w:firstLine="0" w:firstLineChars="0"/>
              <w:jc w:val="center"/>
              <w:rPr>
                <w:sz w:val="21"/>
                <w:szCs w:val="21"/>
              </w:rPr>
            </w:pPr>
            <w:r>
              <w:rPr>
                <w:rFonts w:hint="eastAsia"/>
                <w:sz w:val="21"/>
                <w:szCs w:val="21"/>
              </w:rPr>
              <w:t>新建井场东南侧16</w:t>
            </w:r>
            <w:r>
              <w:rPr>
                <w:sz w:val="21"/>
                <w:szCs w:val="21"/>
              </w:rPr>
              <w:t>00</w:t>
            </w:r>
            <w:r>
              <w:rPr>
                <w:rFonts w:hint="eastAsia"/>
                <w:sz w:val="21"/>
                <w:szCs w:val="21"/>
              </w:rPr>
              <w:t>m处</w:t>
            </w:r>
          </w:p>
        </w:tc>
      </w:tr>
    </w:tbl>
    <w:p w14:paraId="76263C63">
      <w:pPr>
        <w:ind w:firstLine="519"/>
        <w:rPr>
          <w:rFonts w:cs="Times New Roman"/>
        </w:rPr>
      </w:pPr>
      <w:r>
        <w:rPr>
          <w:rFonts w:cs="Times New Roman"/>
        </w:rPr>
        <w:t>（2）监测因子：</w:t>
      </w:r>
      <w:r>
        <w:rPr>
          <w:rFonts w:hint="eastAsia" w:cs="Times New Roman"/>
        </w:rPr>
        <w:t>水位</w:t>
      </w:r>
      <w:r>
        <w:rPr>
          <w:rFonts w:cs="Times New Roman"/>
        </w:rPr>
        <w:t>。</w:t>
      </w:r>
    </w:p>
    <w:p w14:paraId="3DA14646">
      <w:pPr>
        <w:ind w:firstLine="519"/>
        <w:rPr>
          <w:rFonts w:cs="Times New Roman"/>
        </w:rPr>
      </w:pPr>
      <w:r>
        <w:rPr>
          <w:rFonts w:cs="Times New Roman"/>
        </w:rPr>
        <w:t>（3）监测频次：监测1天，每天一次。</w:t>
      </w:r>
    </w:p>
    <w:p w14:paraId="43B5EBE7">
      <w:pPr>
        <w:ind w:firstLine="519"/>
        <w:rPr>
          <w:rFonts w:cs="Times New Roman"/>
        </w:rPr>
      </w:pPr>
      <w:r>
        <w:rPr>
          <w:rFonts w:cs="Times New Roman"/>
        </w:rPr>
        <w:t>（4）监测结果：监测结果见下表。</w:t>
      </w:r>
    </w:p>
    <w:p w14:paraId="7E7D9853">
      <w:pPr>
        <w:pStyle w:val="9"/>
      </w:pPr>
      <w:r>
        <w:t>表3.3-7 引用地</w:t>
      </w:r>
      <w:r>
        <w:rPr>
          <w:rFonts w:hint="eastAsia"/>
        </w:rPr>
        <w:t>下</w:t>
      </w:r>
      <w:r>
        <w:t>水</w:t>
      </w:r>
      <w:r>
        <w:rPr>
          <w:rFonts w:hint="eastAsia"/>
        </w:rPr>
        <w:t>水位埋深</w:t>
      </w:r>
      <w:r>
        <w:t>检测结果</w:t>
      </w:r>
    </w:p>
    <w:tbl>
      <w:tblPr>
        <w:tblStyle w:val="29"/>
        <w:tblW w:w="84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4153"/>
        <w:gridCol w:w="3300"/>
      </w:tblGrid>
      <w:tr w14:paraId="33EC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tcBorders>
              <w:top w:val="single" w:color="auto" w:sz="4" w:space="0"/>
              <w:left w:val="single" w:color="auto" w:sz="4" w:space="0"/>
              <w:bottom w:val="single" w:color="auto" w:sz="4" w:space="0"/>
              <w:right w:val="single" w:color="auto" w:sz="4" w:space="0"/>
            </w:tcBorders>
            <w:vAlign w:val="center"/>
          </w:tcPr>
          <w:p w14:paraId="759A39BA">
            <w:pPr>
              <w:keepNext/>
              <w:keepLines/>
              <w:wordWrap/>
              <w:topLinePunct w:val="0"/>
              <w:adjustRightInd/>
              <w:snapToGrid/>
              <w:spacing w:line="240" w:lineRule="auto"/>
              <w:ind w:firstLine="0" w:firstLineChars="0"/>
              <w:jc w:val="center"/>
              <w:rPr>
                <w:rFonts w:ascii="宋体" w:hAnsi="宋体" w:cs="宋体"/>
                <w:kern w:val="0"/>
                <w:sz w:val="21"/>
                <w:szCs w:val="21"/>
              </w:rPr>
            </w:pPr>
            <w:r>
              <w:rPr>
                <w:rFonts w:hint="eastAsia" w:cs="Times New Roman"/>
                <w:kern w:val="0"/>
                <w:sz w:val="21"/>
                <w:szCs w:val="21"/>
              </w:rPr>
              <w:t>编号</w:t>
            </w:r>
          </w:p>
        </w:tc>
        <w:tc>
          <w:tcPr>
            <w:tcW w:w="4153" w:type="dxa"/>
            <w:tcBorders>
              <w:top w:val="single" w:color="auto" w:sz="4" w:space="0"/>
              <w:left w:val="single" w:color="auto" w:sz="4" w:space="0"/>
              <w:bottom w:val="single" w:color="auto" w:sz="4" w:space="0"/>
              <w:right w:val="single" w:color="auto" w:sz="4" w:space="0"/>
            </w:tcBorders>
            <w:vAlign w:val="center"/>
          </w:tcPr>
          <w:p w14:paraId="565C15AE">
            <w:pPr>
              <w:keepNext/>
              <w:keepLines/>
              <w:wordWrap/>
              <w:topLinePunct w:val="0"/>
              <w:adjustRightInd/>
              <w:snapToGrid/>
              <w:spacing w:line="240" w:lineRule="auto"/>
              <w:ind w:firstLine="0" w:firstLineChars="0"/>
              <w:jc w:val="center"/>
              <w:rPr>
                <w:rFonts w:ascii="宋体" w:hAnsi="宋体" w:cs="宋体"/>
                <w:kern w:val="0"/>
                <w:sz w:val="21"/>
                <w:szCs w:val="21"/>
              </w:rPr>
            </w:pPr>
            <w:r>
              <w:rPr>
                <w:rFonts w:hint="eastAsia" w:cs="Times New Roman"/>
                <w:kern w:val="0"/>
                <w:sz w:val="21"/>
                <w:szCs w:val="21"/>
              </w:rPr>
              <w:t>监测点位</w:t>
            </w:r>
          </w:p>
        </w:tc>
        <w:tc>
          <w:tcPr>
            <w:tcW w:w="3300" w:type="dxa"/>
            <w:tcBorders>
              <w:top w:val="single" w:color="auto" w:sz="4" w:space="0"/>
              <w:left w:val="single" w:color="auto" w:sz="4" w:space="0"/>
              <w:bottom w:val="single" w:color="auto" w:sz="4" w:space="0"/>
              <w:right w:val="single" w:color="auto" w:sz="4" w:space="0"/>
            </w:tcBorders>
            <w:vAlign w:val="center"/>
          </w:tcPr>
          <w:p w14:paraId="480AE554">
            <w:pPr>
              <w:widowControl/>
              <w:wordWrap/>
              <w:topLinePunct w:val="0"/>
              <w:adjustRightInd/>
              <w:snapToGrid/>
              <w:spacing w:line="240" w:lineRule="auto"/>
              <w:ind w:firstLine="0" w:firstLineChars="0"/>
              <w:jc w:val="center"/>
              <w:rPr>
                <w:rFonts w:cs="Times New Roman"/>
                <w:kern w:val="0"/>
                <w:sz w:val="21"/>
                <w:szCs w:val="21"/>
              </w:rPr>
            </w:pPr>
            <w:r>
              <w:rPr>
                <w:rFonts w:hint="eastAsia" w:cs="Times New Roman"/>
                <w:kern w:val="0"/>
                <w:sz w:val="21"/>
                <w:szCs w:val="21"/>
              </w:rPr>
              <w:t>地下水埋深</w:t>
            </w:r>
          </w:p>
        </w:tc>
      </w:tr>
      <w:tr w14:paraId="35F3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tcBorders>
              <w:top w:val="single" w:color="auto" w:sz="4" w:space="0"/>
              <w:left w:val="single" w:color="auto" w:sz="4" w:space="0"/>
              <w:bottom w:val="single" w:color="auto" w:sz="4" w:space="0"/>
              <w:right w:val="single" w:color="auto" w:sz="4" w:space="0"/>
            </w:tcBorders>
            <w:vAlign w:val="center"/>
          </w:tcPr>
          <w:p w14:paraId="62B570C3">
            <w:pPr>
              <w:keepNext/>
              <w:keepLines/>
              <w:wordWrap/>
              <w:topLinePunct w:val="0"/>
              <w:adjustRightInd/>
              <w:snapToGrid/>
              <w:spacing w:line="240" w:lineRule="auto"/>
              <w:ind w:firstLine="0" w:firstLineChars="0"/>
              <w:jc w:val="center"/>
              <w:rPr>
                <w:rFonts w:ascii="宋体" w:hAnsi="宋体" w:cs="宋体"/>
                <w:kern w:val="0"/>
                <w:sz w:val="21"/>
                <w:szCs w:val="21"/>
              </w:rPr>
            </w:pPr>
            <w:r>
              <w:rPr>
                <w:rFonts w:cs="Times New Roman"/>
                <w:kern w:val="0"/>
                <w:sz w:val="21"/>
                <w:szCs w:val="21"/>
              </w:rPr>
              <w:t>DY1</w:t>
            </w:r>
          </w:p>
        </w:tc>
        <w:tc>
          <w:tcPr>
            <w:tcW w:w="4153" w:type="dxa"/>
            <w:tcBorders>
              <w:top w:val="single" w:color="auto" w:sz="4" w:space="0"/>
              <w:left w:val="single" w:color="auto" w:sz="4" w:space="0"/>
              <w:bottom w:val="single" w:color="auto" w:sz="4" w:space="0"/>
              <w:right w:val="single" w:color="auto" w:sz="4" w:space="0"/>
            </w:tcBorders>
            <w:vAlign w:val="center"/>
          </w:tcPr>
          <w:p w14:paraId="1D7BE7D2">
            <w:pPr>
              <w:keepNext/>
              <w:keepLines/>
              <w:wordWrap/>
              <w:topLinePunct w:val="0"/>
              <w:adjustRightInd/>
              <w:snapToGrid/>
              <w:spacing w:line="240" w:lineRule="auto"/>
              <w:ind w:firstLine="0" w:firstLineChars="0"/>
              <w:jc w:val="center"/>
              <w:rPr>
                <w:rFonts w:ascii="宋体" w:hAnsi="宋体" w:cs="宋体"/>
                <w:kern w:val="0"/>
                <w:sz w:val="21"/>
                <w:szCs w:val="21"/>
              </w:rPr>
            </w:pPr>
            <w:r>
              <w:rPr>
                <w:rFonts w:hint="eastAsia" w:cs="Times New Roman"/>
                <w:kern w:val="0"/>
                <w:sz w:val="21"/>
                <w:szCs w:val="21"/>
              </w:rPr>
              <w:t>本技改项目原料仓库与洗车场中间位置</w:t>
            </w:r>
          </w:p>
        </w:tc>
        <w:tc>
          <w:tcPr>
            <w:tcW w:w="3300" w:type="dxa"/>
            <w:tcBorders>
              <w:top w:val="single" w:color="auto" w:sz="4" w:space="0"/>
              <w:left w:val="single" w:color="auto" w:sz="4" w:space="0"/>
              <w:bottom w:val="single" w:color="auto" w:sz="4" w:space="0"/>
              <w:right w:val="single" w:color="auto" w:sz="4" w:space="0"/>
            </w:tcBorders>
            <w:vAlign w:val="center"/>
          </w:tcPr>
          <w:p w14:paraId="49BD6045">
            <w:pPr>
              <w:widowControl/>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6</w:t>
            </w:r>
          </w:p>
        </w:tc>
      </w:tr>
      <w:tr w14:paraId="557D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tcBorders>
              <w:top w:val="single" w:color="auto" w:sz="4" w:space="0"/>
              <w:left w:val="single" w:color="auto" w:sz="4" w:space="0"/>
              <w:bottom w:val="single" w:color="auto" w:sz="4" w:space="0"/>
              <w:right w:val="single" w:color="auto" w:sz="4" w:space="0"/>
            </w:tcBorders>
            <w:vAlign w:val="center"/>
          </w:tcPr>
          <w:p w14:paraId="4D6B85CB">
            <w:pPr>
              <w:keepNext/>
              <w:keepLines/>
              <w:wordWrap/>
              <w:topLinePunct w:val="0"/>
              <w:adjustRightInd/>
              <w:snapToGrid/>
              <w:spacing w:line="240" w:lineRule="auto"/>
              <w:ind w:firstLine="0" w:firstLineChars="0"/>
              <w:jc w:val="center"/>
              <w:rPr>
                <w:rFonts w:ascii="宋体" w:hAnsi="宋体" w:cs="宋体"/>
                <w:kern w:val="0"/>
                <w:sz w:val="21"/>
                <w:szCs w:val="21"/>
              </w:rPr>
            </w:pPr>
            <w:r>
              <w:rPr>
                <w:rFonts w:cs="Times New Roman"/>
                <w:kern w:val="0"/>
                <w:sz w:val="21"/>
                <w:szCs w:val="21"/>
              </w:rPr>
              <w:t>DY</w:t>
            </w:r>
            <w:r>
              <w:rPr>
                <w:rFonts w:hint="eastAsia" w:cs="Times New Roman"/>
                <w:kern w:val="0"/>
                <w:sz w:val="21"/>
                <w:szCs w:val="21"/>
              </w:rPr>
              <w:t>2</w:t>
            </w:r>
          </w:p>
        </w:tc>
        <w:tc>
          <w:tcPr>
            <w:tcW w:w="4153" w:type="dxa"/>
            <w:tcBorders>
              <w:top w:val="single" w:color="auto" w:sz="4" w:space="0"/>
              <w:left w:val="single" w:color="auto" w:sz="4" w:space="0"/>
              <w:bottom w:val="single" w:color="auto" w:sz="4" w:space="0"/>
              <w:right w:val="single" w:color="auto" w:sz="4" w:space="0"/>
            </w:tcBorders>
            <w:vAlign w:val="center"/>
          </w:tcPr>
          <w:p w14:paraId="0F5C0C0D">
            <w:pPr>
              <w:keepNext/>
              <w:keepLines/>
              <w:wordWrap/>
              <w:topLinePunct w:val="0"/>
              <w:adjustRightInd/>
              <w:snapToGrid/>
              <w:spacing w:line="240" w:lineRule="auto"/>
              <w:ind w:firstLine="0" w:firstLineChars="0"/>
              <w:jc w:val="center"/>
              <w:rPr>
                <w:rFonts w:ascii="宋体" w:hAnsi="宋体" w:cs="宋体"/>
                <w:kern w:val="0"/>
                <w:sz w:val="21"/>
                <w:szCs w:val="21"/>
              </w:rPr>
            </w:pPr>
            <w:r>
              <w:rPr>
                <w:rFonts w:hint="eastAsia" w:cs="Times New Roman"/>
                <w:kern w:val="0"/>
                <w:sz w:val="21"/>
                <w:szCs w:val="21"/>
              </w:rPr>
              <w:t>项目东南面</w:t>
            </w:r>
            <w:r>
              <w:rPr>
                <w:rFonts w:cs="Times New Roman"/>
                <w:kern w:val="0"/>
                <w:sz w:val="21"/>
                <w:szCs w:val="21"/>
              </w:rPr>
              <w:t>1500m</w:t>
            </w:r>
            <w:r>
              <w:rPr>
                <w:rFonts w:hint="eastAsia" w:cs="Times New Roman"/>
                <w:kern w:val="0"/>
                <w:sz w:val="21"/>
                <w:szCs w:val="21"/>
              </w:rPr>
              <w:t>处金兰村水井</w:t>
            </w:r>
          </w:p>
        </w:tc>
        <w:tc>
          <w:tcPr>
            <w:tcW w:w="3300" w:type="dxa"/>
            <w:tcBorders>
              <w:top w:val="single" w:color="auto" w:sz="4" w:space="0"/>
              <w:left w:val="single" w:color="auto" w:sz="4" w:space="0"/>
              <w:bottom w:val="single" w:color="auto" w:sz="4" w:space="0"/>
              <w:right w:val="single" w:color="auto" w:sz="4" w:space="0"/>
            </w:tcBorders>
            <w:vAlign w:val="center"/>
          </w:tcPr>
          <w:p w14:paraId="3AED036C">
            <w:pPr>
              <w:widowControl/>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13</w:t>
            </w:r>
          </w:p>
        </w:tc>
      </w:tr>
      <w:tr w14:paraId="415B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tcBorders>
              <w:top w:val="single" w:color="auto" w:sz="4" w:space="0"/>
              <w:left w:val="single" w:color="auto" w:sz="4" w:space="0"/>
              <w:bottom w:val="single" w:color="auto" w:sz="4" w:space="0"/>
              <w:right w:val="single" w:color="auto" w:sz="4" w:space="0"/>
            </w:tcBorders>
            <w:vAlign w:val="center"/>
          </w:tcPr>
          <w:p w14:paraId="7A22236C">
            <w:pPr>
              <w:keepNext/>
              <w:keepLines/>
              <w:wordWrap/>
              <w:topLinePunct w:val="0"/>
              <w:adjustRightInd/>
              <w:snapToGrid/>
              <w:spacing w:line="240" w:lineRule="auto"/>
              <w:ind w:firstLine="0" w:firstLineChars="0"/>
              <w:jc w:val="center"/>
              <w:rPr>
                <w:rFonts w:ascii="宋体" w:hAnsi="宋体" w:cs="宋体"/>
                <w:kern w:val="0"/>
                <w:sz w:val="21"/>
                <w:szCs w:val="21"/>
              </w:rPr>
            </w:pPr>
            <w:r>
              <w:rPr>
                <w:rFonts w:cs="Times New Roman"/>
                <w:kern w:val="0"/>
                <w:sz w:val="21"/>
                <w:szCs w:val="21"/>
              </w:rPr>
              <w:t>DY3</w:t>
            </w:r>
          </w:p>
        </w:tc>
        <w:tc>
          <w:tcPr>
            <w:tcW w:w="4153" w:type="dxa"/>
            <w:tcBorders>
              <w:top w:val="single" w:color="auto" w:sz="4" w:space="0"/>
              <w:left w:val="single" w:color="auto" w:sz="4" w:space="0"/>
              <w:bottom w:val="single" w:color="auto" w:sz="4" w:space="0"/>
              <w:right w:val="single" w:color="auto" w:sz="4" w:space="0"/>
            </w:tcBorders>
            <w:vAlign w:val="center"/>
          </w:tcPr>
          <w:p w14:paraId="2D5A410F">
            <w:pPr>
              <w:keepNext/>
              <w:keepLines/>
              <w:wordWrap/>
              <w:topLinePunct w:val="0"/>
              <w:adjustRightInd/>
              <w:snapToGrid/>
              <w:spacing w:line="240" w:lineRule="auto"/>
              <w:ind w:firstLine="0" w:firstLineChars="0"/>
              <w:jc w:val="center"/>
              <w:rPr>
                <w:rFonts w:ascii="宋体" w:hAnsi="宋体" w:cs="宋体"/>
                <w:kern w:val="0"/>
                <w:sz w:val="21"/>
                <w:szCs w:val="21"/>
              </w:rPr>
            </w:pPr>
            <w:r>
              <w:rPr>
                <w:rFonts w:hint="eastAsia" w:cs="Times New Roman"/>
                <w:kern w:val="0"/>
                <w:sz w:val="21"/>
                <w:szCs w:val="21"/>
              </w:rPr>
              <w:t>西面</w:t>
            </w:r>
            <w:r>
              <w:rPr>
                <w:rFonts w:cs="Times New Roman"/>
                <w:kern w:val="0"/>
                <w:sz w:val="21"/>
                <w:szCs w:val="21"/>
              </w:rPr>
              <w:t>2080m</w:t>
            </w:r>
            <w:r>
              <w:rPr>
                <w:rFonts w:hint="eastAsia" w:cs="Times New Roman"/>
                <w:kern w:val="0"/>
                <w:sz w:val="21"/>
                <w:szCs w:val="21"/>
              </w:rPr>
              <w:t>金源社区水井</w:t>
            </w:r>
          </w:p>
        </w:tc>
        <w:tc>
          <w:tcPr>
            <w:tcW w:w="3300" w:type="dxa"/>
            <w:tcBorders>
              <w:top w:val="single" w:color="auto" w:sz="4" w:space="0"/>
              <w:left w:val="single" w:color="auto" w:sz="4" w:space="0"/>
              <w:bottom w:val="single" w:color="auto" w:sz="4" w:space="0"/>
              <w:right w:val="single" w:color="auto" w:sz="4" w:space="0"/>
            </w:tcBorders>
            <w:vAlign w:val="center"/>
          </w:tcPr>
          <w:p w14:paraId="6BF758B4">
            <w:pPr>
              <w:widowControl/>
              <w:wordWrap/>
              <w:topLinePunct w:val="0"/>
              <w:adjustRightInd/>
              <w:snapToGrid/>
              <w:spacing w:line="240" w:lineRule="auto"/>
              <w:ind w:firstLine="0" w:firstLineChars="0"/>
              <w:jc w:val="center"/>
              <w:rPr>
                <w:rFonts w:cs="Times New Roman"/>
                <w:kern w:val="0"/>
                <w:sz w:val="21"/>
                <w:szCs w:val="21"/>
              </w:rPr>
            </w:pPr>
            <w:r>
              <w:rPr>
                <w:rFonts w:cs="Times New Roman"/>
                <w:kern w:val="0"/>
                <w:sz w:val="21"/>
                <w:szCs w:val="21"/>
              </w:rPr>
              <w:t>9</w:t>
            </w:r>
          </w:p>
        </w:tc>
      </w:tr>
      <w:tr w14:paraId="3E08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5A6372A8">
            <w:pPr>
              <w:keepNext/>
              <w:keepLines/>
              <w:wordWrap/>
              <w:topLinePunct w:val="0"/>
              <w:adjustRightInd/>
              <w:snapToGrid/>
              <w:spacing w:line="240" w:lineRule="auto"/>
              <w:ind w:firstLine="0" w:firstLineChars="0"/>
              <w:jc w:val="center"/>
              <w:rPr>
                <w:rFonts w:cs="Times New Roman"/>
                <w:kern w:val="0"/>
                <w:sz w:val="21"/>
                <w:szCs w:val="21"/>
              </w:rPr>
            </w:pPr>
            <w:r>
              <w:rPr>
                <w:sz w:val="21"/>
                <w:szCs w:val="21"/>
              </w:rPr>
              <w:t>DY4</w:t>
            </w:r>
          </w:p>
        </w:tc>
        <w:tc>
          <w:tcPr>
            <w:tcW w:w="4153" w:type="dxa"/>
            <w:tcBorders>
              <w:top w:val="single" w:color="auto" w:sz="4" w:space="0"/>
              <w:left w:val="single" w:color="auto" w:sz="4" w:space="0"/>
              <w:bottom w:val="single" w:color="auto" w:sz="4" w:space="0"/>
              <w:right w:val="single" w:color="auto" w:sz="4" w:space="0"/>
            </w:tcBorders>
            <w:vAlign w:val="center"/>
          </w:tcPr>
          <w:p w14:paraId="1FE1B9BA">
            <w:pPr>
              <w:keepNext/>
              <w:keepLines/>
              <w:wordWrap/>
              <w:topLinePunct w:val="0"/>
              <w:adjustRightInd/>
              <w:snapToGrid/>
              <w:spacing w:line="240" w:lineRule="auto"/>
              <w:ind w:firstLine="0" w:firstLineChars="0"/>
              <w:jc w:val="center"/>
              <w:rPr>
                <w:rFonts w:cs="Times New Roman"/>
                <w:kern w:val="0"/>
                <w:sz w:val="21"/>
                <w:szCs w:val="21"/>
              </w:rPr>
            </w:pPr>
            <w:r>
              <w:rPr>
                <w:rFonts w:hint="eastAsia"/>
                <w:kern w:val="0"/>
                <w:sz w:val="21"/>
                <w:szCs w:val="21"/>
              </w:rPr>
              <w:t>捷瑞化工废水池东侧</w:t>
            </w:r>
          </w:p>
        </w:tc>
        <w:tc>
          <w:tcPr>
            <w:tcW w:w="3300" w:type="dxa"/>
            <w:tcBorders>
              <w:top w:val="single" w:color="auto" w:sz="4" w:space="0"/>
              <w:left w:val="single" w:color="auto" w:sz="4" w:space="0"/>
              <w:bottom w:val="single" w:color="auto" w:sz="4" w:space="0"/>
              <w:right w:val="single" w:color="auto" w:sz="4" w:space="0"/>
            </w:tcBorders>
            <w:vAlign w:val="center"/>
          </w:tcPr>
          <w:p w14:paraId="32884E78">
            <w:pPr>
              <w:widowControl/>
              <w:wordWrap/>
              <w:topLinePunct w:val="0"/>
              <w:adjustRightInd/>
              <w:snapToGrid/>
              <w:spacing w:line="240" w:lineRule="auto"/>
              <w:ind w:firstLine="0" w:firstLineChars="0"/>
              <w:jc w:val="center"/>
              <w:rPr>
                <w:rFonts w:cs="Times New Roman"/>
                <w:kern w:val="0"/>
                <w:sz w:val="21"/>
                <w:szCs w:val="21"/>
              </w:rPr>
            </w:pPr>
            <w:r>
              <w:rPr>
                <w:rFonts w:hint="eastAsia" w:cs="Times New Roman"/>
                <w:kern w:val="0"/>
                <w:sz w:val="21"/>
                <w:szCs w:val="21"/>
              </w:rPr>
              <w:t>5</w:t>
            </w:r>
          </w:p>
        </w:tc>
      </w:tr>
      <w:tr w14:paraId="1C5B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21EB9B6E">
            <w:pPr>
              <w:keepNext/>
              <w:keepLines/>
              <w:wordWrap/>
              <w:topLinePunct w:val="0"/>
              <w:adjustRightInd/>
              <w:snapToGrid/>
              <w:spacing w:line="240" w:lineRule="auto"/>
              <w:ind w:firstLine="0" w:firstLineChars="0"/>
              <w:jc w:val="center"/>
              <w:rPr>
                <w:rFonts w:cs="Times New Roman"/>
                <w:kern w:val="0"/>
                <w:sz w:val="21"/>
                <w:szCs w:val="21"/>
              </w:rPr>
            </w:pPr>
            <w:r>
              <w:rPr>
                <w:sz w:val="21"/>
                <w:szCs w:val="21"/>
              </w:rPr>
              <w:t>DY5</w:t>
            </w:r>
          </w:p>
        </w:tc>
        <w:tc>
          <w:tcPr>
            <w:tcW w:w="4153" w:type="dxa"/>
            <w:tcBorders>
              <w:top w:val="single" w:color="auto" w:sz="4" w:space="0"/>
              <w:left w:val="single" w:color="auto" w:sz="4" w:space="0"/>
              <w:bottom w:val="single" w:color="auto" w:sz="4" w:space="0"/>
              <w:right w:val="single" w:color="auto" w:sz="4" w:space="0"/>
            </w:tcBorders>
            <w:vAlign w:val="center"/>
          </w:tcPr>
          <w:p w14:paraId="319B3B67">
            <w:pPr>
              <w:keepNext/>
              <w:keepLines/>
              <w:wordWrap/>
              <w:topLinePunct w:val="0"/>
              <w:adjustRightInd/>
              <w:snapToGrid/>
              <w:spacing w:line="240" w:lineRule="auto"/>
              <w:ind w:firstLine="0" w:firstLineChars="0"/>
              <w:jc w:val="center"/>
              <w:rPr>
                <w:rFonts w:cs="Times New Roman"/>
                <w:kern w:val="0"/>
                <w:sz w:val="21"/>
                <w:szCs w:val="21"/>
              </w:rPr>
            </w:pPr>
            <w:r>
              <w:rPr>
                <w:rFonts w:hint="eastAsia"/>
                <w:kern w:val="0"/>
                <w:sz w:val="21"/>
                <w:szCs w:val="21"/>
              </w:rPr>
              <w:t>新竹村水井</w:t>
            </w:r>
          </w:p>
        </w:tc>
        <w:tc>
          <w:tcPr>
            <w:tcW w:w="3300" w:type="dxa"/>
            <w:tcBorders>
              <w:top w:val="single" w:color="auto" w:sz="4" w:space="0"/>
              <w:left w:val="single" w:color="auto" w:sz="4" w:space="0"/>
              <w:bottom w:val="single" w:color="auto" w:sz="4" w:space="0"/>
              <w:right w:val="single" w:color="auto" w:sz="4" w:space="0"/>
            </w:tcBorders>
            <w:vAlign w:val="center"/>
          </w:tcPr>
          <w:p w14:paraId="2E416388">
            <w:pPr>
              <w:widowControl/>
              <w:wordWrap/>
              <w:topLinePunct w:val="0"/>
              <w:adjustRightInd/>
              <w:snapToGrid/>
              <w:spacing w:line="240" w:lineRule="auto"/>
              <w:ind w:firstLine="0" w:firstLineChars="0"/>
              <w:jc w:val="center"/>
              <w:rPr>
                <w:rFonts w:cs="Times New Roman"/>
                <w:kern w:val="0"/>
                <w:sz w:val="21"/>
                <w:szCs w:val="21"/>
              </w:rPr>
            </w:pPr>
            <w:r>
              <w:rPr>
                <w:rFonts w:hint="eastAsia" w:cs="Times New Roman"/>
                <w:kern w:val="0"/>
                <w:sz w:val="21"/>
                <w:szCs w:val="21"/>
              </w:rPr>
              <w:t>1</w:t>
            </w:r>
            <w:r>
              <w:rPr>
                <w:rFonts w:cs="Times New Roman"/>
                <w:kern w:val="0"/>
                <w:sz w:val="21"/>
                <w:szCs w:val="21"/>
              </w:rPr>
              <w:t>0</w:t>
            </w:r>
          </w:p>
        </w:tc>
      </w:tr>
    </w:tbl>
    <w:p w14:paraId="510FDCA4">
      <w:pPr>
        <w:ind w:firstLine="519"/>
        <w:rPr>
          <w:rFonts w:cs="Times New Roman"/>
        </w:rPr>
      </w:pPr>
    </w:p>
    <w:p w14:paraId="68E57BF9">
      <w:pPr>
        <w:pStyle w:val="8"/>
        <w:ind w:firstLine="0" w:firstLineChars="0"/>
        <w:rPr>
          <w:rFonts w:cs="Times New Roman"/>
        </w:rPr>
      </w:pPr>
      <w:r>
        <w:rPr>
          <w:rFonts w:cs="Times New Roman"/>
        </w:rPr>
        <w:t xml:space="preserve">3.3.3.2 </w:t>
      </w:r>
      <w:r>
        <w:rPr>
          <w:rFonts w:hint="eastAsia" w:cs="Times New Roman"/>
        </w:rPr>
        <w:t>本次地下水环境质量监测</w:t>
      </w:r>
    </w:p>
    <w:p w14:paraId="665D949D">
      <w:pPr>
        <w:ind w:firstLine="519"/>
        <w:rPr>
          <w:rFonts w:cs="Times New Roman"/>
        </w:rPr>
      </w:pPr>
      <w:r>
        <w:rPr>
          <w:rFonts w:cs="Times New Roman"/>
        </w:rPr>
        <w:t>本项目委托</w:t>
      </w:r>
      <w:r>
        <w:rPr>
          <w:rFonts w:hint="eastAsia" w:cs="Times New Roman"/>
        </w:rPr>
        <w:t>湖南启帆检测技术有限公司</w:t>
      </w:r>
      <w:r>
        <w:rPr>
          <w:rFonts w:cs="Times New Roman"/>
        </w:rPr>
        <w:t>于2021年11月26日对项目周边的地下水环境质量进行了监测。</w:t>
      </w:r>
    </w:p>
    <w:p w14:paraId="27EF3DBF">
      <w:pPr>
        <w:ind w:firstLine="519"/>
        <w:rPr>
          <w:rFonts w:cs="Times New Roman"/>
        </w:rPr>
      </w:pPr>
      <w:r>
        <w:rPr>
          <w:rFonts w:cs="Times New Roman"/>
        </w:rPr>
        <w:t>（1）监测点位</w:t>
      </w:r>
    </w:p>
    <w:p w14:paraId="038CCDD4">
      <w:pPr>
        <w:ind w:firstLine="519"/>
        <w:rPr>
          <w:rFonts w:cs="Times New Roman"/>
        </w:rPr>
      </w:pPr>
      <w:r>
        <w:rPr>
          <w:rFonts w:cs="Times New Roman"/>
        </w:rPr>
        <w:t>根据《环境影响评价技术导则 地下水环境》（HJ610-2016），结合本项目工程特点和区域水文地质条件，共布设3处地下水监测点，见下表。</w:t>
      </w:r>
    </w:p>
    <w:p w14:paraId="1B2FD69C">
      <w:pPr>
        <w:pStyle w:val="9"/>
      </w:pPr>
      <w:r>
        <w:t>表3.3-8  地下水监测点位及监测因子</w:t>
      </w:r>
    </w:p>
    <w:tbl>
      <w:tblPr>
        <w:tblStyle w:val="29"/>
        <w:tblW w:w="510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7"/>
        <w:gridCol w:w="2832"/>
        <w:gridCol w:w="1459"/>
        <w:gridCol w:w="2629"/>
        <w:gridCol w:w="1097"/>
      </w:tblGrid>
      <w:tr w14:paraId="37D2B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395" w:type="pct"/>
            <w:vAlign w:val="center"/>
          </w:tcPr>
          <w:p w14:paraId="266F1DB4">
            <w:pPr>
              <w:pStyle w:val="48"/>
            </w:pPr>
            <w:r>
              <w:t>编号</w:t>
            </w:r>
          </w:p>
        </w:tc>
        <w:tc>
          <w:tcPr>
            <w:tcW w:w="1627" w:type="pct"/>
            <w:shd w:val="clear" w:color="auto" w:fill="auto"/>
            <w:vAlign w:val="center"/>
          </w:tcPr>
          <w:p w14:paraId="528463AC">
            <w:pPr>
              <w:pStyle w:val="48"/>
            </w:pPr>
            <w:r>
              <w:t>监测点位</w:t>
            </w:r>
          </w:p>
        </w:tc>
        <w:tc>
          <w:tcPr>
            <w:tcW w:w="838" w:type="pct"/>
            <w:shd w:val="clear" w:color="auto" w:fill="auto"/>
            <w:vAlign w:val="center"/>
          </w:tcPr>
          <w:p w14:paraId="5212F89F">
            <w:pPr>
              <w:pStyle w:val="48"/>
            </w:pPr>
            <w:r>
              <w:rPr>
                <w:rFonts w:hint="eastAsia"/>
              </w:rPr>
              <w:t>坐标</w:t>
            </w:r>
          </w:p>
        </w:tc>
        <w:tc>
          <w:tcPr>
            <w:tcW w:w="1510" w:type="pct"/>
            <w:vAlign w:val="center"/>
          </w:tcPr>
          <w:p w14:paraId="6A48F78D">
            <w:pPr>
              <w:pStyle w:val="48"/>
            </w:pPr>
            <w:r>
              <w:rPr>
                <w:rFonts w:hint="eastAsia"/>
              </w:rPr>
              <w:t>相对位置</w:t>
            </w:r>
          </w:p>
        </w:tc>
        <w:tc>
          <w:tcPr>
            <w:tcW w:w="631" w:type="pct"/>
            <w:vAlign w:val="center"/>
          </w:tcPr>
          <w:p w14:paraId="5D48267D">
            <w:pPr>
              <w:pStyle w:val="48"/>
            </w:pPr>
            <w:r>
              <w:rPr>
                <w:rFonts w:hint="eastAsia"/>
              </w:rPr>
              <w:t>备注</w:t>
            </w:r>
          </w:p>
        </w:tc>
      </w:tr>
      <w:tr w14:paraId="343F7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exact"/>
          <w:jc w:val="center"/>
        </w:trPr>
        <w:tc>
          <w:tcPr>
            <w:tcW w:w="395" w:type="pct"/>
            <w:vAlign w:val="center"/>
          </w:tcPr>
          <w:p w14:paraId="60998C95">
            <w:pPr>
              <w:pStyle w:val="48"/>
            </w:pPr>
            <w:r>
              <w:t>D1</w:t>
            </w:r>
          </w:p>
        </w:tc>
        <w:tc>
          <w:tcPr>
            <w:tcW w:w="1627" w:type="pct"/>
            <w:tcBorders>
              <w:top w:val="single" w:color="auto" w:sz="2" w:space="0"/>
              <w:left w:val="single" w:color="auto" w:sz="2" w:space="0"/>
              <w:bottom w:val="single" w:color="auto" w:sz="2" w:space="0"/>
              <w:right w:val="single" w:color="auto" w:sz="2" w:space="0"/>
            </w:tcBorders>
            <w:vAlign w:val="center"/>
          </w:tcPr>
          <w:p w14:paraId="075E2E9A">
            <w:pPr>
              <w:pStyle w:val="48"/>
              <w:rPr>
                <w:szCs w:val="21"/>
              </w:rPr>
            </w:pPr>
            <w:r>
              <w:rPr>
                <w:szCs w:val="21"/>
              </w:rPr>
              <w:t>郭板铺居民水井</w:t>
            </w:r>
          </w:p>
        </w:tc>
        <w:tc>
          <w:tcPr>
            <w:tcW w:w="838" w:type="pct"/>
            <w:shd w:val="clear" w:color="auto" w:fill="auto"/>
            <w:vAlign w:val="center"/>
          </w:tcPr>
          <w:p w14:paraId="1E655A8E">
            <w:pPr>
              <w:pStyle w:val="48"/>
              <w:rPr>
                <w:szCs w:val="21"/>
              </w:rPr>
            </w:pPr>
            <w:r>
              <w:rPr>
                <w:rFonts w:eastAsia="仿宋"/>
                <w:szCs w:val="21"/>
              </w:rPr>
              <w:t>112.616598,</w:t>
            </w:r>
            <w:r>
              <w:rPr>
                <w:szCs w:val="21"/>
              </w:rPr>
              <w:t xml:space="preserve"> </w:t>
            </w:r>
            <w:r>
              <w:rPr>
                <w:rFonts w:eastAsia="仿宋"/>
                <w:szCs w:val="21"/>
              </w:rPr>
              <w:t>26.97106</w:t>
            </w:r>
          </w:p>
        </w:tc>
        <w:tc>
          <w:tcPr>
            <w:tcW w:w="1510" w:type="pct"/>
            <w:vAlign w:val="center"/>
          </w:tcPr>
          <w:p w14:paraId="65500872">
            <w:pPr>
              <w:pStyle w:val="48"/>
              <w:rPr>
                <w:szCs w:val="21"/>
              </w:rPr>
            </w:pPr>
            <w:r>
              <w:rPr>
                <w:rFonts w:hint="eastAsia"/>
                <w:szCs w:val="21"/>
              </w:rPr>
              <w:t>矿区</w:t>
            </w:r>
            <w:r>
              <w:rPr>
                <w:szCs w:val="21"/>
              </w:rPr>
              <w:t>W</w:t>
            </w:r>
            <w:r>
              <w:rPr>
                <w:rFonts w:hint="eastAsia"/>
                <w:szCs w:val="21"/>
              </w:rPr>
              <w:t>/</w:t>
            </w:r>
            <w:r>
              <w:rPr>
                <w:szCs w:val="21"/>
              </w:rPr>
              <w:t>940</w:t>
            </w:r>
            <w:r>
              <w:rPr>
                <w:rFonts w:hint="eastAsia"/>
                <w:szCs w:val="21"/>
              </w:rPr>
              <w:t>m</w:t>
            </w:r>
          </w:p>
          <w:p w14:paraId="609E5530">
            <w:pPr>
              <w:pStyle w:val="48"/>
              <w:rPr>
                <w:szCs w:val="21"/>
              </w:rPr>
            </w:pPr>
            <w:r>
              <w:rPr>
                <w:rFonts w:hint="eastAsia"/>
                <w:szCs w:val="21"/>
              </w:rPr>
              <w:t>新建井场</w:t>
            </w:r>
            <w:r>
              <w:rPr>
                <w:szCs w:val="21"/>
              </w:rPr>
              <w:t>W</w:t>
            </w:r>
            <w:r>
              <w:rPr>
                <w:rFonts w:hint="eastAsia"/>
                <w:szCs w:val="21"/>
              </w:rPr>
              <w:t>/</w:t>
            </w:r>
            <w:r>
              <w:rPr>
                <w:szCs w:val="21"/>
              </w:rPr>
              <w:t>136</w:t>
            </w:r>
            <w:r>
              <w:rPr>
                <w:rFonts w:hint="eastAsia"/>
                <w:szCs w:val="21"/>
              </w:rPr>
              <w:t>5m</w:t>
            </w:r>
          </w:p>
        </w:tc>
        <w:tc>
          <w:tcPr>
            <w:tcW w:w="631" w:type="pct"/>
            <w:vAlign w:val="center"/>
          </w:tcPr>
          <w:p w14:paraId="113E37E8">
            <w:pPr>
              <w:pStyle w:val="48"/>
              <w:rPr>
                <w:szCs w:val="21"/>
              </w:rPr>
            </w:pPr>
            <w:r>
              <w:rPr>
                <w:szCs w:val="21"/>
              </w:rPr>
              <w:t>地下水上游</w:t>
            </w:r>
          </w:p>
        </w:tc>
      </w:tr>
      <w:tr w14:paraId="2BA442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7" w:hRule="exact"/>
          <w:jc w:val="center"/>
        </w:trPr>
        <w:tc>
          <w:tcPr>
            <w:tcW w:w="395" w:type="pct"/>
            <w:vAlign w:val="center"/>
          </w:tcPr>
          <w:p w14:paraId="3192CAD5">
            <w:pPr>
              <w:pStyle w:val="48"/>
              <w:rPr>
                <w:kern w:val="0"/>
              </w:rPr>
            </w:pPr>
            <w:r>
              <w:rPr>
                <w:kern w:val="0"/>
              </w:rPr>
              <w:t>D2</w:t>
            </w:r>
          </w:p>
        </w:tc>
        <w:tc>
          <w:tcPr>
            <w:tcW w:w="1627" w:type="pct"/>
            <w:tcBorders>
              <w:top w:val="single" w:color="auto" w:sz="2" w:space="0"/>
              <w:left w:val="single" w:color="auto" w:sz="2" w:space="0"/>
              <w:bottom w:val="single" w:color="auto" w:sz="2" w:space="0"/>
              <w:right w:val="single" w:color="auto" w:sz="2" w:space="0"/>
            </w:tcBorders>
            <w:vAlign w:val="center"/>
          </w:tcPr>
          <w:p w14:paraId="617194C5">
            <w:pPr>
              <w:pStyle w:val="48"/>
              <w:rPr>
                <w:szCs w:val="21"/>
              </w:rPr>
            </w:pPr>
            <w:r>
              <w:rPr>
                <w:szCs w:val="21"/>
              </w:rPr>
              <w:t>建滔厂区内地下水监测井</w:t>
            </w:r>
          </w:p>
          <w:p w14:paraId="7D9CF672">
            <w:pPr>
              <w:pStyle w:val="48"/>
              <w:rPr>
                <w:szCs w:val="21"/>
              </w:rPr>
            </w:pPr>
            <w:r>
              <w:rPr>
                <w:szCs w:val="21"/>
              </w:rPr>
              <w:t>（VCM压缩车间）</w:t>
            </w:r>
          </w:p>
        </w:tc>
        <w:tc>
          <w:tcPr>
            <w:tcW w:w="838" w:type="pct"/>
            <w:shd w:val="clear" w:color="auto" w:fill="auto"/>
            <w:vAlign w:val="center"/>
          </w:tcPr>
          <w:p w14:paraId="56AD7021">
            <w:pPr>
              <w:ind w:firstLine="0" w:firstLineChars="0"/>
              <w:jc w:val="center"/>
              <w:rPr>
                <w:sz w:val="21"/>
                <w:szCs w:val="21"/>
              </w:rPr>
            </w:pPr>
            <w:r>
              <w:rPr>
                <w:rFonts w:eastAsia="仿宋"/>
                <w:sz w:val="21"/>
                <w:szCs w:val="21"/>
              </w:rPr>
              <w:t>112.647435,</w:t>
            </w:r>
            <w:r>
              <w:rPr>
                <w:sz w:val="21"/>
                <w:szCs w:val="21"/>
              </w:rPr>
              <w:t xml:space="preserve"> </w:t>
            </w:r>
            <w:r>
              <w:rPr>
                <w:rFonts w:eastAsia="仿宋"/>
                <w:sz w:val="21"/>
                <w:szCs w:val="21"/>
              </w:rPr>
              <w:t>26.96882</w:t>
            </w:r>
          </w:p>
        </w:tc>
        <w:tc>
          <w:tcPr>
            <w:tcW w:w="1510" w:type="pct"/>
            <w:vAlign w:val="center"/>
          </w:tcPr>
          <w:p w14:paraId="7D8262C7">
            <w:pPr>
              <w:pStyle w:val="48"/>
              <w:rPr>
                <w:szCs w:val="21"/>
              </w:rPr>
            </w:pPr>
            <w:r>
              <w:rPr>
                <w:rFonts w:hint="eastAsia"/>
                <w:szCs w:val="21"/>
              </w:rPr>
              <w:t>矿区NE/</w:t>
            </w:r>
            <w:r>
              <w:rPr>
                <w:szCs w:val="21"/>
              </w:rPr>
              <w:t>64</w:t>
            </w:r>
            <w:r>
              <w:rPr>
                <w:rFonts w:hint="eastAsia"/>
                <w:szCs w:val="21"/>
              </w:rPr>
              <w:t>0m</w:t>
            </w:r>
          </w:p>
          <w:p w14:paraId="05828868">
            <w:pPr>
              <w:pStyle w:val="48"/>
              <w:rPr>
                <w:szCs w:val="21"/>
              </w:rPr>
            </w:pPr>
            <w:r>
              <w:rPr>
                <w:rFonts w:hint="eastAsia"/>
                <w:szCs w:val="21"/>
              </w:rPr>
              <w:t>新建井场NE/</w:t>
            </w:r>
            <w:r>
              <w:rPr>
                <w:szCs w:val="21"/>
              </w:rPr>
              <w:t>16</w:t>
            </w:r>
            <w:r>
              <w:rPr>
                <w:rFonts w:hint="eastAsia"/>
                <w:szCs w:val="21"/>
              </w:rPr>
              <w:t>55m</w:t>
            </w:r>
          </w:p>
        </w:tc>
        <w:tc>
          <w:tcPr>
            <w:tcW w:w="631" w:type="pct"/>
            <w:vAlign w:val="center"/>
          </w:tcPr>
          <w:p w14:paraId="2F4F1CD4">
            <w:pPr>
              <w:pStyle w:val="48"/>
              <w:rPr>
                <w:szCs w:val="21"/>
              </w:rPr>
            </w:pPr>
            <w:r>
              <w:rPr>
                <w:szCs w:val="21"/>
              </w:rPr>
              <w:t>地下水下游</w:t>
            </w:r>
          </w:p>
        </w:tc>
      </w:tr>
      <w:tr w14:paraId="6E36C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7" w:hRule="exact"/>
          <w:jc w:val="center"/>
        </w:trPr>
        <w:tc>
          <w:tcPr>
            <w:tcW w:w="395" w:type="pct"/>
            <w:vAlign w:val="center"/>
          </w:tcPr>
          <w:p w14:paraId="5B8D2CD5">
            <w:pPr>
              <w:pStyle w:val="48"/>
              <w:rPr>
                <w:kern w:val="0"/>
              </w:rPr>
            </w:pPr>
            <w:r>
              <w:rPr>
                <w:kern w:val="0"/>
              </w:rPr>
              <w:t>D3</w:t>
            </w:r>
          </w:p>
        </w:tc>
        <w:tc>
          <w:tcPr>
            <w:tcW w:w="1627" w:type="pct"/>
            <w:tcBorders>
              <w:top w:val="single" w:color="auto" w:sz="2" w:space="0"/>
              <w:left w:val="single" w:color="auto" w:sz="2" w:space="0"/>
              <w:bottom w:val="single" w:color="auto" w:sz="12" w:space="0"/>
              <w:right w:val="single" w:color="auto" w:sz="2" w:space="0"/>
            </w:tcBorders>
            <w:vAlign w:val="center"/>
          </w:tcPr>
          <w:p w14:paraId="7A2EA846">
            <w:pPr>
              <w:pStyle w:val="48"/>
              <w:rPr>
                <w:szCs w:val="21"/>
              </w:rPr>
            </w:pPr>
            <w:r>
              <w:rPr>
                <w:szCs w:val="21"/>
              </w:rPr>
              <w:t>建滔厂区内地下水监测井</w:t>
            </w:r>
          </w:p>
          <w:p w14:paraId="02F87D96">
            <w:pPr>
              <w:pStyle w:val="48"/>
              <w:rPr>
                <w:szCs w:val="21"/>
              </w:rPr>
            </w:pPr>
            <w:r>
              <w:rPr>
                <w:szCs w:val="21"/>
              </w:rPr>
              <w:t>（综合污水处理站）</w:t>
            </w:r>
          </w:p>
        </w:tc>
        <w:tc>
          <w:tcPr>
            <w:tcW w:w="838" w:type="pct"/>
            <w:shd w:val="clear" w:color="auto" w:fill="auto"/>
            <w:vAlign w:val="center"/>
          </w:tcPr>
          <w:p w14:paraId="23D18360">
            <w:pPr>
              <w:pStyle w:val="48"/>
              <w:rPr>
                <w:szCs w:val="21"/>
              </w:rPr>
            </w:pPr>
            <w:r>
              <w:rPr>
                <w:rFonts w:eastAsia="仿宋"/>
                <w:szCs w:val="21"/>
              </w:rPr>
              <w:t>112.650164,26.973545</w:t>
            </w:r>
          </w:p>
        </w:tc>
        <w:tc>
          <w:tcPr>
            <w:tcW w:w="1510" w:type="pct"/>
            <w:vAlign w:val="center"/>
          </w:tcPr>
          <w:p w14:paraId="77D3F1E1">
            <w:pPr>
              <w:pStyle w:val="48"/>
              <w:rPr>
                <w:szCs w:val="21"/>
              </w:rPr>
            </w:pPr>
            <w:r>
              <w:rPr>
                <w:rFonts w:hint="eastAsia"/>
                <w:szCs w:val="21"/>
              </w:rPr>
              <w:t>矿区</w:t>
            </w:r>
            <w:r>
              <w:rPr>
                <w:szCs w:val="21"/>
              </w:rPr>
              <w:t>N</w:t>
            </w:r>
            <w:r>
              <w:rPr>
                <w:rFonts w:hint="eastAsia"/>
                <w:szCs w:val="21"/>
              </w:rPr>
              <w:t>/</w:t>
            </w:r>
            <w:r>
              <w:rPr>
                <w:szCs w:val="21"/>
              </w:rPr>
              <w:t>76</w:t>
            </w:r>
            <w:r>
              <w:rPr>
                <w:rFonts w:hint="eastAsia"/>
                <w:szCs w:val="21"/>
              </w:rPr>
              <w:t>m</w:t>
            </w:r>
          </w:p>
          <w:p w14:paraId="6352BBEA">
            <w:pPr>
              <w:pStyle w:val="48"/>
              <w:rPr>
                <w:szCs w:val="21"/>
              </w:rPr>
            </w:pPr>
            <w:r>
              <w:rPr>
                <w:rFonts w:hint="eastAsia"/>
                <w:szCs w:val="21"/>
              </w:rPr>
              <w:t>新建井场E/</w:t>
            </w:r>
            <w:r>
              <w:rPr>
                <w:szCs w:val="21"/>
              </w:rPr>
              <w:t>1</w:t>
            </w:r>
            <w:r>
              <w:rPr>
                <w:rFonts w:hint="eastAsia"/>
                <w:szCs w:val="21"/>
              </w:rPr>
              <w:t>3</w:t>
            </w:r>
            <w:r>
              <w:rPr>
                <w:szCs w:val="21"/>
              </w:rPr>
              <w:t>6</w:t>
            </w:r>
            <w:r>
              <w:rPr>
                <w:rFonts w:hint="eastAsia"/>
                <w:szCs w:val="21"/>
              </w:rPr>
              <w:t>5m</w:t>
            </w:r>
          </w:p>
        </w:tc>
        <w:tc>
          <w:tcPr>
            <w:tcW w:w="631" w:type="pct"/>
            <w:vAlign w:val="center"/>
          </w:tcPr>
          <w:p w14:paraId="49CA4322">
            <w:pPr>
              <w:pStyle w:val="48"/>
              <w:rPr>
                <w:szCs w:val="21"/>
              </w:rPr>
            </w:pPr>
            <w:r>
              <w:rPr>
                <w:szCs w:val="21"/>
              </w:rPr>
              <w:t>地下水下游</w:t>
            </w:r>
          </w:p>
        </w:tc>
      </w:tr>
    </w:tbl>
    <w:p w14:paraId="7896D23E">
      <w:pPr>
        <w:ind w:firstLine="519"/>
        <w:rPr>
          <w:rFonts w:cs="Times New Roman"/>
        </w:rPr>
      </w:pPr>
      <w:r>
        <w:rPr>
          <w:rFonts w:cs="Times New Roman"/>
        </w:rPr>
        <w:t>（2）监测时间及频次</w:t>
      </w:r>
    </w:p>
    <w:p w14:paraId="2331B00D">
      <w:pPr>
        <w:ind w:firstLine="519"/>
        <w:rPr>
          <w:rFonts w:cs="Times New Roman"/>
        </w:rPr>
      </w:pPr>
      <w:r>
        <w:rPr>
          <w:rFonts w:cs="Times New Roman"/>
        </w:rPr>
        <w:t>监测1天，采样一次，同时记录水井水位。</w:t>
      </w:r>
    </w:p>
    <w:p w14:paraId="3F852951">
      <w:pPr>
        <w:ind w:firstLine="519"/>
        <w:rPr>
          <w:rFonts w:cs="Times New Roman"/>
        </w:rPr>
      </w:pPr>
      <w:r>
        <w:rPr>
          <w:rFonts w:cs="Times New Roman"/>
        </w:rPr>
        <w:t>（3）监测因子</w:t>
      </w:r>
    </w:p>
    <w:p w14:paraId="4CFC4D31">
      <w:pPr>
        <w:ind w:firstLine="519"/>
        <w:rPr>
          <w:rFonts w:cs="Times New Roman"/>
        </w:rPr>
      </w:pPr>
      <w:r>
        <w:rPr>
          <w:rFonts w:cs="Times New Roman"/>
          <w:szCs w:val="24"/>
        </w:rPr>
        <w:t>水位、pH、氨氮、硝酸盐、亚硝酸盐、挥发性酚类、氰化物、高锰酸盐指数、溶解性总固体、氯化物、硫化物、K</w:t>
      </w:r>
      <w:r>
        <w:rPr>
          <w:rFonts w:cs="Times New Roman"/>
          <w:szCs w:val="24"/>
          <w:vertAlign w:val="superscript"/>
        </w:rPr>
        <w:t>+</w:t>
      </w:r>
      <w:r>
        <w:rPr>
          <w:rFonts w:cs="Times New Roman"/>
          <w:szCs w:val="24"/>
        </w:rPr>
        <w:t>、Na</w:t>
      </w:r>
      <w:r>
        <w:rPr>
          <w:rFonts w:cs="Times New Roman"/>
          <w:szCs w:val="24"/>
          <w:vertAlign w:val="superscript"/>
        </w:rPr>
        <w:t>+</w:t>
      </w:r>
      <w:r>
        <w:rPr>
          <w:rFonts w:cs="Times New Roman"/>
          <w:szCs w:val="24"/>
        </w:rPr>
        <w:t>、Ca</w:t>
      </w:r>
      <w:r>
        <w:rPr>
          <w:rFonts w:cs="Times New Roman"/>
          <w:szCs w:val="24"/>
          <w:vertAlign w:val="superscript"/>
        </w:rPr>
        <w:t>2+</w:t>
      </w:r>
      <w:r>
        <w:rPr>
          <w:rFonts w:cs="Times New Roman"/>
          <w:szCs w:val="24"/>
        </w:rPr>
        <w:t>、Mg</w:t>
      </w:r>
      <w:r>
        <w:rPr>
          <w:rFonts w:cs="Times New Roman"/>
          <w:szCs w:val="24"/>
          <w:vertAlign w:val="superscript"/>
        </w:rPr>
        <w:t>2+</w:t>
      </w:r>
      <w:r>
        <w:rPr>
          <w:rFonts w:cs="Times New Roman"/>
          <w:szCs w:val="24"/>
        </w:rPr>
        <w:t>、CO</w:t>
      </w:r>
      <w:r>
        <w:rPr>
          <w:rFonts w:cs="Times New Roman"/>
          <w:szCs w:val="24"/>
          <w:vertAlign w:val="subscript"/>
        </w:rPr>
        <w:t>3</w:t>
      </w:r>
      <w:r>
        <w:rPr>
          <w:rFonts w:cs="Times New Roman"/>
          <w:szCs w:val="24"/>
          <w:vertAlign w:val="superscript"/>
        </w:rPr>
        <w:t>2-</w:t>
      </w:r>
      <w:r>
        <w:rPr>
          <w:rFonts w:cs="Times New Roman"/>
          <w:szCs w:val="24"/>
        </w:rPr>
        <w:t>、HCO</w:t>
      </w:r>
      <w:r>
        <w:rPr>
          <w:rFonts w:cs="Times New Roman"/>
          <w:szCs w:val="24"/>
          <w:vertAlign w:val="subscript"/>
        </w:rPr>
        <w:t>3</w:t>
      </w:r>
      <w:r>
        <w:rPr>
          <w:rFonts w:cs="Times New Roman"/>
          <w:szCs w:val="24"/>
          <w:vertAlign w:val="superscript"/>
        </w:rPr>
        <w:t>-</w:t>
      </w:r>
      <w:r>
        <w:rPr>
          <w:rFonts w:cs="Times New Roman"/>
          <w:szCs w:val="24"/>
        </w:rPr>
        <w:t>、Cl</w:t>
      </w:r>
      <w:r>
        <w:rPr>
          <w:rFonts w:cs="Times New Roman"/>
          <w:szCs w:val="24"/>
          <w:vertAlign w:val="superscript"/>
        </w:rPr>
        <w:t>-</w:t>
      </w:r>
      <w:r>
        <w:rPr>
          <w:rFonts w:cs="Times New Roman"/>
          <w:szCs w:val="24"/>
        </w:rPr>
        <w:t>、SO</w:t>
      </w:r>
      <w:r>
        <w:rPr>
          <w:rFonts w:cs="Times New Roman"/>
          <w:szCs w:val="24"/>
          <w:vertAlign w:val="subscript"/>
        </w:rPr>
        <w:t>4</w:t>
      </w:r>
      <w:r>
        <w:rPr>
          <w:rFonts w:cs="Times New Roman"/>
          <w:szCs w:val="24"/>
          <w:vertAlign w:val="superscript"/>
        </w:rPr>
        <w:t>2-</w:t>
      </w:r>
      <w:r>
        <w:rPr>
          <w:rFonts w:cs="Times New Roman"/>
        </w:rPr>
        <w:t>。</w:t>
      </w:r>
    </w:p>
    <w:p w14:paraId="70793B86">
      <w:pPr>
        <w:ind w:firstLine="519"/>
        <w:rPr>
          <w:rFonts w:cs="Times New Roman"/>
        </w:rPr>
      </w:pPr>
      <w:r>
        <w:rPr>
          <w:rFonts w:cs="Times New Roman"/>
        </w:rPr>
        <w:t>（4）评价标准</w:t>
      </w:r>
    </w:p>
    <w:p w14:paraId="75EC3DC9">
      <w:pPr>
        <w:ind w:firstLine="519"/>
        <w:rPr>
          <w:rFonts w:cs="Times New Roman"/>
        </w:rPr>
      </w:pPr>
      <w:r>
        <w:rPr>
          <w:rFonts w:cs="Times New Roman"/>
        </w:rPr>
        <w:t>执行《地下水质量标准》（GB/T14848-2017）III类标准。</w:t>
      </w:r>
    </w:p>
    <w:p w14:paraId="7ABD1F10">
      <w:pPr>
        <w:ind w:firstLine="519"/>
        <w:rPr>
          <w:rFonts w:cs="Times New Roman"/>
        </w:rPr>
      </w:pPr>
      <w:r>
        <w:rPr>
          <w:rFonts w:cs="Times New Roman"/>
        </w:rPr>
        <w:t>（5）监测结果及评价</w:t>
      </w:r>
    </w:p>
    <w:p w14:paraId="7B8B7F27">
      <w:pPr>
        <w:pStyle w:val="9"/>
      </w:pPr>
      <w:r>
        <w:rPr>
          <w:rFonts w:hint="eastAsia"/>
        </w:rPr>
        <w:t>表</w:t>
      </w:r>
      <w:r>
        <w:t xml:space="preserve">3.3-9 </w:t>
      </w:r>
      <w:r>
        <w:rPr>
          <w:rFonts w:hint="eastAsia"/>
        </w:rPr>
        <w:t>评价区地下水水位调查成果表</w:t>
      </w:r>
    </w:p>
    <w:tbl>
      <w:tblPr>
        <w:tblStyle w:val="29"/>
        <w:tblW w:w="7673" w:type="dxa"/>
        <w:tblInd w:w="137" w:type="dxa"/>
        <w:tblLayout w:type="fixed"/>
        <w:tblCellMar>
          <w:top w:w="0" w:type="dxa"/>
          <w:left w:w="0" w:type="dxa"/>
          <w:bottom w:w="0" w:type="dxa"/>
          <w:right w:w="0" w:type="dxa"/>
        </w:tblCellMar>
      </w:tblPr>
      <w:tblGrid>
        <w:gridCol w:w="719"/>
        <w:gridCol w:w="2268"/>
        <w:gridCol w:w="3675"/>
        <w:gridCol w:w="1011"/>
      </w:tblGrid>
      <w:tr w14:paraId="201BB79B">
        <w:tblPrEx>
          <w:tblCellMar>
            <w:top w:w="0" w:type="dxa"/>
            <w:left w:w="0" w:type="dxa"/>
            <w:bottom w:w="0" w:type="dxa"/>
            <w:right w:w="0" w:type="dxa"/>
          </w:tblCellMar>
        </w:tblPrEx>
        <w:trPr>
          <w:trHeight w:val="360" w:hRule="atLeast"/>
        </w:trPr>
        <w:tc>
          <w:tcPr>
            <w:tcW w:w="719" w:type="dxa"/>
            <w:tcBorders>
              <w:top w:val="single" w:color="000000" w:sz="4" w:space="0"/>
              <w:left w:val="single" w:color="000000" w:sz="4" w:space="0"/>
              <w:bottom w:val="single" w:color="000000" w:sz="4" w:space="0"/>
              <w:right w:val="single" w:color="000000" w:sz="4" w:space="0"/>
            </w:tcBorders>
            <w:vAlign w:val="center"/>
          </w:tcPr>
          <w:p w14:paraId="62338C3B">
            <w:pPr>
              <w:kinsoku w:val="0"/>
              <w:wordWrap/>
              <w:overflowPunct w:val="0"/>
              <w:topLinePunct w:val="0"/>
              <w:autoSpaceDE w:val="0"/>
              <w:autoSpaceDN w:val="0"/>
              <w:adjustRightInd/>
              <w:snapToGrid/>
              <w:spacing w:line="240" w:lineRule="auto"/>
              <w:ind w:firstLine="0" w:firstLineChars="0"/>
              <w:jc w:val="center"/>
              <w:rPr>
                <w:rFonts w:cs="Times New Roman"/>
                <w:b/>
                <w:bCs/>
                <w:sz w:val="21"/>
                <w:szCs w:val="21"/>
              </w:rPr>
            </w:pPr>
            <w:r>
              <w:rPr>
                <w:rFonts w:cs="Times New Roman"/>
                <w:b/>
                <w:bCs/>
                <w:sz w:val="21"/>
                <w:szCs w:val="21"/>
              </w:rPr>
              <w:t>序号</w:t>
            </w:r>
          </w:p>
        </w:tc>
        <w:tc>
          <w:tcPr>
            <w:tcW w:w="2268" w:type="dxa"/>
            <w:tcBorders>
              <w:top w:val="single" w:color="000000" w:sz="4" w:space="0"/>
              <w:left w:val="single" w:color="000000" w:sz="4" w:space="0"/>
              <w:bottom w:val="single" w:color="000000" w:sz="4" w:space="0"/>
              <w:right w:val="single" w:color="000000" w:sz="4" w:space="0"/>
            </w:tcBorders>
            <w:vAlign w:val="center"/>
          </w:tcPr>
          <w:p w14:paraId="6757E8D3">
            <w:pPr>
              <w:kinsoku w:val="0"/>
              <w:wordWrap/>
              <w:overflowPunct w:val="0"/>
              <w:topLinePunct w:val="0"/>
              <w:autoSpaceDE w:val="0"/>
              <w:autoSpaceDN w:val="0"/>
              <w:adjustRightInd/>
              <w:snapToGrid/>
              <w:spacing w:line="240" w:lineRule="auto"/>
              <w:ind w:firstLine="0" w:firstLineChars="0"/>
              <w:jc w:val="center"/>
              <w:rPr>
                <w:rFonts w:cs="Times New Roman"/>
                <w:b/>
                <w:bCs/>
                <w:sz w:val="21"/>
                <w:szCs w:val="21"/>
              </w:rPr>
            </w:pPr>
            <w:r>
              <w:rPr>
                <w:rFonts w:cs="Times New Roman"/>
                <w:b/>
                <w:bCs/>
                <w:sz w:val="21"/>
                <w:szCs w:val="21"/>
              </w:rPr>
              <w:t>井口坐标</w:t>
            </w:r>
          </w:p>
        </w:tc>
        <w:tc>
          <w:tcPr>
            <w:tcW w:w="3675" w:type="dxa"/>
            <w:tcBorders>
              <w:top w:val="single" w:color="000000" w:sz="4" w:space="0"/>
              <w:left w:val="single" w:color="000000" w:sz="4" w:space="0"/>
              <w:bottom w:val="single" w:color="000000" w:sz="4" w:space="0"/>
              <w:right w:val="single" w:color="000000" w:sz="4" w:space="0"/>
            </w:tcBorders>
            <w:vAlign w:val="center"/>
          </w:tcPr>
          <w:p w14:paraId="098771A1">
            <w:pPr>
              <w:kinsoku w:val="0"/>
              <w:wordWrap/>
              <w:overflowPunct w:val="0"/>
              <w:topLinePunct w:val="0"/>
              <w:autoSpaceDE w:val="0"/>
              <w:autoSpaceDN w:val="0"/>
              <w:adjustRightInd/>
              <w:snapToGrid/>
              <w:spacing w:line="240" w:lineRule="auto"/>
              <w:ind w:firstLine="0" w:firstLineChars="0"/>
              <w:jc w:val="center"/>
              <w:rPr>
                <w:rFonts w:cs="Times New Roman"/>
                <w:b/>
                <w:bCs/>
                <w:sz w:val="21"/>
                <w:szCs w:val="21"/>
              </w:rPr>
            </w:pPr>
            <w:r>
              <w:rPr>
                <w:rFonts w:cs="Times New Roman"/>
                <w:b/>
                <w:bCs/>
                <w:sz w:val="21"/>
                <w:szCs w:val="21"/>
              </w:rPr>
              <w:t>位置</w:t>
            </w:r>
          </w:p>
        </w:tc>
        <w:tc>
          <w:tcPr>
            <w:tcW w:w="1011" w:type="dxa"/>
            <w:tcBorders>
              <w:top w:val="single" w:color="000000" w:sz="4" w:space="0"/>
              <w:left w:val="single" w:color="000000" w:sz="4" w:space="0"/>
              <w:bottom w:val="single" w:color="000000" w:sz="4" w:space="0"/>
              <w:right w:val="single" w:color="000000" w:sz="4" w:space="0"/>
            </w:tcBorders>
            <w:vAlign w:val="center"/>
          </w:tcPr>
          <w:p w14:paraId="2F7C2F20">
            <w:pPr>
              <w:kinsoku w:val="0"/>
              <w:wordWrap/>
              <w:overflowPunct w:val="0"/>
              <w:topLinePunct w:val="0"/>
              <w:autoSpaceDE w:val="0"/>
              <w:autoSpaceDN w:val="0"/>
              <w:adjustRightInd/>
              <w:snapToGrid/>
              <w:spacing w:line="240" w:lineRule="auto"/>
              <w:ind w:firstLine="0" w:firstLineChars="0"/>
              <w:jc w:val="center"/>
              <w:rPr>
                <w:rFonts w:cs="Times New Roman"/>
                <w:b/>
                <w:bCs/>
                <w:sz w:val="21"/>
                <w:szCs w:val="21"/>
              </w:rPr>
            </w:pPr>
            <w:r>
              <w:rPr>
                <w:rFonts w:cs="Times New Roman"/>
                <w:b/>
                <w:bCs/>
                <w:sz w:val="21"/>
                <w:szCs w:val="21"/>
              </w:rPr>
              <w:t>水位</w:t>
            </w:r>
          </w:p>
        </w:tc>
      </w:tr>
      <w:tr w14:paraId="5DECCC62">
        <w:tblPrEx>
          <w:tblCellMar>
            <w:top w:w="0" w:type="dxa"/>
            <w:left w:w="0" w:type="dxa"/>
            <w:bottom w:w="0" w:type="dxa"/>
            <w:right w:w="0" w:type="dxa"/>
          </w:tblCellMar>
        </w:tblPrEx>
        <w:trPr>
          <w:trHeight w:val="545" w:hRule="atLeast"/>
        </w:trPr>
        <w:tc>
          <w:tcPr>
            <w:tcW w:w="719" w:type="dxa"/>
            <w:tcBorders>
              <w:top w:val="single" w:color="000000" w:sz="4" w:space="0"/>
              <w:left w:val="single" w:color="000000" w:sz="4" w:space="0"/>
              <w:bottom w:val="single" w:color="000000" w:sz="4" w:space="0"/>
              <w:right w:val="single" w:color="000000" w:sz="4" w:space="0"/>
            </w:tcBorders>
            <w:vAlign w:val="center"/>
          </w:tcPr>
          <w:p w14:paraId="4755C7E0">
            <w:pPr>
              <w:kinsoku w:val="0"/>
              <w:wordWrap/>
              <w:overflowPunct w:val="0"/>
              <w:topLinePunct w:val="0"/>
              <w:autoSpaceDE w:val="0"/>
              <w:autoSpaceDN w:val="0"/>
              <w:adjustRightInd/>
              <w:snapToGrid/>
              <w:spacing w:line="240" w:lineRule="auto"/>
              <w:ind w:firstLine="0" w:firstLineChars="0"/>
              <w:jc w:val="center"/>
              <w:rPr>
                <w:rFonts w:eastAsia="等线" w:cs="Times New Roman"/>
                <w:w w:val="99"/>
                <w:sz w:val="21"/>
                <w:szCs w:val="21"/>
              </w:rPr>
            </w:pPr>
            <w:r>
              <w:rPr>
                <w:rFonts w:eastAsia="等线" w:cs="Times New Roman"/>
                <w:w w:val="99"/>
                <w:sz w:val="21"/>
                <w:szCs w:val="21"/>
              </w:rPr>
              <w:t>1</w:t>
            </w:r>
          </w:p>
        </w:tc>
        <w:tc>
          <w:tcPr>
            <w:tcW w:w="2268" w:type="dxa"/>
            <w:tcBorders>
              <w:top w:val="single" w:color="000000" w:sz="4" w:space="0"/>
              <w:left w:val="single" w:color="000000" w:sz="4" w:space="0"/>
              <w:bottom w:val="single" w:color="000000" w:sz="4" w:space="0"/>
              <w:right w:val="single" w:color="000000" w:sz="4" w:space="0"/>
            </w:tcBorders>
            <w:vAlign w:val="center"/>
          </w:tcPr>
          <w:p w14:paraId="04A6A49E">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112.616598，26.97106</w:t>
            </w:r>
          </w:p>
        </w:tc>
        <w:tc>
          <w:tcPr>
            <w:tcW w:w="3675" w:type="dxa"/>
            <w:tcBorders>
              <w:top w:val="single" w:color="000000" w:sz="4" w:space="0"/>
              <w:left w:val="single" w:color="000000" w:sz="4" w:space="0"/>
              <w:bottom w:val="single" w:color="000000" w:sz="4" w:space="0"/>
              <w:right w:val="single" w:color="000000" w:sz="4" w:space="0"/>
            </w:tcBorders>
            <w:vAlign w:val="center"/>
          </w:tcPr>
          <w:p w14:paraId="444A8D2B">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郭板铺居民水井（上游）</w:t>
            </w:r>
          </w:p>
        </w:tc>
        <w:tc>
          <w:tcPr>
            <w:tcW w:w="1011" w:type="dxa"/>
            <w:tcBorders>
              <w:top w:val="single" w:color="000000" w:sz="4" w:space="0"/>
              <w:left w:val="single" w:color="000000" w:sz="4" w:space="0"/>
              <w:bottom w:val="single" w:color="000000" w:sz="4" w:space="0"/>
              <w:right w:val="single" w:color="000000" w:sz="4" w:space="0"/>
            </w:tcBorders>
            <w:vAlign w:val="center"/>
          </w:tcPr>
          <w:p w14:paraId="3AC0E882">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39.02m</w:t>
            </w:r>
          </w:p>
        </w:tc>
      </w:tr>
      <w:tr w14:paraId="7AAD1B5F">
        <w:tblPrEx>
          <w:tblCellMar>
            <w:top w:w="0" w:type="dxa"/>
            <w:left w:w="0" w:type="dxa"/>
            <w:bottom w:w="0" w:type="dxa"/>
            <w:right w:w="0" w:type="dxa"/>
          </w:tblCellMar>
        </w:tblPrEx>
        <w:trPr>
          <w:trHeight w:val="545" w:hRule="atLeast"/>
        </w:trPr>
        <w:tc>
          <w:tcPr>
            <w:tcW w:w="719" w:type="dxa"/>
            <w:tcBorders>
              <w:top w:val="single" w:color="000000" w:sz="4" w:space="0"/>
              <w:left w:val="single" w:color="000000" w:sz="4" w:space="0"/>
              <w:bottom w:val="single" w:color="000000" w:sz="4" w:space="0"/>
              <w:right w:val="single" w:color="000000" w:sz="4" w:space="0"/>
            </w:tcBorders>
            <w:vAlign w:val="center"/>
          </w:tcPr>
          <w:p w14:paraId="1CA6AF8F">
            <w:pPr>
              <w:kinsoku w:val="0"/>
              <w:wordWrap/>
              <w:overflowPunct w:val="0"/>
              <w:topLinePunct w:val="0"/>
              <w:autoSpaceDE w:val="0"/>
              <w:autoSpaceDN w:val="0"/>
              <w:adjustRightInd/>
              <w:snapToGrid/>
              <w:spacing w:line="240" w:lineRule="auto"/>
              <w:ind w:firstLine="0" w:firstLineChars="0"/>
              <w:jc w:val="center"/>
              <w:rPr>
                <w:rFonts w:eastAsia="等线" w:cs="Times New Roman"/>
                <w:w w:val="99"/>
                <w:sz w:val="21"/>
                <w:szCs w:val="21"/>
              </w:rPr>
            </w:pPr>
            <w:r>
              <w:rPr>
                <w:rFonts w:eastAsia="等线" w:cs="Times New Roman"/>
                <w:w w:val="99"/>
                <w:sz w:val="21"/>
                <w:szCs w:val="21"/>
              </w:rPr>
              <w:t>2</w:t>
            </w:r>
          </w:p>
        </w:tc>
        <w:tc>
          <w:tcPr>
            <w:tcW w:w="2268" w:type="dxa"/>
            <w:tcBorders>
              <w:top w:val="single" w:color="000000" w:sz="4" w:space="0"/>
              <w:left w:val="single" w:color="000000" w:sz="4" w:space="0"/>
              <w:bottom w:val="single" w:color="000000" w:sz="4" w:space="0"/>
              <w:right w:val="single" w:color="000000" w:sz="4" w:space="0"/>
            </w:tcBorders>
            <w:vAlign w:val="center"/>
          </w:tcPr>
          <w:p w14:paraId="2F53A776">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112.647435，26.96882</w:t>
            </w:r>
          </w:p>
        </w:tc>
        <w:tc>
          <w:tcPr>
            <w:tcW w:w="3675" w:type="dxa"/>
            <w:tcBorders>
              <w:top w:val="single" w:color="000000" w:sz="4" w:space="0"/>
              <w:left w:val="single" w:color="000000" w:sz="4" w:space="0"/>
              <w:bottom w:val="single" w:color="000000" w:sz="4" w:space="0"/>
              <w:right w:val="single" w:color="000000" w:sz="4" w:space="0"/>
            </w:tcBorders>
            <w:vAlign w:val="center"/>
          </w:tcPr>
          <w:p w14:paraId="4567731E">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建滔厂区内地下水监测井（VCM压缩车间）</w:t>
            </w:r>
            <w:r>
              <w:rPr>
                <w:rFonts w:cs="Times New Roman" w:eastAsiaTheme="minorEastAsia"/>
                <w:sz w:val="21"/>
                <w:szCs w:val="21"/>
              </w:rPr>
              <w:t>(下游)</w:t>
            </w:r>
          </w:p>
        </w:tc>
        <w:tc>
          <w:tcPr>
            <w:tcW w:w="1011" w:type="dxa"/>
            <w:tcBorders>
              <w:top w:val="single" w:color="000000" w:sz="4" w:space="0"/>
              <w:left w:val="single" w:color="000000" w:sz="4" w:space="0"/>
              <w:bottom w:val="single" w:color="000000" w:sz="4" w:space="0"/>
              <w:right w:val="single" w:color="000000" w:sz="4" w:space="0"/>
            </w:tcBorders>
            <w:vAlign w:val="center"/>
          </w:tcPr>
          <w:p w14:paraId="7B139482">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35.78m</w:t>
            </w:r>
          </w:p>
        </w:tc>
      </w:tr>
      <w:tr w14:paraId="0FF4460F">
        <w:tblPrEx>
          <w:tblCellMar>
            <w:top w:w="0" w:type="dxa"/>
            <w:left w:w="0" w:type="dxa"/>
            <w:bottom w:w="0" w:type="dxa"/>
            <w:right w:w="0" w:type="dxa"/>
          </w:tblCellMar>
        </w:tblPrEx>
        <w:trPr>
          <w:trHeight w:val="544" w:hRule="atLeast"/>
        </w:trPr>
        <w:tc>
          <w:tcPr>
            <w:tcW w:w="719" w:type="dxa"/>
            <w:tcBorders>
              <w:top w:val="single" w:color="000000" w:sz="4" w:space="0"/>
              <w:left w:val="single" w:color="000000" w:sz="4" w:space="0"/>
              <w:bottom w:val="single" w:color="000000" w:sz="4" w:space="0"/>
              <w:right w:val="single" w:color="000000" w:sz="4" w:space="0"/>
            </w:tcBorders>
            <w:vAlign w:val="center"/>
          </w:tcPr>
          <w:p w14:paraId="717EB747">
            <w:pPr>
              <w:kinsoku w:val="0"/>
              <w:wordWrap/>
              <w:overflowPunct w:val="0"/>
              <w:topLinePunct w:val="0"/>
              <w:autoSpaceDE w:val="0"/>
              <w:autoSpaceDN w:val="0"/>
              <w:adjustRightInd/>
              <w:snapToGrid/>
              <w:spacing w:line="240" w:lineRule="auto"/>
              <w:ind w:firstLine="0" w:firstLineChars="0"/>
              <w:jc w:val="center"/>
              <w:rPr>
                <w:rFonts w:eastAsia="等线" w:cs="Times New Roman"/>
                <w:w w:val="99"/>
                <w:sz w:val="21"/>
                <w:szCs w:val="21"/>
              </w:rPr>
            </w:pPr>
            <w:r>
              <w:rPr>
                <w:rFonts w:eastAsia="等线" w:cs="Times New Roman"/>
                <w:w w:val="99"/>
                <w:sz w:val="21"/>
                <w:szCs w:val="21"/>
              </w:rPr>
              <w:t>3</w:t>
            </w:r>
          </w:p>
        </w:tc>
        <w:tc>
          <w:tcPr>
            <w:tcW w:w="2268" w:type="dxa"/>
            <w:tcBorders>
              <w:top w:val="single" w:color="000000" w:sz="4" w:space="0"/>
              <w:left w:val="single" w:color="000000" w:sz="4" w:space="0"/>
              <w:bottom w:val="single" w:color="000000" w:sz="4" w:space="0"/>
              <w:right w:val="single" w:color="000000" w:sz="4" w:space="0"/>
            </w:tcBorders>
            <w:vAlign w:val="center"/>
          </w:tcPr>
          <w:p w14:paraId="1D5D09FA">
            <w:pPr>
              <w:kinsoku w:val="0"/>
              <w:wordWrap/>
              <w:overflowPunct w:val="0"/>
              <w:topLinePunct w:val="0"/>
              <w:autoSpaceDE w:val="0"/>
              <w:autoSpaceDN w:val="0"/>
              <w:adjustRightInd/>
              <w:snapToGrid/>
              <w:spacing w:line="240" w:lineRule="auto"/>
              <w:ind w:firstLine="0" w:firstLineChars="0"/>
              <w:rPr>
                <w:rFonts w:cs="Times New Roman"/>
                <w:sz w:val="21"/>
                <w:szCs w:val="21"/>
              </w:rPr>
            </w:pPr>
            <w:r>
              <w:rPr>
                <w:rFonts w:cs="Times New Roman"/>
                <w:sz w:val="21"/>
                <w:szCs w:val="21"/>
              </w:rPr>
              <w:t>112.650164，26.973545</w:t>
            </w:r>
          </w:p>
        </w:tc>
        <w:tc>
          <w:tcPr>
            <w:tcW w:w="3675" w:type="dxa"/>
            <w:tcBorders>
              <w:top w:val="single" w:color="000000" w:sz="4" w:space="0"/>
              <w:left w:val="single" w:color="000000" w:sz="4" w:space="0"/>
              <w:bottom w:val="single" w:color="000000" w:sz="4" w:space="0"/>
              <w:right w:val="single" w:color="000000" w:sz="4" w:space="0"/>
            </w:tcBorders>
            <w:vAlign w:val="center"/>
          </w:tcPr>
          <w:p w14:paraId="32BCB020">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建滔厂区内地下水监测井（综合污水处理站）（下游）</w:t>
            </w:r>
          </w:p>
        </w:tc>
        <w:tc>
          <w:tcPr>
            <w:tcW w:w="1011" w:type="dxa"/>
            <w:tcBorders>
              <w:top w:val="single" w:color="000000" w:sz="4" w:space="0"/>
              <w:left w:val="single" w:color="000000" w:sz="4" w:space="0"/>
              <w:bottom w:val="single" w:color="000000" w:sz="4" w:space="0"/>
              <w:right w:val="single" w:color="000000" w:sz="4" w:space="0"/>
            </w:tcBorders>
            <w:vAlign w:val="center"/>
          </w:tcPr>
          <w:p w14:paraId="087675B3">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31.12m</w:t>
            </w:r>
          </w:p>
        </w:tc>
      </w:tr>
    </w:tbl>
    <w:p w14:paraId="58B0E17E">
      <w:pPr>
        <w:ind w:firstLine="519"/>
        <w:rPr>
          <w:rFonts w:cs="Times New Roman"/>
        </w:rPr>
        <w:sectPr>
          <w:pgSz w:w="11906" w:h="16838"/>
          <w:pgMar w:top="1440" w:right="1797" w:bottom="1440" w:left="1797" w:header="851" w:footer="992" w:gutter="0"/>
          <w:cols w:space="425" w:num="1"/>
          <w:docGrid w:type="linesAndChars" w:linePitch="340" w:charSpace="4044"/>
        </w:sectPr>
      </w:pPr>
      <w:r>
        <w:rPr>
          <w:rFonts w:cs="Times New Roman"/>
        </w:rPr>
        <w:t>根据现状监测结果，各监测点各监测因子均满足执行《地下水质量标准》（GB/T14848-2017）III类标准。</w:t>
      </w:r>
    </w:p>
    <w:p w14:paraId="31A3B0D5">
      <w:pPr>
        <w:keepLines/>
        <w:ind w:firstLine="562" w:firstLineChars="0"/>
        <w:jc w:val="center"/>
        <w:outlineLvl w:val="4"/>
        <w:rPr>
          <w:rFonts w:cs="Times New Roman"/>
          <w:b/>
          <w:bCs/>
          <w:sz w:val="21"/>
          <w:szCs w:val="28"/>
        </w:rPr>
      </w:pPr>
      <w:r>
        <w:rPr>
          <w:rFonts w:hint="eastAsia" w:cs="Times New Roman"/>
          <w:b/>
          <w:bCs/>
          <w:sz w:val="21"/>
          <w:szCs w:val="28"/>
        </w:rPr>
        <w:t>表</w:t>
      </w:r>
      <w:r>
        <w:rPr>
          <w:rFonts w:cs="Times New Roman"/>
          <w:b/>
          <w:bCs/>
          <w:sz w:val="21"/>
          <w:szCs w:val="28"/>
        </w:rPr>
        <w:t xml:space="preserve">3.3-10  </w:t>
      </w:r>
      <w:r>
        <w:rPr>
          <w:rFonts w:hint="eastAsia" w:cs="Times New Roman"/>
          <w:b/>
          <w:bCs/>
          <w:sz w:val="21"/>
          <w:szCs w:val="28"/>
        </w:rPr>
        <w:t>地下水环境质量现状监测结果统计（</w:t>
      </w:r>
      <w:r>
        <w:rPr>
          <w:rFonts w:cs="Times New Roman"/>
          <w:b/>
          <w:bCs/>
          <w:sz w:val="21"/>
          <w:szCs w:val="28"/>
        </w:rPr>
        <w:t>mg/L</w:t>
      </w:r>
      <w:r>
        <w:rPr>
          <w:rFonts w:hint="eastAsia" w:cs="Times New Roman"/>
          <w:b/>
          <w:bCs/>
          <w:sz w:val="21"/>
          <w:szCs w:val="28"/>
        </w:rPr>
        <w:t>）</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1276"/>
        <w:gridCol w:w="1278"/>
        <w:gridCol w:w="1134"/>
        <w:gridCol w:w="1134"/>
        <w:gridCol w:w="1417"/>
        <w:gridCol w:w="992"/>
        <w:gridCol w:w="1134"/>
        <w:gridCol w:w="1137"/>
        <w:gridCol w:w="998"/>
        <w:gridCol w:w="1157"/>
      </w:tblGrid>
      <w:tr w14:paraId="5773A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8" w:type="pct"/>
            <w:vMerge w:val="restart"/>
            <w:tcBorders>
              <w:top w:val="single" w:color="auto" w:sz="12" w:space="0"/>
              <w:left w:val="single" w:color="auto" w:sz="12" w:space="0"/>
              <w:bottom w:val="single" w:color="auto" w:sz="4" w:space="0"/>
              <w:right w:val="single" w:color="auto" w:sz="4" w:space="0"/>
            </w:tcBorders>
            <w:vAlign w:val="center"/>
          </w:tcPr>
          <w:p w14:paraId="729D2260">
            <w:pPr>
              <w:wordWrap/>
              <w:adjustRightInd/>
              <w:snapToGrid/>
              <w:spacing w:line="240" w:lineRule="auto"/>
              <w:ind w:firstLine="0" w:firstLineChars="0"/>
              <w:jc w:val="center"/>
              <w:rPr>
                <w:rFonts w:cs="Times New Roman"/>
                <w:sz w:val="21"/>
                <w:szCs w:val="21"/>
              </w:rPr>
            </w:pPr>
            <w:r>
              <w:rPr>
                <w:rFonts w:hint="eastAsia" w:cs="Times New Roman"/>
                <w:sz w:val="21"/>
                <w:szCs w:val="21"/>
              </w:rPr>
              <w:t>项目</w:t>
            </w:r>
          </w:p>
        </w:tc>
        <w:tc>
          <w:tcPr>
            <w:tcW w:w="901" w:type="pct"/>
            <w:gridSpan w:val="2"/>
            <w:tcBorders>
              <w:top w:val="single" w:color="auto" w:sz="12" w:space="0"/>
              <w:left w:val="single" w:color="auto" w:sz="4" w:space="0"/>
              <w:bottom w:val="single" w:color="auto" w:sz="4" w:space="0"/>
              <w:right w:val="single" w:color="auto" w:sz="4" w:space="0"/>
            </w:tcBorders>
            <w:vAlign w:val="center"/>
          </w:tcPr>
          <w:p w14:paraId="14823CC5">
            <w:pPr>
              <w:wordWrap/>
              <w:adjustRightInd/>
              <w:snapToGrid/>
              <w:spacing w:line="240" w:lineRule="auto"/>
              <w:ind w:firstLine="0" w:firstLineChars="0"/>
              <w:jc w:val="center"/>
              <w:rPr>
                <w:rFonts w:cs="Times New Roman"/>
                <w:sz w:val="21"/>
                <w:szCs w:val="21"/>
              </w:rPr>
            </w:pPr>
            <w:r>
              <w:rPr>
                <w:rFonts w:cs="Times New Roman"/>
                <w:sz w:val="21"/>
                <w:szCs w:val="21"/>
              </w:rPr>
              <w:t>D1</w:t>
            </w:r>
          </w:p>
        </w:tc>
        <w:tc>
          <w:tcPr>
            <w:tcW w:w="400" w:type="pct"/>
            <w:vMerge w:val="restart"/>
            <w:tcBorders>
              <w:top w:val="single" w:color="auto" w:sz="12" w:space="0"/>
              <w:left w:val="single" w:color="auto" w:sz="4" w:space="0"/>
              <w:bottom w:val="single" w:color="auto" w:sz="4" w:space="0"/>
              <w:right w:val="single" w:color="auto" w:sz="4" w:space="0"/>
            </w:tcBorders>
            <w:vAlign w:val="center"/>
          </w:tcPr>
          <w:p w14:paraId="2B9ADB70">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p w14:paraId="19F0EB26">
            <w:pPr>
              <w:wordWrap/>
              <w:adjustRightInd/>
              <w:snapToGrid/>
              <w:spacing w:line="240" w:lineRule="auto"/>
              <w:ind w:firstLine="0" w:firstLineChars="0"/>
              <w:jc w:val="center"/>
              <w:rPr>
                <w:rFonts w:cs="Times New Roman"/>
                <w:sz w:val="21"/>
                <w:szCs w:val="21"/>
              </w:rPr>
            </w:pPr>
            <w:r>
              <w:rPr>
                <w:rFonts w:hint="eastAsia" w:cs="Times New Roman"/>
                <w:sz w:val="21"/>
                <w:szCs w:val="21"/>
              </w:rPr>
              <w:t>情况</w:t>
            </w:r>
          </w:p>
        </w:tc>
        <w:tc>
          <w:tcPr>
            <w:tcW w:w="900" w:type="pct"/>
            <w:gridSpan w:val="2"/>
            <w:tcBorders>
              <w:top w:val="single" w:color="auto" w:sz="12" w:space="0"/>
              <w:left w:val="single" w:color="auto" w:sz="4" w:space="0"/>
              <w:bottom w:val="single" w:color="auto" w:sz="4" w:space="0"/>
              <w:right w:val="single" w:color="auto" w:sz="4" w:space="0"/>
            </w:tcBorders>
            <w:vAlign w:val="center"/>
          </w:tcPr>
          <w:p w14:paraId="6455473D">
            <w:pPr>
              <w:wordWrap/>
              <w:adjustRightInd/>
              <w:snapToGrid/>
              <w:spacing w:line="240" w:lineRule="auto"/>
              <w:ind w:firstLine="0" w:firstLineChars="0"/>
              <w:jc w:val="center"/>
              <w:rPr>
                <w:rFonts w:cs="Times New Roman"/>
                <w:sz w:val="21"/>
                <w:szCs w:val="21"/>
              </w:rPr>
            </w:pPr>
            <w:r>
              <w:rPr>
                <w:rFonts w:cs="Times New Roman"/>
                <w:sz w:val="21"/>
                <w:szCs w:val="21"/>
              </w:rPr>
              <w:t>D2</w:t>
            </w:r>
          </w:p>
        </w:tc>
        <w:tc>
          <w:tcPr>
            <w:tcW w:w="350" w:type="pct"/>
            <w:vMerge w:val="restart"/>
            <w:tcBorders>
              <w:top w:val="single" w:color="auto" w:sz="12" w:space="0"/>
              <w:left w:val="single" w:color="auto" w:sz="4" w:space="0"/>
              <w:bottom w:val="single" w:color="auto" w:sz="4" w:space="0"/>
              <w:right w:val="single" w:color="auto" w:sz="4" w:space="0"/>
            </w:tcBorders>
            <w:vAlign w:val="center"/>
          </w:tcPr>
          <w:p w14:paraId="4D9FE87F">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p w14:paraId="168D51F8">
            <w:pPr>
              <w:wordWrap/>
              <w:adjustRightInd/>
              <w:snapToGrid/>
              <w:spacing w:line="240" w:lineRule="auto"/>
              <w:ind w:firstLine="0" w:firstLineChars="0"/>
              <w:jc w:val="center"/>
              <w:rPr>
                <w:rFonts w:cs="Times New Roman"/>
                <w:sz w:val="21"/>
                <w:szCs w:val="21"/>
              </w:rPr>
            </w:pPr>
            <w:r>
              <w:rPr>
                <w:rFonts w:hint="eastAsia" w:cs="Times New Roman"/>
                <w:sz w:val="21"/>
                <w:szCs w:val="21"/>
              </w:rPr>
              <w:t>情况</w:t>
            </w:r>
          </w:p>
        </w:tc>
        <w:tc>
          <w:tcPr>
            <w:tcW w:w="801" w:type="pct"/>
            <w:gridSpan w:val="2"/>
            <w:tcBorders>
              <w:top w:val="single" w:color="auto" w:sz="12" w:space="0"/>
              <w:left w:val="single" w:color="auto" w:sz="4" w:space="0"/>
              <w:bottom w:val="single" w:color="auto" w:sz="4" w:space="0"/>
              <w:right w:val="single" w:color="auto" w:sz="4" w:space="0"/>
            </w:tcBorders>
            <w:vAlign w:val="center"/>
          </w:tcPr>
          <w:p w14:paraId="1178E31B">
            <w:pPr>
              <w:wordWrap/>
              <w:adjustRightInd/>
              <w:snapToGrid/>
              <w:spacing w:line="240" w:lineRule="auto"/>
              <w:ind w:firstLine="0" w:firstLineChars="0"/>
              <w:jc w:val="center"/>
              <w:rPr>
                <w:rFonts w:cs="Times New Roman"/>
                <w:sz w:val="21"/>
                <w:szCs w:val="21"/>
              </w:rPr>
            </w:pPr>
            <w:r>
              <w:rPr>
                <w:rFonts w:cs="Times New Roman"/>
                <w:sz w:val="21"/>
                <w:szCs w:val="21"/>
              </w:rPr>
              <w:t>D3</w:t>
            </w:r>
          </w:p>
        </w:tc>
        <w:tc>
          <w:tcPr>
            <w:tcW w:w="352" w:type="pct"/>
            <w:vMerge w:val="restart"/>
            <w:tcBorders>
              <w:top w:val="single" w:color="auto" w:sz="12" w:space="0"/>
              <w:left w:val="single" w:color="auto" w:sz="4" w:space="0"/>
              <w:bottom w:val="single" w:color="auto" w:sz="4" w:space="0"/>
              <w:right w:val="single" w:color="auto" w:sz="4" w:space="0"/>
            </w:tcBorders>
            <w:vAlign w:val="center"/>
          </w:tcPr>
          <w:p w14:paraId="4E8BDDB2">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p w14:paraId="461B214C">
            <w:pPr>
              <w:wordWrap/>
              <w:adjustRightInd/>
              <w:snapToGrid/>
              <w:spacing w:line="240" w:lineRule="auto"/>
              <w:ind w:firstLine="0" w:firstLineChars="0"/>
              <w:jc w:val="center"/>
              <w:rPr>
                <w:rFonts w:cs="Times New Roman"/>
                <w:sz w:val="21"/>
                <w:szCs w:val="21"/>
              </w:rPr>
            </w:pPr>
            <w:r>
              <w:rPr>
                <w:rFonts w:hint="eastAsia" w:cs="Times New Roman"/>
                <w:sz w:val="21"/>
                <w:szCs w:val="21"/>
              </w:rPr>
              <w:t>情况</w:t>
            </w:r>
          </w:p>
        </w:tc>
        <w:tc>
          <w:tcPr>
            <w:tcW w:w="408" w:type="pct"/>
            <w:vMerge w:val="restart"/>
            <w:tcBorders>
              <w:top w:val="single" w:color="auto" w:sz="12" w:space="0"/>
              <w:left w:val="single" w:color="auto" w:sz="4" w:space="0"/>
              <w:bottom w:val="single" w:color="auto" w:sz="4" w:space="0"/>
              <w:right w:val="single" w:color="auto" w:sz="12" w:space="0"/>
            </w:tcBorders>
            <w:vAlign w:val="center"/>
          </w:tcPr>
          <w:p w14:paraId="138D319D">
            <w:pPr>
              <w:wordWrap/>
              <w:adjustRightInd/>
              <w:snapToGrid/>
              <w:spacing w:line="240" w:lineRule="auto"/>
              <w:ind w:firstLine="0" w:firstLineChars="0"/>
              <w:jc w:val="center"/>
              <w:rPr>
                <w:rFonts w:cs="Times New Roman"/>
                <w:sz w:val="21"/>
                <w:szCs w:val="21"/>
              </w:rPr>
            </w:pPr>
            <w:r>
              <w:rPr>
                <w:rFonts w:hint="eastAsia" w:cs="Times New Roman"/>
                <w:sz w:val="21"/>
                <w:szCs w:val="21"/>
              </w:rPr>
              <w:t>标准值</w:t>
            </w:r>
          </w:p>
        </w:tc>
      </w:tr>
      <w:tr w14:paraId="56B48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8" w:type="pct"/>
            <w:vMerge w:val="continue"/>
            <w:tcBorders>
              <w:top w:val="single" w:color="auto" w:sz="12" w:space="0"/>
              <w:left w:val="single" w:color="auto" w:sz="12" w:space="0"/>
              <w:bottom w:val="single" w:color="auto" w:sz="4" w:space="0"/>
              <w:right w:val="single" w:color="auto" w:sz="4" w:space="0"/>
            </w:tcBorders>
            <w:vAlign w:val="center"/>
          </w:tcPr>
          <w:p w14:paraId="1DF5D2D9">
            <w:pPr>
              <w:widowControl/>
              <w:wordWrap/>
              <w:topLinePunct w:val="0"/>
              <w:adjustRightInd/>
              <w:snapToGrid/>
              <w:spacing w:line="240" w:lineRule="auto"/>
              <w:ind w:firstLine="0" w:firstLineChars="0"/>
              <w:jc w:val="left"/>
              <w:rPr>
                <w:rFonts w:cs="Times New Roman"/>
                <w:sz w:val="21"/>
                <w:szCs w:val="21"/>
              </w:rPr>
            </w:pPr>
          </w:p>
        </w:tc>
        <w:tc>
          <w:tcPr>
            <w:tcW w:w="450" w:type="pct"/>
            <w:tcBorders>
              <w:top w:val="single" w:color="auto" w:sz="4" w:space="0"/>
              <w:left w:val="single" w:color="auto" w:sz="4" w:space="0"/>
              <w:bottom w:val="single" w:color="auto" w:sz="4" w:space="0"/>
              <w:right w:val="single" w:color="auto" w:sz="4" w:space="0"/>
            </w:tcBorders>
            <w:vAlign w:val="center"/>
          </w:tcPr>
          <w:p w14:paraId="6DFB0FA6">
            <w:pPr>
              <w:wordWrap/>
              <w:adjustRightInd/>
              <w:snapToGrid/>
              <w:spacing w:line="240" w:lineRule="auto"/>
              <w:ind w:firstLine="0" w:firstLineChars="0"/>
              <w:jc w:val="center"/>
              <w:rPr>
                <w:rFonts w:cs="Times New Roman"/>
                <w:sz w:val="21"/>
                <w:szCs w:val="21"/>
              </w:rPr>
            </w:pPr>
            <w:r>
              <w:rPr>
                <w:rFonts w:hint="eastAsia" w:cs="Times New Roman"/>
                <w:sz w:val="21"/>
                <w:szCs w:val="21"/>
              </w:rPr>
              <w:t>浓度</w:t>
            </w:r>
          </w:p>
        </w:tc>
        <w:tc>
          <w:tcPr>
            <w:tcW w:w="451" w:type="pct"/>
            <w:tcBorders>
              <w:top w:val="single" w:color="auto" w:sz="4" w:space="0"/>
              <w:left w:val="single" w:color="auto" w:sz="4" w:space="0"/>
              <w:bottom w:val="single" w:color="auto" w:sz="4" w:space="0"/>
              <w:right w:val="single" w:color="auto" w:sz="4" w:space="0"/>
            </w:tcBorders>
            <w:vAlign w:val="center"/>
          </w:tcPr>
          <w:p w14:paraId="01385F60">
            <w:pPr>
              <w:wordWrap/>
              <w:adjustRightInd/>
              <w:snapToGrid/>
              <w:spacing w:line="240" w:lineRule="auto"/>
              <w:ind w:firstLine="0" w:firstLineChars="0"/>
              <w:jc w:val="center"/>
              <w:rPr>
                <w:rFonts w:cs="Times New Roman"/>
                <w:sz w:val="21"/>
                <w:szCs w:val="21"/>
              </w:rPr>
            </w:pPr>
            <w:r>
              <w:rPr>
                <w:rFonts w:hint="eastAsia" w:cs="Times New Roman"/>
                <w:sz w:val="21"/>
                <w:szCs w:val="21"/>
              </w:rPr>
              <w:t>标准指数</w:t>
            </w:r>
          </w:p>
        </w:tc>
        <w:tc>
          <w:tcPr>
            <w:tcW w:w="400" w:type="pct"/>
            <w:vMerge w:val="continue"/>
            <w:tcBorders>
              <w:top w:val="single" w:color="auto" w:sz="12" w:space="0"/>
              <w:left w:val="single" w:color="auto" w:sz="4" w:space="0"/>
              <w:bottom w:val="single" w:color="auto" w:sz="4" w:space="0"/>
              <w:right w:val="single" w:color="auto" w:sz="4" w:space="0"/>
            </w:tcBorders>
            <w:vAlign w:val="center"/>
          </w:tcPr>
          <w:p w14:paraId="69AA2433">
            <w:pPr>
              <w:widowControl/>
              <w:wordWrap/>
              <w:topLinePunct w:val="0"/>
              <w:adjustRightInd/>
              <w:snapToGrid/>
              <w:spacing w:line="240" w:lineRule="auto"/>
              <w:ind w:firstLine="0" w:firstLineChars="0"/>
              <w:jc w:val="left"/>
              <w:rPr>
                <w:rFonts w:cs="Times New Roman"/>
                <w:sz w:val="21"/>
                <w:szCs w:val="21"/>
              </w:rPr>
            </w:pPr>
          </w:p>
        </w:tc>
        <w:tc>
          <w:tcPr>
            <w:tcW w:w="400" w:type="pct"/>
            <w:tcBorders>
              <w:top w:val="single" w:color="auto" w:sz="4" w:space="0"/>
              <w:left w:val="single" w:color="auto" w:sz="4" w:space="0"/>
              <w:bottom w:val="single" w:color="auto" w:sz="4" w:space="0"/>
              <w:right w:val="single" w:color="auto" w:sz="4" w:space="0"/>
            </w:tcBorders>
            <w:vAlign w:val="center"/>
          </w:tcPr>
          <w:p w14:paraId="5CED8BB6">
            <w:pPr>
              <w:wordWrap/>
              <w:adjustRightInd/>
              <w:snapToGrid/>
              <w:spacing w:line="240" w:lineRule="auto"/>
              <w:ind w:firstLine="0" w:firstLineChars="0"/>
              <w:jc w:val="center"/>
              <w:rPr>
                <w:rFonts w:cs="Times New Roman"/>
                <w:sz w:val="21"/>
                <w:szCs w:val="21"/>
              </w:rPr>
            </w:pPr>
            <w:r>
              <w:rPr>
                <w:rFonts w:hint="eastAsia" w:cs="Times New Roman"/>
                <w:sz w:val="21"/>
                <w:szCs w:val="21"/>
              </w:rPr>
              <w:t>浓度</w:t>
            </w:r>
          </w:p>
        </w:tc>
        <w:tc>
          <w:tcPr>
            <w:tcW w:w="500" w:type="pct"/>
            <w:tcBorders>
              <w:top w:val="single" w:color="auto" w:sz="4" w:space="0"/>
              <w:left w:val="single" w:color="auto" w:sz="4" w:space="0"/>
              <w:bottom w:val="single" w:color="auto" w:sz="4" w:space="0"/>
              <w:right w:val="single" w:color="auto" w:sz="4" w:space="0"/>
            </w:tcBorders>
            <w:vAlign w:val="center"/>
          </w:tcPr>
          <w:p w14:paraId="37ED1DE8">
            <w:pPr>
              <w:wordWrap/>
              <w:adjustRightInd/>
              <w:snapToGrid/>
              <w:spacing w:line="240" w:lineRule="auto"/>
              <w:ind w:firstLine="0" w:firstLineChars="0"/>
              <w:jc w:val="center"/>
              <w:rPr>
                <w:rFonts w:cs="Times New Roman"/>
                <w:sz w:val="21"/>
                <w:szCs w:val="21"/>
              </w:rPr>
            </w:pPr>
            <w:r>
              <w:rPr>
                <w:rFonts w:hint="eastAsia" w:cs="Times New Roman"/>
                <w:sz w:val="21"/>
                <w:szCs w:val="21"/>
              </w:rPr>
              <w:t>标准指数</w:t>
            </w:r>
          </w:p>
        </w:tc>
        <w:tc>
          <w:tcPr>
            <w:tcW w:w="350" w:type="pct"/>
            <w:vMerge w:val="continue"/>
            <w:tcBorders>
              <w:top w:val="single" w:color="auto" w:sz="12" w:space="0"/>
              <w:left w:val="single" w:color="auto" w:sz="4" w:space="0"/>
              <w:bottom w:val="single" w:color="auto" w:sz="4" w:space="0"/>
              <w:right w:val="single" w:color="auto" w:sz="4" w:space="0"/>
            </w:tcBorders>
            <w:vAlign w:val="center"/>
          </w:tcPr>
          <w:p w14:paraId="36352DE1">
            <w:pPr>
              <w:widowControl/>
              <w:wordWrap/>
              <w:topLinePunct w:val="0"/>
              <w:adjustRightInd/>
              <w:snapToGrid/>
              <w:spacing w:line="240" w:lineRule="auto"/>
              <w:ind w:firstLine="0" w:firstLineChars="0"/>
              <w:jc w:val="left"/>
              <w:rPr>
                <w:rFonts w:cs="Times New Roman"/>
                <w:sz w:val="21"/>
                <w:szCs w:val="21"/>
              </w:rPr>
            </w:pPr>
          </w:p>
        </w:tc>
        <w:tc>
          <w:tcPr>
            <w:tcW w:w="400" w:type="pct"/>
            <w:tcBorders>
              <w:top w:val="single" w:color="auto" w:sz="4" w:space="0"/>
              <w:left w:val="single" w:color="auto" w:sz="4" w:space="0"/>
              <w:bottom w:val="single" w:color="auto" w:sz="4" w:space="0"/>
              <w:right w:val="single" w:color="auto" w:sz="4" w:space="0"/>
            </w:tcBorders>
            <w:vAlign w:val="center"/>
          </w:tcPr>
          <w:p w14:paraId="38F22EB6">
            <w:pPr>
              <w:wordWrap/>
              <w:adjustRightInd/>
              <w:snapToGrid/>
              <w:spacing w:line="240" w:lineRule="auto"/>
              <w:ind w:firstLine="0" w:firstLineChars="0"/>
              <w:jc w:val="center"/>
              <w:rPr>
                <w:rFonts w:cs="Times New Roman"/>
                <w:sz w:val="21"/>
                <w:szCs w:val="21"/>
              </w:rPr>
            </w:pPr>
            <w:r>
              <w:rPr>
                <w:rFonts w:hint="eastAsia" w:cs="Times New Roman"/>
                <w:sz w:val="21"/>
                <w:szCs w:val="21"/>
              </w:rPr>
              <w:t>浓度</w:t>
            </w:r>
          </w:p>
        </w:tc>
        <w:tc>
          <w:tcPr>
            <w:tcW w:w="401" w:type="pct"/>
            <w:tcBorders>
              <w:top w:val="single" w:color="auto" w:sz="4" w:space="0"/>
              <w:left w:val="single" w:color="auto" w:sz="4" w:space="0"/>
              <w:bottom w:val="single" w:color="auto" w:sz="4" w:space="0"/>
              <w:right w:val="single" w:color="auto" w:sz="4" w:space="0"/>
            </w:tcBorders>
            <w:vAlign w:val="center"/>
          </w:tcPr>
          <w:p w14:paraId="2F455950">
            <w:pPr>
              <w:wordWrap/>
              <w:adjustRightInd/>
              <w:snapToGrid/>
              <w:spacing w:line="240" w:lineRule="auto"/>
              <w:ind w:firstLine="0" w:firstLineChars="0"/>
              <w:jc w:val="center"/>
              <w:rPr>
                <w:rFonts w:cs="Times New Roman"/>
                <w:sz w:val="21"/>
                <w:szCs w:val="21"/>
              </w:rPr>
            </w:pPr>
            <w:r>
              <w:rPr>
                <w:rFonts w:hint="eastAsia" w:cs="Times New Roman"/>
                <w:sz w:val="21"/>
                <w:szCs w:val="21"/>
              </w:rPr>
              <w:t>标准指数</w:t>
            </w:r>
          </w:p>
        </w:tc>
        <w:tc>
          <w:tcPr>
            <w:tcW w:w="352" w:type="pct"/>
            <w:vMerge w:val="continue"/>
            <w:tcBorders>
              <w:top w:val="single" w:color="auto" w:sz="12" w:space="0"/>
              <w:left w:val="single" w:color="auto" w:sz="4" w:space="0"/>
              <w:bottom w:val="single" w:color="auto" w:sz="4" w:space="0"/>
              <w:right w:val="single" w:color="auto" w:sz="4" w:space="0"/>
            </w:tcBorders>
            <w:vAlign w:val="center"/>
          </w:tcPr>
          <w:p w14:paraId="61628EEF">
            <w:pPr>
              <w:widowControl/>
              <w:wordWrap/>
              <w:topLinePunct w:val="0"/>
              <w:adjustRightInd/>
              <w:snapToGrid/>
              <w:spacing w:line="240" w:lineRule="auto"/>
              <w:ind w:firstLine="0" w:firstLineChars="0"/>
              <w:jc w:val="left"/>
              <w:rPr>
                <w:rFonts w:cs="Times New Roman"/>
                <w:sz w:val="21"/>
                <w:szCs w:val="21"/>
              </w:rPr>
            </w:pPr>
          </w:p>
        </w:tc>
        <w:tc>
          <w:tcPr>
            <w:tcW w:w="408" w:type="pct"/>
            <w:vMerge w:val="continue"/>
            <w:tcBorders>
              <w:top w:val="single" w:color="auto" w:sz="12" w:space="0"/>
              <w:left w:val="single" w:color="auto" w:sz="4" w:space="0"/>
              <w:bottom w:val="single" w:color="auto" w:sz="4" w:space="0"/>
              <w:right w:val="single" w:color="auto" w:sz="12" w:space="0"/>
            </w:tcBorders>
            <w:vAlign w:val="center"/>
          </w:tcPr>
          <w:p w14:paraId="52B024FA">
            <w:pPr>
              <w:widowControl/>
              <w:wordWrap/>
              <w:topLinePunct w:val="0"/>
              <w:adjustRightInd/>
              <w:snapToGrid/>
              <w:spacing w:line="240" w:lineRule="auto"/>
              <w:ind w:firstLine="0" w:firstLineChars="0"/>
              <w:jc w:val="left"/>
              <w:rPr>
                <w:rFonts w:cs="Times New Roman"/>
                <w:sz w:val="21"/>
                <w:szCs w:val="21"/>
              </w:rPr>
            </w:pPr>
          </w:p>
        </w:tc>
      </w:tr>
      <w:tr w14:paraId="4A435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4BE1EEA6">
            <w:pPr>
              <w:wordWrap/>
              <w:adjustRightInd/>
              <w:snapToGrid/>
              <w:spacing w:line="240" w:lineRule="auto"/>
              <w:ind w:firstLine="0" w:firstLineChars="0"/>
              <w:jc w:val="center"/>
              <w:rPr>
                <w:rFonts w:cs="Times New Roman"/>
                <w:sz w:val="21"/>
                <w:szCs w:val="21"/>
              </w:rPr>
            </w:pPr>
            <w:r>
              <w:rPr>
                <w:rFonts w:cs="Times New Roman"/>
                <w:sz w:val="21"/>
                <w:szCs w:val="21"/>
              </w:rPr>
              <w:t>pH</w:t>
            </w:r>
            <w:r>
              <w:rPr>
                <w:rFonts w:hint="eastAsia" w:cs="Times New Roman"/>
                <w:sz w:val="21"/>
                <w:szCs w:val="21"/>
              </w:rPr>
              <w:t>值（无量纲）</w:t>
            </w:r>
          </w:p>
        </w:tc>
        <w:tc>
          <w:tcPr>
            <w:tcW w:w="450" w:type="pct"/>
            <w:tcBorders>
              <w:top w:val="single" w:color="auto" w:sz="4" w:space="0"/>
              <w:left w:val="single" w:color="auto" w:sz="4" w:space="0"/>
              <w:bottom w:val="single" w:color="auto" w:sz="4" w:space="0"/>
              <w:right w:val="single" w:color="auto" w:sz="4" w:space="0"/>
            </w:tcBorders>
            <w:vAlign w:val="center"/>
          </w:tcPr>
          <w:p w14:paraId="7719CCB1">
            <w:pPr>
              <w:wordWrap/>
              <w:adjustRightInd/>
              <w:snapToGrid/>
              <w:spacing w:line="240" w:lineRule="auto"/>
              <w:ind w:firstLine="0" w:firstLineChars="0"/>
              <w:jc w:val="center"/>
              <w:rPr>
                <w:rFonts w:cs="Times New Roman"/>
                <w:sz w:val="21"/>
                <w:szCs w:val="21"/>
              </w:rPr>
            </w:pPr>
            <w:r>
              <w:rPr>
                <w:rFonts w:cs="Times New Roman"/>
                <w:sz w:val="21"/>
                <w:szCs w:val="21"/>
              </w:rPr>
              <w:t>6.55</w:t>
            </w:r>
          </w:p>
        </w:tc>
        <w:tc>
          <w:tcPr>
            <w:tcW w:w="451" w:type="pct"/>
            <w:tcBorders>
              <w:top w:val="single" w:color="auto" w:sz="4" w:space="0"/>
              <w:left w:val="single" w:color="auto" w:sz="4" w:space="0"/>
              <w:bottom w:val="single" w:color="auto" w:sz="4" w:space="0"/>
              <w:right w:val="single" w:color="auto" w:sz="4" w:space="0"/>
            </w:tcBorders>
            <w:vAlign w:val="center"/>
          </w:tcPr>
          <w:p w14:paraId="783FF4A5">
            <w:pPr>
              <w:wordWrap/>
              <w:adjustRightInd/>
              <w:snapToGrid/>
              <w:spacing w:line="240" w:lineRule="auto"/>
              <w:ind w:firstLine="0" w:firstLineChars="0"/>
              <w:jc w:val="center"/>
              <w:rPr>
                <w:rFonts w:cs="Times New Roman"/>
                <w:sz w:val="21"/>
                <w:szCs w:val="21"/>
              </w:rPr>
            </w:pPr>
            <w:r>
              <w:rPr>
                <w:rFonts w:cs="Times New Roman"/>
                <w:sz w:val="21"/>
                <w:szCs w:val="21"/>
              </w:rPr>
              <w:t>0.9</w:t>
            </w:r>
          </w:p>
        </w:tc>
        <w:tc>
          <w:tcPr>
            <w:tcW w:w="400" w:type="pct"/>
            <w:tcBorders>
              <w:top w:val="single" w:color="auto" w:sz="4" w:space="0"/>
              <w:left w:val="single" w:color="auto" w:sz="4" w:space="0"/>
              <w:bottom w:val="single" w:color="auto" w:sz="4" w:space="0"/>
              <w:right w:val="single" w:color="auto" w:sz="4" w:space="0"/>
            </w:tcBorders>
            <w:vAlign w:val="center"/>
          </w:tcPr>
          <w:p w14:paraId="3C6BD19D">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6044592A">
            <w:pPr>
              <w:wordWrap/>
              <w:adjustRightInd/>
              <w:snapToGrid/>
              <w:spacing w:line="240" w:lineRule="auto"/>
              <w:ind w:firstLine="0" w:firstLineChars="0"/>
              <w:jc w:val="center"/>
              <w:rPr>
                <w:rFonts w:cs="Times New Roman"/>
                <w:sz w:val="21"/>
                <w:szCs w:val="21"/>
              </w:rPr>
            </w:pPr>
            <w:r>
              <w:rPr>
                <w:rFonts w:cs="Times New Roman"/>
                <w:sz w:val="21"/>
                <w:szCs w:val="21"/>
              </w:rPr>
              <w:t>6.52</w:t>
            </w:r>
          </w:p>
        </w:tc>
        <w:tc>
          <w:tcPr>
            <w:tcW w:w="500" w:type="pct"/>
            <w:tcBorders>
              <w:top w:val="single" w:color="auto" w:sz="4" w:space="0"/>
              <w:left w:val="single" w:color="auto" w:sz="4" w:space="0"/>
              <w:bottom w:val="single" w:color="auto" w:sz="4" w:space="0"/>
              <w:right w:val="single" w:color="auto" w:sz="4" w:space="0"/>
            </w:tcBorders>
            <w:vAlign w:val="center"/>
          </w:tcPr>
          <w:p w14:paraId="2155C20F">
            <w:pPr>
              <w:wordWrap/>
              <w:adjustRightInd/>
              <w:snapToGrid/>
              <w:spacing w:line="240" w:lineRule="auto"/>
              <w:ind w:firstLine="0" w:firstLineChars="0"/>
              <w:jc w:val="center"/>
              <w:rPr>
                <w:rFonts w:cs="Times New Roman"/>
                <w:sz w:val="21"/>
                <w:szCs w:val="21"/>
              </w:rPr>
            </w:pPr>
            <w:r>
              <w:rPr>
                <w:rFonts w:cs="Times New Roman"/>
                <w:sz w:val="21"/>
                <w:szCs w:val="21"/>
              </w:rPr>
              <w:t>0.96</w:t>
            </w:r>
          </w:p>
        </w:tc>
        <w:tc>
          <w:tcPr>
            <w:tcW w:w="350" w:type="pct"/>
            <w:tcBorders>
              <w:top w:val="single" w:color="auto" w:sz="4" w:space="0"/>
              <w:left w:val="single" w:color="auto" w:sz="4" w:space="0"/>
              <w:bottom w:val="single" w:color="auto" w:sz="4" w:space="0"/>
              <w:right w:val="single" w:color="auto" w:sz="4" w:space="0"/>
            </w:tcBorders>
            <w:vAlign w:val="center"/>
          </w:tcPr>
          <w:p w14:paraId="4BC634EA">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7F8B82F8">
            <w:pPr>
              <w:wordWrap/>
              <w:adjustRightInd/>
              <w:snapToGrid/>
              <w:spacing w:line="240" w:lineRule="auto"/>
              <w:ind w:firstLine="0" w:firstLineChars="0"/>
              <w:jc w:val="center"/>
              <w:rPr>
                <w:rFonts w:cs="Times New Roman"/>
                <w:sz w:val="21"/>
                <w:szCs w:val="21"/>
              </w:rPr>
            </w:pPr>
            <w:r>
              <w:rPr>
                <w:rFonts w:cs="Times New Roman"/>
                <w:sz w:val="21"/>
                <w:szCs w:val="21"/>
              </w:rPr>
              <w:t>6.83</w:t>
            </w:r>
          </w:p>
        </w:tc>
        <w:tc>
          <w:tcPr>
            <w:tcW w:w="401" w:type="pct"/>
            <w:tcBorders>
              <w:top w:val="single" w:color="auto" w:sz="4" w:space="0"/>
              <w:left w:val="single" w:color="auto" w:sz="4" w:space="0"/>
              <w:bottom w:val="single" w:color="auto" w:sz="4" w:space="0"/>
              <w:right w:val="single" w:color="auto" w:sz="4" w:space="0"/>
            </w:tcBorders>
            <w:vAlign w:val="center"/>
          </w:tcPr>
          <w:p w14:paraId="0419B307">
            <w:pPr>
              <w:wordWrap/>
              <w:adjustRightInd/>
              <w:snapToGrid/>
              <w:spacing w:line="240" w:lineRule="auto"/>
              <w:ind w:firstLine="0" w:firstLineChars="0"/>
              <w:jc w:val="center"/>
              <w:rPr>
                <w:rFonts w:cs="Times New Roman"/>
                <w:sz w:val="21"/>
                <w:szCs w:val="21"/>
              </w:rPr>
            </w:pPr>
            <w:r>
              <w:rPr>
                <w:rFonts w:cs="Times New Roman"/>
                <w:sz w:val="21"/>
                <w:szCs w:val="21"/>
              </w:rPr>
              <w:t>0.34</w:t>
            </w:r>
          </w:p>
        </w:tc>
        <w:tc>
          <w:tcPr>
            <w:tcW w:w="352" w:type="pct"/>
            <w:tcBorders>
              <w:top w:val="single" w:color="auto" w:sz="4" w:space="0"/>
              <w:left w:val="single" w:color="auto" w:sz="4" w:space="0"/>
              <w:bottom w:val="single" w:color="auto" w:sz="4" w:space="0"/>
              <w:right w:val="single" w:color="auto" w:sz="4" w:space="0"/>
            </w:tcBorders>
            <w:vAlign w:val="center"/>
          </w:tcPr>
          <w:p w14:paraId="72993C68">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4" w:space="0"/>
              <w:right w:val="single" w:color="auto" w:sz="12" w:space="0"/>
            </w:tcBorders>
            <w:vAlign w:val="center"/>
          </w:tcPr>
          <w:p w14:paraId="517E475E">
            <w:pPr>
              <w:wordWrap/>
              <w:adjustRightInd/>
              <w:snapToGrid/>
              <w:spacing w:line="240" w:lineRule="auto"/>
              <w:ind w:firstLine="0" w:firstLineChars="0"/>
              <w:jc w:val="center"/>
              <w:rPr>
                <w:rFonts w:cs="Times New Roman"/>
                <w:sz w:val="21"/>
                <w:szCs w:val="21"/>
              </w:rPr>
            </w:pPr>
            <w:r>
              <w:rPr>
                <w:rFonts w:cs="Times New Roman"/>
                <w:sz w:val="21"/>
                <w:szCs w:val="21"/>
              </w:rPr>
              <w:t>6.5~8.5</w:t>
            </w:r>
          </w:p>
        </w:tc>
      </w:tr>
      <w:tr w14:paraId="6149B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78EF9876">
            <w:pPr>
              <w:wordWrap/>
              <w:adjustRightInd/>
              <w:snapToGrid/>
              <w:spacing w:line="240" w:lineRule="auto"/>
              <w:ind w:firstLine="0" w:firstLineChars="0"/>
              <w:jc w:val="center"/>
              <w:rPr>
                <w:rFonts w:cs="Times New Roman"/>
                <w:sz w:val="21"/>
                <w:szCs w:val="21"/>
              </w:rPr>
            </w:pPr>
            <w:r>
              <w:rPr>
                <w:rFonts w:hint="eastAsia" w:cs="Times New Roman"/>
                <w:sz w:val="21"/>
                <w:szCs w:val="21"/>
              </w:rPr>
              <w:t>氨氮</w:t>
            </w:r>
          </w:p>
        </w:tc>
        <w:tc>
          <w:tcPr>
            <w:tcW w:w="450" w:type="pct"/>
            <w:tcBorders>
              <w:top w:val="single" w:color="auto" w:sz="4" w:space="0"/>
              <w:left w:val="single" w:color="auto" w:sz="4" w:space="0"/>
              <w:bottom w:val="single" w:color="auto" w:sz="4" w:space="0"/>
              <w:right w:val="single" w:color="auto" w:sz="4" w:space="0"/>
            </w:tcBorders>
            <w:vAlign w:val="center"/>
          </w:tcPr>
          <w:p w14:paraId="40812CB1">
            <w:pPr>
              <w:wordWrap/>
              <w:adjustRightInd/>
              <w:snapToGrid/>
              <w:spacing w:line="240" w:lineRule="auto"/>
              <w:ind w:firstLine="0" w:firstLineChars="0"/>
              <w:jc w:val="center"/>
              <w:rPr>
                <w:rFonts w:cs="Times New Roman"/>
                <w:sz w:val="21"/>
                <w:szCs w:val="21"/>
              </w:rPr>
            </w:pPr>
            <w:r>
              <w:rPr>
                <w:rFonts w:cs="Times New Roman"/>
                <w:sz w:val="21"/>
                <w:szCs w:val="21"/>
              </w:rPr>
              <w:t>0.085</w:t>
            </w:r>
          </w:p>
        </w:tc>
        <w:tc>
          <w:tcPr>
            <w:tcW w:w="451" w:type="pct"/>
            <w:tcBorders>
              <w:top w:val="single" w:color="auto" w:sz="4" w:space="0"/>
              <w:left w:val="single" w:color="auto" w:sz="4" w:space="0"/>
              <w:bottom w:val="single" w:color="auto" w:sz="4" w:space="0"/>
              <w:right w:val="single" w:color="auto" w:sz="4" w:space="0"/>
            </w:tcBorders>
            <w:vAlign w:val="center"/>
          </w:tcPr>
          <w:p w14:paraId="66D29AB6">
            <w:pPr>
              <w:wordWrap/>
              <w:adjustRightInd/>
              <w:snapToGrid/>
              <w:spacing w:line="240" w:lineRule="auto"/>
              <w:ind w:firstLine="0" w:firstLineChars="0"/>
              <w:jc w:val="center"/>
              <w:rPr>
                <w:rFonts w:cs="Times New Roman"/>
                <w:sz w:val="21"/>
                <w:szCs w:val="21"/>
              </w:rPr>
            </w:pPr>
            <w:r>
              <w:rPr>
                <w:rFonts w:cs="Times New Roman"/>
                <w:sz w:val="21"/>
                <w:szCs w:val="21"/>
              </w:rPr>
              <w:t>0.17</w:t>
            </w:r>
          </w:p>
        </w:tc>
        <w:tc>
          <w:tcPr>
            <w:tcW w:w="400" w:type="pct"/>
            <w:tcBorders>
              <w:top w:val="single" w:color="auto" w:sz="4" w:space="0"/>
              <w:left w:val="single" w:color="auto" w:sz="4" w:space="0"/>
              <w:bottom w:val="single" w:color="auto" w:sz="4" w:space="0"/>
              <w:right w:val="single" w:color="auto" w:sz="4" w:space="0"/>
            </w:tcBorders>
            <w:vAlign w:val="center"/>
          </w:tcPr>
          <w:p w14:paraId="4E86164B">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59F9962A">
            <w:pPr>
              <w:wordWrap/>
              <w:adjustRightInd/>
              <w:snapToGrid/>
              <w:spacing w:line="240" w:lineRule="auto"/>
              <w:ind w:firstLine="0" w:firstLineChars="0"/>
              <w:jc w:val="center"/>
              <w:rPr>
                <w:rFonts w:cs="Times New Roman"/>
                <w:sz w:val="21"/>
                <w:szCs w:val="21"/>
              </w:rPr>
            </w:pPr>
            <w:r>
              <w:rPr>
                <w:rFonts w:cs="Times New Roman"/>
                <w:sz w:val="21"/>
                <w:szCs w:val="21"/>
              </w:rPr>
              <w:t>0.093</w:t>
            </w:r>
          </w:p>
        </w:tc>
        <w:tc>
          <w:tcPr>
            <w:tcW w:w="500" w:type="pct"/>
            <w:tcBorders>
              <w:top w:val="single" w:color="auto" w:sz="4" w:space="0"/>
              <w:left w:val="single" w:color="auto" w:sz="4" w:space="0"/>
              <w:bottom w:val="single" w:color="auto" w:sz="4" w:space="0"/>
              <w:right w:val="single" w:color="auto" w:sz="4" w:space="0"/>
            </w:tcBorders>
            <w:vAlign w:val="center"/>
          </w:tcPr>
          <w:p w14:paraId="1D5CEFBE">
            <w:pPr>
              <w:wordWrap/>
              <w:adjustRightInd/>
              <w:snapToGrid/>
              <w:spacing w:line="240" w:lineRule="auto"/>
              <w:ind w:firstLine="0" w:firstLineChars="0"/>
              <w:jc w:val="center"/>
              <w:rPr>
                <w:rFonts w:cs="Times New Roman"/>
                <w:sz w:val="21"/>
                <w:szCs w:val="21"/>
              </w:rPr>
            </w:pPr>
            <w:r>
              <w:rPr>
                <w:rFonts w:cs="Times New Roman"/>
                <w:sz w:val="21"/>
                <w:szCs w:val="21"/>
              </w:rPr>
              <w:t>0.186</w:t>
            </w:r>
          </w:p>
        </w:tc>
        <w:tc>
          <w:tcPr>
            <w:tcW w:w="350" w:type="pct"/>
            <w:tcBorders>
              <w:top w:val="single" w:color="auto" w:sz="4" w:space="0"/>
              <w:left w:val="single" w:color="auto" w:sz="4" w:space="0"/>
              <w:bottom w:val="single" w:color="auto" w:sz="4" w:space="0"/>
              <w:right w:val="single" w:color="auto" w:sz="4" w:space="0"/>
            </w:tcBorders>
            <w:vAlign w:val="center"/>
          </w:tcPr>
          <w:p w14:paraId="2F9F46D3">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4F7FB954">
            <w:pPr>
              <w:wordWrap/>
              <w:adjustRightInd/>
              <w:snapToGrid/>
              <w:spacing w:line="240" w:lineRule="auto"/>
              <w:ind w:firstLine="0" w:firstLineChars="0"/>
              <w:jc w:val="center"/>
              <w:rPr>
                <w:rFonts w:cs="Times New Roman"/>
                <w:sz w:val="21"/>
                <w:szCs w:val="21"/>
              </w:rPr>
            </w:pPr>
            <w:r>
              <w:rPr>
                <w:rFonts w:cs="Times New Roman"/>
                <w:sz w:val="21"/>
                <w:szCs w:val="21"/>
              </w:rPr>
              <w:t>0.111</w:t>
            </w:r>
          </w:p>
        </w:tc>
        <w:tc>
          <w:tcPr>
            <w:tcW w:w="401" w:type="pct"/>
            <w:tcBorders>
              <w:top w:val="single" w:color="auto" w:sz="4" w:space="0"/>
              <w:left w:val="single" w:color="auto" w:sz="4" w:space="0"/>
              <w:bottom w:val="single" w:color="auto" w:sz="4" w:space="0"/>
              <w:right w:val="single" w:color="auto" w:sz="4" w:space="0"/>
            </w:tcBorders>
            <w:vAlign w:val="center"/>
          </w:tcPr>
          <w:p w14:paraId="1A238C55">
            <w:pPr>
              <w:wordWrap/>
              <w:adjustRightInd/>
              <w:snapToGrid/>
              <w:spacing w:line="240" w:lineRule="auto"/>
              <w:ind w:firstLine="0" w:firstLineChars="0"/>
              <w:jc w:val="center"/>
              <w:rPr>
                <w:rFonts w:cs="Times New Roman"/>
                <w:sz w:val="21"/>
                <w:szCs w:val="21"/>
              </w:rPr>
            </w:pPr>
            <w:r>
              <w:rPr>
                <w:rFonts w:cs="Times New Roman"/>
                <w:sz w:val="21"/>
                <w:szCs w:val="21"/>
              </w:rPr>
              <w:t>0.222</w:t>
            </w:r>
          </w:p>
        </w:tc>
        <w:tc>
          <w:tcPr>
            <w:tcW w:w="352" w:type="pct"/>
            <w:tcBorders>
              <w:top w:val="single" w:color="auto" w:sz="4" w:space="0"/>
              <w:left w:val="single" w:color="auto" w:sz="4" w:space="0"/>
              <w:bottom w:val="single" w:color="auto" w:sz="4" w:space="0"/>
              <w:right w:val="single" w:color="auto" w:sz="4" w:space="0"/>
            </w:tcBorders>
            <w:vAlign w:val="center"/>
          </w:tcPr>
          <w:p w14:paraId="6FE8D4F5">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4" w:space="0"/>
              <w:right w:val="single" w:color="auto" w:sz="12" w:space="0"/>
            </w:tcBorders>
            <w:vAlign w:val="center"/>
          </w:tcPr>
          <w:p w14:paraId="0E2394BA">
            <w:pPr>
              <w:wordWrap/>
              <w:adjustRightInd/>
              <w:snapToGrid/>
              <w:spacing w:line="240" w:lineRule="auto"/>
              <w:ind w:firstLine="0" w:firstLineChars="0"/>
              <w:jc w:val="center"/>
              <w:rPr>
                <w:rFonts w:cs="Times New Roman"/>
                <w:sz w:val="21"/>
                <w:szCs w:val="21"/>
              </w:rPr>
            </w:pPr>
            <w:r>
              <w:rPr>
                <w:rFonts w:cs="Times New Roman"/>
                <w:sz w:val="21"/>
                <w:szCs w:val="21"/>
              </w:rPr>
              <w:t>0.50</w:t>
            </w:r>
          </w:p>
        </w:tc>
      </w:tr>
      <w:tr w14:paraId="56CAD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2F996788">
            <w:pPr>
              <w:wordWrap/>
              <w:adjustRightInd/>
              <w:snapToGrid/>
              <w:spacing w:line="240" w:lineRule="auto"/>
              <w:ind w:firstLine="0" w:firstLineChars="0"/>
              <w:jc w:val="center"/>
              <w:rPr>
                <w:rFonts w:cs="Times New Roman"/>
                <w:sz w:val="21"/>
                <w:szCs w:val="21"/>
              </w:rPr>
            </w:pPr>
            <w:r>
              <w:rPr>
                <w:rFonts w:hint="eastAsia" w:cs="Times New Roman"/>
                <w:sz w:val="21"/>
                <w:szCs w:val="21"/>
              </w:rPr>
              <w:t>硝酸盐（以</w:t>
            </w:r>
            <w:r>
              <w:rPr>
                <w:rFonts w:cs="Times New Roman"/>
                <w:sz w:val="21"/>
                <w:szCs w:val="21"/>
              </w:rPr>
              <w:t>N</w:t>
            </w:r>
            <w:r>
              <w:rPr>
                <w:rFonts w:hint="eastAsia" w:cs="Times New Roman"/>
                <w:sz w:val="21"/>
                <w:szCs w:val="21"/>
              </w:rPr>
              <w:t>计）</w:t>
            </w:r>
          </w:p>
        </w:tc>
        <w:tc>
          <w:tcPr>
            <w:tcW w:w="450" w:type="pct"/>
            <w:tcBorders>
              <w:top w:val="single" w:color="auto" w:sz="4" w:space="0"/>
              <w:left w:val="single" w:color="auto" w:sz="4" w:space="0"/>
              <w:bottom w:val="single" w:color="auto" w:sz="4" w:space="0"/>
              <w:right w:val="single" w:color="auto" w:sz="4" w:space="0"/>
            </w:tcBorders>
            <w:vAlign w:val="center"/>
          </w:tcPr>
          <w:p w14:paraId="2134AC73">
            <w:pPr>
              <w:wordWrap/>
              <w:adjustRightInd/>
              <w:snapToGrid/>
              <w:spacing w:line="240" w:lineRule="auto"/>
              <w:ind w:firstLine="0" w:firstLineChars="0"/>
              <w:jc w:val="center"/>
              <w:rPr>
                <w:rFonts w:cs="Times New Roman"/>
                <w:sz w:val="21"/>
                <w:szCs w:val="21"/>
              </w:rPr>
            </w:pPr>
            <w:r>
              <w:rPr>
                <w:rFonts w:cs="Times New Roman"/>
                <w:sz w:val="21"/>
                <w:szCs w:val="21"/>
              </w:rPr>
              <w:t>0.08</w:t>
            </w:r>
          </w:p>
        </w:tc>
        <w:tc>
          <w:tcPr>
            <w:tcW w:w="451" w:type="pct"/>
            <w:tcBorders>
              <w:top w:val="single" w:color="auto" w:sz="4" w:space="0"/>
              <w:left w:val="single" w:color="auto" w:sz="4" w:space="0"/>
              <w:bottom w:val="single" w:color="auto" w:sz="4" w:space="0"/>
              <w:right w:val="single" w:color="auto" w:sz="4" w:space="0"/>
            </w:tcBorders>
            <w:vAlign w:val="center"/>
          </w:tcPr>
          <w:p w14:paraId="140D8BFD">
            <w:pPr>
              <w:wordWrap/>
              <w:adjustRightInd/>
              <w:snapToGrid/>
              <w:spacing w:line="240" w:lineRule="auto"/>
              <w:ind w:firstLine="0" w:firstLineChars="0"/>
              <w:jc w:val="center"/>
              <w:rPr>
                <w:rFonts w:cs="Times New Roman"/>
                <w:sz w:val="21"/>
                <w:szCs w:val="21"/>
              </w:rPr>
            </w:pPr>
            <w:r>
              <w:rPr>
                <w:rFonts w:cs="Times New Roman"/>
                <w:sz w:val="21"/>
                <w:szCs w:val="21"/>
              </w:rPr>
              <w:t>0.004</w:t>
            </w:r>
          </w:p>
        </w:tc>
        <w:tc>
          <w:tcPr>
            <w:tcW w:w="400" w:type="pct"/>
            <w:tcBorders>
              <w:top w:val="single" w:color="auto" w:sz="4" w:space="0"/>
              <w:left w:val="single" w:color="auto" w:sz="4" w:space="0"/>
              <w:bottom w:val="single" w:color="auto" w:sz="4" w:space="0"/>
              <w:right w:val="single" w:color="auto" w:sz="4" w:space="0"/>
            </w:tcBorders>
            <w:vAlign w:val="center"/>
          </w:tcPr>
          <w:p w14:paraId="385EEF31">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40A4DD93">
            <w:pPr>
              <w:wordWrap/>
              <w:adjustRightInd/>
              <w:snapToGrid/>
              <w:spacing w:line="240" w:lineRule="auto"/>
              <w:ind w:firstLine="0" w:firstLineChars="0"/>
              <w:jc w:val="center"/>
              <w:rPr>
                <w:rFonts w:cs="Times New Roman"/>
                <w:sz w:val="21"/>
                <w:szCs w:val="21"/>
              </w:rPr>
            </w:pPr>
            <w:r>
              <w:rPr>
                <w:rFonts w:cs="Times New Roman"/>
                <w:sz w:val="21"/>
                <w:szCs w:val="21"/>
              </w:rPr>
              <w:t>0.40</w:t>
            </w:r>
          </w:p>
        </w:tc>
        <w:tc>
          <w:tcPr>
            <w:tcW w:w="500" w:type="pct"/>
            <w:tcBorders>
              <w:top w:val="single" w:color="auto" w:sz="4" w:space="0"/>
              <w:left w:val="single" w:color="auto" w:sz="4" w:space="0"/>
              <w:bottom w:val="single" w:color="auto" w:sz="4" w:space="0"/>
              <w:right w:val="single" w:color="auto" w:sz="4" w:space="0"/>
            </w:tcBorders>
            <w:vAlign w:val="center"/>
          </w:tcPr>
          <w:p w14:paraId="56AF7648">
            <w:pPr>
              <w:wordWrap/>
              <w:adjustRightInd/>
              <w:snapToGrid/>
              <w:spacing w:line="240" w:lineRule="auto"/>
              <w:ind w:firstLine="0" w:firstLineChars="0"/>
              <w:jc w:val="center"/>
              <w:rPr>
                <w:rFonts w:cs="Times New Roman"/>
                <w:sz w:val="21"/>
                <w:szCs w:val="21"/>
              </w:rPr>
            </w:pPr>
            <w:r>
              <w:rPr>
                <w:rFonts w:cs="Times New Roman"/>
                <w:sz w:val="21"/>
                <w:szCs w:val="21"/>
              </w:rPr>
              <w:t>0.02</w:t>
            </w:r>
          </w:p>
        </w:tc>
        <w:tc>
          <w:tcPr>
            <w:tcW w:w="350" w:type="pct"/>
            <w:tcBorders>
              <w:top w:val="single" w:color="auto" w:sz="4" w:space="0"/>
              <w:left w:val="single" w:color="auto" w:sz="4" w:space="0"/>
              <w:bottom w:val="single" w:color="auto" w:sz="4" w:space="0"/>
              <w:right w:val="single" w:color="auto" w:sz="4" w:space="0"/>
            </w:tcBorders>
            <w:vAlign w:val="center"/>
          </w:tcPr>
          <w:p w14:paraId="21C119D8">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6331816C">
            <w:pPr>
              <w:wordWrap/>
              <w:adjustRightInd/>
              <w:snapToGrid/>
              <w:spacing w:line="240" w:lineRule="auto"/>
              <w:ind w:firstLine="0" w:firstLineChars="0"/>
              <w:jc w:val="center"/>
              <w:rPr>
                <w:rFonts w:cs="Times New Roman"/>
                <w:sz w:val="21"/>
                <w:szCs w:val="21"/>
              </w:rPr>
            </w:pPr>
            <w:r>
              <w:rPr>
                <w:rFonts w:cs="Times New Roman"/>
                <w:sz w:val="21"/>
                <w:szCs w:val="21"/>
              </w:rPr>
              <w:t>0.10</w:t>
            </w:r>
          </w:p>
        </w:tc>
        <w:tc>
          <w:tcPr>
            <w:tcW w:w="401" w:type="pct"/>
            <w:tcBorders>
              <w:top w:val="single" w:color="auto" w:sz="4" w:space="0"/>
              <w:left w:val="single" w:color="auto" w:sz="4" w:space="0"/>
              <w:bottom w:val="single" w:color="auto" w:sz="4" w:space="0"/>
              <w:right w:val="single" w:color="auto" w:sz="4" w:space="0"/>
            </w:tcBorders>
            <w:vAlign w:val="center"/>
          </w:tcPr>
          <w:p w14:paraId="4149300C">
            <w:pPr>
              <w:wordWrap/>
              <w:adjustRightInd/>
              <w:snapToGrid/>
              <w:spacing w:line="240" w:lineRule="auto"/>
              <w:ind w:firstLine="0" w:firstLineChars="0"/>
              <w:jc w:val="center"/>
              <w:rPr>
                <w:rFonts w:cs="Times New Roman"/>
                <w:sz w:val="21"/>
                <w:szCs w:val="21"/>
              </w:rPr>
            </w:pPr>
            <w:r>
              <w:rPr>
                <w:rFonts w:cs="Times New Roman"/>
                <w:sz w:val="21"/>
                <w:szCs w:val="21"/>
              </w:rPr>
              <w:t>0.005</w:t>
            </w:r>
          </w:p>
        </w:tc>
        <w:tc>
          <w:tcPr>
            <w:tcW w:w="352" w:type="pct"/>
            <w:tcBorders>
              <w:top w:val="single" w:color="auto" w:sz="4" w:space="0"/>
              <w:left w:val="single" w:color="auto" w:sz="4" w:space="0"/>
              <w:bottom w:val="single" w:color="auto" w:sz="4" w:space="0"/>
              <w:right w:val="single" w:color="auto" w:sz="4" w:space="0"/>
            </w:tcBorders>
            <w:vAlign w:val="center"/>
          </w:tcPr>
          <w:p w14:paraId="234BF927">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4" w:space="0"/>
              <w:right w:val="single" w:color="auto" w:sz="12" w:space="0"/>
            </w:tcBorders>
            <w:vAlign w:val="center"/>
          </w:tcPr>
          <w:p w14:paraId="38C19334">
            <w:pPr>
              <w:wordWrap/>
              <w:adjustRightInd/>
              <w:snapToGrid/>
              <w:spacing w:line="240" w:lineRule="auto"/>
              <w:ind w:firstLine="0" w:firstLineChars="0"/>
              <w:jc w:val="center"/>
              <w:rPr>
                <w:rFonts w:cs="Times New Roman"/>
                <w:sz w:val="21"/>
                <w:szCs w:val="21"/>
              </w:rPr>
            </w:pPr>
            <w:r>
              <w:rPr>
                <w:rFonts w:cs="Times New Roman"/>
                <w:sz w:val="21"/>
                <w:szCs w:val="21"/>
              </w:rPr>
              <w:t>20.00</w:t>
            </w:r>
          </w:p>
        </w:tc>
      </w:tr>
      <w:tr w14:paraId="38709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5E3B3FFC">
            <w:pPr>
              <w:wordWrap/>
              <w:adjustRightInd/>
              <w:snapToGrid/>
              <w:spacing w:line="240" w:lineRule="auto"/>
              <w:ind w:firstLine="0" w:firstLineChars="0"/>
              <w:jc w:val="center"/>
              <w:rPr>
                <w:rFonts w:cs="Times New Roman"/>
                <w:sz w:val="21"/>
                <w:szCs w:val="21"/>
              </w:rPr>
            </w:pPr>
            <w:r>
              <w:rPr>
                <w:rFonts w:hint="eastAsia" w:cs="Times New Roman"/>
                <w:sz w:val="21"/>
                <w:szCs w:val="21"/>
              </w:rPr>
              <w:t>亚硝酸盐（以</w:t>
            </w:r>
            <w:r>
              <w:rPr>
                <w:rFonts w:cs="Times New Roman"/>
                <w:sz w:val="21"/>
                <w:szCs w:val="21"/>
              </w:rPr>
              <w:t>N</w:t>
            </w:r>
            <w:r>
              <w:rPr>
                <w:rFonts w:hint="eastAsia" w:cs="Times New Roman"/>
                <w:sz w:val="21"/>
                <w:szCs w:val="21"/>
              </w:rPr>
              <w:t>计）</w:t>
            </w:r>
          </w:p>
        </w:tc>
        <w:tc>
          <w:tcPr>
            <w:tcW w:w="450" w:type="pct"/>
            <w:tcBorders>
              <w:top w:val="single" w:color="auto" w:sz="4" w:space="0"/>
              <w:left w:val="single" w:color="auto" w:sz="4" w:space="0"/>
              <w:bottom w:val="single" w:color="auto" w:sz="4" w:space="0"/>
              <w:right w:val="single" w:color="auto" w:sz="4" w:space="0"/>
            </w:tcBorders>
            <w:vAlign w:val="center"/>
          </w:tcPr>
          <w:p w14:paraId="6525DD8C">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451" w:type="pct"/>
            <w:tcBorders>
              <w:top w:val="single" w:color="auto" w:sz="4" w:space="0"/>
              <w:left w:val="single" w:color="auto" w:sz="4" w:space="0"/>
              <w:bottom w:val="single" w:color="auto" w:sz="4" w:space="0"/>
              <w:right w:val="single" w:color="auto" w:sz="4" w:space="0"/>
            </w:tcBorders>
            <w:vAlign w:val="center"/>
          </w:tcPr>
          <w:p w14:paraId="7913C2BC">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5B0A9F0E">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4FC4EEDC">
            <w:pPr>
              <w:wordWrap/>
              <w:adjustRightInd/>
              <w:snapToGrid/>
              <w:spacing w:line="240" w:lineRule="auto"/>
              <w:ind w:firstLine="0" w:firstLineChars="0"/>
              <w:jc w:val="center"/>
              <w:rPr>
                <w:rFonts w:cs="Times New Roman"/>
                <w:sz w:val="21"/>
                <w:szCs w:val="21"/>
              </w:rPr>
            </w:pPr>
            <w:r>
              <w:rPr>
                <w:rFonts w:cs="Times New Roman"/>
                <w:sz w:val="21"/>
                <w:szCs w:val="21"/>
              </w:rPr>
              <w:t>0.005</w:t>
            </w:r>
          </w:p>
        </w:tc>
        <w:tc>
          <w:tcPr>
            <w:tcW w:w="500" w:type="pct"/>
            <w:tcBorders>
              <w:top w:val="single" w:color="auto" w:sz="4" w:space="0"/>
              <w:left w:val="single" w:color="auto" w:sz="4" w:space="0"/>
              <w:bottom w:val="single" w:color="auto" w:sz="4" w:space="0"/>
              <w:right w:val="single" w:color="auto" w:sz="4" w:space="0"/>
            </w:tcBorders>
            <w:vAlign w:val="center"/>
          </w:tcPr>
          <w:p w14:paraId="1C9FBE79">
            <w:pPr>
              <w:wordWrap/>
              <w:adjustRightInd/>
              <w:snapToGrid/>
              <w:spacing w:line="240" w:lineRule="auto"/>
              <w:ind w:firstLine="0" w:firstLineChars="0"/>
              <w:jc w:val="center"/>
              <w:rPr>
                <w:rFonts w:cs="Times New Roman"/>
                <w:sz w:val="21"/>
                <w:szCs w:val="21"/>
              </w:rPr>
            </w:pPr>
            <w:r>
              <w:rPr>
                <w:rFonts w:cs="Times New Roman"/>
                <w:sz w:val="21"/>
                <w:szCs w:val="21"/>
              </w:rPr>
              <w:t>0.005</w:t>
            </w:r>
          </w:p>
        </w:tc>
        <w:tc>
          <w:tcPr>
            <w:tcW w:w="350" w:type="pct"/>
            <w:tcBorders>
              <w:top w:val="single" w:color="auto" w:sz="4" w:space="0"/>
              <w:left w:val="single" w:color="auto" w:sz="4" w:space="0"/>
              <w:bottom w:val="single" w:color="auto" w:sz="4" w:space="0"/>
              <w:right w:val="single" w:color="auto" w:sz="4" w:space="0"/>
            </w:tcBorders>
            <w:vAlign w:val="center"/>
          </w:tcPr>
          <w:p w14:paraId="13A157BC">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3A31F0EC">
            <w:pPr>
              <w:wordWrap/>
              <w:adjustRightInd/>
              <w:snapToGrid/>
              <w:spacing w:line="240" w:lineRule="auto"/>
              <w:ind w:firstLine="0" w:firstLineChars="0"/>
              <w:jc w:val="center"/>
              <w:rPr>
                <w:rFonts w:cs="Times New Roman"/>
                <w:sz w:val="21"/>
                <w:szCs w:val="21"/>
              </w:rPr>
            </w:pPr>
            <w:r>
              <w:rPr>
                <w:rFonts w:cs="Times New Roman"/>
                <w:sz w:val="21"/>
                <w:szCs w:val="21"/>
              </w:rPr>
              <w:t>0.003</w:t>
            </w:r>
          </w:p>
        </w:tc>
        <w:tc>
          <w:tcPr>
            <w:tcW w:w="401" w:type="pct"/>
            <w:tcBorders>
              <w:top w:val="single" w:color="auto" w:sz="4" w:space="0"/>
              <w:left w:val="single" w:color="auto" w:sz="4" w:space="0"/>
              <w:bottom w:val="single" w:color="auto" w:sz="4" w:space="0"/>
              <w:right w:val="single" w:color="auto" w:sz="4" w:space="0"/>
            </w:tcBorders>
            <w:vAlign w:val="center"/>
          </w:tcPr>
          <w:p w14:paraId="6EE029DA">
            <w:pPr>
              <w:wordWrap/>
              <w:adjustRightInd/>
              <w:snapToGrid/>
              <w:spacing w:line="240" w:lineRule="auto"/>
              <w:ind w:firstLine="0" w:firstLineChars="0"/>
              <w:jc w:val="center"/>
              <w:rPr>
                <w:rFonts w:cs="Times New Roman"/>
                <w:sz w:val="21"/>
                <w:szCs w:val="21"/>
              </w:rPr>
            </w:pPr>
            <w:r>
              <w:rPr>
                <w:rFonts w:cs="Times New Roman"/>
                <w:sz w:val="21"/>
                <w:szCs w:val="21"/>
              </w:rPr>
              <w:t>0.003</w:t>
            </w:r>
          </w:p>
        </w:tc>
        <w:tc>
          <w:tcPr>
            <w:tcW w:w="352" w:type="pct"/>
            <w:tcBorders>
              <w:top w:val="single" w:color="auto" w:sz="4" w:space="0"/>
              <w:left w:val="single" w:color="auto" w:sz="4" w:space="0"/>
              <w:bottom w:val="single" w:color="auto" w:sz="4" w:space="0"/>
              <w:right w:val="single" w:color="auto" w:sz="4" w:space="0"/>
            </w:tcBorders>
            <w:vAlign w:val="center"/>
          </w:tcPr>
          <w:p w14:paraId="02B57309">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4" w:space="0"/>
              <w:right w:val="single" w:color="auto" w:sz="12" w:space="0"/>
            </w:tcBorders>
            <w:vAlign w:val="center"/>
          </w:tcPr>
          <w:p w14:paraId="1B7A6DCA">
            <w:pPr>
              <w:wordWrap/>
              <w:adjustRightInd/>
              <w:snapToGrid/>
              <w:spacing w:line="240" w:lineRule="auto"/>
              <w:ind w:firstLine="0" w:firstLineChars="0"/>
              <w:jc w:val="center"/>
              <w:rPr>
                <w:rFonts w:cs="Times New Roman"/>
                <w:sz w:val="21"/>
                <w:szCs w:val="21"/>
              </w:rPr>
            </w:pPr>
            <w:r>
              <w:rPr>
                <w:rFonts w:cs="Times New Roman"/>
                <w:sz w:val="21"/>
                <w:szCs w:val="21"/>
              </w:rPr>
              <w:t>1.00</w:t>
            </w:r>
          </w:p>
        </w:tc>
      </w:tr>
      <w:tr w14:paraId="3A4B8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287D8D9C">
            <w:pPr>
              <w:wordWrap/>
              <w:adjustRightInd/>
              <w:snapToGrid/>
              <w:spacing w:line="240" w:lineRule="auto"/>
              <w:ind w:firstLine="0" w:firstLineChars="0"/>
              <w:jc w:val="center"/>
              <w:rPr>
                <w:rFonts w:cs="Times New Roman"/>
                <w:sz w:val="21"/>
                <w:szCs w:val="21"/>
              </w:rPr>
            </w:pPr>
            <w:r>
              <w:rPr>
                <w:rFonts w:hint="eastAsia" w:cs="Times New Roman"/>
                <w:sz w:val="21"/>
                <w:szCs w:val="21"/>
              </w:rPr>
              <w:t>挥发性酚类（以苯酚计）</w:t>
            </w:r>
          </w:p>
        </w:tc>
        <w:tc>
          <w:tcPr>
            <w:tcW w:w="450" w:type="pct"/>
            <w:tcBorders>
              <w:top w:val="single" w:color="auto" w:sz="4" w:space="0"/>
              <w:left w:val="single" w:color="auto" w:sz="4" w:space="0"/>
              <w:bottom w:val="single" w:color="auto" w:sz="4" w:space="0"/>
              <w:right w:val="single" w:color="auto" w:sz="4" w:space="0"/>
            </w:tcBorders>
            <w:vAlign w:val="center"/>
          </w:tcPr>
          <w:p w14:paraId="3ED43182">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451" w:type="pct"/>
            <w:tcBorders>
              <w:top w:val="single" w:color="auto" w:sz="4" w:space="0"/>
              <w:left w:val="single" w:color="auto" w:sz="4" w:space="0"/>
              <w:bottom w:val="single" w:color="auto" w:sz="4" w:space="0"/>
              <w:right w:val="single" w:color="auto" w:sz="4" w:space="0"/>
            </w:tcBorders>
            <w:vAlign w:val="center"/>
          </w:tcPr>
          <w:p w14:paraId="2BA0CAAF">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7E0E2FBA">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5CFB7E3A">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500" w:type="pct"/>
            <w:tcBorders>
              <w:top w:val="single" w:color="auto" w:sz="4" w:space="0"/>
              <w:left w:val="single" w:color="auto" w:sz="4" w:space="0"/>
              <w:bottom w:val="single" w:color="auto" w:sz="4" w:space="0"/>
              <w:right w:val="single" w:color="auto" w:sz="4" w:space="0"/>
            </w:tcBorders>
            <w:vAlign w:val="center"/>
          </w:tcPr>
          <w:p w14:paraId="5269284E">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0" w:type="pct"/>
            <w:tcBorders>
              <w:top w:val="single" w:color="auto" w:sz="4" w:space="0"/>
              <w:left w:val="single" w:color="auto" w:sz="4" w:space="0"/>
              <w:bottom w:val="single" w:color="auto" w:sz="4" w:space="0"/>
              <w:right w:val="single" w:color="auto" w:sz="4" w:space="0"/>
            </w:tcBorders>
            <w:vAlign w:val="center"/>
          </w:tcPr>
          <w:p w14:paraId="749B9932">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1E558D1D">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401" w:type="pct"/>
            <w:tcBorders>
              <w:top w:val="single" w:color="auto" w:sz="4" w:space="0"/>
              <w:left w:val="single" w:color="auto" w:sz="4" w:space="0"/>
              <w:bottom w:val="single" w:color="auto" w:sz="4" w:space="0"/>
              <w:right w:val="single" w:color="auto" w:sz="4" w:space="0"/>
            </w:tcBorders>
            <w:vAlign w:val="center"/>
          </w:tcPr>
          <w:p w14:paraId="5B770FE4">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10049757">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4" w:space="0"/>
              <w:right w:val="single" w:color="auto" w:sz="12" w:space="0"/>
            </w:tcBorders>
            <w:vAlign w:val="center"/>
          </w:tcPr>
          <w:p w14:paraId="329C5DDA">
            <w:pPr>
              <w:wordWrap/>
              <w:adjustRightInd/>
              <w:snapToGrid/>
              <w:spacing w:line="240" w:lineRule="auto"/>
              <w:ind w:firstLine="0" w:firstLineChars="0"/>
              <w:jc w:val="center"/>
              <w:rPr>
                <w:rFonts w:cs="Times New Roman"/>
                <w:sz w:val="21"/>
                <w:szCs w:val="21"/>
              </w:rPr>
            </w:pPr>
            <w:r>
              <w:rPr>
                <w:rFonts w:cs="Times New Roman"/>
                <w:sz w:val="21"/>
                <w:szCs w:val="21"/>
              </w:rPr>
              <w:t>0.002</w:t>
            </w:r>
          </w:p>
        </w:tc>
      </w:tr>
      <w:tr w14:paraId="13D56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632C7350">
            <w:pPr>
              <w:wordWrap/>
              <w:adjustRightInd/>
              <w:snapToGrid/>
              <w:spacing w:line="240" w:lineRule="auto"/>
              <w:ind w:firstLine="0" w:firstLineChars="0"/>
              <w:jc w:val="center"/>
              <w:rPr>
                <w:rFonts w:cs="Times New Roman"/>
                <w:sz w:val="21"/>
                <w:szCs w:val="21"/>
              </w:rPr>
            </w:pPr>
            <w:r>
              <w:rPr>
                <w:rFonts w:hint="eastAsia" w:cs="Times New Roman"/>
                <w:sz w:val="21"/>
                <w:szCs w:val="21"/>
              </w:rPr>
              <w:t>氰化物</w:t>
            </w:r>
          </w:p>
        </w:tc>
        <w:tc>
          <w:tcPr>
            <w:tcW w:w="450" w:type="pct"/>
            <w:tcBorders>
              <w:top w:val="single" w:color="auto" w:sz="4" w:space="0"/>
              <w:left w:val="single" w:color="auto" w:sz="4" w:space="0"/>
              <w:bottom w:val="single" w:color="auto" w:sz="4" w:space="0"/>
              <w:right w:val="single" w:color="auto" w:sz="4" w:space="0"/>
            </w:tcBorders>
            <w:vAlign w:val="center"/>
          </w:tcPr>
          <w:p w14:paraId="50D4C083">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451" w:type="pct"/>
            <w:tcBorders>
              <w:top w:val="single" w:color="auto" w:sz="4" w:space="0"/>
              <w:left w:val="single" w:color="auto" w:sz="4" w:space="0"/>
              <w:bottom w:val="single" w:color="auto" w:sz="4" w:space="0"/>
              <w:right w:val="single" w:color="auto" w:sz="4" w:space="0"/>
            </w:tcBorders>
            <w:noWrap/>
            <w:vAlign w:val="center"/>
          </w:tcPr>
          <w:p w14:paraId="2941D1AE">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4A8C1E98">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08AFCE6C">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500" w:type="pct"/>
            <w:tcBorders>
              <w:top w:val="single" w:color="auto" w:sz="4" w:space="0"/>
              <w:left w:val="single" w:color="auto" w:sz="4" w:space="0"/>
              <w:bottom w:val="single" w:color="auto" w:sz="4" w:space="0"/>
              <w:right w:val="single" w:color="auto" w:sz="4" w:space="0"/>
            </w:tcBorders>
            <w:vAlign w:val="center"/>
          </w:tcPr>
          <w:p w14:paraId="12D32B27">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0" w:type="pct"/>
            <w:tcBorders>
              <w:top w:val="single" w:color="auto" w:sz="4" w:space="0"/>
              <w:left w:val="single" w:color="auto" w:sz="4" w:space="0"/>
              <w:bottom w:val="single" w:color="auto" w:sz="4" w:space="0"/>
              <w:right w:val="single" w:color="auto" w:sz="4" w:space="0"/>
            </w:tcBorders>
            <w:vAlign w:val="center"/>
          </w:tcPr>
          <w:p w14:paraId="7D3233EC">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10012FFD">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401" w:type="pct"/>
            <w:tcBorders>
              <w:top w:val="single" w:color="auto" w:sz="4" w:space="0"/>
              <w:left w:val="single" w:color="auto" w:sz="4" w:space="0"/>
              <w:bottom w:val="single" w:color="auto" w:sz="4" w:space="0"/>
              <w:right w:val="single" w:color="auto" w:sz="4" w:space="0"/>
            </w:tcBorders>
            <w:vAlign w:val="center"/>
          </w:tcPr>
          <w:p w14:paraId="0AA58D75">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75F4C106">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4" w:space="0"/>
              <w:right w:val="single" w:color="auto" w:sz="12" w:space="0"/>
            </w:tcBorders>
            <w:vAlign w:val="center"/>
          </w:tcPr>
          <w:p w14:paraId="4B4CC7DB">
            <w:pPr>
              <w:wordWrap/>
              <w:adjustRightInd/>
              <w:snapToGrid/>
              <w:spacing w:line="240" w:lineRule="auto"/>
              <w:ind w:firstLine="0" w:firstLineChars="0"/>
              <w:jc w:val="center"/>
              <w:rPr>
                <w:rFonts w:cs="Times New Roman"/>
                <w:sz w:val="21"/>
                <w:szCs w:val="21"/>
              </w:rPr>
            </w:pPr>
            <w:r>
              <w:rPr>
                <w:rFonts w:cs="Times New Roman"/>
                <w:sz w:val="21"/>
                <w:szCs w:val="21"/>
              </w:rPr>
              <w:t>0.05</w:t>
            </w:r>
          </w:p>
        </w:tc>
      </w:tr>
      <w:tr w14:paraId="50677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2A164448">
            <w:pPr>
              <w:wordWrap/>
              <w:adjustRightInd/>
              <w:snapToGrid/>
              <w:spacing w:line="240" w:lineRule="auto"/>
              <w:ind w:firstLine="0" w:firstLineChars="0"/>
              <w:jc w:val="center"/>
              <w:rPr>
                <w:rFonts w:cs="Times New Roman"/>
                <w:sz w:val="21"/>
                <w:szCs w:val="21"/>
              </w:rPr>
            </w:pPr>
            <w:r>
              <w:rPr>
                <w:rFonts w:hint="eastAsia" w:cs="Times New Roman"/>
                <w:sz w:val="21"/>
                <w:szCs w:val="21"/>
              </w:rPr>
              <w:t>溶解性总固体</w:t>
            </w:r>
          </w:p>
        </w:tc>
        <w:tc>
          <w:tcPr>
            <w:tcW w:w="450" w:type="pct"/>
            <w:tcBorders>
              <w:top w:val="single" w:color="auto" w:sz="4" w:space="0"/>
              <w:left w:val="single" w:color="auto" w:sz="4" w:space="0"/>
              <w:bottom w:val="single" w:color="auto" w:sz="4" w:space="0"/>
              <w:right w:val="single" w:color="auto" w:sz="4" w:space="0"/>
            </w:tcBorders>
            <w:vAlign w:val="center"/>
          </w:tcPr>
          <w:p w14:paraId="7D804E57">
            <w:pPr>
              <w:wordWrap/>
              <w:adjustRightInd/>
              <w:snapToGrid/>
              <w:spacing w:line="240" w:lineRule="auto"/>
              <w:ind w:firstLine="0" w:firstLineChars="0"/>
              <w:jc w:val="center"/>
              <w:rPr>
                <w:rFonts w:cs="Times New Roman"/>
                <w:sz w:val="21"/>
                <w:szCs w:val="21"/>
              </w:rPr>
            </w:pPr>
            <w:r>
              <w:rPr>
                <w:rFonts w:cs="Times New Roman"/>
                <w:sz w:val="21"/>
                <w:szCs w:val="21"/>
              </w:rPr>
              <w:t>234</w:t>
            </w:r>
          </w:p>
        </w:tc>
        <w:tc>
          <w:tcPr>
            <w:tcW w:w="451" w:type="pct"/>
            <w:tcBorders>
              <w:top w:val="single" w:color="auto" w:sz="4" w:space="0"/>
              <w:left w:val="single" w:color="auto" w:sz="4" w:space="0"/>
              <w:bottom w:val="single" w:color="auto" w:sz="4" w:space="0"/>
              <w:right w:val="single" w:color="auto" w:sz="4" w:space="0"/>
            </w:tcBorders>
            <w:noWrap/>
            <w:vAlign w:val="center"/>
          </w:tcPr>
          <w:p w14:paraId="00B5EF64">
            <w:pPr>
              <w:wordWrap/>
              <w:adjustRightInd/>
              <w:snapToGrid/>
              <w:spacing w:line="240" w:lineRule="auto"/>
              <w:ind w:firstLine="0" w:firstLineChars="0"/>
              <w:jc w:val="center"/>
              <w:rPr>
                <w:rFonts w:cs="Times New Roman"/>
                <w:sz w:val="21"/>
                <w:szCs w:val="21"/>
              </w:rPr>
            </w:pPr>
            <w:r>
              <w:rPr>
                <w:rFonts w:cs="Times New Roman"/>
                <w:sz w:val="21"/>
                <w:szCs w:val="21"/>
              </w:rPr>
              <w:t>0.234</w:t>
            </w:r>
          </w:p>
        </w:tc>
        <w:tc>
          <w:tcPr>
            <w:tcW w:w="400" w:type="pct"/>
            <w:tcBorders>
              <w:top w:val="single" w:color="auto" w:sz="4" w:space="0"/>
              <w:left w:val="single" w:color="auto" w:sz="4" w:space="0"/>
              <w:bottom w:val="single" w:color="auto" w:sz="4" w:space="0"/>
              <w:right w:val="single" w:color="auto" w:sz="4" w:space="0"/>
            </w:tcBorders>
            <w:vAlign w:val="center"/>
          </w:tcPr>
          <w:p w14:paraId="4738A18C">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01B46FFE">
            <w:pPr>
              <w:wordWrap/>
              <w:adjustRightInd/>
              <w:snapToGrid/>
              <w:spacing w:line="240" w:lineRule="auto"/>
              <w:ind w:firstLine="0" w:firstLineChars="0"/>
              <w:jc w:val="center"/>
              <w:rPr>
                <w:rFonts w:cs="Times New Roman"/>
                <w:sz w:val="21"/>
                <w:szCs w:val="21"/>
              </w:rPr>
            </w:pPr>
            <w:r>
              <w:rPr>
                <w:rFonts w:cs="Times New Roman"/>
                <w:sz w:val="21"/>
                <w:szCs w:val="21"/>
              </w:rPr>
              <w:t>215</w:t>
            </w:r>
          </w:p>
        </w:tc>
        <w:tc>
          <w:tcPr>
            <w:tcW w:w="500" w:type="pct"/>
            <w:tcBorders>
              <w:top w:val="single" w:color="auto" w:sz="4" w:space="0"/>
              <w:left w:val="single" w:color="auto" w:sz="4" w:space="0"/>
              <w:bottom w:val="single" w:color="auto" w:sz="4" w:space="0"/>
              <w:right w:val="single" w:color="auto" w:sz="4" w:space="0"/>
            </w:tcBorders>
            <w:vAlign w:val="center"/>
          </w:tcPr>
          <w:p w14:paraId="6137F1DD">
            <w:pPr>
              <w:wordWrap/>
              <w:adjustRightInd/>
              <w:snapToGrid/>
              <w:spacing w:line="240" w:lineRule="auto"/>
              <w:ind w:firstLine="0" w:firstLineChars="0"/>
              <w:jc w:val="center"/>
              <w:rPr>
                <w:rFonts w:cs="Times New Roman"/>
                <w:sz w:val="21"/>
                <w:szCs w:val="21"/>
              </w:rPr>
            </w:pPr>
            <w:r>
              <w:rPr>
                <w:rFonts w:cs="Times New Roman"/>
                <w:sz w:val="21"/>
                <w:szCs w:val="21"/>
              </w:rPr>
              <w:t>0.215</w:t>
            </w:r>
          </w:p>
        </w:tc>
        <w:tc>
          <w:tcPr>
            <w:tcW w:w="350" w:type="pct"/>
            <w:tcBorders>
              <w:top w:val="single" w:color="auto" w:sz="4" w:space="0"/>
              <w:left w:val="single" w:color="auto" w:sz="4" w:space="0"/>
              <w:bottom w:val="single" w:color="auto" w:sz="4" w:space="0"/>
              <w:right w:val="single" w:color="auto" w:sz="4" w:space="0"/>
            </w:tcBorders>
            <w:vAlign w:val="center"/>
          </w:tcPr>
          <w:p w14:paraId="61D13A2A">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12FCD80A">
            <w:pPr>
              <w:wordWrap/>
              <w:adjustRightInd/>
              <w:snapToGrid/>
              <w:spacing w:line="240" w:lineRule="auto"/>
              <w:ind w:firstLine="0" w:firstLineChars="0"/>
              <w:jc w:val="center"/>
              <w:rPr>
                <w:rFonts w:cs="Times New Roman"/>
                <w:sz w:val="21"/>
                <w:szCs w:val="21"/>
              </w:rPr>
            </w:pPr>
            <w:r>
              <w:rPr>
                <w:rFonts w:cs="Times New Roman"/>
                <w:sz w:val="21"/>
                <w:szCs w:val="21"/>
              </w:rPr>
              <w:t>208</w:t>
            </w:r>
          </w:p>
        </w:tc>
        <w:tc>
          <w:tcPr>
            <w:tcW w:w="401" w:type="pct"/>
            <w:tcBorders>
              <w:top w:val="single" w:color="auto" w:sz="4" w:space="0"/>
              <w:left w:val="single" w:color="auto" w:sz="4" w:space="0"/>
              <w:bottom w:val="single" w:color="auto" w:sz="4" w:space="0"/>
              <w:right w:val="single" w:color="auto" w:sz="4" w:space="0"/>
            </w:tcBorders>
            <w:vAlign w:val="center"/>
          </w:tcPr>
          <w:p w14:paraId="69DBD277">
            <w:pPr>
              <w:wordWrap/>
              <w:adjustRightInd/>
              <w:snapToGrid/>
              <w:spacing w:line="240" w:lineRule="auto"/>
              <w:ind w:firstLine="0" w:firstLineChars="0"/>
              <w:jc w:val="center"/>
              <w:rPr>
                <w:rFonts w:cs="Times New Roman"/>
                <w:sz w:val="21"/>
                <w:szCs w:val="21"/>
              </w:rPr>
            </w:pPr>
            <w:r>
              <w:rPr>
                <w:rFonts w:cs="Times New Roman"/>
                <w:sz w:val="21"/>
                <w:szCs w:val="21"/>
              </w:rPr>
              <w:t>0.208</w:t>
            </w:r>
          </w:p>
        </w:tc>
        <w:tc>
          <w:tcPr>
            <w:tcW w:w="352" w:type="pct"/>
            <w:tcBorders>
              <w:top w:val="single" w:color="auto" w:sz="4" w:space="0"/>
              <w:left w:val="single" w:color="auto" w:sz="4" w:space="0"/>
              <w:bottom w:val="single" w:color="auto" w:sz="4" w:space="0"/>
              <w:right w:val="single" w:color="auto" w:sz="4" w:space="0"/>
            </w:tcBorders>
            <w:vAlign w:val="center"/>
          </w:tcPr>
          <w:p w14:paraId="22CC7153">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4" w:space="0"/>
              <w:right w:val="single" w:color="auto" w:sz="12" w:space="0"/>
            </w:tcBorders>
            <w:vAlign w:val="center"/>
          </w:tcPr>
          <w:p w14:paraId="45E510E4">
            <w:pPr>
              <w:wordWrap/>
              <w:adjustRightInd/>
              <w:snapToGrid/>
              <w:spacing w:line="240" w:lineRule="auto"/>
              <w:ind w:firstLine="0" w:firstLineChars="0"/>
              <w:jc w:val="center"/>
              <w:rPr>
                <w:rFonts w:cs="Times New Roman"/>
                <w:sz w:val="21"/>
                <w:szCs w:val="21"/>
              </w:rPr>
            </w:pPr>
            <w:r>
              <w:rPr>
                <w:rFonts w:cs="Times New Roman"/>
                <w:sz w:val="21"/>
                <w:szCs w:val="21"/>
              </w:rPr>
              <w:t>1000.00</w:t>
            </w:r>
          </w:p>
        </w:tc>
      </w:tr>
      <w:tr w14:paraId="7731A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noWrap/>
            <w:vAlign w:val="center"/>
          </w:tcPr>
          <w:p w14:paraId="48BB0933">
            <w:pPr>
              <w:wordWrap/>
              <w:adjustRightInd/>
              <w:snapToGrid/>
              <w:spacing w:line="240" w:lineRule="auto"/>
              <w:ind w:firstLine="0" w:firstLineChars="0"/>
              <w:jc w:val="center"/>
              <w:rPr>
                <w:rFonts w:cs="Times New Roman"/>
                <w:sz w:val="21"/>
                <w:szCs w:val="21"/>
              </w:rPr>
            </w:pPr>
            <w:r>
              <w:rPr>
                <w:rFonts w:hint="eastAsia" w:cs="Times New Roman"/>
                <w:sz w:val="21"/>
                <w:szCs w:val="21"/>
              </w:rPr>
              <w:t>氯化物</w:t>
            </w:r>
          </w:p>
        </w:tc>
        <w:tc>
          <w:tcPr>
            <w:tcW w:w="450" w:type="pct"/>
            <w:tcBorders>
              <w:top w:val="single" w:color="auto" w:sz="4" w:space="0"/>
              <w:left w:val="single" w:color="auto" w:sz="4" w:space="0"/>
              <w:bottom w:val="single" w:color="auto" w:sz="4" w:space="0"/>
              <w:right w:val="single" w:color="auto" w:sz="4" w:space="0"/>
            </w:tcBorders>
            <w:vAlign w:val="center"/>
          </w:tcPr>
          <w:p w14:paraId="22C9724B">
            <w:pPr>
              <w:wordWrap/>
              <w:adjustRightInd/>
              <w:snapToGrid/>
              <w:spacing w:line="240" w:lineRule="auto"/>
              <w:ind w:firstLine="0" w:firstLineChars="0"/>
              <w:jc w:val="center"/>
              <w:rPr>
                <w:rFonts w:cs="Times New Roman"/>
                <w:sz w:val="21"/>
                <w:szCs w:val="21"/>
              </w:rPr>
            </w:pPr>
            <w:r>
              <w:rPr>
                <w:rFonts w:cs="Times New Roman"/>
                <w:sz w:val="21"/>
                <w:szCs w:val="21"/>
              </w:rPr>
              <w:t>10.5</w:t>
            </w:r>
          </w:p>
        </w:tc>
        <w:tc>
          <w:tcPr>
            <w:tcW w:w="451" w:type="pct"/>
            <w:tcBorders>
              <w:top w:val="single" w:color="auto" w:sz="4" w:space="0"/>
              <w:left w:val="single" w:color="auto" w:sz="4" w:space="0"/>
              <w:bottom w:val="single" w:color="auto" w:sz="4" w:space="0"/>
              <w:right w:val="single" w:color="auto" w:sz="4" w:space="0"/>
            </w:tcBorders>
            <w:vAlign w:val="center"/>
          </w:tcPr>
          <w:p w14:paraId="0B37DC09">
            <w:pPr>
              <w:wordWrap/>
              <w:adjustRightInd/>
              <w:snapToGrid/>
              <w:spacing w:line="240" w:lineRule="auto"/>
              <w:ind w:firstLine="0" w:firstLineChars="0"/>
              <w:jc w:val="center"/>
              <w:rPr>
                <w:rFonts w:cs="Times New Roman"/>
                <w:sz w:val="21"/>
                <w:szCs w:val="21"/>
              </w:rPr>
            </w:pPr>
            <w:r>
              <w:rPr>
                <w:rFonts w:cs="Times New Roman"/>
                <w:sz w:val="21"/>
                <w:szCs w:val="21"/>
              </w:rPr>
              <w:t>0.042</w:t>
            </w:r>
          </w:p>
        </w:tc>
        <w:tc>
          <w:tcPr>
            <w:tcW w:w="400" w:type="pct"/>
            <w:tcBorders>
              <w:top w:val="single" w:color="auto" w:sz="4" w:space="0"/>
              <w:left w:val="single" w:color="auto" w:sz="4" w:space="0"/>
              <w:bottom w:val="single" w:color="auto" w:sz="4" w:space="0"/>
              <w:right w:val="single" w:color="auto" w:sz="4" w:space="0"/>
            </w:tcBorders>
            <w:vAlign w:val="center"/>
          </w:tcPr>
          <w:p w14:paraId="400C1F0C">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7F62C8CA">
            <w:pPr>
              <w:wordWrap/>
              <w:adjustRightInd/>
              <w:snapToGrid/>
              <w:spacing w:line="240" w:lineRule="auto"/>
              <w:ind w:firstLine="0" w:firstLineChars="0"/>
              <w:jc w:val="center"/>
              <w:rPr>
                <w:rFonts w:cs="Times New Roman"/>
                <w:sz w:val="21"/>
                <w:szCs w:val="21"/>
              </w:rPr>
            </w:pPr>
            <w:r>
              <w:rPr>
                <w:rFonts w:cs="Times New Roman"/>
                <w:sz w:val="21"/>
                <w:szCs w:val="21"/>
              </w:rPr>
              <w:t>12.3</w:t>
            </w:r>
          </w:p>
        </w:tc>
        <w:tc>
          <w:tcPr>
            <w:tcW w:w="500" w:type="pct"/>
            <w:tcBorders>
              <w:top w:val="single" w:color="auto" w:sz="4" w:space="0"/>
              <w:left w:val="single" w:color="auto" w:sz="4" w:space="0"/>
              <w:bottom w:val="single" w:color="auto" w:sz="4" w:space="0"/>
              <w:right w:val="single" w:color="auto" w:sz="4" w:space="0"/>
            </w:tcBorders>
            <w:vAlign w:val="center"/>
          </w:tcPr>
          <w:p w14:paraId="5BDC2103">
            <w:pPr>
              <w:wordWrap/>
              <w:adjustRightInd/>
              <w:snapToGrid/>
              <w:spacing w:line="240" w:lineRule="auto"/>
              <w:ind w:firstLine="0" w:firstLineChars="0"/>
              <w:jc w:val="center"/>
              <w:rPr>
                <w:rFonts w:cs="Times New Roman"/>
                <w:sz w:val="21"/>
                <w:szCs w:val="21"/>
              </w:rPr>
            </w:pPr>
            <w:r>
              <w:rPr>
                <w:rFonts w:cs="Times New Roman"/>
                <w:sz w:val="21"/>
                <w:szCs w:val="21"/>
              </w:rPr>
              <w:t>0.049</w:t>
            </w:r>
          </w:p>
        </w:tc>
        <w:tc>
          <w:tcPr>
            <w:tcW w:w="350" w:type="pct"/>
            <w:tcBorders>
              <w:top w:val="single" w:color="auto" w:sz="4" w:space="0"/>
              <w:left w:val="single" w:color="auto" w:sz="4" w:space="0"/>
              <w:bottom w:val="single" w:color="auto" w:sz="4" w:space="0"/>
              <w:right w:val="single" w:color="auto" w:sz="4" w:space="0"/>
            </w:tcBorders>
            <w:vAlign w:val="center"/>
          </w:tcPr>
          <w:p w14:paraId="51F6989D">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3F049EA5">
            <w:pPr>
              <w:wordWrap/>
              <w:adjustRightInd/>
              <w:snapToGrid/>
              <w:spacing w:line="240" w:lineRule="auto"/>
              <w:ind w:firstLine="0" w:firstLineChars="0"/>
              <w:jc w:val="center"/>
              <w:rPr>
                <w:rFonts w:cs="Times New Roman"/>
                <w:sz w:val="21"/>
                <w:szCs w:val="21"/>
              </w:rPr>
            </w:pPr>
            <w:r>
              <w:rPr>
                <w:rFonts w:cs="Times New Roman"/>
                <w:sz w:val="21"/>
                <w:szCs w:val="21"/>
              </w:rPr>
              <w:t>11.6</w:t>
            </w:r>
          </w:p>
        </w:tc>
        <w:tc>
          <w:tcPr>
            <w:tcW w:w="401" w:type="pct"/>
            <w:tcBorders>
              <w:top w:val="single" w:color="auto" w:sz="4" w:space="0"/>
              <w:left w:val="single" w:color="auto" w:sz="4" w:space="0"/>
              <w:bottom w:val="single" w:color="auto" w:sz="4" w:space="0"/>
              <w:right w:val="single" w:color="auto" w:sz="4" w:space="0"/>
            </w:tcBorders>
            <w:vAlign w:val="center"/>
          </w:tcPr>
          <w:p w14:paraId="04AB85D1">
            <w:pPr>
              <w:wordWrap/>
              <w:adjustRightInd/>
              <w:snapToGrid/>
              <w:spacing w:line="240" w:lineRule="auto"/>
              <w:ind w:firstLine="0" w:firstLineChars="0"/>
              <w:jc w:val="center"/>
              <w:rPr>
                <w:rFonts w:cs="Times New Roman"/>
                <w:sz w:val="21"/>
                <w:szCs w:val="21"/>
              </w:rPr>
            </w:pPr>
            <w:r>
              <w:rPr>
                <w:rFonts w:cs="Times New Roman"/>
                <w:sz w:val="21"/>
                <w:szCs w:val="21"/>
              </w:rPr>
              <w:t>0.046</w:t>
            </w:r>
          </w:p>
        </w:tc>
        <w:tc>
          <w:tcPr>
            <w:tcW w:w="352" w:type="pct"/>
            <w:tcBorders>
              <w:top w:val="single" w:color="auto" w:sz="4" w:space="0"/>
              <w:left w:val="single" w:color="auto" w:sz="4" w:space="0"/>
              <w:bottom w:val="single" w:color="auto" w:sz="4" w:space="0"/>
              <w:right w:val="single" w:color="auto" w:sz="4" w:space="0"/>
            </w:tcBorders>
            <w:vAlign w:val="center"/>
          </w:tcPr>
          <w:p w14:paraId="692FA3DA">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4" w:space="0"/>
              <w:right w:val="single" w:color="auto" w:sz="12" w:space="0"/>
            </w:tcBorders>
            <w:vAlign w:val="center"/>
          </w:tcPr>
          <w:p w14:paraId="364C163F">
            <w:pPr>
              <w:wordWrap/>
              <w:adjustRightInd/>
              <w:snapToGrid/>
              <w:spacing w:line="240" w:lineRule="auto"/>
              <w:ind w:firstLine="0" w:firstLineChars="0"/>
              <w:jc w:val="center"/>
              <w:rPr>
                <w:rFonts w:cs="Times New Roman"/>
                <w:sz w:val="21"/>
                <w:szCs w:val="21"/>
              </w:rPr>
            </w:pPr>
            <w:r>
              <w:rPr>
                <w:rFonts w:cs="Times New Roman"/>
                <w:sz w:val="21"/>
                <w:szCs w:val="21"/>
              </w:rPr>
              <w:t>250.00</w:t>
            </w:r>
          </w:p>
        </w:tc>
      </w:tr>
      <w:tr w14:paraId="27597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4002E682">
            <w:pPr>
              <w:wordWrap/>
              <w:adjustRightInd/>
              <w:snapToGrid/>
              <w:spacing w:line="240" w:lineRule="auto"/>
              <w:ind w:firstLine="0" w:firstLineChars="0"/>
              <w:jc w:val="center"/>
              <w:rPr>
                <w:rFonts w:cs="Times New Roman"/>
                <w:sz w:val="21"/>
                <w:szCs w:val="21"/>
              </w:rPr>
            </w:pPr>
            <w:r>
              <w:rPr>
                <w:rFonts w:hint="eastAsia" w:cs="Times New Roman"/>
                <w:sz w:val="21"/>
                <w:szCs w:val="21"/>
              </w:rPr>
              <w:t>硫化物</w:t>
            </w:r>
          </w:p>
        </w:tc>
        <w:tc>
          <w:tcPr>
            <w:tcW w:w="450" w:type="pct"/>
            <w:tcBorders>
              <w:top w:val="single" w:color="auto" w:sz="4" w:space="0"/>
              <w:left w:val="single" w:color="auto" w:sz="4" w:space="0"/>
              <w:bottom w:val="single" w:color="auto" w:sz="4" w:space="0"/>
              <w:right w:val="single" w:color="auto" w:sz="4" w:space="0"/>
            </w:tcBorders>
            <w:vAlign w:val="center"/>
          </w:tcPr>
          <w:p w14:paraId="609C4581">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451" w:type="pct"/>
            <w:tcBorders>
              <w:top w:val="single" w:color="auto" w:sz="4" w:space="0"/>
              <w:left w:val="single" w:color="auto" w:sz="4" w:space="0"/>
              <w:bottom w:val="single" w:color="auto" w:sz="4" w:space="0"/>
              <w:right w:val="single" w:color="auto" w:sz="4" w:space="0"/>
            </w:tcBorders>
            <w:vAlign w:val="center"/>
          </w:tcPr>
          <w:p w14:paraId="04E8C877">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2C37C77A">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66E82709">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500" w:type="pct"/>
            <w:tcBorders>
              <w:top w:val="single" w:color="auto" w:sz="4" w:space="0"/>
              <w:left w:val="single" w:color="auto" w:sz="4" w:space="0"/>
              <w:bottom w:val="single" w:color="auto" w:sz="4" w:space="0"/>
              <w:right w:val="single" w:color="auto" w:sz="4" w:space="0"/>
            </w:tcBorders>
            <w:vAlign w:val="center"/>
          </w:tcPr>
          <w:p w14:paraId="071420B6">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0" w:type="pct"/>
            <w:tcBorders>
              <w:top w:val="single" w:color="auto" w:sz="4" w:space="0"/>
              <w:left w:val="single" w:color="auto" w:sz="4" w:space="0"/>
              <w:bottom w:val="single" w:color="auto" w:sz="4" w:space="0"/>
              <w:right w:val="single" w:color="auto" w:sz="4" w:space="0"/>
            </w:tcBorders>
            <w:vAlign w:val="center"/>
          </w:tcPr>
          <w:p w14:paraId="6FF3ABBA">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7FA96C00">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401" w:type="pct"/>
            <w:tcBorders>
              <w:top w:val="single" w:color="auto" w:sz="4" w:space="0"/>
              <w:left w:val="single" w:color="auto" w:sz="4" w:space="0"/>
              <w:bottom w:val="single" w:color="auto" w:sz="4" w:space="0"/>
              <w:right w:val="single" w:color="auto" w:sz="4" w:space="0"/>
            </w:tcBorders>
            <w:vAlign w:val="center"/>
          </w:tcPr>
          <w:p w14:paraId="5EB57B20">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70563377">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4" w:space="0"/>
              <w:right w:val="single" w:color="auto" w:sz="12" w:space="0"/>
            </w:tcBorders>
            <w:vAlign w:val="center"/>
          </w:tcPr>
          <w:p w14:paraId="6F898D30">
            <w:pPr>
              <w:wordWrap/>
              <w:adjustRightInd/>
              <w:snapToGrid/>
              <w:spacing w:line="240" w:lineRule="auto"/>
              <w:ind w:firstLine="0" w:firstLineChars="0"/>
              <w:jc w:val="center"/>
              <w:rPr>
                <w:rFonts w:cs="Times New Roman"/>
                <w:sz w:val="21"/>
                <w:szCs w:val="21"/>
              </w:rPr>
            </w:pPr>
            <w:r>
              <w:rPr>
                <w:rFonts w:cs="Times New Roman"/>
                <w:sz w:val="21"/>
                <w:szCs w:val="21"/>
              </w:rPr>
              <w:t>0.02</w:t>
            </w:r>
          </w:p>
        </w:tc>
      </w:tr>
      <w:tr w14:paraId="54BBD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27BFBA7F">
            <w:pPr>
              <w:wordWrap/>
              <w:adjustRightInd/>
              <w:snapToGrid/>
              <w:spacing w:line="240" w:lineRule="auto"/>
              <w:ind w:firstLine="0" w:firstLineChars="0"/>
              <w:jc w:val="center"/>
              <w:rPr>
                <w:rFonts w:cs="Times New Roman"/>
                <w:sz w:val="21"/>
                <w:szCs w:val="21"/>
              </w:rPr>
            </w:pPr>
            <w:r>
              <w:rPr>
                <w:rFonts w:hint="eastAsia" w:cs="Times New Roman"/>
                <w:sz w:val="21"/>
                <w:szCs w:val="21"/>
              </w:rPr>
              <w:t>耗氧量</w:t>
            </w:r>
          </w:p>
        </w:tc>
        <w:tc>
          <w:tcPr>
            <w:tcW w:w="450" w:type="pct"/>
            <w:tcBorders>
              <w:top w:val="single" w:color="auto" w:sz="4" w:space="0"/>
              <w:left w:val="single" w:color="auto" w:sz="4" w:space="0"/>
              <w:bottom w:val="single" w:color="auto" w:sz="4" w:space="0"/>
              <w:right w:val="single" w:color="auto" w:sz="4" w:space="0"/>
            </w:tcBorders>
            <w:vAlign w:val="center"/>
          </w:tcPr>
          <w:p w14:paraId="0B4BB885">
            <w:pPr>
              <w:wordWrap/>
              <w:adjustRightInd/>
              <w:snapToGrid/>
              <w:spacing w:line="240" w:lineRule="auto"/>
              <w:ind w:firstLine="0" w:firstLineChars="0"/>
              <w:jc w:val="center"/>
              <w:rPr>
                <w:rFonts w:cs="Times New Roman"/>
                <w:sz w:val="21"/>
                <w:szCs w:val="21"/>
              </w:rPr>
            </w:pPr>
            <w:r>
              <w:rPr>
                <w:rFonts w:cs="Times New Roman"/>
                <w:sz w:val="21"/>
                <w:szCs w:val="21"/>
              </w:rPr>
              <w:t>2.52</w:t>
            </w:r>
          </w:p>
        </w:tc>
        <w:tc>
          <w:tcPr>
            <w:tcW w:w="451" w:type="pct"/>
            <w:tcBorders>
              <w:top w:val="single" w:color="auto" w:sz="4" w:space="0"/>
              <w:left w:val="single" w:color="auto" w:sz="4" w:space="0"/>
              <w:bottom w:val="single" w:color="auto" w:sz="4" w:space="0"/>
              <w:right w:val="single" w:color="auto" w:sz="4" w:space="0"/>
            </w:tcBorders>
            <w:vAlign w:val="center"/>
          </w:tcPr>
          <w:p w14:paraId="481C55A0">
            <w:pPr>
              <w:wordWrap/>
              <w:adjustRightInd/>
              <w:snapToGrid/>
              <w:spacing w:line="240" w:lineRule="auto"/>
              <w:ind w:firstLine="0" w:firstLineChars="0"/>
              <w:jc w:val="center"/>
              <w:rPr>
                <w:rFonts w:cs="Times New Roman"/>
                <w:sz w:val="21"/>
                <w:szCs w:val="21"/>
              </w:rPr>
            </w:pPr>
            <w:r>
              <w:rPr>
                <w:rFonts w:hint="eastAsia" w:cs="Times New Roman"/>
                <w:sz w:val="21"/>
                <w:szCs w:val="21"/>
              </w:rPr>
              <w:t>0</w:t>
            </w:r>
            <w:r>
              <w:rPr>
                <w:rFonts w:cs="Times New Roman"/>
                <w:sz w:val="21"/>
                <w:szCs w:val="21"/>
              </w:rPr>
              <w:t>.84</w:t>
            </w:r>
          </w:p>
        </w:tc>
        <w:tc>
          <w:tcPr>
            <w:tcW w:w="400" w:type="pct"/>
            <w:tcBorders>
              <w:top w:val="single" w:color="auto" w:sz="4" w:space="0"/>
              <w:left w:val="single" w:color="auto" w:sz="4" w:space="0"/>
              <w:bottom w:val="single" w:color="auto" w:sz="4" w:space="0"/>
              <w:right w:val="single" w:color="auto" w:sz="4" w:space="0"/>
            </w:tcBorders>
            <w:vAlign w:val="center"/>
          </w:tcPr>
          <w:p w14:paraId="210F6FBF">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05186E33">
            <w:pPr>
              <w:wordWrap/>
              <w:adjustRightInd/>
              <w:snapToGrid/>
              <w:spacing w:line="240" w:lineRule="auto"/>
              <w:ind w:firstLine="0" w:firstLineChars="0"/>
              <w:jc w:val="center"/>
              <w:rPr>
                <w:rFonts w:cs="Times New Roman"/>
                <w:sz w:val="21"/>
                <w:szCs w:val="21"/>
              </w:rPr>
            </w:pPr>
            <w:r>
              <w:rPr>
                <w:rFonts w:cs="Times New Roman"/>
                <w:sz w:val="21"/>
                <w:szCs w:val="21"/>
              </w:rPr>
              <w:t>2.74</w:t>
            </w:r>
          </w:p>
        </w:tc>
        <w:tc>
          <w:tcPr>
            <w:tcW w:w="500" w:type="pct"/>
            <w:tcBorders>
              <w:top w:val="single" w:color="auto" w:sz="4" w:space="0"/>
              <w:left w:val="single" w:color="auto" w:sz="4" w:space="0"/>
              <w:bottom w:val="single" w:color="auto" w:sz="4" w:space="0"/>
              <w:right w:val="single" w:color="auto" w:sz="4" w:space="0"/>
            </w:tcBorders>
            <w:vAlign w:val="center"/>
          </w:tcPr>
          <w:p w14:paraId="78EF3B09">
            <w:pPr>
              <w:wordWrap/>
              <w:adjustRightInd/>
              <w:snapToGrid/>
              <w:spacing w:line="240" w:lineRule="auto"/>
              <w:ind w:firstLine="0" w:firstLineChars="0"/>
              <w:jc w:val="center"/>
              <w:rPr>
                <w:rFonts w:cs="Times New Roman"/>
                <w:sz w:val="21"/>
                <w:szCs w:val="21"/>
              </w:rPr>
            </w:pPr>
            <w:r>
              <w:rPr>
                <w:rFonts w:hint="eastAsia" w:cs="Times New Roman"/>
                <w:sz w:val="21"/>
                <w:szCs w:val="21"/>
              </w:rPr>
              <w:t>0</w:t>
            </w:r>
            <w:r>
              <w:rPr>
                <w:rFonts w:cs="Times New Roman"/>
                <w:sz w:val="21"/>
                <w:szCs w:val="21"/>
              </w:rPr>
              <w:t>.91</w:t>
            </w:r>
          </w:p>
        </w:tc>
        <w:tc>
          <w:tcPr>
            <w:tcW w:w="350" w:type="pct"/>
            <w:tcBorders>
              <w:top w:val="single" w:color="auto" w:sz="4" w:space="0"/>
              <w:left w:val="single" w:color="auto" w:sz="4" w:space="0"/>
              <w:bottom w:val="single" w:color="auto" w:sz="4" w:space="0"/>
              <w:right w:val="single" w:color="auto" w:sz="4" w:space="0"/>
            </w:tcBorders>
            <w:vAlign w:val="center"/>
          </w:tcPr>
          <w:p w14:paraId="71221C0B">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4" w:space="0"/>
              <w:right w:val="single" w:color="auto" w:sz="4" w:space="0"/>
            </w:tcBorders>
            <w:vAlign w:val="center"/>
          </w:tcPr>
          <w:p w14:paraId="444E371F">
            <w:pPr>
              <w:wordWrap/>
              <w:adjustRightInd/>
              <w:snapToGrid/>
              <w:spacing w:line="240" w:lineRule="auto"/>
              <w:ind w:firstLine="0" w:firstLineChars="0"/>
              <w:jc w:val="center"/>
              <w:rPr>
                <w:rFonts w:cs="Times New Roman"/>
                <w:sz w:val="21"/>
                <w:szCs w:val="21"/>
              </w:rPr>
            </w:pPr>
            <w:r>
              <w:rPr>
                <w:rFonts w:cs="Times New Roman"/>
                <w:sz w:val="21"/>
                <w:szCs w:val="21"/>
              </w:rPr>
              <w:t>1.61</w:t>
            </w:r>
          </w:p>
        </w:tc>
        <w:tc>
          <w:tcPr>
            <w:tcW w:w="401" w:type="pct"/>
            <w:tcBorders>
              <w:top w:val="single" w:color="auto" w:sz="4" w:space="0"/>
              <w:left w:val="single" w:color="auto" w:sz="4" w:space="0"/>
              <w:bottom w:val="single" w:color="auto" w:sz="4" w:space="0"/>
              <w:right w:val="single" w:color="auto" w:sz="4" w:space="0"/>
            </w:tcBorders>
            <w:vAlign w:val="center"/>
          </w:tcPr>
          <w:p w14:paraId="5A6C5DD3">
            <w:pPr>
              <w:wordWrap/>
              <w:adjustRightInd/>
              <w:snapToGrid/>
              <w:spacing w:line="240" w:lineRule="auto"/>
              <w:ind w:firstLine="0" w:firstLineChars="0"/>
              <w:jc w:val="center"/>
              <w:rPr>
                <w:rFonts w:cs="Times New Roman"/>
                <w:sz w:val="21"/>
                <w:szCs w:val="21"/>
              </w:rPr>
            </w:pPr>
            <w:r>
              <w:rPr>
                <w:rFonts w:hint="eastAsia" w:cs="Times New Roman"/>
                <w:sz w:val="21"/>
                <w:szCs w:val="21"/>
              </w:rPr>
              <w:t>0</w:t>
            </w:r>
            <w:r>
              <w:rPr>
                <w:rFonts w:cs="Times New Roman"/>
                <w:sz w:val="21"/>
                <w:szCs w:val="21"/>
              </w:rPr>
              <w:t>.54</w:t>
            </w:r>
          </w:p>
        </w:tc>
        <w:tc>
          <w:tcPr>
            <w:tcW w:w="352" w:type="pct"/>
            <w:tcBorders>
              <w:top w:val="single" w:color="auto" w:sz="4" w:space="0"/>
              <w:left w:val="single" w:color="auto" w:sz="4" w:space="0"/>
              <w:bottom w:val="single" w:color="auto" w:sz="4" w:space="0"/>
              <w:right w:val="single" w:color="auto" w:sz="4" w:space="0"/>
            </w:tcBorders>
            <w:vAlign w:val="center"/>
          </w:tcPr>
          <w:p w14:paraId="09CD4749">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4" w:space="0"/>
              <w:right w:val="single" w:color="auto" w:sz="12" w:space="0"/>
            </w:tcBorders>
            <w:vAlign w:val="center"/>
          </w:tcPr>
          <w:p w14:paraId="20A202DE">
            <w:pPr>
              <w:wordWrap/>
              <w:adjustRightInd/>
              <w:snapToGrid/>
              <w:spacing w:line="240" w:lineRule="auto"/>
              <w:ind w:firstLine="0" w:firstLineChars="0"/>
              <w:jc w:val="center"/>
              <w:rPr>
                <w:rFonts w:cs="Times New Roman"/>
                <w:sz w:val="21"/>
                <w:szCs w:val="21"/>
              </w:rPr>
            </w:pPr>
            <w:r>
              <w:rPr>
                <w:rFonts w:hint="eastAsia" w:cs="Times New Roman"/>
                <w:sz w:val="21"/>
                <w:szCs w:val="21"/>
              </w:rPr>
              <w:t>3</w:t>
            </w:r>
            <w:r>
              <w:rPr>
                <w:rFonts w:cs="Times New Roman"/>
                <w:sz w:val="21"/>
                <w:szCs w:val="21"/>
              </w:rPr>
              <w:t>.0</w:t>
            </w:r>
          </w:p>
        </w:tc>
      </w:tr>
      <w:tr w14:paraId="355A1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noWrap/>
            <w:vAlign w:val="center"/>
          </w:tcPr>
          <w:p w14:paraId="0EE2C888">
            <w:pPr>
              <w:wordWrap/>
              <w:adjustRightInd/>
              <w:snapToGrid/>
              <w:spacing w:line="240" w:lineRule="auto"/>
              <w:ind w:firstLine="0" w:firstLineChars="0"/>
              <w:jc w:val="center"/>
              <w:rPr>
                <w:rFonts w:cs="Times New Roman"/>
                <w:sz w:val="21"/>
                <w:szCs w:val="21"/>
              </w:rPr>
            </w:pPr>
            <w:r>
              <w:rPr>
                <w:rFonts w:cs="Times New Roman"/>
                <w:sz w:val="21"/>
                <w:szCs w:val="21"/>
              </w:rPr>
              <w:t>K</w:t>
            </w:r>
            <w:r>
              <w:rPr>
                <w:rFonts w:cs="Times New Roman"/>
                <w:sz w:val="21"/>
                <w:szCs w:val="21"/>
                <w:vertAlign w:val="superscript"/>
              </w:rPr>
              <w:t>+</w:t>
            </w:r>
          </w:p>
        </w:tc>
        <w:tc>
          <w:tcPr>
            <w:tcW w:w="450" w:type="pct"/>
            <w:tcBorders>
              <w:top w:val="single" w:color="auto" w:sz="4" w:space="0"/>
              <w:left w:val="single" w:color="auto" w:sz="4" w:space="0"/>
              <w:bottom w:val="single" w:color="auto" w:sz="4" w:space="0"/>
              <w:right w:val="single" w:color="auto" w:sz="4" w:space="0"/>
            </w:tcBorders>
            <w:vAlign w:val="center"/>
          </w:tcPr>
          <w:p w14:paraId="1583FECE">
            <w:pPr>
              <w:wordWrap/>
              <w:adjustRightInd/>
              <w:snapToGrid/>
              <w:spacing w:line="240" w:lineRule="auto"/>
              <w:ind w:firstLine="0" w:firstLineChars="0"/>
              <w:jc w:val="center"/>
              <w:rPr>
                <w:rFonts w:cs="Times New Roman"/>
                <w:sz w:val="21"/>
                <w:szCs w:val="21"/>
              </w:rPr>
            </w:pPr>
            <w:r>
              <w:rPr>
                <w:rFonts w:cs="Times New Roman"/>
                <w:sz w:val="21"/>
                <w:szCs w:val="21"/>
              </w:rPr>
              <w:t>1.48</w:t>
            </w:r>
          </w:p>
        </w:tc>
        <w:tc>
          <w:tcPr>
            <w:tcW w:w="451" w:type="pct"/>
            <w:tcBorders>
              <w:top w:val="single" w:color="auto" w:sz="4" w:space="0"/>
              <w:left w:val="single" w:color="auto" w:sz="4" w:space="0"/>
              <w:bottom w:val="single" w:color="auto" w:sz="4" w:space="0"/>
              <w:right w:val="single" w:color="auto" w:sz="4" w:space="0"/>
            </w:tcBorders>
            <w:vAlign w:val="center"/>
          </w:tcPr>
          <w:p w14:paraId="6B50FFBA">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1F249A0B">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5B986DF3">
            <w:pPr>
              <w:wordWrap/>
              <w:adjustRightInd/>
              <w:snapToGrid/>
              <w:spacing w:line="240" w:lineRule="auto"/>
              <w:ind w:firstLine="0" w:firstLineChars="0"/>
              <w:jc w:val="center"/>
              <w:rPr>
                <w:rFonts w:cs="Times New Roman"/>
                <w:sz w:val="21"/>
                <w:szCs w:val="21"/>
              </w:rPr>
            </w:pPr>
            <w:r>
              <w:rPr>
                <w:rFonts w:cs="Times New Roman"/>
                <w:sz w:val="21"/>
                <w:szCs w:val="21"/>
              </w:rPr>
              <w:t>0.77</w:t>
            </w:r>
          </w:p>
        </w:tc>
        <w:tc>
          <w:tcPr>
            <w:tcW w:w="500" w:type="pct"/>
            <w:tcBorders>
              <w:top w:val="single" w:color="auto" w:sz="4" w:space="0"/>
              <w:left w:val="single" w:color="auto" w:sz="4" w:space="0"/>
              <w:bottom w:val="single" w:color="auto" w:sz="4" w:space="0"/>
              <w:right w:val="single" w:color="auto" w:sz="4" w:space="0"/>
            </w:tcBorders>
            <w:vAlign w:val="center"/>
          </w:tcPr>
          <w:p w14:paraId="41D0BD3F">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0" w:type="pct"/>
            <w:tcBorders>
              <w:top w:val="single" w:color="auto" w:sz="4" w:space="0"/>
              <w:left w:val="single" w:color="auto" w:sz="4" w:space="0"/>
              <w:bottom w:val="single" w:color="auto" w:sz="4" w:space="0"/>
              <w:right w:val="single" w:color="auto" w:sz="4" w:space="0"/>
            </w:tcBorders>
            <w:vAlign w:val="center"/>
          </w:tcPr>
          <w:p w14:paraId="5712E2E7">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1FDD886E">
            <w:pPr>
              <w:wordWrap/>
              <w:adjustRightInd/>
              <w:snapToGrid/>
              <w:spacing w:line="240" w:lineRule="auto"/>
              <w:ind w:firstLine="0" w:firstLineChars="0"/>
              <w:jc w:val="center"/>
              <w:rPr>
                <w:rFonts w:cs="Times New Roman"/>
                <w:sz w:val="21"/>
                <w:szCs w:val="21"/>
              </w:rPr>
            </w:pPr>
            <w:r>
              <w:rPr>
                <w:rFonts w:cs="Times New Roman"/>
                <w:sz w:val="21"/>
                <w:szCs w:val="21"/>
              </w:rPr>
              <w:t>0.70</w:t>
            </w:r>
          </w:p>
        </w:tc>
        <w:tc>
          <w:tcPr>
            <w:tcW w:w="401" w:type="pct"/>
            <w:tcBorders>
              <w:top w:val="single" w:color="auto" w:sz="4" w:space="0"/>
              <w:left w:val="single" w:color="auto" w:sz="4" w:space="0"/>
              <w:bottom w:val="single" w:color="auto" w:sz="4" w:space="0"/>
              <w:right w:val="single" w:color="auto" w:sz="4" w:space="0"/>
            </w:tcBorders>
            <w:vAlign w:val="center"/>
          </w:tcPr>
          <w:p w14:paraId="09366220">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1085C6F4">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8" w:type="pct"/>
            <w:tcBorders>
              <w:top w:val="single" w:color="auto" w:sz="4" w:space="0"/>
              <w:left w:val="single" w:color="auto" w:sz="4" w:space="0"/>
              <w:bottom w:val="single" w:color="auto" w:sz="4" w:space="0"/>
              <w:right w:val="single" w:color="auto" w:sz="12" w:space="0"/>
            </w:tcBorders>
            <w:vAlign w:val="center"/>
          </w:tcPr>
          <w:p w14:paraId="634E6773">
            <w:pPr>
              <w:wordWrap/>
              <w:adjustRightInd/>
              <w:snapToGrid/>
              <w:spacing w:line="240" w:lineRule="auto"/>
              <w:ind w:firstLine="0" w:firstLineChars="0"/>
              <w:jc w:val="center"/>
              <w:rPr>
                <w:rFonts w:cs="Times New Roman"/>
                <w:sz w:val="21"/>
                <w:szCs w:val="21"/>
              </w:rPr>
            </w:pPr>
            <w:r>
              <w:rPr>
                <w:rFonts w:cs="Times New Roman"/>
                <w:sz w:val="21"/>
                <w:szCs w:val="21"/>
              </w:rPr>
              <w:t>/</w:t>
            </w:r>
          </w:p>
        </w:tc>
      </w:tr>
      <w:tr w14:paraId="6F447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6EDDEAF2">
            <w:pPr>
              <w:wordWrap/>
              <w:adjustRightInd/>
              <w:snapToGrid/>
              <w:spacing w:line="240" w:lineRule="auto"/>
              <w:ind w:firstLine="0" w:firstLineChars="0"/>
              <w:jc w:val="center"/>
              <w:rPr>
                <w:rFonts w:cs="Times New Roman"/>
                <w:sz w:val="21"/>
                <w:szCs w:val="21"/>
              </w:rPr>
            </w:pPr>
            <w:r>
              <w:rPr>
                <w:rFonts w:cs="Times New Roman"/>
                <w:sz w:val="21"/>
                <w:szCs w:val="21"/>
              </w:rPr>
              <w:t>Na</w:t>
            </w:r>
            <w:r>
              <w:rPr>
                <w:rFonts w:cs="Times New Roman"/>
                <w:sz w:val="21"/>
                <w:szCs w:val="21"/>
                <w:vertAlign w:val="superscript"/>
              </w:rPr>
              <w:t>+</w:t>
            </w:r>
          </w:p>
        </w:tc>
        <w:tc>
          <w:tcPr>
            <w:tcW w:w="450" w:type="pct"/>
            <w:tcBorders>
              <w:top w:val="single" w:color="auto" w:sz="4" w:space="0"/>
              <w:left w:val="single" w:color="auto" w:sz="4" w:space="0"/>
              <w:bottom w:val="single" w:color="auto" w:sz="4" w:space="0"/>
              <w:right w:val="single" w:color="auto" w:sz="4" w:space="0"/>
            </w:tcBorders>
            <w:vAlign w:val="center"/>
          </w:tcPr>
          <w:p w14:paraId="785C11C3">
            <w:pPr>
              <w:wordWrap/>
              <w:adjustRightInd/>
              <w:snapToGrid/>
              <w:spacing w:line="240" w:lineRule="auto"/>
              <w:ind w:firstLine="0" w:firstLineChars="0"/>
              <w:jc w:val="center"/>
              <w:rPr>
                <w:rFonts w:cs="Times New Roman"/>
                <w:sz w:val="21"/>
                <w:szCs w:val="21"/>
              </w:rPr>
            </w:pPr>
            <w:r>
              <w:rPr>
                <w:rFonts w:cs="Times New Roman"/>
                <w:sz w:val="21"/>
                <w:szCs w:val="21"/>
              </w:rPr>
              <w:t>0.43</w:t>
            </w:r>
          </w:p>
        </w:tc>
        <w:tc>
          <w:tcPr>
            <w:tcW w:w="451" w:type="pct"/>
            <w:tcBorders>
              <w:top w:val="single" w:color="auto" w:sz="4" w:space="0"/>
              <w:left w:val="single" w:color="auto" w:sz="4" w:space="0"/>
              <w:bottom w:val="single" w:color="auto" w:sz="4" w:space="0"/>
              <w:right w:val="single" w:color="auto" w:sz="4" w:space="0"/>
            </w:tcBorders>
            <w:vAlign w:val="center"/>
          </w:tcPr>
          <w:p w14:paraId="547D7A01">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4B2B0440">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4CAC6720">
            <w:pPr>
              <w:wordWrap/>
              <w:adjustRightInd/>
              <w:snapToGrid/>
              <w:spacing w:line="240" w:lineRule="auto"/>
              <w:ind w:firstLine="0" w:firstLineChars="0"/>
              <w:jc w:val="center"/>
              <w:rPr>
                <w:rFonts w:cs="Times New Roman"/>
                <w:sz w:val="21"/>
                <w:szCs w:val="21"/>
              </w:rPr>
            </w:pPr>
            <w:r>
              <w:rPr>
                <w:rFonts w:cs="Times New Roman"/>
                <w:sz w:val="21"/>
                <w:szCs w:val="21"/>
              </w:rPr>
              <w:t>10.6</w:t>
            </w:r>
          </w:p>
        </w:tc>
        <w:tc>
          <w:tcPr>
            <w:tcW w:w="500" w:type="pct"/>
            <w:tcBorders>
              <w:top w:val="single" w:color="auto" w:sz="4" w:space="0"/>
              <w:left w:val="single" w:color="auto" w:sz="4" w:space="0"/>
              <w:bottom w:val="single" w:color="auto" w:sz="4" w:space="0"/>
              <w:right w:val="single" w:color="auto" w:sz="4" w:space="0"/>
            </w:tcBorders>
            <w:vAlign w:val="center"/>
          </w:tcPr>
          <w:p w14:paraId="3950E653">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0" w:type="pct"/>
            <w:tcBorders>
              <w:top w:val="single" w:color="auto" w:sz="4" w:space="0"/>
              <w:left w:val="single" w:color="auto" w:sz="4" w:space="0"/>
              <w:bottom w:val="single" w:color="auto" w:sz="4" w:space="0"/>
              <w:right w:val="single" w:color="auto" w:sz="4" w:space="0"/>
            </w:tcBorders>
            <w:vAlign w:val="center"/>
          </w:tcPr>
          <w:p w14:paraId="62535E8D">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56FE258F">
            <w:pPr>
              <w:wordWrap/>
              <w:adjustRightInd/>
              <w:snapToGrid/>
              <w:spacing w:line="240" w:lineRule="auto"/>
              <w:ind w:firstLine="0" w:firstLineChars="0"/>
              <w:jc w:val="center"/>
              <w:rPr>
                <w:rFonts w:cs="Times New Roman"/>
                <w:sz w:val="21"/>
                <w:szCs w:val="21"/>
              </w:rPr>
            </w:pPr>
            <w:r>
              <w:rPr>
                <w:rFonts w:cs="Times New Roman"/>
                <w:sz w:val="21"/>
                <w:szCs w:val="21"/>
              </w:rPr>
              <w:t>10.5</w:t>
            </w:r>
          </w:p>
        </w:tc>
        <w:tc>
          <w:tcPr>
            <w:tcW w:w="401" w:type="pct"/>
            <w:tcBorders>
              <w:top w:val="single" w:color="auto" w:sz="4" w:space="0"/>
              <w:left w:val="single" w:color="auto" w:sz="4" w:space="0"/>
              <w:bottom w:val="single" w:color="auto" w:sz="4" w:space="0"/>
              <w:right w:val="single" w:color="auto" w:sz="4" w:space="0"/>
            </w:tcBorders>
            <w:vAlign w:val="center"/>
          </w:tcPr>
          <w:p w14:paraId="018DEFCB">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061D9C8C">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8" w:type="pct"/>
            <w:tcBorders>
              <w:top w:val="single" w:color="auto" w:sz="4" w:space="0"/>
              <w:left w:val="single" w:color="auto" w:sz="4" w:space="0"/>
              <w:bottom w:val="single" w:color="auto" w:sz="4" w:space="0"/>
              <w:right w:val="single" w:color="auto" w:sz="12" w:space="0"/>
            </w:tcBorders>
            <w:vAlign w:val="center"/>
          </w:tcPr>
          <w:p w14:paraId="7067442D">
            <w:pPr>
              <w:wordWrap/>
              <w:adjustRightInd/>
              <w:snapToGrid/>
              <w:spacing w:line="240" w:lineRule="auto"/>
              <w:ind w:firstLine="0" w:firstLineChars="0"/>
              <w:jc w:val="center"/>
              <w:rPr>
                <w:rFonts w:cs="Times New Roman"/>
                <w:sz w:val="21"/>
                <w:szCs w:val="21"/>
              </w:rPr>
            </w:pPr>
            <w:r>
              <w:rPr>
                <w:rFonts w:cs="Times New Roman"/>
                <w:sz w:val="21"/>
                <w:szCs w:val="21"/>
              </w:rPr>
              <w:t>/</w:t>
            </w:r>
          </w:p>
        </w:tc>
      </w:tr>
      <w:tr w14:paraId="3FCB3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0DB37762">
            <w:pPr>
              <w:wordWrap/>
              <w:adjustRightInd/>
              <w:snapToGrid/>
              <w:spacing w:line="240" w:lineRule="auto"/>
              <w:ind w:firstLine="0" w:firstLineChars="0"/>
              <w:jc w:val="center"/>
              <w:rPr>
                <w:rFonts w:cs="Times New Roman"/>
                <w:sz w:val="21"/>
                <w:szCs w:val="21"/>
              </w:rPr>
            </w:pPr>
            <w:r>
              <w:rPr>
                <w:rFonts w:cs="Times New Roman"/>
                <w:sz w:val="21"/>
                <w:szCs w:val="21"/>
              </w:rPr>
              <w:t>Ca</w:t>
            </w:r>
            <w:r>
              <w:rPr>
                <w:rFonts w:cs="Times New Roman"/>
                <w:sz w:val="21"/>
                <w:szCs w:val="21"/>
                <w:vertAlign w:val="superscript"/>
              </w:rPr>
              <w:t>2+</w:t>
            </w:r>
          </w:p>
        </w:tc>
        <w:tc>
          <w:tcPr>
            <w:tcW w:w="450" w:type="pct"/>
            <w:tcBorders>
              <w:top w:val="single" w:color="auto" w:sz="4" w:space="0"/>
              <w:left w:val="single" w:color="auto" w:sz="4" w:space="0"/>
              <w:bottom w:val="single" w:color="auto" w:sz="4" w:space="0"/>
              <w:right w:val="single" w:color="auto" w:sz="4" w:space="0"/>
            </w:tcBorders>
            <w:vAlign w:val="center"/>
          </w:tcPr>
          <w:p w14:paraId="4163F954">
            <w:pPr>
              <w:wordWrap/>
              <w:adjustRightInd/>
              <w:snapToGrid/>
              <w:spacing w:line="240" w:lineRule="auto"/>
              <w:ind w:firstLine="0" w:firstLineChars="0"/>
              <w:jc w:val="center"/>
              <w:rPr>
                <w:rFonts w:cs="Times New Roman"/>
                <w:sz w:val="21"/>
                <w:szCs w:val="21"/>
              </w:rPr>
            </w:pPr>
            <w:r>
              <w:rPr>
                <w:rFonts w:cs="Times New Roman"/>
                <w:sz w:val="21"/>
                <w:szCs w:val="21"/>
              </w:rPr>
              <w:t>12.8</w:t>
            </w:r>
          </w:p>
        </w:tc>
        <w:tc>
          <w:tcPr>
            <w:tcW w:w="451" w:type="pct"/>
            <w:tcBorders>
              <w:top w:val="single" w:color="auto" w:sz="4" w:space="0"/>
              <w:left w:val="single" w:color="auto" w:sz="4" w:space="0"/>
              <w:bottom w:val="single" w:color="auto" w:sz="4" w:space="0"/>
              <w:right w:val="single" w:color="auto" w:sz="4" w:space="0"/>
            </w:tcBorders>
            <w:vAlign w:val="center"/>
          </w:tcPr>
          <w:p w14:paraId="123DB049">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09E1203B">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551D708B">
            <w:pPr>
              <w:wordWrap/>
              <w:adjustRightInd/>
              <w:snapToGrid/>
              <w:spacing w:line="240" w:lineRule="auto"/>
              <w:ind w:firstLine="0" w:firstLineChars="0"/>
              <w:jc w:val="center"/>
              <w:rPr>
                <w:rFonts w:cs="Times New Roman"/>
                <w:sz w:val="21"/>
                <w:szCs w:val="21"/>
              </w:rPr>
            </w:pPr>
            <w:r>
              <w:rPr>
                <w:rFonts w:cs="Times New Roman"/>
                <w:sz w:val="21"/>
                <w:szCs w:val="21"/>
              </w:rPr>
              <w:t>43.5</w:t>
            </w:r>
          </w:p>
        </w:tc>
        <w:tc>
          <w:tcPr>
            <w:tcW w:w="500" w:type="pct"/>
            <w:tcBorders>
              <w:top w:val="single" w:color="auto" w:sz="4" w:space="0"/>
              <w:left w:val="single" w:color="auto" w:sz="4" w:space="0"/>
              <w:bottom w:val="single" w:color="auto" w:sz="4" w:space="0"/>
              <w:right w:val="single" w:color="auto" w:sz="4" w:space="0"/>
            </w:tcBorders>
            <w:vAlign w:val="center"/>
          </w:tcPr>
          <w:p w14:paraId="4C72E8B5">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0" w:type="pct"/>
            <w:tcBorders>
              <w:top w:val="single" w:color="auto" w:sz="4" w:space="0"/>
              <w:left w:val="single" w:color="auto" w:sz="4" w:space="0"/>
              <w:bottom w:val="single" w:color="auto" w:sz="4" w:space="0"/>
              <w:right w:val="single" w:color="auto" w:sz="4" w:space="0"/>
            </w:tcBorders>
            <w:vAlign w:val="center"/>
          </w:tcPr>
          <w:p w14:paraId="1E4A51A1">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0AFC99AA">
            <w:pPr>
              <w:wordWrap/>
              <w:adjustRightInd/>
              <w:snapToGrid/>
              <w:spacing w:line="240" w:lineRule="auto"/>
              <w:ind w:firstLine="0" w:firstLineChars="0"/>
              <w:jc w:val="center"/>
              <w:rPr>
                <w:rFonts w:cs="Times New Roman"/>
                <w:sz w:val="21"/>
                <w:szCs w:val="21"/>
              </w:rPr>
            </w:pPr>
            <w:r>
              <w:rPr>
                <w:rFonts w:cs="Times New Roman"/>
                <w:sz w:val="21"/>
                <w:szCs w:val="21"/>
              </w:rPr>
              <w:t>43.6</w:t>
            </w:r>
          </w:p>
        </w:tc>
        <w:tc>
          <w:tcPr>
            <w:tcW w:w="401" w:type="pct"/>
            <w:tcBorders>
              <w:top w:val="single" w:color="auto" w:sz="4" w:space="0"/>
              <w:left w:val="single" w:color="auto" w:sz="4" w:space="0"/>
              <w:bottom w:val="single" w:color="auto" w:sz="4" w:space="0"/>
              <w:right w:val="single" w:color="auto" w:sz="4" w:space="0"/>
            </w:tcBorders>
            <w:vAlign w:val="center"/>
          </w:tcPr>
          <w:p w14:paraId="7A5DD1FC">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1E1900F0">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8" w:type="pct"/>
            <w:tcBorders>
              <w:top w:val="single" w:color="auto" w:sz="4" w:space="0"/>
              <w:left w:val="single" w:color="auto" w:sz="4" w:space="0"/>
              <w:bottom w:val="single" w:color="auto" w:sz="4" w:space="0"/>
              <w:right w:val="single" w:color="auto" w:sz="12" w:space="0"/>
            </w:tcBorders>
            <w:vAlign w:val="center"/>
          </w:tcPr>
          <w:p w14:paraId="671DDF22">
            <w:pPr>
              <w:wordWrap/>
              <w:adjustRightInd/>
              <w:snapToGrid/>
              <w:spacing w:line="240" w:lineRule="auto"/>
              <w:ind w:firstLine="0" w:firstLineChars="0"/>
              <w:jc w:val="center"/>
              <w:rPr>
                <w:rFonts w:cs="Times New Roman"/>
                <w:sz w:val="21"/>
                <w:szCs w:val="21"/>
              </w:rPr>
            </w:pPr>
            <w:r>
              <w:rPr>
                <w:rFonts w:cs="Times New Roman"/>
                <w:sz w:val="21"/>
                <w:szCs w:val="21"/>
              </w:rPr>
              <w:t>/</w:t>
            </w:r>
          </w:p>
        </w:tc>
      </w:tr>
      <w:tr w14:paraId="37B7D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12659047">
            <w:pPr>
              <w:wordWrap/>
              <w:adjustRightInd/>
              <w:snapToGrid/>
              <w:spacing w:line="240" w:lineRule="auto"/>
              <w:ind w:firstLine="0" w:firstLineChars="0"/>
              <w:jc w:val="center"/>
              <w:rPr>
                <w:rFonts w:cs="Times New Roman"/>
                <w:sz w:val="21"/>
                <w:szCs w:val="21"/>
              </w:rPr>
            </w:pPr>
            <w:r>
              <w:rPr>
                <w:rFonts w:cs="Times New Roman"/>
                <w:sz w:val="21"/>
                <w:szCs w:val="21"/>
              </w:rPr>
              <w:t>Mg</w:t>
            </w:r>
            <w:r>
              <w:rPr>
                <w:rFonts w:cs="Times New Roman"/>
                <w:sz w:val="21"/>
                <w:szCs w:val="21"/>
                <w:vertAlign w:val="superscript"/>
              </w:rPr>
              <w:t>2+</w:t>
            </w:r>
          </w:p>
        </w:tc>
        <w:tc>
          <w:tcPr>
            <w:tcW w:w="450" w:type="pct"/>
            <w:tcBorders>
              <w:top w:val="single" w:color="auto" w:sz="4" w:space="0"/>
              <w:left w:val="single" w:color="auto" w:sz="4" w:space="0"/>
              <w:bottom w:val="single" w:color="auto" w:sz="4" w:space="0"/>
              <w:right w:val="single" w:color="auto" w:sz="4" w:space="0"/>
            </w:tcBorders>
            <w:vAlign w:val="center"/>
          </w:tcPr>
          <w:p w14:paraId="08588100">
            <w:pPr>
              <w:wordWrap/>
              <w:adjustRightInd/>
              <w:snapToGrid/>
              <w:spacing w:line="240" w:lineRule="auto"/>
              <w:ind w:firstLine="0" w:firstLineChars="0"/>
              <w:jc w:val="center"/>
              <w:rPr>
                <w:rFonts w:cs="Times New Roman"/>
                <w:sz w:val="21"/>
                <w:szCs w:val="21"/>
              </w:rPr>
            </w:pPr>
            <w:r>
              <w:rPr>
                <w:rFonts w:cs="Times New Roman"/>
                <w:sz w:val="21"/>
                <w:szCs w:val="21"/>
              </w:rPr>
              <w:t>0.94</w:t>
            </w:r>
          </w:p>
        </w:tc>
        <w:tc>
          <w:tcPr>
            <w:tcW w:w="451" w:type="pct"/>
            <w:tcBorders>
              <w:top w:val="single" w:color="auto" w:sz="4" w:space="0"/>
              <w:left w:val="single" w:color="auto" w:sz="4" w:space="0"/>
              <w:bottom w:val="single" w:color="auto" w:sz="4" w:space="0"/>
              <w:right w:val="single" w:color="auto" w:sz="4" w:space="0"/>
            </w:tcBorders>
            <w:vAlign w:val="center"/>
          </w:tcPr>
          <w:p w14:paraId="4DA827BC">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1B5B18EC">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3BB833BC">
            <w:pPr>
              <w:wordWrap/>
              <w:adjustRightInd/>
              <w:snapToGrid/>
              <w:spacing w:line="240" w:lineRule="auto"/>
              <w:ind w:firstLine="0" w:firstLineChars="0"/>
              <w:jc w:val="center"/>
              <w:rPr>
                <w:rFonts w:cs="Times New Roman"/>
                <w:sz w:val="21"/>
                <w:szCs w:val="21"/>
              </w:rPr>
            </w:pPr>
            <w:r>
              <w:rPr>
                <w:rFonts w:cs="Times New Roman"/>
                <w:sz w:val="21"/>
                <w:szCs w:val="21"/>
              </w:rPr>
              <w:t>2.20</w:t>
            </w:r>
          </w:p>
        </w:tc>
        <w:tc>
          <w:tcPr>
            <w:tcW w:w="500" w:type="pct"/>
            <w:tcBorders>
              <w:top w:val="single" w:color="auto" w:sz="4" w:space="0"/>
              <w:left w:val="single" w:color="auto" w:sz="4" w:space="0"/>
              <w:bottom w:val="single" w:color="auto" w:sz="4" w:space="0"/>
              <w:right w:val="single" w:color="auto" w:sz="4" w:space="0"/>
            </w:tcBorders>
            <w:vAlign w:val="center"/>
          </w:tcPr>
          <w:p w14:paraId="03BFA4F4">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0" w:type="pct"/>
            <w:tcBorders>
              <w:top w:val="single" w:color="auto" w:sz="4" w:space="0"/>
              <w:left w:val="single" w:color="auto" w:sz="4" w:space="0"/>
              <w:bottom w:val="single" w:color="auto" w:sz="4" w:space="0"/>
              <w:right w:val="single" w:color="auto" w:sz="4" w:space="0"/>
            </w:tcBorders>
            <w:vAlign w:val="center"/>
          </w:tcPr>
          <w:p w14:paraId="78851AC9">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78807E69">
            <w:pPr>
              <w:wordWrap/>
              <w:adjustRightInd/>
              <w:snapToGrid/>
              <w:spacing w:line="240" w:lineRule="auto"/>
              <w:ind w:firstLine="0" w:firstLineChars="0"/>
              <w:jc w:val="center"/>
              <w:rPr>
                <w:rFonts w:cs="Times New Roman"/>
                <w:sz w:val="21"/>
                <w:szCs w:val="21"/>
              </w:rPr>
            </w:pPr>
            <w:r>
              <w:rPr>
                <w:rFonts w:cs="Times New Roman"/>
                <w:sz w:val="21"/>
                <w:szCs w:val="21"/>
              </w:rPr>
              <w:t>2.10</w:t>
            </w:r>
          </w:p>
        </w:tc>
        <w:tc>
          <w:tcPr>
            <w:tcW w:w="401" w:type="pct"/>
            <w:tcBorders>
              <w:top w:val="single" w:color="auto" w:sz="4" w:space="0"/>
              <w:left w:val="single" w:color="auto" w:sz="4" w:space="0"/>
              <w:bottom w:val="single" w:color="auto" w:sz="4" w:space="0"/>
              <w:right w:val="single" w:color="auto" w:sz="4" w:space="0"/>
            </w:tcBorders>
            <w:vAlign w:val="center"/>
          </w:tcPr>
          <w:p w14:paraId="74845FE9">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02CE643A">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8" w:type="pct"/>
            <w:tcBorders>
              <w:top w:val="single" w:color="auto" w:sz="4" w:space="0"/>
              <w:left w:val="single" w:color="auto" w:sz="4" w:space="0"/>
              <w:bottom w:val="single" w:color="auto" w:sz="4" w:space="0"/>
              <w:right w:val="single" w:color="auto" w:sz="12" w:space="0"/>
            </w:tcBorders>
            <w:vAlign w:val="center"/>
          </w:tcPr>
          <w:p w14:paraId="7865B370">
            <w:pPr>
              <w:wordWrap/>
              <w:adjustRightInd/>
              <w:snapToGrid/>
              <w:spacing w:line="240" w:lineRule="auto"/>
              <w:ind w:firstLine="0" w:firstLineChars="0"/>
              <w:jc w:val="center"/>
              <w:rPr>
                <w:rFonts w:cs="Times New Roman"/>
                <w:sz w:val="21"/>
                <w:szCs w:val="21"/>
              </w:rPr>
            </w:pPr>
            <w:r>
              <w:rPr>
                <w:rFonts w:cs="Times New Roman"/>
                <w:sz w:val="21"/>
                <w:szCs w:val="21"/>
              </w:rPr>
              <w:t>/</w:t>
            </w:r>
          </w:p>
        </w:tc>
      </w:tr>
      <w:tr w14:paraId="0775E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4984B0AF">
            <w:pPr>
              <w:wordWrap/>
              <w:adjustRightInd/>
              <w:snapToGrid/>
              <w:spacing w:line="240" w:lineRule="auto"/>
              <w:ind w:firstLine="0" w:firstLineChars="0"/>
              <w:jc w:val="center"/>
              <w:rPr>
                <w:rFonts w:cs="Times New Roman"/>
                <w:sz w:val="21"/>
                <w:szCs w:val="21"/>
              </w:rPr>
            </w:pPr>
            <w:r>
              <w:rPr>
                <w:rFonts w:cs="Times New Roman"/>
                <w:sz w:val="21"/>
                <w:szCs w:val="21"/>
              </w:rPr>
              <w:t>CO</w:t>
            </w:r>
            <w:r>
              <w:rPr>
                <w:rFonts w:cs="Times New Roman"/>
                <w:sz w:val="21"/>
                <w:szCs w:val="21"/>
                <w:vertAlign w:val="subscript"/>
              </w:rPr>
              <w:t>3</w:t>
            </w:r>
            <w:r>
              <w:rPr>
                <w:rFonts w:cs="Times New Roman"/>
                <w:sz w:val="21"/>
                <w:szCs w:val="21"/>
                <w:vertAlign w:val="superscript"/>
              </w:rPr>
              <w:t>2-</w:t>
            </w:r>
          </w:p>
        </w:tc>
        <w:tc>
          <w:tcPr>
            <w:tcW w:w="450" w:type="pct"/>
            <w:tcBorders>
              <w:top w:val="single" w:color="auto" w:sz="4" w:space="0"/>
              <w:left w:val="single" w:color="auto" w:sz="4" w:space="0"/>
              <w:bottom w:val="single" w:color="auto" w:sz="4" w:space="0"/>
              <w:right w:val="single" w:color="auto" w:sz="4" w:space="0"/>
            </w:tcBorders>
            <w:vAlign w:val="center"/>
          </w:tcPr>
          <w:p w14:paraId="68678CE2">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451" w:type="pct"/>
            <w:tcBorders>
              <w:top w:val="single" w:color="auto" w:sz="4" w:space="0"/>
              <w:left w:val="single" w:color="auto" w:sz="4" w:space="0"/>
              <w:bottom w:val="single" w:color="auto" w:sz="4" w:space="0"/>
              <w:right w:val="single" w:color="auto" w:sz="4" w:space="0"/>
            </w:tcBorders>
            <w:vAlign w:val="center"/>
          </w:tcPr>
          <w:p w14:paraId="2156B109">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22E7ECC2">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2B0566F6">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500" w:type="pct"/>
            <w:tcBorders>
              <w:top w:val="single" w:color="auto" w:sz="4" w:space="0"/>
              <w:left w:val="single" w:color="auto" w:sz="4" w:space="0"/>
              <w:bottom w:val="single" w:color="auto" w:sz="4" w:space="0"/>
              <w:right w:val="single" w:color="auto" w:sz="4" w:space="0"/>
            </w:tcBorders>
            <w:vAlign w:val="center"/>
          </w:tcPr>
          <w:p w14:paraId="017CFE41">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0" w:type="pct"/>
            <w:tcBorders>
              <w:top w:val="single" w:color="auto" w:sz="4" w:space="0"/>
              <w:left w:val="single" w:color="auto" w:sz="4" w:space="0"/>
              <w:bottom w:val="single" w:color="auto" w:sz="4" w:space="0"/>
              <w:right w:val="single" w:color="auto" w:sz="4" w:space="0"/>
            </w:tcBorders>
            <w:vAlign w:val="center"/>
          </w:tcPr>
          <w:p w14:paraId="2DAA2316">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0E087EF6">
            <w:pPr>
              <w:wordWrap/>
              <w:adjustRightInd/>
              <w:snapToGrid/>
              <w:spacing w:line="240" w:lineRule="auto"/>
              <w:ind w:firstLine="0" w:firstLineChars="0"/>
              <w:jc w:val="center"/>
              <w:rPr>
                <w:rFonts w:cs="Times New Roman"/>
                <w:sz w:val="21"/>
                <w:szCs w:val="21"/>
              </w:rPr>
            </w:pPr>
            <w:r>
              <w:rPr>
                <w:rFonts w:cs="Times New Roman"/>
                <w:sz w:val="21"/>
                <w:szCs w:val="21"/>
              </w:rPr>
              <w:t>ND</w:t>
            </w:r>
          </w:p>
        </w:tc>
        <w:tc>
          <w:tcPr>
            <w:tcW w:w="401" w:type="pct"/>
            <w:tcBorders>
              <w:top w:val="single" w:color="auto" w:sz="4" w:space="0"/>
              <w:left w:val="single" w:color="auto" w:sz="4" w:space="0"/>
              <w:bottom w:val="single" w:color="auto" w:sz="4" w:space="0"/>
              <w:right w:val="single" w:color="auto" w:sz="4" w:space="0"/>
            </w:tcBorders>
            <w:vAlign w:val="center"/>
          </w:tcPr>
          <w:p w14:paraId="2704F445">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504AC36A">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8" w:type="pct"/>
            <w:tcBorders>
              <w:top w:val="single" w:color="auto" w:sz="4" w:space="0"/>
              <w:left w:val="single" w:color="auto" w:sz="4" w:space="0"/>
              <w:bottom w:val="single" w:color="auto" w:sz="4" w:space="0"/>
              <w:right w:val="single" w:color="auto" w:sz="12" w:space="0"/>
            </w:tcBorders>
            <w:vAlign w:val="center"/>
          </w:tcPr>
          <w:p w14:paraId="7F855F32">
            <w:pPr>
              <w:wordWrap/>
              <w:adjustRightInd/>
              <w:snapToGrid/>
              <w:spacing w:line="240" w:lineRule="auto"/>
              <w:ind w:firstLine="0" w:firstLineChars="0"/>
              <w:jc w:val="center"/>
              <w:rPr>
                <w:rFonts w:cs="Times New Roman"/>
                <w:sz w:val="21"/>
                <w:szCs w:val="21"/>
              </w:rPr>
            </w:pPr>
            <w:r>
              <w:rPr>
                <w:rFonts w:cs="Times New Roman"/>
                <w:sz w:val="21"/>
                <w:szCs w:val="21"/>
              </w:rPr>
              <w:t>/</w:t>
            </w:r>
          </w:p>
        </w:tc>
      </w:tr>
      <w:tr w14:paraId="7536A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4" w:space="0"/>
              <w:right w:val="single" w:color="auto" w:sz="4" w:space="0"/>
            </w:tcBorders>
            <w:vAlign w:val="center"/>
          </w:tcPr>
          <w:p w14:paraId="4433975D">
            <w:pPr>
              <w:wordWrap/>
              <w:adjustRightInd/>
              <w:snapToGrid/>
              <w:spacing w:line="240" w:lineRule="auto"/>
              <w:ind w:firstLine="0" w:firstLineChars="0"/>
              <w:jc w:val="center"/>
              <w:rPr>
                <w:rFonts w:cs="Times New Roman"/>
                <w:sz w:val="21"/>
                <w:szCs w:val="21"/>
              </w:rPr>
            </w:pPr>
            <w:r>
              <w:rPr>
                <w:rFonts w:cs="Times New Roman"/>
                <w:sz w:val="21"/>
                <w:szCs w:val="21"/>
              </w:rPr>
              <w:t>HCO</w:t>
            </w:r>
            <w:r>
              <w:rPr>
                <w:rFonts w:cs="Times New Roman"/>
                <w:sz w:val="21"/>
                <w:szCs w:val="21"/>
                <w:vertAlign w:val="subscript"/>
              </w:rPr>
              <w:t>3</w:t>
            </w:r>
            <w:r>
              <w:rPr>
                <w:rFonts w:cs="Times New Roman"/>
                <w:sz w:val="21"/>
                <w:szCs w:val="21"/>
                <w:vertAlign w:val="superscript"/>
              </w:rPr>
              <w:t>-</w:t>
            </w:r>
          </w:p>
        </w:tc>
        <w:tc>
          <w:tcPr>
            <w:tcW w:w="450" w:type="pct"/>
            <w:tcBorders>
              <w:top w:val="single" w:color="auto" w:sz="4" w:space="0"/>
              <w:left w:val="single" w:color="auto" w:sz="4" w:space="0"/>
              <w:bottom w:val="single" w:color="auto" w:sz="4" w:space="0"/>
              <w:right w:val="single" w:color="auto" w:sz="4" w:space="0"/>
            </w:tcBorders>
            <w:vAlign w:val="center"/>
          </w:tcPr>
          <w:p w14:paraId="488DA367">
            <w:pPr>
              <w:wordWrap/>
              <w:adjustRightInd/>
              <w:snapToGrid/>
              <w:spacing w:line="240" w:lineRule="auto"/>
              <w:ind w:firstLine="0" w:firstLineChars="0"/>
              <w:jc w:val="center"/>
              <w:rPr>
                <w:rFonts w:cs="Times New Roman"/>
                <w:sz w:val="21"/>
                <w:szCs w:val="21"/>
              </w:rPr>
            </w:pPr>
            <w:r>
              <w:rPr>
                <w:rFonts w:cs="Times New Roman"/>
                <w:sz w:val="21"/>
                <w:szCs w:val="21"/>
              </w:rPr>
              <w:t>65</w:t>
            </w:r>
          </w:p>
        </w:tc>
        <w:tc>
          <w:tcPr>
            <w:tcW w:w="451" w:type="pct"/>
            <w:tcBorders>
              <w:top w:val="single" w:color="auto" w:sz="4" w:space="0"/>
              <w:left w:val="single" w:color="auto" w:sz="4" w:space="0"/>
              <w:bottom w:val="single" w:color="auto" w:sz="4" w:space="0"/>
              <w:right w:val="single" w:color="auto" w:sz="4" w:space="0"/>
            </w:tcBorders>
            <w:vAlign w:val="center"/>
          </w:tcPr>
          <w:p w14:paraId="5E027AD4">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041D5578">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62FC82B6">
            <w:pPr>
              <w:wordWrap/>
              <w:adjustRightInd/>
              <w:snapToGrid/>
              <w:spacing w:line="240" w:lineRule="auto"/>
              <w:ind w:firstLine="0" w:firstLineChars="0"/>
              <w:jc w:val="center"/>
              <w:rPr>
                <w:rFonts w:cs="Times New Roman"/>
                <w:sz w:val="21"/>
                <w:szCs w:val="21"/>
              </w:rPr>
            </w:pPr>
            <w:r>
              <w:rPr>
                <w:rFonts w:cs="Times New Roman"/>
                <w:sz w:val="21"/>
                <w:szCs w:val="21"/>
              </w:rPr>
              <w:t>94</w:t>
            </w:r>
          </w:p>
        </w:tc>
        <w:tc>
          <w:tcPr>
            <w:tcW w:w="500" w:type="pct"/>
            <w:tcBorders>
              <w:top w:val="single" w:color="auto" w:sz="4" w:space="0"/>
              <w:left w:val="single" w:color="auto" w:sz="4" w:space="0"/>
              <w:bottom w:val="single" w:color="auto" w:sz="4" w:space="0"/>
              <w:right w:val="single" w:color="auto" w:sz="4" w:space="0"/>
            </w:tcBorders>
            <w:vAlign w:val="center"/>
          </w:tcPr>
          <w:p w14:paraId="3E03396D">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0" w:type="pct"/>
            <w:tcBorders>
              <w:top w:val="single" w:color="auto" w:sz="4" w:space="0"/>
              <w:left w:val="single" w:color="auto" w:sz="4" w:space="0"/>
              <w:bottom w:val="single" w:color="auto" w:sz="4" w:space="0"/>
              <w:right w:val="single" w:color="auto" w:sz="4" w:space="0"/>
            </w:tcBorders>
            <w:vAlign w:val="center"/>
          </w:tcPr>
          <w:p w14:paraId="19BA6508">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0" w:type="pct"/>
            <w:tcBorders>
              <w:top w:val="single" w:color="auto" w:sz="4" w:space="0"/>
              <w:left w:val="single" w:color="auto" w:sz="4" w:space="0"/>
              <w:bottom w:val="single" w:color="auto" w:sz="4" w:space="0"/>
              <w:right w:val="single" w:color="auto" w:sz="4" w:space="0"/>
            </w:tcBorders>
            <w:vAlign w:val="center"/>
          </w:tcPr>
          <w:p w14:paraId="7C78761C">
            <w:pPr>
              <w:wordWrap/>
              <w:adjustRightInd/>
              <w:snapToGrid/>
              <w:spacing w:line="240" w:lineRule="auto"/>
              <w:ind w:firstLine="0" w:firstLineChars="0"/>
              <w:jc w:val="center"/>
              <w:rPr>
                <w:rFonts w:cs="Times New Roman"/>
                <w:sz w:val="21"/>
                <w:szCs w:val="21"/>
              </w:rPr>
            </w:pPr>
            <w:r>
              <w:rPr>
                <w:rFonts w:cs="Times New Roman"/>
                <w:sz w:val="21"/>
                <w:szCs w:val="21"/>
              </w:rPr>
              <w:t>102</w:t>
            </w:r>
          </w:p>
        </w:tc>
        <w:tc>
          <w:tcPr>
            <w:tcW w:w="401" w:type="pct"/>
            <w:tcBorders>
              <w:top w:val="single" w:color="auto" w:sz="4" w:space="0"/>
              <w:left w:val="single" w:color="auto" w:sz="4" w:space="0"/>
              <w:bottom w:val="single" w:color="auto" w:sz="4" w:space="0"/>
              <w:right w:val="single" w:color="auto" w:sz="4" w:space="0"/>
            </w:tcBorders>
            <w:vAlign w:val="center"/>
          </w:tcPr>
          <w:p w14:paraId="42BFBE09">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3FD4ED83">
            <w:pPr>
              <w:wordWrap/>
              <w:adjustRightInd/>
              <w:snapToGrid/>
              <w:spacing w:line="240" w:lineRule="auto"/>
              <w:ind w:firstLine="0" w:firstLineChars="0"/>
              <w:jc w:val="center"/>
              <w:rPr>
                <w:rFonts w:cs="Times New Roman"/>
                <w:sz w:val="21"/>
                <w:szCs w:val="21"/>
              </w:rPr>
            </w:pPr>
            <w:r>
              <w:rPr>
                <w:rFonts w:cs="Times New Roman"/>
                <w:sz w:val="21"/>
                <w:szCs w:val="21"/>
              </w:rPr>
              <w:t>/</w:t>
            </w:r>
          </w:p>
        </w:tc>
        <w:tc>
          <w:tcPr>
            <w:tcW w:w="408" w:type="pct"/>
            <w:tcBorders>
              <w:top w:val="single" w:color="auto" w:sz="4" w:space="0"/>
              <w:left w:val="single" w:color="auto" w:sz="4" w:space="0"/>
              <w:bottom w:val="single" w:color="auto" w:sz="4" w:space="0"/>
              <w:right w:val="single" w:color="auto" w:sz="12" w:space="0"/>
            </w:tcBorders>
            <w:vAlign w:val="center"/>
          </w:tcPr>
          <w:p w14:paraId="176C3615">
            <w:pPr>
              <w:wordWrap/>
              <w:adjustRightInd/>
              <w:snapToGrid/>
              <w:spacing w:line="240" w:lineRule="auto"/>
              <w:ind w:firstLine="0" w:firstLineChars="0"/>
              <w:jc w:val="center"/>
              <w:rPr>
                <w:rFonts w:cs="Times New Roman"/>
                <w:sz w:val="21"/>
                <w:szCs w:val="21"/>
              </w:rPr>
            </w:pPr>
            <w:r>
              <w:rPr>
                <w:rFonts w:cs="Times New Roman"/>
                <w:sz w:val="21"/>
                <w:szCs w:val="21"/>
              </w:rPr>
              <w:t>/</w:t>
            </w:r>
          </w:p>
        </w:tc>
      </w:tr>
      <w:tr w14:paraId="6219F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pct"/>
            <w:tcBorders>
              <w:top w:val="single" w:color="auto" w:sz="4" w:space="0"/>
              <w:left w:val="single" w:color="auto" w:sz="12" w:space="0"/>
              <w:bottom w:val="single" w:color="auto" w:sz="12" w:space="0"/>
              <w:right w:val="single" w:color="auto" w:sz="4" w:space="0"/>
            </w:tcBorders>
            <w:vAlign w:val="center"/>
          </w:tcPr>
          <w:p w14:paraId="36C4B468">
            <w:pPr>
              <w:wordWrap/>
              <w:adjustRightInd/>
              <w:snapToGrid/>
              <w:spacing w:line="240" w:lineRule="auto"/>
              <w:ind w:firstLine="0" w:firstLineChars="0"/>
              <w:jc w:val="center"/>
              <w:rPr>
                <w:rFonts w:cs="Times New Roman"/>
                <w:sz w:val="21"/>
                <w:szCs w:val="21"/>
              </w:rPr>
            </w:pPr>
            <w:r>
              <w:rPr>
                <w:rFonts w:cs="Times New Roman"/>
                <w:sz w:val="21"/>
                <w:szCs w:val="21"/>
              </w:rPr>
              <w:t>SO</w:t>
            </w:r>
            <w:r>
              <w:rPr>
                <w:rFonts w:cs="Times New Roman"/>
                <w:sz w:val="21"/>
                <w:szCs w:val="21"/>
                <w:vertAlign w:val="subscript"/>
              </w:rPr>
              <w:t>4</w:t>
            </w:r>
            <w:r>
              <w:rPr>
                <w:rFonts w:cs="Times New Roman"/>
                <w:sz w:val="21"/>
                <w:szCs w:val="21"/>
                <w:vertAlign w:val="superscript"/>
              </w:rPr>
              <w:t>2-</w:t>
            </w:r>
          </w:p>
        </w:tc>
        <w:tc>
          <w:tcPr>
            <w:tcW w:w="450" w:type="pct"/>
            <w:tcBorders>
              <w:top w:val="single" w:color="auto" w:sz="4" w:space="0"/>
              <w:left w:val="single" w:color="auto" w:sz="4" w:space="0"/>
              <w:bottom w:val="single" w:color="auto" w:sz="12" w:space="0"/>
              <w:right w:val="single" w:color="auto" w:sz="4" w:space="0"/>
            </w:tcBorders>
            <w:vAlign w:val="center"/>
          </w:tcPr>
          <w:p w14:paraId="6BFE01B4">
            <w:pPr>
              <w:wordWrap/>
              <w:adjustRightInd/>
              <w:snapToGrid/>
              <w:spacing w:line="240" w:lineRule="auto"/>
              <w:ind w:firstLine="0" w:firstLineChars="0"/>
              <w:jc w:val="center"/>
              <w:rPr>
                <w:rFonts w:cs="Times New Roman"/>
                <w:sz w:val="21"/>
                <w:szCs w:val="21"/>
              </w:rPr>
            </w:pPr>
            <w:r>
              <w:rPr>
                <w:rFonts w:cs="Times New Roman"/>
                <w:sz w:val="21"/>
                <w:szCs w:val="21"/>
              </w:rPr>
              <w:t>11</w:t>
            </w:r>
          </w:p>
        </w:tc>
        <w:tc>
          <w:tcPr>
            <w:tcW w:w="451" w:type="pct"/>
            <w:tcBorders>
              <w:top w:val="single" w:color="auto" w:sz="4" w:space="0"/>
              <w:left w:val="single" w:color="auto" w:sz="4" w:space="0"/>
              <w:bottom w:val="single" w:color="auto" w:sz="12" w:space="0"/>
              <w:right w:val="single" w:color="auto" w:sz="4" w:space="0"/>
            </w:tcBorders>
            <w:vAlign w:val="center"/>
          </w:tcPr>
          <w:p w14:paraId="2C792124">
            <w:pPr>
              <w:wordWrap/>
              <w:adjustRightInd/>
              <w:snapToGrid/>
              <w:spacing w:line="240" w:lineRule="auto"/>
              <w:ind w:firstLine="0" w:firstLineChars="0"/>
              <w:jc w:val="center"/>
              <w:rPr>
                <w:rFonts w:cs="Times New Roman"/>
                <w:sz w:val="21"/>
                <w:szCs w:val="21"/>
              </w:rPr>
            </w:pPr>
            <w:r>
              <w:rPr>
                <w:rFonts w:cs="Times New Roman"/>
                <w:sz w:val="21"/>
                <w:szCs w:val="21"/>
              </w:rPr>
              <w:t>0.044</w:t>
            </w:r>
          </w:p>
        </w:tc>
        <w:tc>
          <w:tcPr>
            <w:tcW w:w="400" w:type="pct"/>
            <w:tcBorders>
              <w:top w:val="single" w:color="auto" w:sz="4" w:space="0"/>
              <w:left w:val="single" w:color="auto" w:sz="4" w:space="0"/>
              <w:bottom w:val="single" w:color="auto" w:sz="12" w:space="0"/>
              <w:right w:val="single" w:color="auto" w:sz="4" w:space="0"/>
            </w:tcBorders>
            <w:vAlign w:val="center"/>
          </w:tcPr>
          <w:p w14:paraId="31AF2E2B">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12" w:space="0"/>
              <w:right w:val="single" w:color="auto" w:sz="4" w:space="0"/>
            </w:tcBorders>
            <w:vAlign w:val="center"/>
          </w:tcPr>
          <w:p w14:paraId="40922D6E">
            <w:pPr>
              <w:wordWrap/>
              <w:adjustRightInd/>
              <w:snapToGrid/>
              <w:spacing w:line="240" w:lineRule="auto"/>
              <w:ind w:firstLine="0" w:firstLineChars="0"/>
              <w:jc w:val="center"/>
              <w:rPr>
                <w:rFonts w:cs="Times New Roman"/>
                <w:sz w:val="21"/>
                <w:szCs w:val="21"/>
              </w:rPr>
            </w:pPr>
            <w:r>
              <w:rPr>
                <w:rFonts w:cs="Times New Roman"/>
                <w:sz w:val="21"/>
                <w:szCs w:val="21"/>
              </w:rPr>
              <w:t>28</w:t>
            </w:r>
          </w:p>
        </w:tc>
        <w:tc>
          <w:tcPr>
            <w:tcW w:w="500" w:type="pct"/>
            <w:tcBorders>
              <w:top w:val="single" w:color="auto" w:sz="4" w:space="0"/>
              <w:left w:val="single" w:color="auto" w:sz="4" w:space="0"/>
              <w:bottom w:val="single" w:color="auto" w:sz="12" w:space="0"/>
              <w:right w:val="single" w:color="auto" w:sz="4" w:space="0"/>
            </w:tcBorders>
            <w:vAlign w:val="center"/>
          </w:tcPr>
          <w:p w14:paraId="32025214">
            <w:pPr>
              <w:wordWrap/>
              <w:adjustRightInd/>
              <w:snapToGrid/>
              <w:spacing w:line="240" w:lineRule="auto"/>
              <w:ind w:firstLine="0" w:firstLineChars="0"/>
              <w:jc w:val="center"/>
              <w:rPr>
                <w:rFonts w:cs="Times New Roman"/>
                <w:sz w:val="21"/>
                <w:szCs w:val="21"/>
              </w:rPr>
            </w:pPr>
            <w:r>
              <w:rPr>
                <w:rFonts w:cs="Times New Roman"/>
                <w:sz w:val="21"/>
                <w:szCs w:val="21"/>
              </w:rPr>
              <w:t>0.112</w:t>
            </w:r>
          </w:p>
        </w:tc>
        <w:tc>
          <w:tcPr>
            <w:tcW w:w="350" w:type="pct"/>
            <w:tcBorders>
              <w:top w:val="single" w:color="auto" w:sz="4" w:space="0"/>
              <w:left w:val="single" w:color="auto" w:sz="4" w:space="0"/>
              <w:bottom w:val="single" w:color="auto" w:sz="12" w:space="0"/>
              <w:right w:val="single" w:color="auto" w:sz="4" w:space="0"/>
            </w:tcBorders>
            <w:vAlign w:val="center"/>
          </w:tcPr>
          <w:p w14:paraId="3667630B">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0" w:type="pct"/>
            <w:tcBorders>
              <w:top w:val="single" w:color="auto" w:sz="4" w:space="0"/>
              <w:left w:val="single" w:color="auto" w:sz="4" w:space="0"/>
              <w:bottom w:val="single" w:color="auto" w:sz="12" w:space="0"/>
              <w:right w:val="single" w:color="auto" w:sz="4" w:space="0"/>
            </w:tcBorders>
            <w:vAlign w:val="center"/>
          </w:tcPr>
          <w:p w14:paraId="6C98DFF7">
            <w:pPr>
              <w:wordWrap/>
              <w:adjustRightInd/>
              <w:snapToGrid/>
              <w:spacing w:line="240" w:lineRule="auto"/>
              <w:ind w:firstLine="0" w:firstLineChars="0"/>
              <w:jc w:val="center"/>
              <w:rPr>
                <w:rFonts w:cs="Times New Roman"/>
                <w:sz w:val="21"/>
                <w:szCs w:val="21"/>
              </w:rPr>
            </w:pPr>
            <w:r>
              <w:rPr>
                <w:rFonts w:cs="Times New Roman"/>
                <w:sz w:val="21"/>
                <w:szCs w:val="21"/>
              </w:rPr>
              <w:t>23</w:t>
            </w:r>
          </w:p>
        </w:tc>
        <w:tc>
          <w:tcPr>
            <w:tcW w:w="401" w:type="pct"/>
            <w:tcBorders>
              <w:top w:val="single" w:color="auto" w:sz="4" w:space="0"/>
              <w:left w:val="single" w:color="auto" w:sz="4" w:space="0"/>
              <w:bottom w:val="single" w:color="auto" w:sz="12" w:space="0"/>
              <w:right w:val="single" w:color="auto" w:sz="4" w:space="0"/>
            </w:tcBorders>
            <w:vAlign w:val="center"/>
          </w:tcPr>
          <w:p w14:paraId="0F6EBEB8">
            <w:pPr>
              <w:wordWrap/>
              <w:adjustRightInd/>
              <w:snapToGrid/>
              <w:spacing w:line="240" w:lineRule="auto"/>
              <w:ind w:firstLine="0" w:firstLineChars="0"/>
              <w:jc w:val="center"/>
              <w:rPr>
                <w:rFonts w:cs="Times New Roman"/>
                <w:sz w:val="21"/>
                <w:szCs w:val="21"/>
              </w:rPr>
            </w:pPr>
            <w:r>
              <w:rPr>
                <w:rFonts w:cs="Times New Roman"/>
                <w:sz w:val="21"/>
                <w:szCs w:val="21"/>
              </w:rPr>
              <w:t>0.092</w:t>
            </w:r>
          </w:p>
        </w:tc>
        <w:tc>
          <w:tcPr>
            <w:tcW w:w="352" w:type="pct"/>
            <w:tcBorders>
              <w:top w:val="single" w:color="auto" w:sz="4" w:space="0"/>
              <w:left w:val="single" w:color="auto" w:sz="4" w:space="0"/>
              <w:bottom w:val="single" w:color="auto" w:sz="12" w:space="0"/>
              <w:right w:val="single" w:color="auto" w:sz="4" w:space="0"/>
            </w:tcBorders>
            <w:vAlign w:val="center"/>
          </w:tcPr>
          <w:p w14:paraId="723CE5CE">
            <w:pPr>
              <w:wordWrap/>
              <w:adjustRightInd/>
              <w:snapToGrid/>
              <w:spacing w:line="240" w:lineRule="auto"/>
              <w:ind w:firstLine="0" w:firstLineChars="0"/>
              <w:jc w:val="center"/>
              <w:rPr>
                <w:rFonts w:cs="Times New Roman"/>
                <w:sz w:val="21"/>
                <w:szCs w:val="21"/>
              </w:rPr>
            </w:pPr>
            <w:r>
              <w:rPr>
                <w:rFonts w:hint="eastAsia" w:cs="Times New Roman"/>
                <w:sz w:val="21"/>
                <w:szCs w:val="21"/>
              </w:rPr>
              <w:t>达标</w:t>
            </w:r>
          </w:p>
        </w:tc>
        <w:tc>
          <w:tcPr>
            <w:tcW w:w="408" w:type="pct"/>
            <w:tcBorders>
              <w:top w:val="single" w:color="auto" w:sz="4" w:space="0"/>
              <w:left w:val="single" w:color="auto" w:sz="4" w:space="0"/>
              <w:bottom w:val="single" w:color="auto" w:sz="12" w:space="0"/>
              <w:right w:val="single" w:color="auto" w:sz="12" w:space="0"/>
            </w:tcBorders>
            <w:vAlign w:val="center"/>
          </w:tcPr>
          <w:p w14:paraId="2A21FF0B">
            <w:pPr>
              <w:wordWrap/>
              <w:adjustRightInd/>
              <w:snapToGrid/>
              <w:spacing w:line="240" w:lineRule="auto"/>
              <w:ind w:firstLine="0" w:firstLineChars="0"/>
              <w:jc w:val="center"/>
              <w:rPr>
                <w:rFonts w:cs="Times New Roman"/>
                <w:sz w:val="21"/>
                <w:szCs w:val="21"/>
              </w:rPr>
            </w:pPr>
            <w:r>
              <w:rPr>
                <w:rFonts w:cs="Times New Roman"/>
                <w:sz w:val="21"/>
                <w:szCs w:val="21"/>
              </w:rPr>
              <w:t>250</w:t>
            </w:r>
          </w:p>
        </w:tc>
      </w:tr>
    </w:tbl>
    <w:p w14:paraId="1FFE4912">
      <w:pPr>
        <w:pStyle w:val="2"/>
        <w:ind w:firstLine="519"/>
      </w:pPr>
    </w:p>
    <w:p w14:paraId="0B8F44EC">
      <w:pPr>
        <w:pStyle w:val="3"/>
        <w:ind w:firstLine="519"/>
        <w:sectPr>
          <w:pgSz w:w="16838" w:h="11906" w:orient="landscape"/>
          <w:pgMar w:top="1797" w:right="1440" w:bottom="1797" w:left="1440" w:header="851" w:footer="992" w:gutter="0"/>
          <w:cols w:space="425" w:num="1"/>
          <w:docGrid w:type="linesAndChars" w:linePitch="340" w:charSpace="4044"/>
        </w:sectPr>
      </w:pPr>
    </w:p>
    <w:p w14:paraId="23027999">
      <w:pPr>
        <w:ind w:firstLine="519"/>
        <w:rPr>
          <w:rFonts w:cs="Times New Roman"/>
        </w:rPr>
        <w:sectPr>
          <w:type w:val="continuous"/>
          <w:pgSz w:w="16838" w:h="11906" w:orient="landscape"/>
          <w:pgMar w:top="1797" w:right="1440" w:bottom="1797" w:left="1440" w:header="851" w:footer="992" w:gutter="0"/>
          <w:cols w:space="425" w:num="1"/>
          <w:docGrid w:type="linesAndChars" w:linePitch="340" w:charSpace="4044"/>
        </w:sectPr>
      </w:pPr>
    </w:p>
    <w:p w14:paraId="33E1E9BE">
      <w:pPr>
        <w:pStyle w:val="7"/>
      </w:pPr>
      <w:bookmarkStart w:id="317" w:name="_Toc90997666"/>
      <w:bookmarkStart w:id="318" w:name="_Toc121420823"/>
      <w:r>
        <w:t>3.3.4 声环境质量现状调查与评价</w:t>
      </w:r>
      <w:bookmarkEnd w:id="317"/>
      <w:bookmarkEnd w:id="318"/>
    </w:p>
    <w:p w14:paraId="35E8C109">
      <w:pPr>
        <w:ind w:firstLine="519"/>
        <w:rPr>
          <w:rFonts w:cs="Times New Roman"/>
        </w:rPr>
      </w:pPr>
      <w:r>
        <w:rPr>
          <w:rFonts w:cs="Times New Roman"/>
        </w:rPr>
        <w:t>本项目委托</w:t>
      </w:r>
      <w:r>
        <w:rPr>
          <w:rFonts w:hint="eastAsia" w:cs="Times New Roman"/>
        </w:rPr>
        <w:t>湖南启帆检测技术有限公司</w:t>
      </w:r>
      <w:r>
        <w:rPr>
          <w:rFonts w:cs="Times New Roman"/>
        </w:rPr>
        <w:t>于2021年11月26日~27日对项目周边的声环境质量进行了监测。</w:t>
      </w:r>
    </w:p>
    <w:p w14:paraId="7FF7F188">
      <w:pPr>
        <w:ind w:firstLine="519"/>
        <w:rPr>
          <w:rFonts w:cs="Times New Roman"/>
        </w:rPr>
      </w:pPr>
      <w:r>
        <w:rPr>
          <w:rFonts w:cs="Times New Roman"/>
        </w:rPr>
        <w:t>（1）监测点：本项目共设置4个监测点，详见下表。具体布置见附图。</w:t>
      </w:r>
    </w:p>
    <w:p w14:paraId="5046B8C0">
      <w:pPr>
        <w:pStyle w:val="9"/>
      </w:pPr>
      <w:r>
        <w:t>表3.3-11  声环境质量监测点位</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78"/>
        <w:gridCol w:w="7150"/>
      </w:tblGrid>
      <w:tr w14:paraId="34302B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808" w:type="pct"/>
            <w:tcBorders>
              <w:top w:val="single" w:color="auto" w:sz="12" w:space="0"/>
            </w:tcBorders>
            <w:vAlign w:val="center"/>
          </w:tcPr>
          <w:p w14:paraId="4E142F33">
            <w:pPr>
              <w:pStyle w:val="48"/>
            </w:pPr>
            <w:r>
              <w:t>编号</w:t>
            </w:r>
          </w:p>
        </w:tc>
        <w:tc>
          <w:tcPr>
            <w:tcW w:w="4192" w:type="pct"/>
            <w:tcBorders>
              <w:top w:val="single" w:color="auto" w:sz="12" w:space="0"/>
            </w:tcBorders>
            <w:vAlign w:val="center"/>
          </w:tcPr>
          <w:p w14:paraId="48EFC742">
            <w:pPr>
              <w:pStyle w:val="48"/>
            </w:pPr>
            <w:r>
              <w:t>监测点位名称</w:t>
            </w:r>
          </w:p>
        </w:tc>
      </w:tr>
      <w:tr w14:paraId="7A2E4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808" w:type="pct"/>
            <w:tcBorders>
              <w:top w:val="single" w:color="auto" w:sz="2" w:space="0"/>
              <w:left w:val="single" w:color="auto" w:sz="12" w:space="0"/>
              <w:bottom w:val="single" w:color="auto" w:sz="2" w:space="0"/>
              <w:right w:val="single" w:color="auto" w:sz="2" w:space="0"/>
            </w:tcBorders>
            <w:vAlign w:val="center"/>
          </w:tcPr>
          <w:p w14:paraId="132118DD">
            <w:pPr>
              <w:pStyle w:val="48"/>
            </w:pPr>
            <w:r>
              <w:t>Z1</w:t>
            </w:r>
          </w:p>
        </w:tc>
        <w:tc>
          <w:tcPr>
            <w:tcW w:w="4192" w:type="pct"/>
            <w:tcBorders>
              <w:top w:val="single" w:color="auto" w:sz="4" w:space="0"/>
              <w:left w:val="single" w:color="auto" w:sz="4" w:space="0"/>
              <w:bottom w:val="single" w:color="auto" w:sz="4" w:space="0"/>
              <w:right w:val="single" w:color="auto" w:sz="12" w:space="0"/>
            </w:tcBorders>
            <w:vAlign w:val="center"/>
          </w:tcPr>
          <w:p w14:paraId="787A9895">
            <w:pPr>
              <w:pStyle w:val="48"/>
            </w:pPr>
            <w:r>
              <w:t>CK28井拟建地西侧</w:t>
            </w:r>
          </w:p>
        </w:tc>
      </w:tr>
      <w:tr w14:paraId="07B8E6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808" w:type="pct"/>
            <w:tcBorders>
              <w:top w:val="single" w:color="auto" w:sz="2" w:space="0"/>
              <w:left w:val="single" w:color="auto" w:sz="12" w:space="0"/>
              <w:bottom w:val="single" w:color="auto" w:sz="2" w:space="0"/>
              <w:right w:val="single" w:color="auto" w:sz="2" w:space="0"/>
            </w:tcBorders>
            <w:vAlign w:val="center"/>
          </w:tcPr>
          <w:p w14:paraId="5A3EA71A">
            <w:pPr>
              <w:pStyle w:val="48"/>
            </w:pPr>
            <w:r>
              <w:t>Z2</w:t>
            </w:r>
          </w:p>
        </w:tc>
        <w:tc>
          <w:tcPr>
            <w:tcW w:w="4192" w:type="pct"/>
            <w:tcBorders>
              <w:top w:val="single" w:color="auto" w:sz="4" w:space="0"/>
              <w:left w:val="single" w:color="auto" w:sz="4" w:space="0"/>
              <w:bottom w:val="single" w:color="auto" w:sz="4" w:space="0"/>
              <w:right w:val="single" w:color="auto" w:sz="12" w:space="0"/>
            </w:tcBorders>
            <w:vAlign w:val="center"/>
          </w:tcPr>
          <w:p w14:paraId="576A9C35">
            <w:pPr>
              <w:pStyle w:val="48"/>
            </w:pPr>
            <w:r>
              <w:t>CK27、CK26井拟建地附近</w:t>
            </w:r>
          </w:p>
        </w:tc>
      </w:tr>
      <w:tr w14:paraId="716C3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808" w:type="pct"/>
            <w:tcBorders>
              <w:top w:val="single" w:color="auto" w:sz="2" w:space="0"/>
              <w:left w:val="single" w:color="auto" w:sz="12" w:space="0"/>
              <w:bottom w:val="single" w:color="auto" w:sz="2" w:space="0"/>
              <w:right w:val="single" w:color="auto" w:sz="2" w:space="0"/>
            </w:tcBorders>
            <w:vAlign w:val="center"/>
          </w:tcPr>
          <w:p w14:paraId="597C63B1">
            <w:pPr>
              <w:pStyle w:val="48"/>
            </w:pPr>
            <w:r>
              <w:t>Z3</w:t>
            </w:r>
          </w:p>
        </w:tc>
        <w:tc>
          <w:tcPr>
            <w:tcW w:w="4192" w:type="pct"/>
            <w:tcBorders>
              <w:top w:val="single" w:color="auto" w:sz="4" w:space="0"/>
              <w:left w:val="single" w:color="auto" w:sz="4" w:space="0"/>
              <w:bottom w:val="single" w:color="auto" w:sz="4" w:space="0"/>
              <w:right w:val="single" w:color="auto" w:sz="12" w:space="0"/>
            </w:tcBorders>
            <w:vAlign w:val="center"/>
          </w:tcPr>
          <w:p w14:paraId="3C886B30">
            <w:pPr>
              <w:pStyle w:val="48"/>
            </w:pPr>
            <w:r>
              <w:t>CK25井拟建地附近</w:t>
            </w:r>
          </w:p>
        </w:tc>
      </w:tr>
      <w:tr w14:paraId="50BBC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808" w:type="pct"/>
            <w:tcBorders>
              <w:top w:val="single" w:color="auto" w:sz="2" w:space="0"/>
              <w:left w:val="single" w:color="auto" w:sz="12" w:space="0"/>
              <w:bottom w:val="single" w:color="auto" w:sz="12" w:space="0"/>
              <w:right w:val="single" w:color="auto" w:sz="2" w:space="0"/>
            </w:tcBorders>
            <w:vAlign w:val="center"/>
          </w:tcPr>
          <w:p w14:paraId="083A6E8E">
            <w:pPr>
              <w:pStyle w:val="48"/>
            </w:pPr>
            <w:r>
              <w:t>Z4</w:t>
            </w:r>
          </w:p>
        </w:tc>
        <w:tc>
          <w:tcPr>
            <w:tcW w:w="4192" w:type="pct"/>
            <w:tcBorders>
              <w:top w:val="single" w:color="auto" w:sz="4" w:space="0"/>
              <w:left w:val="single" w:color="auto" w:sz="4" w:space="0"/>
              <w:bottom w:val="single" w:color="auto" w:sz="12" w:space="0"/>
              <w:right w:val="single" w:color="auto" w:sz="12" w:space="0"/>
            </w:tcBorders>
            <w:vAlign w:val="center"/>
          </w:tcPr>
          <w:p w14:paraId="01189275">
            <w:pPr>
              <w:pStyle w:val="48"/>
            </w:pPr>
            <w:r>
              <w:t>采卤泵房南侧</w:t>
            </w:r>
          </w:p>
        </w:tc>
      </w:tr>
    </w:tbl>
    <w:p w14:paraId="537056E6">
      <w:pPr>
        <w:ind w:firstLine="519"/>
        <w:rPr>
          <w:rFonts w:cs="Times New Roman"/>
        </w:rPr>
      </w:pPr>
      <w:r>
        <w:rPr>
          <w:rFonts w:cs="Times New Roman"/>
        </w:rPr>
        <w:t>（2）监测因子：连续等效A声级dB（A）。</w:t>
      </w:r>
    </w:p>
    <w:p w14:paraId="1E5129E9">
      <w:pPr>
        <w:ind w:firstLine="519"/>
        <w:rPr>
          <w:rFonts w:cs="Times New Roman"/>
        </w:rPr>
      </w:pPr>
      <w:r>
        <w:rPr>
          <w:rFonts w:cs="Times New Roman"/>
        </w:rPr>
        <w:t>（3）监测频次：连续监测2天，每天昼夜各一次，昼间6：00~22：00，夜间22：00~次日6：00。</w:t>
      </w:r>
    </w:p>
    <w:p w14:paraId="7AC8D958">
      <w:pPr>
        <w:ind w:firstLine="519"/>
        <w:rPr>
          <w:rFonts w:cs="Times New Roman"/>
        </w:rPr>
      </w:pPr>
      <w:r>
        <w:rPr>
          <w:rFonts w:cs="Times New Roman"/>
        </w:rPr>
        <w:t>（4）执行标准：《声环境质量标准》（GB3096-2008）中3类</w:t>
      </w:r>
      <w:r>
        <w:rPr>
          <w:rFonts w:hint="eastAsia" w:cs="Times New Roman"/>
        </w:rPr>
        <w:t>及4</w:t>
      </w:r>
      <w:r>
        <w:rPr>
          <w:rFonts w:cs="Times New Roman"/>
        </w:rPr>
        <w:t>a</w:t>
      </w:r>
      <w:r>
        <w:rPr>
          <w:rFonts w:hint="eastAsia" w:cs="Times New Roman"/>
        </w:rPr>
        <w:t>类</w:t>
      </w:r>
      <w:r>
        <w:rPr>
          <w:rFonts w:cs="Times New Roman"/>
        </w:rPr>
        <w:t>标准执行。</w:t>
      </w:r>
    </w:p>
    <w:p w14:paraId="78825BC1">
      <w:pPr>
        <w:ind w:firstLine="519"/>
        <w:rPr>
          <w:rFonts w:cs="Times New Roman"/>
        </w:rPr>
      </w:pPr>
      <w:r>
        <w:rPr>
          <w:rFonts w:cs="Times New Roman"/>
        </w:rPr>
        <w:t>（5）监测结果：见下表。</w:t>
      </w:r>
    </w:p>
    <w:p w14:paraId="546D153A">
      <w:pPr>
        <w:pStyle w:val="9"/>
      </w:pPr>
      <w:r>
        <w:t>表3.3-12  声环境质量监测结果  单位：dB（A）</w:t>
      </w:r>
    </w:p>
    <w:tbl>
      <w:tblPr>
        <w:tblStyle w:val="29"/>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24"/>
        <w:gridCol w:w="913"/>
        <w:gridCol w:w="920"/>
        <w:gridCol w:w="913"/>
        <w:gridCol w:w="914"/>
        <w:gridCol w:w="913"/>
        <w:gridCol w:w="914"/>
        <w:gridCol w:w="913"/>
        <w:gridCol w:w="904"/>
      </w:tblGrid>
      <w:tr w14:paraId="7C4C7F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18" w:type="pct"/>
            <w:vMerge w:val="restart"/>
            <w:tcBorders>
              <w:top w:val="single" w:color="auto" w:sz="12" w:space="0"/>
              <w:left w:val="single" w:color="auto" w:sz="12" w:space="0"/>
            </w:tcBorders>
            <w:vAlign w:val="center"/>
          </w:tcPr>
          <w:p w14:paraId="0A710681">
            <w:pPr>
              <w:pStyle w:val="48"/>
            </w:pPr>
            <w:r>
              <w:t>监测点</w:t>
            </w:r>
          </w:p>
        </w:tc>
        <w:tc>
          <w:tcPr>
            <w:tcW w:w="1074" w:type="pct"/>
            <w:gridSpan w:val="2"/>
            <w:tcBorders>
              <w:top w:val="single" w:color="auto" w:sz="12" w:space="0"/>
            </w:tcBorders>
            <w:vAlign w:val="center"/>
          </w:tcPr>
          <w:p w14:paraId="1BBAB4BF">
            <w:pPr>
              <w:pStyle w:val="48"/>
            </w:pPr>
            <w:r>
              <w:t>2021.11.26</w:t>
            </w:r>
          </w:p>
        </w:tc>
        <w:tc>
          <w:tcPr>
            <w:tcW w:w="1071" w:type="pct"/>
            <w:gridSpan w:val="2"/>
            <w:tcBorders>
              <w:top w:val="single" w:color="auto" w:sz="12" w:space="0"/>
            </w:tcBorders>
            <w:vAlign w:val="center"/>
          </w:tcPr>
          <w:p w14:paraId="0B8227E2">
            <w:pPr>
              <w:pStyle w:val="48"/>
            </w:pPr>
            <w:r>
              <w:t>2021.11.27</w:t>
            </w:r>
          </w:p>
        </w:tc>
        <w:tc>
          <w:tcPr>
            <w:tcW w:w="1071" w:type="pct"/>
            <w:gridSpan w:val="2"/>
            <w:tcBorders>
              <w:top w:val="single" w:color="auto" w:sz="12" w:space="0"/>
            </w:tcBorders>
            <w:vAlign w:val="center"/>
          </w:tcPr>
          <w:p w14:paraId="79FA55D2">
            <w:pPr>
              <w:pStyle w:val="48"/>
            </w:pPr>
            <w:r>
              <w:t>标准限值</w:t>
            </w:r>
          </w:p>
        </w:tc>
        <w:tc>
          <w:tcPr>
            <w:tcW w:w="1065" w:type="pct"/>
            <w:gridSpan w:val="2"/>
            <w:tcBorders>
              <w:top w:val="single" w:color="auto" w:sz="12" w:space="0"/>
              <w:right w:val="single" w:color="auto" w:sz="12" w:space="0"/>
            </w:tcBorders>
            <w:vAlign w:val="center"/>
          </w:tcPr>
          <w:p w14:paraId="57E2BD01">
            <w:pPr>
              <w:pStyle w:val="48"/>
            </w:pPr>
            <w:r>
              <w:t>达标情况</w:t>
            </w:r>
          </w:p>
        </w:tc>
      </w:tr>
      <w:tr w14:paraId="7D602D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18" w:type="pct"/>
            <w:vMerge w:val="continue"/>
            <w:tcBorders>
              <w:left w:val="single" w:color="auto" w:sz="12" w:space="0"/>
            </w:tcBorders>
            <w:vAlign w:val="center"/>
          </w:tcPr>
          <w:p w14:paraId="4D1C315A">
            <w:pPr>
              <w:pStyle w:val="48"/>
            </w:pPr>
          </w:p>
        </w:tc>
        <w:tc>
          <w:tcPr>
            <w:tcW w:w="535" w:type="pct"/>
            <w:vAlign w:val="center"/>
          </w:tcPr>
          <w:p w14:paraId="1BA65224">
            <w:pPr>
              <w:pStyle w:val="48"/>
            </w:pPr>
            <w:r>
              <w:t>昼间</w:t>
            </w:r>
          </w:p>
        </w:tc>
        <w:tc>
          <w:tcPr>
            <w:tcW w:w="539" w:type="pct"/>
            <w:vAlign w:val="center"/>
          </w:tcPr>
          <w:p w14:paraId="78BE2094">
            <w:pPr>
              <w:pStyle w:val="48"/>
            </w:pPr>
            <w:r>
              <w:t>夜间</w:t>
            </w:r>
          </w:p>
        </w:tc>
        <w:tc>
          <w:tcPr>
            <w:tcW w:w="535" w:type="pct"/>
            <w:vAlign w:val="center"/>
          </w:tcPr>
          <w:p w14:paraId="67950A20">
            <w:pPr>
              <w:pStyle w:val="48"/>
            </w:pPr>
            <w:r>
              <w:t>昼间</w:t>
            </w:r>
          </w:p>
        </w:tc>
        <w:tc>
          <w:tcPr>
            <w:tcW w:w="536" w:type="pct"/>
            <w:vAlign w:val="center"/>
          </w:tcPr>
          <w:p w14:paraId="5C64A4AB">
            <w:pPr>
              <w:pStyle w:val="48"/>
            </w:pPr>
            <w:r>
              <w:t>夜间</w:t>
            </w:r>
          </w:p>
        </w:tc>
        <w:tc>
          <w:tcPr>
            <w:tcW w:w="535" w:type="pct"/>
            <w:vAlign w:val="center"/>
          </w:tcPr>
          <w:p w14:paraId="6F3D5EDD">
            <w:pPr>
              <w:pStyle w:val="48"/>
            </w:pPr>
            <w:r>
              <w:t>昼间</w:t>
            </w:r>
          </w:p>
        </w:tc>
        <w:tc>
          <w:tcPr>
            <w:tcW w:w="536" w:type="pct"/>
            <w:vAlign w:val="center"/>
          </w:tcPr>
          <w:p w14:paraId="32C2A6BD">
            <w:pPr>
              <w:pStyle w:val="48"/>
            </w:pPr>
            <w:r>
              <w:t>夜间</w:t>
            </w:r>
          </w:p>
        </w:tc>
        <w:tc>
          <w:tcPr>
            <w:tcW w:w="535" w:type="pct"/>
            <w:vAlign w:val="center"/>
          </w:tcPr>
          <w:p w14:paraId="4613562C">
            <w:pPr>
              <w:pStyle w:val="48"/>
            </w:pPr>
            <w:r>
              <w:t>昼间</w:t>
            </w:r>
          </w:p>
        </w:tc>
        <w:tc>
          <w:tcPr>
            <w:tcW w:w="530" w:type="pct"/>
            <w:tcBorders>
              <w:right w:val="single" w:color="auto" w:sz="12" w:space="0"/>
            </w:tcBorders>
            <w:vAlign w:val="center"/>
          </w:tcPr>
          <w:p w14:paraId="34F36BDC">
            <w:pPr>
              <w:pStyle w:val="48"/>
            </w:pPr>
            <w:r>
              <w:t>夜间</w:t>
            </w:r>
          </w:p>
        </w:tc>
      </w:tr>
      <w:tr w14:paraId="338FBB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18" w:type="pct"/>
            <w:tcBorders>
              <w:top w:val="single" w:color="auto" w:sz="2" w:space="0"/>
              <w:left w:val="single" w:color="auto" w:sz="12" w:space="0"/>
              <w:bottom w:val="single" w:color="auto" w:sz="2" w:space="0"/>
              <w:right w:val="single" w:color="auto" w:sz="2" w:space="0"/>
            </w:tcBorders>
            <w:vAlign w:val="center"/>
          </w:tcPr>
          <w:p w14:paraId="59687986">
            <w:pPr>
              <w:pStyle w:val="48"/>
            </w:pPr>
            <w:r>
              <w:t>Z1</w:t>
            </w:r>
          </w:p>
        </w:tc>
        <w:tc>
          <w:tcPr>
            <w:tcW w:w="535" w:type="pct"/>
            <w:vAlign w:val="center"/>
          </w:tcPr>
          <w:p w14:paraId="62481218">
            <w:pPr>
              <w:pStyle w:val="48"/>
            </w:pPr>
            <w:r>
              <w:rPr>
                <w:rFonts w:hint="eastAsia"/>
              </w:rPr>
              <w:t>5</w:t>
            </w:r>
            <w:r>
              <w:t>9.8</w:t>
            </w:r>
          </w:p>
        </w:tc>
        <w:tc>
          <w:tcPr>
            <w:tcW w:w="539" w:type="pct"/>
            <w:vAlign w:val="center"/>
          </w:tcPr>
          <w:p w14:paraId="3F6D91EF">
            <w:pPr>
              <w:pStyle w:val="48"/>
            </w:pPr>
            <w:r>
              <w:rPr>
                <w:rFonts w:hint="eastAsia"/>
              </w:rPr>
              <w:t>4</w:t>
            </w:r>
            <w:r>
              <w:t>9.2</w:t>
            </w:r>
          </w:p>
        </w:tc>
        <w:tc>
          <w:tcPr>
            <w:tcW w:w="535" w:type="pct"/>
            <w:vAlign w:val="center"/>
          </w:tcPr>
          <w:p w14:paraId="1D5DB61D">
            <w:pPr>
              <w:pStyle w:val="48"/>
            </w:pPr>
            <w:r>
              <w:rPr>
                <w:rFonts w:hint="eastAsia"/>
              </w:rPr>
              <w:t>6</w:t>
            </w:r>
            <w:r>
              <w:t>0.2</w:t>
            </w:r>
          </w:p>
        </w:tc>
        <w:tc>
          <w:tcPr>
            <w:tcW w:w="536" w:type="pct"/>
            <w:vAlign w:val="center"/>
          </w:tcPr>
          <w:p w14:paraId="774C9CCE">
            <w:pPr>
              <w:pStyle w:val="48"/>
            </w:pPr>
            <w:r>
              <w:rPr>
                <w:rFonts w:hint="eastAsia"/>
              </w:rPr>
              <w:t>5</w:t>
            </w:r>
            <w:r>
              <w:t>0.2</w:t>
            </w:r>
          </w:p>
        </w:tc>
        <w:tc>
          <w:tcPr>
            <w:tcW w:w="535" w:type="pct"/>
            <w:vAlign w:val="center"/>
          </w:tcPr>
          <w:p w14:paraId="2606DF0A">
            <w:pPr>
              <w:pStyle w:val="48"/>
            </w:pPr>
            <w:r>
              <w:t>65</w:t>
            </w:r>
          </w:p>
        </w:tc>
        <w:tc>
          <w:tcPr>
            <w:tcW w:w="536" w:type="pct"/>
            <w:vAlign w:val="center"/>
          </w:tcPr>
          <w:p w14:paraId="7413A361">
            <w:pPr>
              <w:pStyle w:val="48"/>
            </w:pPr>
            <w:r>
              <w:t>55</w:t>
            </w:r>
          </w:p>
        </w:tc>
        <w:tc>
          <w:tcPr>
            <w:tcW w:w="535" w:type="pct"/>
            <w:vAlign w:val="center"/>
          </w:tcPr>
          <w:p w14:paraId="440A3CC9">
            <w:pPr>
              <w:pStyle w:val="48"/>
            </w:pPr>
            <w:r>
              <w:t>达标</w:t>
            </w:r>
          </w:p>
        </w:tc>
        <w:tc>
          <w:tcPr>
            <w:tcW w:w="530" w:type="pct"/>
            <w:tcBorders>
              <w:right w:val="single" w:color="auto" w:sz="12" w:space="0"/>
            </w:tcBorders>
            <w:vAlign w:val="center"/>
          </w:tcPr>
          <w:p w14:paraId="6F485D66">
            <w:pPr>
              <w:pStyle w:val="48"/>
            </w:pPr>
            <w:r>
              <w:t>达标</w:t>
            </w:r>
          </w:p>
        </w:tc>
      </w:tr>
      <w:tr w14:paraId="5854EB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18" w:type="pct"/>
            <w:tcBorders>
              <w:top w:val="single" w:color="auto" w:sz="2" w:space="0"/>
              <w:left w:val="single" w:color="auto" w:sz="12" w:space="0"/>
              <w:bottom w:val="single" w:color="auto" w:sz="2" w:space="0"/>
              <w:right w:val="single" w:color="auto" w:sz="2" w:space="0"/>
            </w:tcBorders>
            <w:vAlign w:val="center"/>
          </w:tcPr>
          <w:p w14:paraId="3EF4E86B">
            <w:pPr>
              <w:pStyle w:val="48"/>
            </w:pPr>
            <w:r>
              <w:t>Z2</w:t>
            </w:r>
          </w:p>
        </w:tc>
        <w:tc>
          <w:tcPr>
            <w:tcW w:w="535" w:type="pct"/>
            <w:vAlign w:val="center"/>
          </w:tcPr>
          <w:p w14:paraId="34810A0F">
            <w:pPr>
              <w:pStyle w:val="48"/>
            </w:pPr>
            <w:r>
              <w:rPr>
                <w:rFonts w:hint="eastAsia"/>
              </w:rPr>
              <w:t>6</w:t>
            </w:r>
            <w:r>
              <w:t>2.7</w:t>
            </w:r>
          </w:p>
        </w:tc>
        <w:tc>
          <w:tcPr>
            <w:tcW w:w="539" w:type="pct"/>
            <w:vAlign w:val="center"/>
          </w:tcPr>
          <w:p w14:paraId="72584FBD">
            <w:pPr>
              <w:pStyle w:val="48"/>
            </w:pPr>
            <w:r>
              <w:rPr>
                <w:rFonts w:hint="eastAsia"/>
              </w:rPr>
              <w:t>5</w:t>
            </w:r>
            <w:r>
              <w:t>3.8</w:t>
            </w:r>
          </w:p>
        </w:tc>
        <w:tc>
          <w:tcPr>
            <w:tcW w:w="535" w:type="pct"/>
            <w:vAlign w:val="center"/>
          </w:tcPr>
          <w:p w14:paraId="4F4EE162">
            <w:pPr>
              <w:pStyle w:val="48"/>
            </w:pPr>
            <w:r>
              <w:rPr>
                <w:rFonts w:hint="eastAsia"/>
              </w:rPr>
              <w:t>6</w:t>
            </w:r>
            <w:r>
              <w:t>1.5</w:t>
            </w:r>
          </w:p>
        </w:tc>
        <w:tc>
          <w:tcPr>
            <w:tcW w:w="536" w:type="pct"/>
            <w:vAlign w:val="center"/>
          </w:tcPr>
          <w:p w14:paraId="2720B5A2">
            <w:pPr>
              <w:pStyle w:val="48"/>
            </w:pPr>
            <w:r>
              <w:rPr>
                <w:rFonts w:hint="eastAsia"/>
              </w:rPr>
              <w:t>5</w:t>
            </w:r>
            <w:r>
              <w:t>1.8</w:t>
            </w:r>
          </w:p>
        </w:tc>
        <w:tc>
          <w:tcPr>
            <w:tcW w:w="535" w:type="pct"/>
            <w:vAlign w:val="center"/>
          </w:tcPr>
          <w:p w14:paraId="0433B609">
            <w:pPr>
              <w:pStyle w:val="48"/>
            </w:pPr>
            <w:r>
              <w:t>70</w:t>
            </w:r>
          </w:p>
        </w:tc>
        <w:tc>
          <w:tcPr>
            <w:tcW w:w="536" w:type="pct"/>
            <w:vAlign w:val="center"/>
          </w:tcPr>
          <w:p w14:paraId="160319F0">
            <w:pPr>
              <w:pStyle w:val="48"/>
            </w:pPr>
            <w:r>
              <w:t>55</w:t>
            </w:r>
          </w:p>
        </w:tc>
        <w:tc>
          <w:tcPr>
            <w:tcW w:w="535" w:type="pct"/>
            <w:vAlign w:val="center"/>
          </w:tcPr>
          <w:p w14:paraId="37D2582B">
            <w:pPr>
              <w:pStyle w:val="48"/>
            </w:pPr>
            <w:r>
              <w:t>达标</w:t>
            </w:r>
          </w:p>
        </w:tc>
        <w:tc>
          <w:tcPr>
            <w:tcW w:w="530" w:type="pct"/>
            <w:tcBorders>
              <w:right w:val="single" w:color="auto" w:sz="12" w:space="0"/>
            </w:tcBorders>
            <w:vAlign w:val="center"/>
          </w:tcPr>
          <w:p w14:paraId="14081B26">
            <w:pPr>
              <w:pStyle w:val="48"/>
            </w:pPr>
            <w:r>
              <w:t>达标</w:t>
            </w:r>
          </w:p>
        </w:tc>
      </w:tr>
      <w:tr w14:paraId="52A030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18" w:type="pct"/>
            <w:tcBorders>
              <w:top w:val="single" w:color="auto" w:sz="2" w:space="0"/>
              <w:left w:val="single" w:color="auto" w:sz="12" w:space="0"/>
              <w:bottom w:val="single" w:color="auto" w:sz="2" w:space="0"/>
              <w:right w:val="single" w:color="auto" w:sz="2" w:space="0"/>
            </w:tcBorders>
            <w:vAlign w:val="center"/>
          </w:tcPr>
          <w:p w14:paraId="17D8E77B">
            <w:pPr>
              <w:pStyle w:val="48"/>
            </w:pPr>
            <w:r>
              <w:t>Z3</w:t>
            </w:r>
          </w:p>
        </w:tc>
        <w:tc>
          <w:tcPr>
            <w:tcW w:w="535" w:type="pct"/>
            <w:vAlign w:val="center"/>
          </w:tcPr>
          <w:p w14:paraId="3F9BC264">
            <w:pPr>
              <w:pStyle w:val="48"/>
            </w:pPr>
            <w:r>
              <w:rPr>
                <w:rFonts w:hint="eastAsia"/>
              </w:rPr>
              <w:t>6</w:t>
            </w:r>
            <w:r>
              <w:t>4.2</w:t>
            </w:r>
          </w:p>
        </w:tc>
        <w:tc>
          <w:tcPr>
            <w:tcW w:w="539" w:type="pct"/>
            <w:vAlign w:val="center"/>
          </w:tcPr>
          <w:p w14:paraId="5FAE9AA2">
            <w:pPr>
              <w:pStyle w:val="48"/>
            </w:pPr>
            <w:r>
              <w:rPr>
                <w:rFonts w:hint="eastAsia"/>
              </w:rPr>
              <w:t>5</w:t>
            </w:r>
            <w:r>
              <w:t>4.1</w:t>
            </w:r>
          </w:p>
        </w:tc>
        <w:tc>
          <w:tcPr>
            <w:tcW w:w="535" w:type="pct"/>
            <w:vAlign w:val="center"/>
          </w:tcPr>
          <w:p w14:paraId="326A2026">
            <w:pPr>
              <w:pStyle w:val="48"/>
            </w:pPr>
            <w:r>
              <w:rPr>
                <w:rFonts w:hint="eastAsia"/>
              </w:rPr>
              <w:t>6</w:t>
            </w:r>
            <w:r>
              <w:t>3.2</w:t>
            </w:r>
          </w:p>
        </w:tc>
        <w:tc>
          <w:tcPr>
            <w:tcW w:w="536" w:type="pct"/>
            <w:vAlign w:val="center"/>
          </w:tcPr>
          <w:p w14:paraId="2760E8F4">
            <w:pPr>
              <w:pStyle w:val="48"/>
            </w:pPr>
            <w:r>
              <w:rPr>
                <w:rFonts w:hint="eastAsia"/>
              </w:rPr>
              <w:t>5</w:t>
            </w:r>
            <w:r>
              <w:t>3.2</w:t>
            </w:r>
          </w:p>
        </w:tc>
        <w:tc>
          <w:tcPr>
            <w:tcW w:w="535" w:type="pct"/>
            <w:vAlign w:val="center"/>
          </w:tcPr>
          <w:p w14:paraId="7CD9FE71">
            <w:pPr>
              <w:pStyle w:val="48"/>
            </w:pPr>
            <w:r>
              <w:t>70</w:t>
            </w:r>
          </w:p>
        </w:tc>
        <w:tc>
          <w:tcPr>
            <w:tcW w:w="536" w:type="pct"/>
            <w:vAlign w:val="center"/>
          </w:tcPr>
          <w:p w14:paraId="18B1CF3D">
            <w:pPr>
              <w:pStyle w:val="48"/>
            </w:pPr>
            <w:r>
              <w:t>55</w:t>
            </w:r>
          </w:p>
        </w:tc>
        <w:tc>
          <w:tcPr>
            <w:tcW w:w="535" w:type="pct"/>
            <w:vAlign w:val="center"/>
          </w:tcPr>
          <w:p w14:paraId="4BDEBFF3">
            <w:pPr>
              <w:pStyle w:val="48"/>
            </w:pPr>
            <w:r>
              <w:t>达标</w:t>
            </w:r>
          </w:p>
        </w:tc>
        <w:tc>
          <w:tcPr>
            <w:tcW w:w="530" w:type="pct"/>
            <w:tcBorders>
              <w:right w:val="single" w:color="auto" w:sz="12" w:space="0"/>
            </w:tcBorders>
            <w:vAlign w:val="center"/>
          </w:tcPr>
          <w:p w14:paraId="4574FEDA">
            <w:pPr>
              <w:pStyle w:val="48"/>
            </w:pPr>
            <w:r>
              <w:t>达标</w:t>
            </w:r>
          </w:p>
        </w:tc>
      </w:tr>
      <w:tr w14:paraId="3045D6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18" w:type="pct"/>
            <w:tcBorders>
              <w:top w:val="single" w:color="auto" w:sz="2" w:space="0"/>
              <w:left w:val="single" w:color="auto" w:sz="12" w:space="0"/>
              <w:bottom w:val="single" w:color="auto" w:sz="12" w:space="0"/>
              <w:right w:val="single" w:color="auto" w:sz="2" w:space="0"/>
            </w:tcBorders>
            <w:vAlign w:val="center"/>
          </w:tcPr>
          <w:p w14:paraId="1731DB40">
            <w:pPr>
              <w:pStyle w:val="48"/>
            </w:pPr>
            <w:r>
              <w:t>Z4</w:t>
            </w:r>
          </w:p>
        </w:tc>
        <w:tc>
          <w:tcPr>
            <w:tcW w:w="535" w:type="pct"/>
            <w:tcBorders>
              <w:bottom w:val="single" w:color="auto" w:sz="12" w:space="0"/>
            </w:tcBorders>
            <w:vAlign w:val="center"/>
          </w:tcPr>
          <w:p w14:paraId="5908FC3F">
            <w:pPr>
              <w:pStyle w:val="48"/>
            </w:pPr>
            <w:r>
              <w:rPr>
                <w:rFonts w:hint="eastAsia"/>
              </w:rPr>
              <w:t>5</w:t>
            </w:r>
            <w:r>
              <w:t>8.6</w:t>
            </w:r>
          </w:p>
        </w:tc>
        <w:tc>
          <w:tcPr>
            <w:tcW w:w="539" w:type="pct"/>
            <w:tcBorders>
              <w:bottom w:val="single" w:color="auto" w:sz="12" w:space="0"/>
            </w:tcBorders>
            <w:vAlign w:val="center"/>
          </w:tcPr>
          <w:p w14:paraId="16EDF7D2">
            <w:pPr>
              <w:pStyle w:val="48"/>
            </w:pPr>
            <w:r>
              <w:rPr>
                <w:rFonts w:hint="eastAsia"/>
              </w:rPr>
              <w:t>4</w:t>
            </w:r>
            <w:r>
              <w:t>8.2</w:t>
            </w:r>
          </w:p>
        </w:tc>
        <w:tc>
          <w:tcPr>
            <w:tcW w:w="535" w:type="pct"/>
            <w:tcBorders>
              <w:bottom w:val="single" w:color="auto" w:sz="12" w:space="0"/>
            </w:tcBorders>
            <w:vAlign w:val="center"/>
          </w:tcPr>
          <w:p w14:paraId="5E2CDCDB">
            <w:pPr>
              <w:pStyle w:val="48"/>
            </w:pPr>
            <w:r>
              <w:rPr>
                <w:rFonts w:hint="eastAsia"/>
              </w:rPr>
              <w:t>5</w:t>
            </w:r>
            <w:r>
              <w:t>9.5</w:t>
            </w:r>
          </w:p>
        </w:tc>
        <w:tc>
          <w:tcPr>
            <w:tcW w:w="536" w:type="pct"/>
            <w:tcBorders>
              <w:bottom w:val="single" w:color="auto" w:sz="12" w:space="0"/>
            </w:tcBorders>
            <w:vAlign w:val="center"/>
          </w:tcPr>
          <w:p w14:paraId="60C15C3E">
            <w:pPr>
              <w:pStyle w:val="48"/>
            </w:pPr>
            <w:r>
              <w:rPr>
                <w:rFonts w:hint="eastAsia"/>
              </w:rPr>
              <w:t>4</w:t>
            </w:r>
            <w:r>
              <w:t>8.6</w:t>
            </w:r>
          </w:p>
        </w:tc>
        <w:tc>
          <w:tcPr>
            <w:tcW w:w="535" w:type="pct"/>
            <w:tcBorders>
              <w:bottom w:val="single" w:color="auto" w:sz="12" w:space="0"/>
            </w:tcBorders>
            <w:vAlign w:val="center"/>
          </w:tcPr>
          <w:p w14:paraId="49B7A2EE">
            <w:pPr>
              <w:pStyle w:val="48"/>
            </w:pPr>
            <w:r>
              <w:t>65</w:t>
            </w:r>
          </w:p>
        </w:tc>
        <w:tc>
          <w:tcPr>
            <w:tcW w:w="536" w:type="pct"/>
            <w:tcBorders>
              <w:bottom w:val="single" w:color="auto" w:sz="12" w:space="0"/>
            </w:tcBorders>
            <w:vAlign w:val="center"/>
          </w:tcPr>
          <w:p w14:paraId="6E04DE0E">
            <w:pPr>
              <w:pStyle w:val="48"/>
            </w:pPr>
            <w:r>
              <w:t>55</w:t>
            </w:r>
          </w:p>
        </w:tc>
        <w:tc>
          <w:tcPr>
            <w:tcW w:w="535" w:type="pct"/>
            <w:tcBorders>
              <w:bottom w:val="single" w:color="auto" w:sz="12" w:space="0"/>
            </w:tcBorders>
            <w:vAlign w:val="center"/>
          </w:tcPr>
          <w:p w14:paraId="3A078538">
            <w:pPr>
              <w:pStyle w:val="48"/>
            </w:pPr>
            <w:r>
              <w:t>达标</w:t>
            </w:r>
          </w:p>
        </w:tc>
        <w:tc>
          <w:tcPr>
            <w:tcW w:w="530" w:type="pct"/>
            <w:tcBorders>
              <w:bottom w:val="single" w:color="auto" w:sz="12" w:space="0"/>
              <w:right w:val="single" w:color="auto" w:sz="12" w:space="0"/>
            </w:tcBorders>
            <w:vAlign w:val="center"/>
          </w:tcPr>
          <w:p w14:paraId="7FB89E3A">
            <w:pPr>
              <w:pStyle w:val="48"/>
            </w:pPr>
            <w:r>
              <w:t>达标</w:t>
            </w:r>
          </w:p>
        </w:tc>
      </w:tr>
    </w:tbl>
    <w:p w14:paraId="53BACCF7">
      <w:pPr>
        <w:ind w:firstLine="519"/>
        <w:rPr>
          <w:rFonts w:cs="Times New Roman"/>
        </w:rPr>
      </w:pPr>
      <w:r>
        <w:rPr>
          <w:rFonts w:cs="Times New Roman"/>
        </w:rPr>
        <w:t>由上表可知，项目选址的噪声检测值均可达到《声环境质量标准》（GB3096-2008）3类</w:t>
      </w:r>
      <w:r>
        <w:rPr>
          <w:rFonts w:hint="eastAsia" w:cs="Times New Roman"/>
        </w:rPr>
        <w:t>及4</w:t>
      </w:r>
      <w:r>
        <w:rPr>
          <w:rFonts w:cs="Times New Roman"/>
        </w:rPr>
        <w:t>a</w:t>
      </w:r>
      <w:r>
        <w:rPr>
          <w:rFonts w:hint="eastAsia" w:cs="Times New Roman"/>
        </w:rPr>
        <w:t>类</w:t>
      </w:r>
      <w:r>
        <w:rPr>
          <w:rFonts w:cs="Times New Roman"/>
        </w:rPr>
        <w:t>标准。从监测数据分析，区域的声环境质量较好。</w:t>
      </w:r>
    </w:p>
    <w:p w14:paraId="4B1FBBA0">
      <w:pPr>
        <w:pStyle w:val="7"/>
      </w:pPr>
      <w:bookmarkStart w:id="319" w:name="_Toc90997667"/>
      <w:bookmarkStart w:id="320" w:name="_Toc121420824"/>
      <w:r>
        <w:t>3.3.5 生态环境现状调查</w:t>
      </w:r>
      <w:bookmarkEnd w:id="319"/>
      <w:bookmarkEnd w:id="320"/>
    </w:p>
    <w:p w14:paraId="33E4FB6C">
      <w:pPr>
        <w:pStyle w:val="8"/>
        <w:ind w:firstLine="0" w:firstLineChars="0"/>
        <w:rPr>
          <w:rFonts w:cs="Times New Roman"/>
        </w:rPr>
      </w:pPr>
      <w:r>
        <w:rPr>
          <w:rFonts w:cs="Times New Roman"/>
        </w:rPr>
        <w:t>3.3.5.1 生态功能区划</w:t>
      </w:r>
    </w:p>
    <w:p w14:paraId="065F1117">
      <w:pPr>
        <w:ind w:firstLine="519"/>
        <w:rPr>
          <w:rFonts w:cs="Times New Roman"/>
        </w:rPr>
      </w:pPr>
      <w:r>
        <w:rPr>
          <w:rFonts w:cs="Times New Roman"/>
        </w:rPr>
        <w:t>根据《全国生态环境功能区划》，本项目生态系统服务功能区域属于人居保障重点城镇群--长株潭城镇群。</w:t>
      </w:r>
    </w:p>
    <w:p w14:paraId="1E644315">
      <w:pPr>
        <w:ind w:firstLine="519"/>
        <w:rPr>
          <w:rFonts w:cs="Times New Roman"/>
        </w:rPr>
      </w:pPr>
      <w:r>
        <w:rPr>
          <w:rFonts w:cs="Times New Roman"/>
        </w:rPr>
        <w:t>该功能区的主要生态问题：城镇无序扩张，城镇环境污染严重，环保设施严重滞后，城镇生态功能低下，人居环境恶化。</w:t>
      </w:r>
    </w:p>
    <w:p w14:paraId="3FC59B95">
      <w:pPr>
        <w:ind w:firstLine="519"/>
        <w:rPr>
          <w:rFonts w:cs="Times New Roman"/>
        </w:rPr>
      </w:pPr>
      <w:r>
        <w:rPr>
          <w:rFonts w:cs="Times New Roman"/>
        </w:rPr>
        <w:t>该功能区的生态保护主要方向：以生态环境承载力为基础，规划城市发展规模、产业方向；建设生态城市，优化产业结构，发展循环经济，提高资源利用效率；加快城市环境保护基础设施建设，加强城乡环境综合整治；城镇发展坚持以人为本，从长计议，节约资源，保护环境，科学规划。</w:t>
      </w:r>
    </w:p>
    <w:p w14:paraId="6F333553">
      <w:pPr>
        <w:pStyle w:val="8"/>
        <w:ind w:firstLine="0" w:firstLineChars="0"/>
        <w:rPr>
          <w:rFonts w:cs="Times New Roman"/>
        </w:rPr>
      </w:pPr>
      <w:r>
        <w:rPr>
          <w:rFonts w:cs="Times New Roman"/>
        </w:rPr>
        <w:t>3.3.5.2 生态环境保护目标</w:t>
      </w:r>
    </w:p>
    <w:p w14:paraId="0DE8AD73">
      <w:pPr>
        <w:ind w:firstLine="519"/>
        <w:rPr>
          <w:rFonts w:cs="Times New Roman"/>
        </w:rPr>
      </w:pPr>
      <w:r>
        <w:rPr>
          <w:rFonts w:cs="Times New Roman"/>
        </w:rPr>
        <w:t>根据《全国生态环境功能区划》及《湖南省主体功能区规划》，本项目所在生态系统服务功能区域属于国家级重点开发区域。一个资源环境承载能力较强，集聚经济和人口条件较好，发展潜力较大，具有一定城镇化和工业化基础，能够支撑全省总体发展战略，辐射带动周边地区，促进区域协调发展的重要城市化地区。</w:t>
      </w:r>
    </w:p>
    <w:p w14:paraId="3D4C4AF1">
      <w:pPr>
        <w:ind w:firstLine="519"/>
        <w:rPr>
          <w:rFonts w:cs="Times New Roman"/>
        </w:rPr>
      </w:pPr>
      <w:r>
        <w:rPr>
          <w:rFonts w:cs="Times New Roman"/>
        </w:rPr>
        <w:t>根据《环境影响评价技术导则  生态影响》（HJ 19-2022），本次生态评价工作范围确定为以矿区范围外延300m范围，调查内容包括：土地利用构成、植物多样性、动物多样性等。项目评价区生态保护目标见下表。</w:t>
      </w:r>
    </w:p>
    <w:p w14:paraId="7A1DD9AD">
      <w:pPr>
        <w:pStyle w:val="9"/>
      </w:pPr>
      <w:r>
        <w:t>表3.3-13  生态保护目标表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3831"/>
        <w:gridCol w:w="3880"/>
      </w:tblGrid>
      <w:tr w14:paraId="433187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725" w:type="pct"/>
            <w:gridSpan w:val="2"/>
            <w:vAlign w:val="center"/>
          </w:tcPr>
          <w:p w14:paraId="37B0EB54">
            <w:pPr>
              <w:pStyle w:val="48"/>
            </w:pPr>
            <w:r>
              <w:t>保护目标</w:t>
            </w:r>
          </w:p>
        </w:tc>
        <w:tc>
          <w:tcPr>
            <w:tcW w:w="2275" w:type="pct"/>
            <w:vAlign w:val="center"/>
          </w:tcPr>
          <w:p w14:paraId="0E6CFF76">
            <w:pPr>
              <w:pStyle w:val="48"/>
            </w:pPr>
            <w:r>
              <w:t>影响因素</w:t>
            </w:r>
          </w:p>
        </w:tc>
      </w:tr>
      <w:tr w14:paraId="397A60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479" w:type="pct"/>
            <w:vAlign w:val="center"/>
          </w:tcPr>
          <w:p w14:paraId="742D4F73">
            <w:pPr>
              <w:pStyle w:val="48"/>
            </w:pPr>
            <w:r>
              <w:t>植被</w:t>
            </w:r>
          </w:p>
        </w:tc>
        <w:tc>
          <w:tcPr>
            <w:tcW w:w="2245" w:type="pct"/>
            <w:vAlign w:val="center"/>
          </w:tcPr>
          <w:p w14:paraId="4D9A8D59">
            <w:pPr>
              <w:pStyle w:val="48"/>
            </w:pPr>
            <w:r>
              <w:t>项目评价区内植被主要位于矿山卤井附近区域，植被主要为乔木、灌木、杂草等。</w:t>
            </w:r>
          </w:p>
        </w:tc>
        <w:tc>
          <w:tcPr>
            <w:tcW w:w="2275" w:type="pct"/>
            <w:vAlign w:val="center"/>
          </w:tcPr>
          <w:p w14:paraId="6E17E0CC">
            <w:pPr>
              <w:pStyle w:val="48"/>
            </w:pPr>
            <w:r>
              <w:t>矿山井场以及管线等占地对地表植被及地貌的破坏；另外项目区人类的生产、生活活动等也将直接或间接对评价区内的植被面积、覆盖率及生物量产生影响。</w:t>
            </w:r>
          </w:p>
        </w:tc>
      </w:tr>
      <w:tr w14:paraId="4013B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2" w:hRule="atLeast"/>
        </w:trPr>
        <w:tc>
          <w:tcPr>
            <w:tcW w:w="479" w:type="pct"/>
            <w:vAlign w:val="center"/>
          </w:tcPr>
          <w:p w14:paraId="4DD47BBE">
            <w:pPr>
              <w:pStyle w:val="48"/>
            </w:pPr>
            <w:r>
              <w:t>动物</w:t>
            </w:r>
          </w:p>
        </w:tc>
        <w:tc>
          <w:tcPr>
            <w:tcW w:w="2245" w:type="pct"/>
            <w:vAlign w:val="center"/>
          </w:tcPr>
          <w:p w14:paraId="62EE7689">
            <w:pPr>
              <w:pStyle w:val="48"/>
            </w:pPr>
            <w:r>
              <w:t>受植被、水源等自然条件的影响，项目评价区不属于野生动物的集中分布区。调查期间未发现大型野生动物。</w:t>
            </w:r>
          </w:p>
        </w:tc>
        <w:tc>
          <w:tcPr>
            <w:tcW w:w="2275" w:type="pct"/>
            <w:vAlign w:val="center"/>
          </w:tcPr>
          <w:p w14:paraId="744F07CD">
            <w:pPr>
              <w:pStyle w:val="48"/>
            </w:pPr>
            <w:r>
              <w:t>矿区占地及人类活动对野生动物及其生存环境的影响。</w:t>
            </w:r>
          </w:p>
        </w:tc>
      </w:tr>
      <w:tr w14:paraId="7FA39B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79" w:type="pct"/>
            <w:vAlign w:val="center"/>
          </w:tcPr>
          <w:p w14:paraId="05F33FAF">
            <w:pPr>
              <w:pStyle w:val="48"/>
            </w:pPr>
            <w:r>
              <w:t>水土流失</w:t>
            </w:r>
          </w:p>
        </w:tc>
        <w:tc>
          <w:tcPr>
            <w:tcW w:w="2245" w:type="pct"/>
            <w:vAlign w:val="center"/>
          </w:tcPr>
          <w:p w14:paraId="4E708788">
            <w:pPr>
              <w:pStyle w:val="48"/>
            </w:pPr>
            <w:r>
              <w:t>控制水土流失各项工程及其他措施</w:t>
            </w:r>
          </w:p>
        </w:tc>
        <w:tc>
          <w:tcPr>
            <w:tcW w:w="2275" w:type="pct"/>
            <w:vAlign w:val="center"/>
          </w:tcPr>
          <w:p w14:paraId="69054137">
            <w:pPr>
              <w:pStyle w:val="48"/>
            </w:pPr>
            <w:r>
              <w:t>矿区管道开挖等可能造成的水土流失影响</w:t>
            </w:r>
          </w:p>
        </w:tc>
      </w:tr>
    </w:tbl>
    <w:p w14:paraId="14E5858D">
      <w:pPr>
        <w:pStyle w:val="8"/>
        <w:ind w:firstLine="0" w:firstLineChars="0"/>
        <w:rPr>
          <w:rFonts w:cs="Times New Roman"/>
        </w:rPr>
      </w:pPr>
      <w:r>
        <w:rPr>
          <w:rFonts w:cs="Times New Roman"/>
        </w:rPr>
        <w:t>3.3.5.3 植物资源现状</w:t>
      </w:r>
    </w:p>
    <w:p w14:paraId="77C8EE7E">
      <w:pPr>
        <w:ind w:firstLine="519"/>
        <w:rPr>
          <w:rFonts w:cs="Times New Roman"/>
        </w:rPr>
      </w:pPr>
      <w:r>
        <w:rPr>
          <w:rFonts w:hint="eastAsia" w:cs="Times New Roman"/>
        </w:rPr>
        <w:t>周边</w:t>
      </w:r>
      <w:r>
        <w:rPr>
          <w:rFonts w:cs="Times New Roman"/>
        </w:rPr>
        <w:t>区</w:t>
      </w:r>
      <w:bookmarkStart w:id="321" w:name="_Hlk117270552"/>
      <w:r>
        <w:rPr>
          <w:rFonts w:cs="Times New Roman"/>
        </w:rPr>
        <w:t>域</w:t>
      </w:r>
      <w:bookmarkEnd w:id="321"/>
      <w:r>
        <w:rPr>
          <w:rFonts w:hint="eastAsia" w:cs="Times New Roman"/>
        </w:rPr>
        <w:t>内</w:t>
      </w:r>
      <w:r>
        <w:rPr>
          <w:rFonts w:cs="Times New Roman"/>
        </w:rPr>
        <w:t>的山包上和山坡地段一般为林地，以人工林为主，主要植被类型有：杂草、灌木，间或零星分布的乔木等植物等；树种主要有：松、杉、竹等，灌木和灌草主要有杜鹃、野菊、狗尾草、茅草等；以及居民四旁绿化植物。果树多分布于工业集中区的旱地、庭院四周，为人工栽培经济果树，主要品种有桔、李、桃等。粮食作物以水稻为主；经济林树种以油茶为主。总体看，</w:t>
      </w:r>
      <w:r>
        <w:rPr>
          <w:rFonts w:hint="eastAsia" w:cs="Times New Roman"/>
        </w:rPr>
        <w:t>周边</w:t>
      </w:r>
      <w:r>
        <w:rPr>
          <w:rFonts w:cs="Times New Roman"/>
        </w:rPr>
        <w:t>区</w:t>
      </w:r>
      <w:r>
        <w:rPr>
          <w:rFonts w:hint="eastAsia" w:cs="Times New Roman"/>
        </w:rPr>
        <w:t>域</w:t>
      </w:r>
      <w:r>
        <w:rPr>
          <w:rFonts w:cs="Times New Roman"/>
        </w:rPr>
        <w:t>内自然植被主要以</w:t>
      </w:r>
      <w:bookmarkStart w:id="322" w:name="_Hlk117270749"/>
      <w:r>
        <w:rPr>
          <w:rFonts w:cs="Times New Roman"/>
        </w:rPr>
        <w:t>杂草</w:t>
      </w:r>
      <w:bookmarkEnd w:id="322"/>
      <w:r>
        <w:rPr>
          <w:rFonts w:cs="Times New Roman"/>
        </w:rPr>
        <w:t>、灌木为主，植被类型比较单一，异质化程度不高，分布不均衡，不利于抗御内外干扰，通过人工抚育，使区内植被呈正向演替发展趋势。</w:t>
      </w:r>
    </w:p>
    <w:p w14:paraId="5BCC8B93">
      <w:pPr>
        <w:pStyle w:val="2"/>
        <w:ind w:firstLine="519"/>
      </w:pPr>
      <w:r>
        <w:rPr>
          <w:rFonts w:hint="eastAsia"/>
        </w:rPr>
        <w:t>本项目评价区域内主要为工业用地，仅道路两侧及企业范围内覆盖有少量人工植被、灌木、杂草等，不涉及天然林、公益林、重点保护植物和古树名木等生态保护目标。</w:t>
      </w:r>
    </w:p>
    <w:p w14:paraId="7074EEDD">
      <w:pPr>
        <w:pStyle w:val="8"/>
        <w:ind w:firstLine="0" w:firstLineChars="0"/>
        <w:rPr>
          <w:rFonts w:cs="Times New Roman"/>
        </w:rPr>
      </w:pPr>
      <w:r>
        <w:rPr>
          <w:rFonts w:cs="Times New Roman"/>
        </w:rPr>
        <w:t>3.3.5.4 动物资源现状</w:t>
      </w:r>
    </w:p>
    <w:p w14:paraId="1497A936">
      <w:pPr>
        <w:ind w:firstLine="519"/>
        <w:rPr>
          <w:rFonts w:cs="Times New Roman"/>
        </w:rPr>
      </w:pPr>
      <w:r>
        <w:rPr>
          <w:rFonts w:hint="eastAsia" w:cs="Times New Roman"/>
        </w:rPr>
        <w:t>周边</w:t>
      </w:r>
      <w:r>
        <w:rPr>
          <w:rFonts w:cs="Times New Roman"/>
        </w:rPr>
        <w:t>区域内野生动物分布较少，主要有田鼠、青蛙、蛇、山雀等。家畜主要有猪、牛、羊等。水塘中水生鱼类以青、草、鲤、鲫四大家鱼为主。</w:t>
      </w:r>
    </w:p>
    <w:p w14:paraId="0472ADBE">
      <w:pPr>
        <w:ind w:firstLine="519"/>
        <w:rPr>
          <w:rFonts w:cs="Times New Roman"/>
        </w:rPr>
      </w:pPr>
      <w:r>
        <w:rPr>
          <w:rFonts w:cs="Times New Roman"/>
        </w:rPr>
        <w:t>经查阅相关资料、现场实地调查并咨询当地林业部门和当地村民，</w:t>
      </w:r>
      <w:r>
        <w:rPr>
          <w:rFonts w:hint="eastAsia" w:cs="Times New Roman"/>
        </w:rPr>
        <w:t>本项目</w:t>
      </w:r>
      <w:r>
        <w:rPr>
          <w:rFonts w:cs="Times New Roman"/>
        </w:rPr>
        <w:t>评价区</w:t>
      </w:r>
      <w:r>
        <w:rPr>
          <w:rFonts w:hint="eastAsia" w:cs="Times New Roman"/>
        </w:rPr>
        <w:t>域</w:t>
      </w:r>
      <w:r>
        <w:rPr>
          <w:rFonts w:cs="Times New Roman"/>
        </w:rPr>
        <w:t>近年尚未发现珍稀野生动物存在。</w:t>
      </w:r>
    </w:p>
    <w:p w14:paraId="45A3D7B2">
      <w:pPr>
        <w:pStyle w:val="8"/>
        <w:ind w:firstLine="0" w:firstLineChars="0"/>
        <w:rPr>
          <w:rFonts w:cs="Times New Roman"/>
        </w:rPr>
      </w:pPr>
      <w:r>
        <w:rPr>
          <w:rFonts w:cs="Times New Roman"/>
        </w:rPr>
        <w:t xml:space="preserve">3.3.5.5 </w:t>
      </w:r>
      <w:r>
        <w:rPr>
          <w:rFonts w:hint="eastAsia" w:cs="Times New Roman"/>
        </w:rPr>
        <w:t>土地利用</w:t>
      </w:r>
      <w:r>
        <w:rPr>
          <w:rFonts w:cs="Times New Roman"/>
        </w:rPr>
        <w:t>现状</w:t>
      </w:r>
    </w:p>
    <w:p w14:paraId="312A1E97">
      <w:pPr>
        <w:ind w:firstLine="519"/>
      </w:pPr>
      <w:r>
        <w:rPr>
          <w:rFonts w:hint="eastAsia"/>
          <w:szCs w:val="20"/>
        </w:rPr>
        <w:t>本项目评价范围内的土地利用类型包括建设用地、农林用地和居住用地。本项目不新增用地，项目用地红线内不涉及占用天然林、公益林、基本农田。</w:t>
      </w:r>
    </w:p>
    <w:p w14:paraId="0EBEB9CB">
      <w:pPr>
        <w:pStyle w:val="8"/>
        <w:ind w:firstLine="0" w:firstLineChars="0"/>
        <w:rPr>
          <w:rFonts w:cs="Times New Roman"/>
        </w:rPr>
      </w:pPr>
      <w:r>
        <w:rPr>
          <w:rFonts w:cs="Times New Roman"/>
        </w:rPr>
        <w:t>3.3.5.6 生态敏感区调查</w:t>
      </w:r>
    </w:p>
    <w:p w14:paraId="18A9AE12">
      <w:pPr>
        <w:pStyle w:val="2"/>
        <w:ind w:firstLine="519"/>
      </w:pPr>
      <w:r>
        <w:rPr>
          <w:rFonts w:cs="Times New Roman"/>
        </w:rPr>
        <w:t>本项目不涉及生态敏感区</w:t>
      </w:r>
    </w:p>
    <w:p w14:paraId="6ED2414B">
      <w:pPr>
        <w:pStyle w:val="3"/>
        <w:ind w:firstLine="519"/>
      </w:pPr>
    </w:p>
    <w:p w14:paraId="16A723C5">
      <w:pPr>
        <w:ind w:firstLine="519"/>
      </w:pPr>
    </w:p>
    <w:p w14:paraId="5FA90C47">
      <w:pPr>
        <w:pStyle w:val="2"/>
        <w:tabs>
          <w:tab w:val="left" w:pos="7371"/>
        </w:tabs>
        <w:ind w:firstLine="519"/>
        <w:rPr>
          <w:rFonts w:cs="Times New Roman"/>
        </w:rPr>
        <w:sectPr>
          <w:pgSz w:w="11906" w:h="16838"/>
          <w:pgMar w:top="1440" w:right="1797" w:bottom="1440" w:left="1797" w:header="851" w:footer="992" w:gutter="0"/>
          <w:cols w:space="425" w:num="1"/>
          <w:docGrid w:type="linesAndChars" w:linePitch="340" w:charSpace="4044"/>
        </w:sectPr>
      </w:pPr>
    </w:p>
    <w:p w14:paraId="73A2AEE9">
      <w:pPr>
        <w:pStyle w:val="2"/>
        <w:tabs>
          <w:tab w:val="left" w:pos="7371"/>
        </w:tabs>
        <w:ind w:firstLine="519"/>
        <w:rPr>
          <w:rFonts w:cs="Times New Roman"/>
        </w:rPr>
      </w:pPr>
    </w:p>
    <w:p w14:paraId="776F6497">
      <w:pPr>
        <w:pStyle w:val="5"/>
        <w:spacing w:before="170" w:after="170"/>
        <w:rPr>
          <w:rFonts w:ascii="Times New Roman" w:hAnsi="Times New Roman"/>
        </w:rPr>
      </w:pPr>
      <w:bookmarkStart w:id="323" w:name="_Toc121420825"/>
      <w:r>
        <w:rPr>
          <w:rFonts w:ascii="Times New Roman" w:hAnsi="Times New Roman"/>
        </w:rPr>
        <w:t>第4章 建设项目工程分析</w:t>
      </w:r>
      <w:bookmarkEnd w:id="246"/>
      <w:bookmarkEnd w:id="323"/>
    </w:p>
    <w:p w14:paraId="2265A5BD">
      <w:pPr>
        <w:pStyle w:val="6"/>
        <w:spacing w:before="0" w:beforeLines="0" w:after="0" w:afterLines="0"/>
        <w:rPr>
          <w:rFonts w:cs="Times New Roman"/>
        </w:rPr>
      </w:pPr>
      <w:bookmarkStart w:id="324" w:name="_Toc121420826"/>
      <w:bookmarkStart w:id="325" w:name="_Toc32410913"/>
      <w:bookmarkStart w:id="326" w:name="_Toc40596858"/>
      <w:bookmarkStart w:id="327" w:name="_Toc505697524"/>
      <w:r>
        <w:rPr>
          <w:rFonts w:cs="Times New Roman"/>
        </w:rPr>
        <w:t>4.1</w:t>
      </w:r>
      <w:r>
        <w:rPr>
          <w:rFonts w:hint="eastAsia" w:cs="Times New Roman"/>
        </w:rPr>
        <w:t xml:space="preserve"> 现有工程开发情况回顾简介</w:t>
      </w:r>
      <w:bookmarkEnd w:id="324"/>
    </w:p>
    <w:p w14:paraId="0822BA8B">
      <w:pPr>
        <w:pStyle w:val="2"/>
        <w:ind w:firstLine="519"/>
      </w:pPr>
      <w:r>
        <w:rPr>
          <w:rFonts w:hint="eastAsia"/>
        </w:rPr>
        <w:t>衡阳建滔化工有限公司现有工程主要为建滔岩盐矿采盐工程（采卤），盐矿采集的卤水输送至建滔（衡阳）实业有限公司，为建滔（衡阳）实业有限公司离子膜烧碱项目提供原卤资源保障。衡阳建滔化工有限公司仅进行原卤开采，不涉及其他部分。</w:t>
      </w:r>
    </w:p>
    <w:p w14:paraId="0F7613B9">
      <w:pPr>
        <w:pStyle w:val="7"/>
        <w:ind w:firstLine="149" w:firstLineChars="50"/>
      </w:pPr>
      <w:bookmarkStart w:id="328" w:name="_Toc86852291"/>
      <w:bookmarkStart w:id="329" w:name="_Toc90989238"/>
      <w:bookmarkStart w:id="330" w:name="_Toc121420827"/>
      <w:bookmarkStart w:id="331" w:name="_Toc89882457"/>
      <w:bookmarkStart w:id="332" w:name="_Toc89786132"/>
      <w:bookmarkStart w:id="333" w:name="_Toc90997670"/>
      <w:bookmarkStart w:id="334" w:name="_Toc90318417"/>
      <w:r>
        <w:t>4.1.1 矿山开采情况</w:t>
      </w:r>
      <w:bookmarkEnd w:id="328"/>
      <w:r>
        <w:t>简述</w:t>
      </w:r>
      <w:bookmarkEnd w:id="329"/>
      <w:bookmarkEnd w:id="330"/>
      <w:bookmarkEnd w:id="331"/>
      <w:bookmarkEnd w:id="332"/>
      <w:bookmarkEnd w:id="333"/>
      <w:bookmarkEnd w:id="334"/>
    </w:p>
    <w:p w14:paraId="61457A05">
      <w:pPr>
        <w:pStyle w:val="2"/>
        <w:ind w:firstLine="519"/>
        <w:rPr>
          <w:rFonts w:cs="Times New Roman"/>
        </w:rPr>
      </w:pPr>
      <w:r>
        <w:rPr>
          <w:rFonts w:cs="Times New Roman"/>
        </w:rPr>
        <w:t>衡阳建滔化工有限公司岩盐矿原名称为湖南省衡阳烧碱厂，其成立于 1990年初，设计生产规模15万m</w:t>
      </w:r>
      <w:r>
        <w:rPr>
          <w:rFonts w:cs="Times New Roman"/>
          <w:vertAlign w:val="superscript"/>
        </w:rPr>
        <w:t>3</w:t>
      </w:r>
      <w:r>
        <w:rPr>
          <w:rFonts w:cs="Times New Roman"/>
        </w:rPr>
        <w:t>/a精卤水（折合岩盐矿石量10.2万t/a），年产烧碱2万t。矿山自1991年底至1992年底按设计在准采区东部施工了CK1、CK2、CK3、CK4、CK5五个单井，开采方法为钻孔水溶法，采用垂直钻井开拓方式、单井对流法、园盘割管工艺自下而上溶采主盐层。矿山于1997年、2001年先后在原采卤区地施工了CK6～CK7、CK8～CK9两对对接井，采用垂直和倾斜混合对接钻井开拓方式，以垂直井对流法建糟，倾斜井回卤的生产工艺采用水力压裂双井对流采卤。1992年至2003年止，12年共采原卤</w:t>
      </w:r>
      <w:bookmarkStart w:id="335" w:name="_Hlk88573795"/>
      <w:r>
        <w:rPr>
          <w:rFonts w:cs="Times New Roman"/>
        </w:rPr>
        <w:t>210 万m</w:t>
      </w:r>
      <w:r>
        <w:rPr>
          <w:rFonts w:cs="Times New Roman"/>
          <w:vertAlign w:val="superscript"/>
        </w:rPr>
        <w:t>3</w:t>
      </w:r>
      <w:bookmarkEnd w:id="335"/>
      <w:r>
        <w:rPr>
          <w:rFonts w:cs="Times New Roman"/>
        </w:rPr>
        <w:t>，平均17.5万m</w:t>
      </w:r>
      <w:r>
        <w:rPr>
          <w:rFonts w:cs="Times New Roman"/>
          <w:vertAlign w:val="superscript"/>
        </w:rPr>
        <w:t>3</w:t>
      </w:r>
      <w:r>
        <w:rPr>
          <w:rFonts w:cs="Times New Roman"/>
        </w:rPr>
        <w:t>/a（折合精卤量15.9万 m</w:t>
      </w:r>
      <w:r>
        <w:rPr>
          <w:rFonts w:cs="Times New Roman"/>
          <w:vertAlign w:val="superscript"/>
        </w:rPr>
        <w:t>3</w:t>
      </w:r>
      <w:r>
        <w:rPr>
          <w:rFonts w:cs="Times New Roman"/>
        </w:rPr>
        <w:t>/a）。2003年，衡阳建滔化工有限公司收购原湖南省衡阳烧碱厂，矿山更名为衡阳建滔化工有限公司岩盐矿，</w:t>
      </w:r>
      <w:r>
        <w:rPr>
          <w:rFonts w:hint="eastAsia" w:cs="Times New Roman"/>
        </w:rPr>
        <w:t>截至2021年10月，矿区共建设采卤井24口，其中，CK1、CK2、CK4、CK5、ZK6、ZK7、ZK8、ZK9、ZK11均于2017年以前停止生产卤水，并委托湖南省地质矿产勘查开发局 417 队进行封堵施工工作；ZK10、ZK12、CK3 等3口井已串通采卤；CK21-CK22、CK23-CK24 两对采卤井于2020年5月开始采卤。</w:t>
      </w:r>
      <w:r>
        <w:rPr>
          <w:rFonts w:cs="Times New Roman"/>
        </w:rPr>
        <w:t>矿山开采情况见下表。</w:t>
      </w:r>
    </w:p>
    <w:p w14:paraId="38917411">
      <w:pPr>
        <w:pStyle w:val="9"/>
      </w:pPr>
      <w:bookmarkStart w:id="336" w:name="_Hlk95375495"/>
      <w:r>
        <w:t>表4.1-1  衡阳建滔化工有限公司岩盐矿矿区开采情况一览表</w:t>
      </w:r>
    </w:p>
    <w:bookmarkEnd w:id="336"/>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422"/>
        <w:gridCol w:w="1373"/>
        <w:gridCol w:w="1428"/>
        <w:gridCol w:w="1331"/>
        <w:gridCol w:w="1355"/>
      </w:tblGrid>
      <w:tr w14:paraId="497C8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12" w:space="0"/>
              <w:left w:val="single" w:color="auto" w:sz="12" w:space="0"/>
              <w:bottom w:val="single" w:color="auto" w:sz="4" w:space="0"/>
              <w:right w:val="single" w:color="auto" w:sz="4" w:space="0"/>
            </w:tcBorders>
            <w:vAlign w:val="center"/>
          </w:tcPr>
          <w:p w14:paraId="04800EED">
            <w:pPr>
              <w:wordWrap/>
              <w:snapToGrid/>
              <w:ind w:firstLine="0" w:firstLineChars="0"/>
              <w:jc w:val="center"/>
              <w:rPr>
                <w:rFonts w:cs="Times New Roman"/>
                <w:sz w:val="21"/>
                <w:szCs w:val="21"/>
              </w:rPr>
            </w:pPr>
            <w:r>
              <w:rPr>
                <w:rFonts w:hint="eastAsia" w:cs="Times New Roman"/>
                <w:sz w:val="21"/>
                <w:szCs w:val="21"/>
              </w:rPr>
              <w:t>井组</w:t>
            </w:r>
          </w:p>
        </w:tc>
        <w:tc>
          <w:tcPr>
            <w:tcW w:w="1422" w:type="dxa"/>
            <w:tcBorders>
              <w:top w:val="single" w:color="auto" w:sz="12" w:space="0"/>
              <w:left w:val="single" w:color="auto" w:sz="4" w:space="0"/>
              <w:bottom w:val="single" w:color="auto" w:sz="4" w:space="0"/>
              <w:right w:val="single" w:color="auto" w:sz="4" w:space="0"/>
            </w:tcBorders>
            <w:vAlign w:val="center"/>
          </w:tcPr>
          <w:p w14:paraId="496578E8">
            <w:pPr>
              <w:wordWrap/>
              <w:snapToGrid/>
              <w:ind w:firstLine="0" w:firstLineChars="0"/>
              <w:jc w:val="center"/>
              <w:rPr>
                <w:rFonts w:cs="Times New Roman"/>
                <w:sz w:val="21"/>
                <w:szCs w:val="21"/>
              </w:rPr>
            </w:pPr>
            <w:r>
              <w:rPr>
                <w:rFonts w:hint="eastAsia" w:cs="Times New Roman"/>
                <w:sz w:val="21"/>
                <w:szCs w:val="21"/>
              </w:rPr>
              <w:t>井号</w:t>
            </w:r>
          </w:p>
        </w:tc>
        <w:tc>
          <w:tcPr>
            <w:tcW w:w="1373" w:type="dxa"/>
            <w:tcBorders>
              <w:top w:val="single" w:color="auto" w:sz="12" w:space="0"/>
              <w:left w:val="single" w:color="auto" w:sz="4" w:space="0"/>
              <w:bottom w:val="single" w:color="auto" w:sz="4" w:space="0"/>
              <w:right w:val="single" w:color="auto" w:sz="4" w:space="0"/>
            </w:tcBorders>
            <w:vAlign w:val="center"/>
          </w:tcPr>
          <w:p w14:paraId="63DA93FC">
            <w:pPr>
              <w:wordWrap/>
              <w:snapToGrid/>
              <w:ind w:firstLine="0" w:firstLineChars="0"/>
              <w:jc w:val="center"/>
              <w:rPr>
                <w:rFonts w:cs="Times New Roman"/>
                <w:sz w:val="21"/>
                <w:szCs w:val="21"/>
              </w:rPr>
            </w:pPr>
            <w:r>
              <w:rPr>
                <w:rFonts w:cs="Times New Roman"/>
                <w:sz w:val="21"/>
                <w:szCs w:val="21"/>
              </w:rPr>
              <w:t>X</w:t>
            </w:r>
          </w:p>
        </w:tc>
        <w:tc>
          <w:tcPr>
            <w:tcW w:w="1428" w:type="dxa"/>
            <w:tcBorders>
              <w:top w:val="single" w:color="auto" w:sz="12" w:space="0"/>
              <w:left w:val="single" w:color="auto" w:sz="4" w:space="0"/>
              <w:bottom w:val="single" w:color="auto" w:sz="4" w:space="0"/>
              <w:right w:val="single" w:color="auto" w:sz="4" w:space="0"/>
            </w:tcBorders>
            <w:vAlign w:val="center"/>
          </w:tcPr>
          <w:p w14:paraId="1741E538">
            <w:pPr>
              <w:wordWrap/>
              <w:snapToGrid/>
              <w:ind w:firstLine="0" w:firstLineChars="0"/>
              <w:jc w:val="center"/>
              <w:rPr>
                <w:rFonts w:cs="Times New Roman"/>
                <w:sz w:val="21"/>
                <w:szCs w:val="21"/>
              </w:rPr>
            </w:pPr>
            <w:r>
              <w:rPr>
                <w:rFonts w:cs="Times New Roman"/>
                <w:sz w:val="21"/>
                <w:szCs w:val="21"/>
              </w:rPr>
              <w:t>Y</w:t>
            </w:r>
          </w:p>
        </w:tc>
        <w:tc>
          <w:tcPr>
            <w:tcW w:w="1331" w:type="dxa"/>
            <w:tcBorders>
              <w:top w:val="single" w:color="auto" w:sz="12" w:space="0"/>
              <w:left w:val="single" w:color="auto" w:sz="4" w:space="0"/>
              <w:bottom w:val="single" w:color="auto" w:sz="4" w:space="0"/>
              <w:right w:val="single" w:color="auto" w:sz="4" w:space="0"/>
            </w:tcBorders>
          </w:tcPr>
          <w:p w14:paraId="2C4CB265">
            <w:pPr>
              <w:wordWrap/>
              <w:snapToGrid/>
              <w:ind w:firstLine="0" w:firstLineChars="0"/>
              <w:jc w:val="center"/>
              <w:rPr>
                <w:rFonts w:cs="Times New Roman"/>
                <w:sz w:val="21"/>
                <w:szCs w:val="21"/>
              </w:rPr>
            </w:pPr>
            <w:r>
              <w:rPr>
                <w:rFonts w:cs="Times New Roman"/>
                <w:sz w:val="21"/>
                <w:szCs w:val="21"/>
              </w:rPr>
              <w:t>Z</w:t>
            </w:r>
          </w:p>
        </w:tc>
        <w:tc>
          <w:tcPr>
            <w:tcW w:w="1355" w:type="dxa"/>
            <w:tcBorders>
              <w:top w:val="single" w:color="auto" w:sz="12" w:space="0"/>
              <w:left w:val="single" w:color="auto" w:sz="4" w:space="0"/>
              <w:bottom w:val="single" w:color="auto" w:sz="4" w:space="0"/>
              <w:right w:val="single" w:color="auto" w:sz="12" w:space="0"/>
            </w:tcBorders>
            <w:vAlign w:val="center"/>
          </w:tcPr>
          <w:p w14:paraId="2A340067">
            <w:pPr>
              <w:wordWrap/>
              <w:snapToGrid/>
              <w:ind w:firstLine="0" w:firstLineChars="0"/>
              <w:jc w:val="center"/>
              <w:rPr>
                <w:rFonts w:cs="Times New Roman"/>
                <w:sz w:val="21"/>
                <w:szCs w:val="21"/>
              </w:rPr>
            </w:pPr>
            <w:r>
              <w:rPr>
                <w:rFonts w:hint="eastAsia" w:cs="Times New Roman"/>
                <w:sz w:val="21"/>
                <w:szCs w:val="21"/>
              </w:rPr>
              <w:t>备注</w:t>
            </w:r>
          </w:p>
        </w:tc>
      </w:tr>
      <w:tr w14:paraId="28FF8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left w:val="single" w:color="auto" w:sz="12" w:space="0"/>
              <w:bottom w:val="single" w:color="auto" w:sz="4" w:space="0"/>
              <w:right w:val="single" w:color="auto" w:sz="4" w:space="0"/>
            </w:tcBorders>
            <w:vAlign w:val="center"/>
          </w:tcPr>
          <w:p w14:paraId="14DDBDF0">
            <w:pPr>
              <w:wordWrap/>
              <w:snapToGrid/>
              <w:ind w:firstLine="0" w:firstLineChars="0"/>
              <w:jc w:val="center"/>
              <w:rPr>
                <w:rFonts w:cs="Times New Roman"/>
                <w:sz w:val="21"/>
                <w:szCs w:val="21"/>
              </w:rPr>
            </w:pPr>
            <w:r>
              <w:rPr>
                <w:rFonts w:cs="Times New Roman"/>
                <w:sz w:val="21"/>
                <w:szCs w:val="21"/>
              </w:rPr>
              <w:t>1</w:t>
            </w:r>
          </w:p>
        </w:tc>
        <w:tc>
          <w:tcPr>
            <w:tcW w:w="1422" w:type="dxa"/>
            <w:tcBorders>
              <w:top w:val="single" w:color="auto" w:sz="4" w:space="0"/>
              <w:left w:val="single" w:color="auto" w:sz="4" w:space="0"/>
              <w:bottom w:val="single" w:color="auto" w:sz="4" w:space="0"/>
              <w:right w:val="single" w:color="auto" w:sz="4" w:space="0"/>
            </w:tcBorders>
            <w:vAlign w:val="center"/>
          </w:tcPr>
          <w:p w14:paraId="277426F6">
            <w:pPr>
              <w:wordWrap/>
              <w:snapToGrid/>
              <w:ind w:firstLine="0" w:firstLineChars="0"/>
              <w:jc w:val="center"/>
              <w:rPr>
                <w:rFonts w:cs="Times New Roman"/>
                <w:sz w:val="21"/>
                <w:szCs w:val="21"/>
              </w:rPr>
            </w:pPr>
            <w:r>
              <w:rPr>
                <w:rFonts w:cs="Times New Roman"/>
                <w:sz w:val="21"/>
                <w:szCs w:val="21"/>
              </w:rPr>
              <w:t>CK1</w:t>
            </w:r>
          </w:p>
        </w:tc>
        <w:tc>
          <w:tcPr>
            <w:tcW w:w="1373" w:type="dxa"/>
            <w:tcBorders>
              <w:top w:val="single" w:color="auto" w:sz="4" w:space="0"/>
              <w:left w:val="single" w:color="auto" w:sz="4" w:space="0"/>
              <w:bottom w:val="single" w:color="auto" w:sz="4" w:space="0"/>
              <w:right w:val="single" w:color="auto" w:sz="4" w:space="0"/>
            </w:tcBorders>
            <w:vAlign w:val="center"/>
          </w:tcPr>
          <w:p w14:paraId="17895CB2">
            <w:pPr>
              <w:wordWrap/>
              <w:snapToGrid/>
              <w:ind w:firstLine="0" w:firstLineChars="0"/>
              <w:jc w:val="center"/>
              <w:rPr>
                <w:rFonts w:cs="Times New Roman"/>
                <w:sz w:val="21"/>
                <w:szCs w:val="21"/>
              </w:rPr>
            </w:pPr>
            <w:r>
              <w:rPr>
                <w:rFonts w:cs="Times New Roman"/>
                <w:sz w:val="21"/>
                <w:szCs w:val="21"/>
              </w:rPr>
              <w:t>2985119.96</w:t>
            </w:r>
          </w:p>
        </w:tc>
        <w:tc>
          <w:tcPr>
            <w:tcW w:w="1428" w:type="dxa"/>
            <w:tcBorders>
              <w:top w:val="single" w:color="auto" w:sz="4" w:space="0"/>
              <w:left w:val="single" w:color="auto" w:sz="4" w:space="0"/>
              <w:bottom w:val="single" w:color="auto" w:sz="4" w:space="0"/>
              <w:right w:val="single" w:color="auto" w:sz="4" w:space="0"/>
            </w:tcBorders>
            <w:vAlign w:val="center"/>
          </w:tcPr>
          <w:p w14:paraId="78A292C5">
            <w:pPr>
              <w:wordWrap/>
              <w:snapToGrid/>
              <w:ind w:firstLine="0" w:firstLineChars="0"/>
              <w:jc w:val="center"/>
              <w:rPr>
                <w:rFonts w:cs="Times New Roman"/>
                <w:sz w:val="21"/>
                <w:szCs w:val="21"/>
              </w:rPr>
            </w:pPr>
            <w:r>
              <w:rPr>
                <w:rFonts w:cs="Times New Roman"/>
                <w:sz w:val="21"/>
                <w:szCs w:val="21"/>
              </w:rPr>
              <w:t>38365330.26</w:t>
            </w:r>
          </w:p>
        </w:tc>
        <w:tc>
          <w:tcPr>
            <w:tcW w:w="1331" w:type="dxa"/>
            <w:tcBorders>
              <w:top w:val="single" w:color="auto" w:sz="4" w:space="0"/>
              <w:left w:val="single" w:color="auto" w:sz="4" w:space="0"/>
              <w:bottom w:val="single" w:color="auto" w:sz="4" w:space="0"/>
              <w:right w:val="single" w:color="auto" w:sz="4" w:space="0"/>
            </w:tcBorders>
          </w:tcPr>
          <w:p w14:paraId="632B53EA">
            <w:pPr>
              <w:wordWrap/>
              <w:snapToGrid/>
              <w:ind w:firstLine="0" w:firstLineChars="0"/>
              <w:jc w:val="center"/>
              <w:rPr>
                <w:rFonts w:cs="Times New Roman"/>
                <w:sz w:val="21"/>
                <w:szCs w:val="21"/>
              </w:rPr>
            </w:pPr>
            <w:r>
              <w:rPr>
                <w:rFonts w:cs="Times New Roman"/>
                <w:sz w:val="21"/>
                <w:szCs w:val="21"/>
              </w:rPr>
              <w:t>63.25</w:t>
            </w:r>
          </w:p>
        </w:tc>
        <w:tc>
          <w:tcPr>
            <w:tcW w:w="1355" w:type="dxa"/>
            <w:vMerge w:val="restart"/>
            <w:tcBorders>
              <w:top w:val="single" w:color="auto" w:sz="4" w:space="0"/>
              <w:left w:val="single" w:color="auto" w:sz="4" w:space="0"/>
              <w:bottom w:val="single" w:color="auto" w:sz="4" w:space="0"/>
              <w:right w:val="single" w:color="auto" w:sz="12" w:space="0"/>
            </w:tcBorders>
            <w:vAlign w:val="center"/>
          </w:tcPr>
          <w:p w14:paraId="49C355BD">
            <w:pPr>
              <w:wordWrap/>
              <w:snapToGrid/>
              <w:ind w:firstLine="0" w:firstLineChars="0"/>
              <w:jc w:val="center"/>
              <w:rPr>
                <w:rFonts w:cs="Times New Roman"/>
                <w:sz w:val="21"/>
                <w:szCs w:val="21"/>
              </w:rPr>
            </w:pPr>
            <w:r>
              <w:rPr>
                <w:rFonts w:hint="eastAsia" w:cs="Times New Roman"/>
                <w:sz w:val="21"/>
                <w:szCs w:val="21"/>
              </w:rPr>
              <w:t>停采，</w:t>
            </w:r>
          </w:p>
          <w:p w14:paraId="42558DDD">
            <w:pPr>
              <w:wordWrap/>
              <w:snapToGrid/>
              <w:ind w:firstLine="0" w:firstLineChars="0"/>
              <w:jc w:val="center"/>
              <w:rPr>
                <w:rFonts w:cs="Times New Roman"/>
                <w:sz w:val="21"/>
                <w:szCs w:val="21"/>
              </w:rPr>
            </w:pPr>
            <w:r>
              <w:rPr>
                <w:rFonts w:hint="eastAsia" w:cs="Times New Roman"/>
                <w:sz w:val="21"/>
                <w:szCs w:val="21"/>
              </w:rPr>
              <w:t>已封堵</w:t>
            </w:r>
          </w:p>
        </w:tc>
      </w:tr>
      <w:tr w14:paraId="543B1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left w:val="single" w:color="auto" w:sz="12" w:space="0"/>
              <w:bottom w:val="single" w:color="auto" w:sz="4" w:space="0"/>
              <w:right w:val="single" w:color="auto" w:sz="4" w:space="0"/>
            </w:tcBorders>
            <w:vAlign w:val="center"/>
          </w:tcPr>
          <w:p w14:paraId="1EC4264E">
            <w:pPr>
              <w:wordWrap/>
              <w:snapToGrid/>
              <w:ind w:firstLine="0" w:firstLineChars="0"/>
              <w:jc w:val="center"/>
              <w:rPr>
                <w:rFonts w:cs="Times New Roman"/>
                <w:sz w:val="21"/>
                <w:szCs w:val="21"/>
              </w:rPr>
            </w:pPr>
            <w:r>
              <w:rPr>
                <w:rFonts w:cs="Times New Roman"/>
                <w:sz w:val="21"/>
                <w:szCs w:val="21"/>
              </w:rPr>
              <w:t>2</w:t>
            </w:r>
          </w:p>
        </w:tc>
        <w:tc>
          <w:tcPr>
            <w:tcW w:w="1422" w:type="dxa"/>
            <w:tcBorders>
              <w:top w:val="single" w:color="auto" w:sz="4" w:space="0"/>
              <w:left w:val="single" w:color="auto" w:sz="4" w:space="0"/>
              <w:bottom w:val="single" w:color="auto" w:sz="4" w:space="0"/>
              <w:right w:val="single" w:color="auto" w:sz="4" w:space="0"/>
            </w:tcBorders>
            <w:vAlign w:val="center"/>
          </w:tcPr>
          <w:p w14:paraId="3713D8D3">
            <w:pPr>
              <w:wordWrap/>
              <w:snapToGrid/>
              <w:ind w:firstLine="0" w:firstLineChars="0"/>
              <w:jc w:val="center"/>
              <w:rPr>
                <w:rFonts w:cs="Times New Roman"/>
                <w:sz w:val="21"/>
                <w:szCs w:val="21"/>
              </w:rPr>
            </w:pPr>
            <w:r>
              <w:rPr>
                <w:rFonts w:cs="Times New Roman"/>
                <w:sz w:val="21"/>
                <w:szCs w:val="21"/>
              </w:rPr>
              <w:t>CK2</w:t>
            </w:r>
          </w:p>
        </w:tc>
        <w:tc>
          <w:tcPr>
            <w:tcW w:w="1373" w:type="dxa"/>
            <w:tcBorders>
              <w:top w:val="single" w:color="auto" w:sz="4" w:space="0"/>
              <w:left w:val="single" w:color="auto" w:sz="4" w:space="0"/>
              <w:bottom w:val="single" w:color="auto" w:sz="4" w:space="0"/>
              <w:right w:val="single" w:color="auto" w:sz="4" w:space="0"/>
            </w:tcBorders>
            <w:vAlign w:val="center"/>
          </w:tcPr>
          <w:p w14:paraId="790BFD52">
            <w:pPr>
              <w:wordWrap/>
              <w:snapToGrid/>
              <w:ind w:firstLine="0" w:firstLineChars="0"/>
              <w:jc w:val="center"/>
              <w:rPr>
                <w:rFonts w:cs="Times New Roman"/>
                <w:sz w:val="21"/>
                <w:szCs w:val="21"/>
              </w:rPr>
            </w:pPr>
            <w:r>
              <w:rPr>
                <w:rFonts w:cs="Times New Roman"/>
                <w:sz w:val="21"/>
                <w:szCs w:val="21"/>
              </w:rPr>
              <w:t>2985065.03</w:t>
            </w:r>
          </w:p>
        </w:tc>
        <w:tc>
          <w:tcPr>
            <w:tcW w:w="1428" w:type="dxa"/>
            <w:tcBorders>
              <w:top w:val="single" w:color="auto" w:sz="4" w:space="0"/>
              <w:left w:val="single" w:color="auto" w:sz="4" w:space="0"/>
              <w:bottom w:val="single" w:color="auto" w:sz="4" w:space="0"/>
              <w:right w:val="single" w:color="auto" w:sz="4" w:space="0"/>
            </w:tcBorders>
            <w:vAlign w:val="center"/>
          </w:tcPr>
          <w:p w14:paraId="3F2D6E8A">
            <w:pPr>
              <w:wordWrap/>
              <w:snapToGrid/>
              <w:ind w:firstLine="0" w:firstLineChars="0"/>
              <w:jc w:val="center"/>
              <w:rPr>
                <w:rFonts w:cs="Times New Roman"/>
                <w:sz w:val="21"/>
                <w:szCs w:val="21"/>
              </w:rPr>
            </w:pPr>
            <w:r>
              <w:rPr>
                <w:rFonts w:cs="Times New Roman"/>
                <w:sz w:val="21"/>
                <w:szCs w:val="21"/>
              </w:rPr>
              <w:t>38365288.88</w:t>
            </w:r>
          </w:p>
        </w:tc>
        <w:tc>
          <w:tcPr>
            <w:tcW w:w="1331" w:type="dxa"/>
            <w:tcBorders>
              <w:top w:val="single" w:color="auto" w:sz="4" w:space="0"/>
              <w:left w:val="single" w:color="auto" w:sz="4" w:space="0"/>
              <w:bottom w:val="single" w:color="auto" w:sz="4" w:space="0"/>
              <w:right w:val="single" w:color="auto" w:sz="4" w:space="0"/>
            </w:tcBorders>
          </w:tcPr>
          <w:p w14:paraId="07CE161F">
            <w:pPr>
              <w:wordWrap/>
              <w:snapToGrid/>
              <w:ind w:firstLine="0" w:firstLineChars="0"/>
              <w:jc w:val="center"/>
              <w:rPr>
                <w:rFonts w:cs="Times New Roman"/>
                <w:sz w:val="21"/>
                <w:szCs w:val="21"/>
              </w:rPr>
            </w:pPr>
            <w:r>
              <w:rPr>
                <w:rFonts w:cs="Times New Roman"/>
                <w:sz w:val="21"/>
                <w:szCs w:val="21"/>
              </w:rPr>
              <w:t>56.87</w:t>
            </w: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74B9EA53">
            <w:pPr>
              <w:widowControl/>
              <w:wordWrap/>
              <w:topLinePunct w:val="0"/>
              <w:adjustRightInd/>
              <w:snapToGrid/>
              <w:spacing w:line="240" w:lineRule="auto"/>
              <w:ind w:firstLine="0" w:firstLineChars="0"/>
              <w:jc w:val="left"/>
              <w:rPr>
                <w:rFonts w:cs="Times New Roman"/>
                <w:sz w:val="21"/>
                <w:szCs w:val="21"/>
              </w:rPr>
            </w:pPr>
          </w:p>
        </w:tc>
      </w:tr>
      <w:tr w14:paraId="69AC2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left w:val="single" w:color="auto" w:sz="12" w:space="0"/>
              <w:bottom w:val="single" w:color="auto" w:sz="4" w:space="0"/>
              <w:right w:val="single" w:color="auto" w:sz="4" w:space="0"/>
            </w:tcBorders>
            <w:vAlign w:val="center"/>
          </w:tcPr>
          <w:p w14:paraId="3B49760F">
            <w:pPr>
              <w:wordWrap/>
              <w:snapToGrid/>
              <w:ind w:firstLine="0" w:firstLineChars="0"/>
              <w:jc w:val="center"/>
              <w:rPr>
                <w:rFonts w:cs="Times New Roman"/>
                <w:sz w:val="21"/>
                <w:szCs w:val="21"/>
              </w:rPr>
            </w:pPr>
            <w:r>
              <w:rPr>
                <w:rFonts w:cs="Times New Roman"/>
                <w:sz w:val="21"/>
                <w:szCs w:val="21"/>
              </w:rPr>
              <w:t>3</w:t>
            </w:r>
          </w:p>
        </w:tc>
        <w:tc>
          <w:tcPr>
            <w:tcW w:w="1422" w:type="dxa"/>
            <w:tcBorders>
              <w:top w:val="single" w:color="auto" w:sz="4" w:space="0"/>
              <w:left w:val="single" w:color="auto" w:sz="4" w:space="0"/>
              <w:bottom w:val="single" w:color="auto" w:sz="4" w:space="0"/>
              <w:right w:val="single" w:color="auto" w:sz="4" w:space="0"/>
            </w:tcBorders>
            <w:vAlign w:val="center"/>
          </w:tcPr>
          <w:p w14:paraId="486ECF5C">
            <w:pPr>
              <w:wordWrap/>
              <w:snapToGrid/>
              <w:ind w:firstLine="0" w:firstLineChars="0"/>
              <w:jc w:val="center"/>
              <w:rPr>
                <w:rFonts w:cs="Times New Roman"/>
                <w:sz w:val="21"/>
                <w:szCs w:val="21"/>
              </w:rPr>
            </w:pPr>
            <w:r>
              <w:rPr>
                <w:rFonts w:cs="Times New Roman"/>
                <w:sz w:val="21"/>
                <w:szCs w:val="21"/>
              </w:rPr>
              <w:t>CK4</w:t>
            </w:r>
          </w:p>
        </w:tc>
        <w:tc>
          <w:tcPr>
            <w:tcW w:w="1373" w:type="dxa"/>
            <w:tcBorders>
              <w:top w:val="single" w:color="auto" w:sz="4" w:space="0"/>
              <w:left w:val="single" w:color="auto" w:sz="4" w:space="0"/>
              <w:bottom w:val="single" w:color="auto" w:sz="4" w:space="0"/>
              <w:right w:val="single" w:color="auto" w:sz="4" w:space="0"/>
            </w:tcBorders>
            <w:vAlign w:val="center"/>
          </w:tcPr>
          <w:p w14:paraId="46C1FE92">
            <w:pPr>
              <w:wordWrap/>
              <w:snapToGrid/>
              <w:ind w:firstLine="0" w:firstLineChars="0"/>
              <w:jc w:val="center"/>
              <w:rPr>
                <w:rFonts w:cs="Times New Roman"/>
                <w:sz w:val="21"/>
                <w:szCs w:val="21"/>
              </w:rPr>
            </w:pPr>
            <w:r>
              <w:rPr>
                <w:rFonts w:cs="Times New Roman"/>
                <w:sz w:val="21"/>
                <w:szCs w:val="21"/>
              </w:rPr>
              <w:t>2985068.41</w:t>
            </w:r>
          </w:p>
        </w:tc>
        <w:tc>
          <w:tcPr>
            <w:tcW w:w="1428" w:type="dxa"/>
            <w:tcBorders>
              <w:top w:val="single" w:color="auto" w:sz="4" w:space="0"/>
              <w:left w:val="single" w:color="auto" w:sz="4" w:space="0"/>
              <w:bottom w:val="single" w:color="auto" w:sz="4" w:space="0"/>
              <w:right w:val="single" w:color="auto" w:sz="4" w:space="0"/>
            </w:tcBorders>
            <w:vAlign w:val="center"/>
          </w:tcPr>
          <w:p w14:paraId="6332042A">
            <w:pPr>
              <w:wordWrap/>
              <w:snapToGrid/>
              <w:ind w:firstLine="0" w:firstLineChars="0"/>
              <w:jc w:val="center"/>
              <w:rPr>
                <w:rFonts w:cs="Times New Roman"/>
                <w:sz w:val="21"/>
                <w:szCs w:val="21"/>
              </w:rPr>
            </w:pPr>
            <w:r>
              <w:rPr>
                <w:rFonts w:cs="Times New Roman"/>
                <w:sz w:val="21"/>
                <w:szCs w:val="21"/>
              </w:rPr>
              <w:t>38365444.19</w:t>
            </w:r>
          </w:p>
        </w:tc>
        <w:tc>
          <w:tcPr>
            <w:tcW w:w="1331" w:type="dxa"/>
            <w:tcBorders>
              <w:top w:val="single" w:color="auto" w:sz="4" w:space="0"/>
              <w:left w:val="single" w:color="auto" w:sz="4" w:space="0"/>
              <w:bottom w:val="single" w:color="auto" w:sz="4" w:space="0"/>
              <w:right w:val="single" w:color="auto" w:sz="4" w:space="0"/>
            </w:tcBorders>
          </w:tcPr>
          <w:p w14:paraId="27B51D2C">
            <w:pPr>
              <w:wordWrap/>
              <w:snapToGrid/>
              <w:ind w:firstLine="0" w:firstLineChars="0"/>
              <w:jc w:val="center"/>
              <w:rPr>
                <w:rFonts w:cs="Times New Roman"/>
                <w:sz w:val="21"/>
                <w:szCs w:val="21"/>
              </w:rPr>
            </w:pPr>
            <w:r>
              <w:rPr>
                <w:rFonts w:cs="Times New Roman"/>
                <w:sz w:val="21"/>
                <w:szCs w:val="21"/>
              </w:rPr>
              <w:t>60.53</w:t>
            </w: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60712D88">
            <w:pPr>
              <w:widowControl/>
              <w:wordWrap/>
              <w:topLinePunct w:val="0"/>
              <w:adjustRightInd/>
              <w:snapToGrid/>
              <w:spacing w:line="240" w:lineRule="auto"/>
              <w:ind w:firstLine="0" w:firstLineChars="0"/>
              <w:jc w:val="left"/>
              <w:rPr>
                <w:rFonts w:cs="Times New Roman"/>
                <w:sz w:val="21"/>
                <w:szCs w:val="21"/>
              </w:rPr>
            </w:pPr>
          </w:p>
        </w:tc>
      </w:tr>
      <w:tr w14:paraId="22343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left w:val="single" w:color="auto" w:sz="12" w:space="0"/>
              <w:bottom w:val="single" w:color="auto" w:sz="4" w:space="0"/>
              <w:right w:val="single" w:color="auto" w:sz="4" w:space="0"/>
            </w:tcBorders>
            <w:vAlign w:val="center"/>
          </w:tcPr>
          <w:p w14:paraId="44594848">
            <w:pPr>
              <w:wordWrap/>
              <w:snapToGrid/>
              <w:ind w:firstLine="0" w:firstLineChars="0"/>
              <w:jc w:val="center"/>
              <w:rPr>
                <w:rFonts w:cs="Times New Roman"/>
                <w:sz w:val="21"/>
                <w:szCs w:val="21"/>
              </w:rPr>
            </w:pPr>
            <w:r>
              <w:rPr>
                <w:rFonts w:cs="Times New Roman"/>
                <w:sz w:val="21"/>
                <w:szCs w:val="21"/>
              </w:rPr>
              <w:t>4</w:t>
            </w:r>
          </w:p>
        </w:tc>
        <w:tc>
          <w:tcPr>
            <w:tcW w:w="1422" w:type="dxa"/>
            <w:tcBorders>
              <w:top w:val="single" w:color="auto" w:sz="4" w:space="0"/>
              <w:left w:val="single" w:color="auto" w:sz="4" w:space="0"/>
              <w:bottom w:val="single" w:color="auto" w:sz="4" w:space="0"/>
              <w:right w:val="single" w:color="auto" w:sz="4" w:space="0"/>
            </w:tcBorders>
            <w:vAlign w:val="center"/>
          </w:tcPr>
          <w:p w14:paraId="3FB1166A">
            <w:pPr>
              <w:wordWrap/>
              <w:snapToGrid/>
              <w:ind w:firstLine="0" w:firstLineChars="0"/>
              <w:jc w:val="center"/>
              <w:rPr>
                <w:rFonts w:cs="Times New Roman"/>
                <w:sz w:val="21"/>
                <w:szCs w:val="21"/>
              </w:rPr>
            </w:pPr>
            <w:r>
              <w:rPr>
                <w:rFonts w:cs="Times New Roman"/>
                <w:sz w:val="21"/>
                <w:szCs w:val="21"/>
              </w:rPr>
              <w:t>CK5</w:t>
            </w:r>
          </w:p>
        </w:tc>
        <w:tc>
          <w:tcPr>
            <w:tcW w:w="1373" w:type="dxa"/>
            <w:tcBorders>
              <w:top w:val="single" w:color="auto" w:sz="4" w:space="0"/>
              <w:left w:val="single" w:color="auto" w:sz="4" w:space="0"/>
              <w:bottom w:val="single" w:color="auto" w:sz="4" w:space="0"/>
              <w:right w:val="single" w:color="auto" w:sz="4" w:space="0"/>
            </w:tcBorders>
            <w:vAlign w:val="center"/>
          </w:tcPr>
          <w:p w14:paraId="2207EF3D">
            <w:pPr>
              <w:wordWrap/>
              <w:snapToGrid/>
              <w:ind w:firstLine="0" w:firstLineChars="0"/>
              <w:jc w:val="center"/>
              <w:rPr>
                <w:rFonts w:cs="Times New Roman"/>
                <w:sz w:val="21"/>
                <w:szCs w:val="21"/>
              </w:rPr>
            </w:pPr>
            <w:r>
              <w:rPr>
                <w:rFonts w:cs="Times New Roman"/>
                <w:sz w:val="21"/>
                <w:szCs w:val="21"/>
              </w:rPr>
              <w:t>2985125.65</w:t>
            </w:r>
          </w:p>
        </w:tc>
        <w:tc>
          <w:tcPr>
            <w:tcW w:w="1428" w:type="dxa"/>
            <w:tcBorders>
              <w:top w:val="single" w:color="auto" w:sz="4" w:space="0"/>
              <w:left w:val="single" w:color="auto" w:sz="4" w:space="0"/>
              <w:bottom w:val="single" w:color="auto" w:sz="4" w:space="0"/>
              <w:right w:val="single" w:color="auto" w:sz="4" w:space="0"/>
            </w:tcBorders>
            <w:vAlign w:val="center"/>
          </w:tcPr>
          <w:p w14:paraId="645AEF51">
            <w:pPr>
              <w:wordWrap/>
              <w:snapToGrid/>
              <w:ind w:firstLine="0" w:firstLineChars="0"/>
              <w:jc w:val="center"/>
              <w:rPr>
                <w:rFonts w:cs="Times New Roman"/>
                <w:sz w:val="21"/>
                <w:szCs w:val="21"/>
              </w:rPr>
            </w:pPr>
            <w:r>
              <w:rPr>
                <w:rFonts w:cs="Times New Roman"/>
                <w:sz w:val="21"/>
                <w:szCs w:val="21"/>
              </w:rPr>
              <w:t>38365262.16</w:t>
            </w:r>
          </w:p>
        </w:tc>
        <w:tc>
          <w:tcPr>
            <w:tcW w:w="1331" w:type="dxa"/>
            <w:tcBorders>
              <w:top w:val="single" w:color="auto" w:sz="4" w:space="0"/>
              <w:left w:val="single" w:color="auto" w:sz="4" w:space="0"/>
              <w:bottom w:val="single" w:color="auto" w:sz="4" w:space="0"/>
              <w:right w:val="single" w:color="auto" w:sz="4" w:space="0"/>
            </w:tcBorders>
          </w:tcPr>
          <w:p w14:paraId="4FB2601F">
            <w:pPr>
              <w:wordWrap/>
              <w:snapToGrid/>
              <w:ind w:firstLine="0" w:firstLineChars="0"/>
              <w:jc w:val="center"/>
              <w:rPr>
                <w:rFonts w:cs="Times New Roman"/>
                <w:sz w:val="21"/>
                <w:szCs w:val="21"/>
              </w:rPr>
            </w:pPr>
            <w:r>
              <w:rPr>
                <w:rFonts w:cs="Times New Roman"/>
                <w:sz w:val="21"/>
                <w:szCs w:val="21"/>
              </w:rPr>
              <w:t>61.92</w:t>
            </w: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736DC1E4">
            <w:pPr>
              <w:widowControl/>
              <w:wordWrap/>
              <w:topLinePunct w:val="0"/>
              <w:adjustRightInd/>
              <w:snapToGrid/>
              <w:spacing w:line="240" w:lineRule="auto"/>
              <w:ind w:firstLine="0" w:firstLineChars="0"/>
              <w:jc w:val="left"/>
              <w:rPr>
                <w:rFonts w:cs="Times New Roman"/>
                <w:sz w:val="21"/>
                <w:szCs w:val="21"/>
              </w:rPr>
            </w:pPr>
          </w:p>
        </w:tc>
      </w:tr>
      <w:tr w14:paraId="2BF1E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vMerge w:val="restart"/>
            <w:tcBorders>
              <w:top w:val="single" w:color="auto" w:sz="4" w:space="0"/>
              <w:left w:val="single" w:color="auto" w:sz="12" w:space="0"/>
              <w:bottom w:val="single" w:color="auto" w:sz="4" w:space="0"/>
              <w:right w:val="single" w:color="auto" w:sz="4" w:space="0"/>
            </w:tcBorders>
            <w:vAlign w:val="center"/>
          </w:tcPr>
          <w:p w14:paraId="4EB7D171">
            <w:pPr>
              <w:wordWrap/>
              <w:snapToGrid/>
              <w:ind w:firstLine="0" w:firstLineChars="0"/>
              <w:jc w:val="center"/>
              <w:rPr>
                <w:rFonts w:cs="Times New Roman"/>
                <w:sz w:val="21"/>
                <w:szCs w:val="21"/>
              </w:rPr>
            </w:pPr>
            <w:r>
              <w:rPr>
                <w:rFonts w:cs="Times New Roman"/>
                <w:sz w:val="21"/>
                <w:szCs w:val="21"/>
              </w:rPr>
              <w:t>5</w:t>
            </w:r>
          </w:p>
        </w:tc>
        <w:tc>
          <w:tcPr>
            <w:tcW w:w="1422" w:type="dxa"/>
            <w:tcBorders>
              <w:top w:val="single" w:color="auto" w:sz="4" w:space="0"/>
              <w:left w:val="single" w:color="auto" w:sz="4" w:space="0"/>
              <w:bottom w:val="single" w:color="auto" w:sz="4" w:space="0"/>
              <w:right w:val="single" w:color="auto" w:sz="4" w:space="0"/>
            </w:tcBorders>
            <w:vAlign w:val="center"/>
          </w:tcPr>
          <w:p w14:paraId="70E1C9C0">
            <w:pPr>
              <w:wordWrap/>
              <w:snapToGrid/>
              <w:ind w:firstLine="0" w:firstLineChars="0"/>
              <w:jc w:val="center"/>
              <w:rPr>
                <w:rFonts w:cs="Times New Roman"/>
                <w:sz w:val="21"/>
                <w:szCs w:val="21"/>
              </w:rPr>
            </w:pPr>
            <w:r>
              <w:rPr>
                <w:rFonts w:cs="Times New Roman"/>
                <w:sz w:val="21"/>
                <w:szCs w:val="21"/>
              </w:rPr>
              <w:t>ZK6</w:t>
            </w:r>
          </w:p>
        </w:tc>
        <w:tc>
          <w:tcPr>
            <w:tcW w:w="1373" w:type="dxa"/>
            <w:tcBorders>
              <w:top w:val="single" w:color="auto" w:sz="4" w:space="0"/>
              <w:left w:val="single" w:color="auto" w:sz="4" w:space="0"/>
              <w:bottom w:val="single" w:color="auto" w:sz="4" w:space="0"/>
              <w:right w:val="single" w:color="auto" w:sz="4" w:space="0"/>
            </w:tcBorders>
            <w:vAlign w:val="center"/>
          </w:tcPr>
          <w:p w14:paraId="72AAB200">
            <w:pPr>
              <w:wordWrap/>
              <w:snapToGrid/>
              <w:ind w:firstLine="0" w:firstLineChars="0"/>
              <w:jc w:val="center"/>
              <w:rPr>
                <w:rFonts w:cs="Times New Roman"/>
                <w:sz w:val="21"/>
                <w:szCs w:val="21"/>
              </w:rPr>
            </w:pPr>
            <w:r>
              <w:rPr>
                <w:rFonts w:cs="Times New Roman"/>
                <w:sz w:val="21"/>
                <w:szCs w:val="21"/>
              </w:rPr>
              <w:t>2985238.10</w:t>
            </w:r>
          </w:p>
        </w:tc>
        <w:tc>
          <w:tcPr>
            <w:tcW w:w="1428" w:type="dxa"/>
            <w:tcBorders>
              <w:top w:val="single" w:color="auto" w:sz="4" w:space="0"/>
              <w:left w:val="single" w:color="auto" w:sz="4" w:space="0"/>
              <w:bottom w:val="single" w:color="auto" w:sz="4" w:space="0"/>
              <w:right w:val="single" w:color="auto" w:sz="4" w:space="0"/>
            </w:tcBorders>
            <w:vAlign w:val="center"/>
          </w:tcPr>
          <w:p w14:paraId="43491B25">
            <w:pPr>
              <w:wordWrap/>
              <w:snapToGrid/>
              <w:ind w:firstLine="0" w:firstLineChars="0"/>
              <w:jc w:val="center"/>
              <w:rPr>
                <w:rFonts w:cs="Times New Roman"/>
                <w:sz w:val="21"/>
                <w:szCs w:val="21"/>
              </w:rPr>
            </w:pPr>
            <w:r>
              <w:rPr>
                <w:rFonts w:cs="Times New Roman"/>
                <w:sz w:val="21"/>
                <w:szCs w:val="21"/>
              </w:rPr>
              <w:t>38365411.85</w:t>
            </w:r>
          </w:p>
        </w:tc>
        <w:tc>
          <w:tcPr>
            <w:tcW w:w="1331" w:type="dxa"/>
            <w:tcBorders>
              <w:top w:val="single" w:color="auto" w:sz="4" w:space="0"/>
              <w:left w:val="single" w:color="auto" w:sz="4" w:space="0"/>
              <w:bottom w:val="single" w:color="auto" w:sz="4" w:space="0"/>
              <w:right w:val="single" w:color="auto" w:sz="4" w:space="0"/>
            </w:tcBorders>
          </w:tcPr>
          <w:p w14:paraId="5DD6E69D">
            <w:pPr>
              <w:wordWrap/>
              <w:snapToGrid/>
              <w:ind w:firstLine="0" w:firstLineChars="0"/>
              <w:jc w:val="center"/>
              <w:rPr>
                <w:rFonts w:cs="Times New Roman"/>
                <w:sz w:val="21"/>
                <w:szCs w:val="21"/>
              </w:rPr>
            </w:pPr>
            <w:r>
              <w:rPr>
                <w:rFonts w:cs="Times New Roman"/>
                <w:sz w:val="21"/>
                <w:szCs w:val="21"/>
              </w:rPr>
              <w:t>63.13</w:t>
            </w: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0A8228C5">
            <w:pPr>
              <w:widowControl/>
              <w:wordWrap/>
              <w:topLinePunct w:val="0"/>
              <w:adjustRightInd/>
              <w:snapToGrid/>
              <w:spacing w:line="240" w:lineRule="auto"/>
              <w:ind w:firstLine="0" w:firstLineChars="0"/>
              <w:jc w:val="left"/>
              <w:rPr>
                <w:rFonts w:cs="Times New Roman"/>
                <w:sz w:val="21"/>
                <w:szCs w:val="21"/>
              </w:rPr>
            </w:pPr>
          </w:p>
        </w:tc>
      </w:tr>
      <w:tr w14:paraId="2F691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129C784C">
            <w:pPr>
              <w:widowControl/>
              <w:wordWrap/>
              <w:topLinePunct w:val="0"/>
              <w:adjustRightInd/>
              <w:snapToGrid/>
              <w:spacing w:line="240" w:lineRule="auto"/>
              <w:ind w:firstLine="0" w:firstLineChars="0"/>
              <w:jc w:val="left"/>
              <w:rPr>
                <w:rFonts w:cs="Times New Roman"/>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14:paraId="65485ED3">
            <w:pPr>
              <w:wordWrap/>
              <w:snapToGrid/>
              <w:ind w:firstLine="0" w:firstLineChars="0"/>
              <w:jc w:val="center"/>
              <w:rPr>
                <w:rFonts w:cs="Times New Roman"/>
                <w:sz w:val="21"/>
                <w:szCs w:val="21"/>
              </w:rPr>
            </w:pPr>
            <w:r>
              <w:rPr>
                <w:rFonts w:cs="Times New Roman"/>
                <w:sz w:val="21"/>
                <w:szCs w:val="21"/>
              </w:rPr>
              <w:t>ZK7</w:t>
            </w:r>
          </w:p>
        </w:tc>
        <w:tc>
          <w:tcPr>
            <w:tcW w:w="1373" w:type="dxa"/>
            <w:tcBorders>
              <w:top w:val="single" w:color="auto" w:sz="4" w:space="0"/>
              <w:left w:val="single" w:color="auto" w:sz="4" w:space="0"/>
              <w:bottom w:val="single" w:color="auto" w:sz="4" w:space="0"/>
              <w:right w:val="single" w:color="auto" w:sz="4" w:space="0"/>
            </w:tcBorders>
            <w:vAlign w:val="center"/>
          </w:tcPr>
          <w:p w14:paraId="75AEB8D3">
            <w:pPr>
              <w:wordWrap/>
              <w:snapToGrid/>
              <w:ind w:firstLine="0" w:firstLineChars="0"/>
              <w:jc w:val="center"/>
              <w:rPr>
                <w:rFonts w:cs="Times New Roman"/>
                <w:sz w:val="21"/>
                <w:szCs w:val="21"/>
              </w:rPr>
            </w:pPr>
            <w:r>
              <w:rPr>
                <w:rFonts w:cs="Times New Roman"/>
                <w:sz w:val="21"/>
                <w:szCs w:val="21"/>
              </w:rPr>
              <w:t>2985107.99</w:t>
            </w:r>
          </w:p>
        </w:tc>
        <w:tc>
          <w:tcPr>
            <w:tcW w:w="1428" w:type="dxa"/>
            <w:tcBorders>
              <w:top w:val="single" w:color="auto" w:sz="4" w:space="0"/>
              <w:left w:val="single" w:color="auto" w:sz="4" w:space="0"/>
              <w:bottom w:val="single" w:color="auto" w:sz="4" w:space="0"/>
              <w:right w:val="single" w:color="auto" w:sz="4" w:space="0"/>
            </w:tcBorders>
            <w:vAlign w:val="center"/>
          </w:tcPr>
          <w:p w14:paraId="4CA67148">
            <w:pPr>
              <w:wordWrap/>
              <w:snapToGrid/>
              <w:ind w:firstLine="0" w:firstLineChars="0"/>
              <w:jc w:val="center"/>
              <w:rPr>
                <w:rFonts w:cs="Times New Roman"/>
                <w:sz w:val="21"/>
                <w:szCs w:val="21"/>
              </w:rPr>
            </w:pPr>
            <w:r>
              <w:rPr>
                <w:rFonts w:cs="Times New Roman"/>
                <w:sz w:val="21"/>
                <w:szCs w:val="21"/>
              </w:rPr>
              <w:t>38365366.18</w:t>
            </w:r>
          </w:p>
        </w:tc>
        <w:tc>
          <w:tcPr>
            <w:tcW w:w="1331" w:type="dxa"/>
            <w:tcBorders>
              <w:top w:val="single" w:color="auto" w:sz="4" w:space="0"/>
              <w:left w:val="single" w:color="auto" w:sz="4" w:space="0"/>
              <w:bottom w:val="single" w:color="auto" w:sz="4" w:space="0"/>
              <w:right w:val="single" w:color="auto" w:sz="4" w:space="0"/>
            </w:tcBorders>
          </w:tcPr>
          <w:p w14:paraId="60151004">
            <w:pPr>
              <w:wordWrap/>
              <w:snapToGrid/>
              <w:ind w:firstLine="0" w:firstLineChars="0"/>
              <w:jc w:val="center"/>
              <w:rPr>
                <w:rFonts w:cs="Times New Roman"/>
                <w:sz w:val="21"/>
                <w:szCs w:val="21"/>
              </w:rPr>
            </w:pPr>
            <w:r>
              <w:rPr>
                <w:rFonts w:cs="Times New Roman"/>
                <w:sz w:val="21"/>
                <w:szCs w:val="21"/>
              </w:rPr>
              <w:t>63.18</w:t>
            </w: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6C7A809B">
            <w:pPr>
              <w:widowControl/>
              <w:wordWrap/>
              <w:topLinePunct w:val="0"/>
              <w:adjustRightInd/>
              <w:snapToGrid/>
              <w:spacing w:line="240" w:lineRule="auto"/>
              <w:ind w:firstLine="0" w:firstLineChars="0"/>
              <w:jc w:val="left"/>
              <w:rPr>
                <w:rFonts w:cs="Times New Roman"/>
                <w:sz w:val="21"/>
                <w:szCs w:val="21"/>
              </w:rPr>
            </w:pPr>
          </w:p>
        </w:tc>
      </w:tr>
      <w:tr w14:paraId="7431C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vMerge w:val="restart"/>
            <w:tcBorders>
              <w:top w:val="single" w:color="auto" w:sz="4" w:space="0"/>
              <w:left w:val="single" w:color="auto" w:sz="12" w:space="0"/>
              <w:bottom w:val="single" w:color="auto" w:sz="4" w:space="0"/>
              <w:right w:val="single" w:color="auto" w:sz="4" w:space="0"/>
            </w:tcBorders>
            <w:vAlign w:val="center"/>
          </w:tcPr>
          <w:p w14:paraId="6112D78C">
            <w:pPr>
              <w:wordWrap/>
              <w:snapToGrid/>
              <w:ind w:firstLine="0" w:firstLineChars="0"/>
              <w:jc w:val="center"/>
              <w:rPr>
                <w:rFonts w:cs="Times New Roman"/>
                <w:sz w:val="21"/>
                <w:szCs w:val="21"/>
              </w:rPr>
            </w:pPr>
            <w:r>
              <w:rPr>
                <w:rFonts w:cs="Times New Roman"/>
                <w:sz w:val="21"/>
                <w:szCs w:val="21"/>
              </w:rPr>
              <w:t>6</w:t>
            </w:r>
          </w:p>
        </w:tc>
        <w:tc>
          <w:tcPr>
            <w:tcW w:w="1422" w:type="dxa"/>
            <w:tcBorders>
              <w:top w:val="single" w:color="auto" w:sz="4" w:space="0"/>
              <w:left w:val="single" w:color="auto" w:sz="4" w:space="0"/>
              <w:bottom w:val="single" w:color="auto" w:sz="4" w:space="0"/>
              <w:right w:val="single" w:color="auto" w:sz="4" w:space="0"/>
            </w:tcBorders>
            <w:vAlign w:val="center"/>
          </w:tcPr>
          <w:p w14:paraId="282E16E9">
            <w:pPr>
              <w:wordWrap/>
              <w:snapToGrid/>
              <w:ind w:firstLine="0" w:firstLineChars="0"/>
              <w:jc w:val="center"/>
              <w:rPr>
                <w:rFonts w:cs="Times New Roman"/>
                <w:sz w:val="21"/>
                <w:szCs w:val="21"/>
              </w:rPr>
            </w:pPr>
            <w:r>
              <w:rPr>
                <w:rFonts w:cs="Times New Roman"/>
                <w:sz w:val="21"/>
                <w:szCs w:val="21"/>
              </w:rPr>
              <w:t>ZK8</w:t>
            </w:r>
          </w:p>
        </w:tc>
        <w:tc>
          <w:tcPr>
            <w:tcW w:w="1373" w:type="dxa"/>
            <w:tcBorders>
              <w:top w:val="single" w:color="auto" w:sz="4" w:space="0"/>
              <w:left w:val="single" w:color="auto" w:sz="4" w:space="0"/>
              <w:bottom w:val="single" w:color="auto" w:sz="4" w:space="0"/>
              <w:right w:val="single" w:color="auto" w:sz="4" w:space="0"/>
            </w:tcBorders>
            <w:vAlign w:val="center"/>
          </w:tcPr>
          <w:p w14:paraId="323DF37F">
            <w:pPr>
              <w:wordWrap/>
              <w:snapToGrid/>
              <w:ind w:firstLine="0" w:firstLineChars="0"/>
              <w:jc w:val="center"/>
              <w:rPr>
                <w:rFonts w:cs="Times New Roman"/>
                <w:sz w:val="21"/>
                <w:szCs w:val="21"/>
              </w:rPr>
            </w:pPr>
            <w:r>
              <w:rPr>
                <w:rFonts w:cs="Times New Roman"/>
                <w:sz w:val="21"/>
                <w:szCs w:val="21"/>
              </w:rPr>
              <w:t>2985265.03</w:t>
            </w:r>
          </w:p>
        </w:tc>
        <w:tc>
          <w:tcPr>
            <w:tcW w:w="1428" w:type="dxa"/>
            <w:tcBorders>
              <w:top w:val="single" w:color="auto" w:sz="4" w:space="0"/>
              <w:left w:val="single" w:color="auto" w:sz="4" w:space="0"/>
              <w:bottom w:val="single" w:color="auto" w:sz="4" w:space="0"/>
              <w:right w:val="single" w:color="auto" w:sz="4" w:space="0"/>
            </w:tcBorders>
            <w:vAlign w:val="center"/>
          </w:tcPr>
          <w:p w14:paraId="18C42576">
            <w:pPr>
              <w:wordWrap/>
              <w:snapToGrid/>
              <w:ind w:firstLine="0" w:firstLineChars="0"/>
              <w:jc w:val="center"/>
              <w:rPr>
                <w:rFonts w:cs="Times New Roman"/>
                <w:sz w:val="21"/>
                <w:szCs w:val="21"/>
              </w:rPr>
            </w:pPr>
            <w:r>
              <w:rPr>
                <w:rFonts w:cs="Times New Roman"/>
                <w:sz w:val="21"/>
                <w:szCs w:val="21"/>
              </w:rPr>
              <w:t>38365311.97</w:t>
            </w:r>
          </w:p>
        </w:tc>
        <w:tc>
          <w:tcPr>
            <w:tcW w:w="1331" w:type="dxa"/>
            <w:tcBorders>
              <w:top w:val="single" w:color="auto" w:sz="4" w:space="0"/>
              <w:left w:val="single" w:color="auto" w:sz="4" w:space="0"/>
              <w:bottom w:val="single" w:color="auto" w:sz="4" w:space="0"/>
              <w:right w:val="single" w:color="auto" w:sz="4" w:space="0"/>
            </w:tcBorders>
          </w:tcPr>
          <w:p w14:paraId="2592963A">
            <w:pPr>
              <w:wordWrap/>
              <w:snapToGrid/>
              <w:ind w:firstLine="0" w:firstLineChars="0"/>
              <w:jc w:val="center"/>
              <w:rPr>
                <w:rFonts w:cs="Times New Roman"/>
                <w:sz w:val="21"/>
                <w:szCs w:val="21"/>
              </w:rPr>
            </w:pPr>
            <w:r>
              <w:rPr>
                <w:rFonts w:cs="Times New Roman"/>
                <w:sz w:val="21"/>
                <w:szCs w:val="21"/>
              </w:rPr>
              <w:t>62.98</w:t>
            </w: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2F3B0EF6">
            <w:pPr>
              <w:widowControl/>
              <w:wordWrap/>
              <w:topLinePunct w:val="0"/>
              <w:adjustRightInd/>
              <w:snapToGrid/>
              <w:spacing w:line="240" w:lineRule="auto"/>
              <w:ind w:firstLine="0" w:firstLineChars="0"/>
              <w:jc w:val="left"/>
              <w:rPr>
                <w:rFonts w:cs="Times New Roman"/>
                <w:sz w:val="21"/>
                <w:szCs w:val="21"/>
              </w:rPr>
            </w:pPr>
          </w:p>
        </w:tc>
      </w:tr>
      <w:tr w14:paraId="4290C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17D25A5C">
            <w:pPr>
              <w:widowControl/>
              <w:wordWrap/>
              <w:topLinePunct w:val="0"/>
              <w:adjustRightInd/>
              <w:snapToGrid/>
              <w:spacing w:line="240" w:lineRule="auto"/>
              <w:ind w:firstLine="0" w:firstLineChars="0"/>
              <w:jc w:val="left"/>
              <w:rPr>
                <w:rFonts w:cs="Times New Roman"/>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14:paraId="1803D17C">
            <w:pPr>
              <w:wordWrap/>
              <w:snapToGrid/>
              <w:ind w:firstLine="0" w:firstLineChars="0"/>
              <w:jc w:val="center"/>
              <w:rPr>
                <w:rFonts w:cs="Times New Roman"/>
                <w:sz w:val="21"/>
                <w:szCs w:val="21"/>
              </w:rPr>
            </w:pPr>
            <w:r>
              <w:rPr>
                <w:rFonts w:cs="Times New Roman"/>
                <w:sz w:val="21"/>
                <w:szCs w:val="21"/>
              </w:rPr>
              <w:t>ZK9</w:t>
            </w:r>
          </w:p>
        </w:tc>
        <w:tc>
          <w:tcPr>
            <w:tcW w:w="1373" w:type="dxa"/>
            <w:tcBorders>
              <w:top w:val="single" w:color="auto" w:sz="4" w:space="0"/>
              <w:left w:val="single" w:color="auto" w:sz="4" w:space="0"/>
              <w:bottom w:val="single" w:color="auto" w:sz="4" w:space="0"/>
              <w:right w:val="single" w:color="auto" w:sz="4" w:space="0"/>
            </w:tcBorders>
            <w:vAlign w:val="center"/>
          </w:tcPr>
          <w:p w14:paraId="321105E0">
            <w:pPr>
              <w:wordWrap/>
              <w:snapToGrid/>
              <w:ind w:firstLine="0" w:firstLineChars="0"/>
              <w:jc w:val="center"/>
              <w:rPr>
                <w:rFonts w:cs="Times New Roman"/>
                <w:sz w:val="21"/>
                <w:szCs w:val="21"/>
              </w:rPr>
            </w:pPr>
            <w:r>
              <w:rPr>
                <w:rFonts w:cs="Times New Roman"/>
                <w:sz w:val="21"/>
                <w:szCs w:val="21"/>
              </w:rPr>
              <w:t>2985152.98</w:t>
            </w:r>
          </w:p>
        </w:tc>
        <w:tc>
          <w:tcPr>
            <w:tcW w:w="1428" w:type="dxa"/>
            <w:tcBorders>
              <w:top w:val="single" w:color="auto" w:sz="4" w:space="0"/>
              <w:left w:val="single" w:color="auto" w:sz="4" w:space="0"/>
              <w:bottom w:val="single" w:color="auto" w:sz="4" w:space="0"/>
              <w:right w:val="single" w:color="auto" w:sz="4" w:space="0"/>
            </w:tcBorders>
            <w:vAlign w:val="center"/>
          </w:tcPr>
          <w:p w14:paraId="6B0D3D7F">
            <w:pPr>
              <w:wordWrap/>
              <w:snapToGrid/>
              <w:ind w:firstLine="0" w:firstLineChars="0"/>
              <w:jc w:val="center"/>
              <w:rPr>
                <w:rFonts w:cs="Times New Roman"/>
                <w:sz w:val="21"/>
                <w:szCs w:val="21"/>
              </w:rPr>
            </w:pPr>
            <w:r>
              <w:rPr>
                <w:rFonts w:cs="Times New Roman"/>
                <w:sz w:val="21"/>
                <w:szCs w:val="21"/>
              </w:rPr>
              <w:t>38365302.99</w:t>
            </w:r>
          </w:p>
        </w:tc>
        <w:tc>
          <w:tcPr>
            <w:tcW w:w="1331" w:type="dxa"/>
            <w:tcBorders>
              <w:top w:val="single" w:color="auto" w:sz="4" w:space="0"/>
              <w:left w:val="single" w:color="auto" w:sz="4" w:space="0"/>
              <w:bottom w:val="single" w:color="auto" w:sz="4" w:space="0"/>
              <w:right w:val="single" w:color="auto" w:sz="4" w:space="0"/>
            </w:tcBorders>
          </w:tcPr>
          <w:p w14:paraId="157C7D0D">
            <w:pPr>
              <w:wordWrap/>
              <w:snapToGrid/>
              <w:ind w:firstLine="0" w:firstLineChars="0"/>
              <w:jc w:val="center"/>
              <w:rPr>
                <w:rFonts w:cs="Times New Roman"/>
                <w:sz w:val="21"/>
                <w:szCs w:val="21"/>
              </w:rPr>
            </w:pPr>
            <w:r>
              <w:rPr>
                <w:rFonts w:cs="Times New Roman"/>
                <w:sz w:val="21"/>
                <w:szCs w:val="21"/>
              </w:rPr>
              <w:t>63.03</w:t>
            </w: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58B219F5">
            <w:pPr>
              <w:widowControl/>
              <w:wordWrap/>
              <w:topLinePunct w:val="0"/>
              <w:adjustRightInd/>
              <w:snapToGrid/>
              <w:spacing w:line="240" w:lineRule="auto"/>
              <w:ind w:firstLine="0" w:firstLineChars="0"/>
              <w:jc w:val="left"/>
              <w:rPr>
                <w:rFonts w:cs="Times New Roman"/>
                <w:sz w:val="21"/>
                <w:szCs w:val="21"/>
              </w:rPr>
            </w:pPr>
          </w:p>
        </w:tc>
      </w:tr>
      <w:tr w14:paraId="5082A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tcBorders>
              <w:top w:val="single" w:color="auto" w:sz="4" w:space="0"/>
              <w:left w:val="single" w:color="auto" w:sz="12" w:space="0"/>
              <w:bottom w:val="single" w:color="auto" w:sz="4" w:space="0"/>
              <w:right w:val="single" w:color="auto" w:sz="4" w:space="0"/>
            </w:tcBorders>
            <w:vAlign w:val="center"/>
          </w:tcPr>
          <w:p w14:paraId="5273DE5B">
            <w:pPr>
              <w:ind w:firstLine="0" w:firstLineChars="0"/>
              <w:jc w:val="center"/>
              <w:rPr>
                <w:rFonts w:cs="Times New Roman"/>
                <w:sz w:val="21"/>
                <w:szCs w:val="21"/>
              </w:rPr>
            </w:pPr>
            <w:r>
              <w:rPr>
                <w:rFonts w:cs="Times New Roman"/>
                <w:sz w:val="21"/>
                <w:szCs w:val="21"/>
              </w:rPr>
              <w:t>7</w:t>
            </w:r>
          </w:p>
        </w:tc>
        <w:tc>
          <w:tcPr>
            <w:tcW w:w="1422" w:type="dxa"/>
            <w:tcBorders>
              <w:top w:val="single" w:color="auto" w:sz="4" w:space="0"/>
              <w:left w:val="single" w:color="auto" w:sz="4" w:space="0"/>
              <w:bottom w:val="single" w:color="auto" w:sz="4" w:space="0"/>
              <w:right w:val="single" w:color="auto" w:sz="4" w:space="0"/>
            </w:tcBorders>
            <w:vAlign w:val="center"/>
          </w:tcPr>
          <w:p w14:paraId="2BC0C14E">
            <w:pPr>
              <w:wordWrap/>
              <w:snapToGrid/>
              <w:ind w:firstLine="0" w:firstLineChars="0"/>
              <w:jc w:val="center"/>
              <w:rPr>
                <w:rFonts w:cs="Times New Roman"/>
                <w:sz w:val="21"/>
                <w:szCs w:val="21"/>
              </w:rPr>
            </w:pPr>
            <w:r>
              <w:rPr>
                <w:rFonts w:cs="Times New Roman"/>
                <w:sz w:val="21"/>
                <w:szCs w:val="21"/>
              </w:rPr>
              <w:t>ZK11</w:t>
            </w:r>
          </w:p>
        </w:tc>
        <w:tc>
          <w:tcPr>
            <w:tcW w:w="1373" w:type="dxa"/>
            <w:tcBorders>
              <w:top w:val="single" w:color="auto" w:sz="4" w:space="0"/>
              <w:left w:val="single" w:color="auto" w:sz="4" w:space="0"/>
              <w:bottom w:val="single" w:color="auto" w:sz="4" w:space="0"/>
              <w:right w:val="single" w:color="auto" w:sz="4" w:space="0"/>
            </w:tcBorders>
            <w:vAlign w:val="center"/>
          </w:tcPr>
          <w:p w14:paraId="3020ADD3">
            <w:pPr>
              <w:wordWrap/>
              <w:snapToGrid/>
              <w:ind w:firstLine="0" w:firstLineChars="0"/>
              <w:jc w:val="center"/>
              <w:rPr>
                <w:rFonts w:cs="Times New Roman"/>
                <w:sz w:val="21"/>
                <w:szCs w:val="21"/>
              </w:rPr>
            </w:pPr>
            <w:r>
              <w:rPr>
                <w:rFonts w:cs="Times New Roman"/>
                <w:sz w:val="21"/>
                <w:szCs w:val="21"/>
              </w:rPr>
              <w:t>2985033.40</w:t>
            </w:r>
          </w:p>
        </w:tc>
        <w:tc>
          <w:tcPr>
            <w:tcW w:w="1428" w:type="dxa"/>
            <w:tcBorders>
              <w:top w:val="single" w:color="auto" w:sz="4" w:space="0"/>
              <w:left w:val="single" w:color="auto" w:sz="4" w:space="0"/>
              <w:bottom w:val="single" w:color="auto" w:sz="4" w:space="0"/>
              <w:right w:val="single" w:color="auto" w:sz="4" w:space="0"/>
            </w:tcBorders>
            <w:vAlign w:val="center"/>
          </w:tcPr>
          <w:p w14:paraId="582B09CF">
            <w:pPr>
              <w:wordWrap/>
              <w:snapToGrid/>
              <w:ind w:firstLine="0" w:firstLineChars="0"/>
              <w:jc w:val="center"/>
              <w:rPr>
                <w:rFonts w:cs="Times New Roman"/>
                <w:sz w:val="21"/>
                <w:szCs w:val="21"/>
              </w:rPr>
            </w:pPr>
            <w:r>
              <w:rPr>
                <w:rFonts w:cs="Times New Roman"/>
                <w:sz w:val="21"/>
                <w:szCs w:val="21"/>
              </w:rPr>
              <w:t>38365551.50</w:t>
            </w:r>
          </w:p>
        </w:tc>
        <w:tc>
          <w:tcPr>
            <w:tcW w:w="1331" w:type="dxa"/>
            <w:tcBorders>
              <w:top w:val="single" w:color="auto" w:sz="4" w:space="0"/>
              <w:left w:val="single" w:color="auto" w:sz="4" w:space="0"/>
              <w:bottom w:val="single" w:color="auto" w:sz="4" w:space="0"/>
              <w:right w:val="single" w:color="auto" w:sz="4" w:space="0"/>
            </w:tcBorders>
          </w:tcPr>
          <w:p w14:paraId="3B7BF305">
            <w:pPr>
              <w:wordWrap/>
              <w:snapToGrid/>
              <w:ind w:firstLine="0" w:firstLineChars="0"/>
              <w:jc w:val="center"/>
              <w:rPr>
                <w:rFonts w:cs="Times New Roman"/>
                <w:sz w:val="21"/>
                <w:szCs w:val="21"/>
              </w:rPr>
            </w:pPr>
            <w:r>
              <w:rPr>
                <w:rFonts w:cs="Times New Roman"/>
                <w:sz w:val="21"/>
                <w:szCs w:val="21"/>
              </w:rPr>
              <w:t>57.41</w:t>
            </w: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485C1663">
            <w:pPr>
              <w:widowControl/>
              <w:wordWrap/>
              <w:topLinePunct w:val="0"/>
              <w:adjustRightInd/>
              <w:snapToGrid/>
              <w:spacing w:line="240" w:lineRule="auto"/>
              <w:ind w:firstLine="0" w:firstLineChars="0"/>
              <w:jc w:val="left"/>
              <w:rPr>
                <w:rFonts w:cs="Times New Roman"/>
                <w:sz w:val="21"/>
                <w:szCs w:val="21"/>
              </w:rPr>
            </w:pPr>
          </w:p>
        </w:tc>
      </w:tr>
      <w:tr w14:paraId="02806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vMerge w:val="restart"/>
            <w:tcBorders>
              <w:top w:val="single" w:color="auto" w:sz="4" w:space="0"/>
              <w:left w:val="single" w:color="auto" w:sz="12" w:space="0"/>
              <w:bottom w:val="single" w:color="auto" w:sz="4" w:space="0"/>
              <w:right w:val="single" w:color="auto" w:sz="4" w:space="0"/>
            </w:tcBorders>
            <w:vAlign w:val="center"/>
          </w:tcPr>
          <w:p w14:paraId="24B1AE7E">
            <w:pPr>
              <w:ind w:firstLine="0" w:firstLineChars="0"/>
              <w:jc w:val="center"/>
              <w:rPr>
                <w:rFonts w:cs="Times New Roman"/>
                <w:sz w:val="21"/>
                <w:szCs w:val="21"/>
              </w:rPr>
            </w:pPr>
            <w:r>
              <w:rPr>
                <w:rFonts w:cs="Times New Roman"/>
                <w:sz w:val="21"/>
                <w:szCs w:val="21"/>
              </w:rPr>
              <w:t>8</w:t>
            </w:r>
          </w:p>
        </w:tc>
        <w:tc>
          <w:tcPr>
            <w:tcW w:w="1422" w:type="dxa"/>
            <w:tcBorders>
              <w:top w:val="single" w:color="auto" w:sz="4" w:space="0"/>
              <w:left w:val="single" w:color="auto" w:sz="4" w:space="0"/>
              <w:bottom w:val="single" w:color="auto" w:sz="4" w:space="0"/>
              <w:right w:val="single" w:color="auto" w:sz="4" w:space="0"/>
            </w:tcBorders>
            <w:vAlign w:val="center"/>
          </w:tcPr>
          <w:p w14:paraId="03268C66">
            <w:pPr>
              <w:wordWrap/>
              <w:snapToGrid/>
              <w:ind w:firstLine="0" w:firstLineChars="0"/>
              <w:jc w:val="center"/>
              <w:rPr>
                <w:rFonts w:cs="Times New Roman"/>
                <w:sz w:val="21"/>
                <w:szCs w:val="21"/>
              </w:rPr>
            </w:pPr>
            <w:r>
              <w:rPr>
                <w:rFonts w:cs="Times New Roman"/>
                <w:sz w:val="21"/>
                <w:szCs w:val="21"/>
              </w:rPr>
              <w:t>ZK10</w:t>
            </w:r>
          </w:p>
        </w:tc>
        <w:tc>
          <w:tcPr>
            <w:tcW w:w="1373" w:type="dxa"/>
            <w:tcBorders>
              <w:top w:val="single" w:color="auto" w:sz="4" w:space="0"/>
              <w:left w:val="single" w:color="auto" w:sz="4" w:space="0"/>
              <w:bottom w:val="single" w:color="auto" w:sz="4" w:space="0"/>
              <w:right w:val="single" w:color="auto" w:sz="4" w:space="0"/>
            </w:tcBorders>
            <w:vAlign w:val="center"/>
          </w:tcPr>
          <w:p w14:paraId="189025E1">
            <w:pPr>
              <w:wordWrap/>
              <w:snapToGrid/>
              <w:ind w:firstLine="0" w:firstLineChars="0"/>
              <w:jc w:val="center"/>
              <w:rPr>
                <w:rFonts w:cs="Times New Roman"/>
                <w:sz w:val="21"/>
                <w:szCs w:val="21"/>
              </w:rPr>
            </w:pPr>
            <w:r>
              <w:rPr>
                <w:rFonts w:cs="Times New Roman"/>
                <w:sz w:val="21"/>
                <w:szCs w:val="21"/>
              </w:rPr>
              <w:t>2985227.43</w:t>
            </w:r>
          </w:p>
        </w:tc>
        <w:tc>
          <w:tcPr>
            <w:tcW w:w="1428" w:type="dxa"/>
            <w:tcBorders>
              <w:top w:val="single" w:color="auto" w:sz="4" w:space="0"/>
              <w:left w:val="single" w:color="auto" w:sz="4" w:space="0"/>
              <w:bottom w:val="single" w:color="auto" w:sz="4" w:space="0"/>
              <w:right w:val="single" w:color="auto" w:sz="4" w:space="0"/>
            </w:tcBorders>
            <w:vAlign w:val="center"/>
          </w:tcPr>
          <w:p w14:paraId="4E0BD9C0">
            <w:pPr>
              <w:wordWrap/>
              <w:snapToGrid/>
              <w:ind w:firstLine="0" w:firstLineChars="0"/>
              <w:jc w:val="center"/>
              <w:rPr>
                <w:rFonts w:cs="Times New Roman"/>
                <w:sz w:val="21"/>
                <w:szCs w:val="21"/>
              </w:rPr>
            </w:pPr>
            <w:r>
              <w:rPr>
                <w:rFonts w:cs="Times New Roman"/>
                <w:sz w:val="21"/>
                <w:szCs w:val="21"/>
              </w:rPr>
              <w:t>38365497.53</w:t>
            </w:r>
          </w:p>
        </w:tc>
        <w:tc>
          <w:tcPr>
            <w:tcW w:w="1331" w:type="dxa"/>
            <w:tcBorders>
              <w:top w:val="single" w:color="auto" w:sz="4" w:space="0"/>
              <w:left w:val="single" w:color="auto" w:sz="4" w:space="0"/>
              <w:bottom w:val="single" w:color="auto" w:sz="4" w:space="0"/>
              <w:right w:val="single" w:color="auto" w:sz="4" w:space="0"/>
            </w:tcBorders>
          </w:tcPr>
          <w:p w14:paraId="1CC6721E">
            <w:pPr>
              <w:wordWrap/>
              <w:snapToGrid/>
              <w:ind w:firstLine="0" w:firstLineChars="0"/>
              <w:jc w:val="center"/>
              <w:rPr>
                <w:rFonts w:cs="Times New Roman"/>
                <w:sz w:val="21"/>
                <w:szCs w:val="21"/>
              </w:rPr>
            </w:pPr>
            <w:r>
              <w:rPr>
                <w:rFonts w:cs="Times New Roman"/>
                <w:sz w:val="21"/>
                <w:szCs w:val="21"/>
              </w:rPr>
              <w:t>60.79</w:t>
            </w:r>
          </w:p>
        </w:tc>
        <w:tc>
          <w:tcPr>
            <w:tcW w:w="1355" w:type="dxa"/>
            <w:vMerge w:val="restart"/>
            <w:tcBorders>
              <w:top w:val="single" w:color="auto" w:sz="4" w:space="0"/>
              <w:left w:val="single" w:color="auto" w:sz="4" w:space="0"/>
              <w:bottom w:val="single" w:color="auto" w:sz="12" w:space="0"/>
              <w:right w:val="single" w:color="auto" w:sz="12" w:space="0"/>
            </w:tcBorders>
            <w:vAlign w:val="center"/>
          </w:tcPr>
          <w:p w14:paraId="05DC4631">
            <w:pPr>
              <w:wordWrap/>
              <w:snapToGrid/>
              <w:ind w:firstLine="0" w:firstLineChars="0"/>
              <w:jc w:val="center"/>
              <w:rPr>
                <w:rFonts w:cs="Times New Roman"/>
                <w:sz w:val="21"/>
                <w:szCs w:val="21"/>
              </w:rPr>
            </w:pPr>
            <w:r>
              <w:rPr>
                <w:rFonts w:hint="eastAsia" w:cs="Times New Roman"/>
                <w:sz w:val="21"/>
                <w:szCs w:val="21"/>
              </w:rPr>
              <w:t>开采</w:t>
            </w:r>
          </w:p>
        </w:tc>
      </w:tr>
      <w:tr w14:paraId="4A4EB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54711751">
            <w:pPr>
              <w:widowControl/>
              <w:wordWrap/>
              <w:topLinePunct w:val="0"/>
              <w:adjustRightInd/>
              <w:snapToGrid/>
              <w:spacing w:line="240" w:lineRule="auto"/>
              <w:ind w:firstLine="0" w:firstLineChars="0"/>
              <w:jc w:val="left"/>
              <w:rPr>
                <w:rFonts w:cs="Times New Roman"/>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14:paraId="7B9EEB3B">
            <w:pPr>
              <w:wordWrap/>
              <w:snapToGrid/>
              <w:ind w:firstLine="0" w:firstLineChars="0"/>
              <w:jc w:val="center"/>
              <w:rPr>
                <w:rFonts w:cs="Times New Roman"/>
                <w:sz w:val="21"/>
                <w:szCs w:val="21"/>
              </w:rPr>
            </w:pPr>
            <w:r>
              <w:rPr>
                <w:rFonts w:cs="Times New Roman"/>
                <w:sz w:val="21"/>
                <w:szCs w:val="21"/>
              </w:rPr>
              <w:t>CK3</w:t>
            </w:r>
          </w:p>
        </w:tc>
        <w:tc>
          <w:tcPr>
            <w:tcW w:w="1373" w:type="dxa"/>
            <w:tcBorders>
              <w:top w:val="single" w:color="auto" w:sz="4" w:space="0"/>
              <w:left w:val="single" w:color="auto" w:sz="4" w:space="0"/>
              <w:bottom w:val="single" w:color="auto" w:sz="4" w:space="0"/>
              <w:right w:val="single" w:color="auto" w:sz="4" w:space="0"/>
            </w:tcBorders>
            <w:vAlign w:val="center"/>
          </w:tcPr>
          <w:p w14:paraId="52F96EDC">
            <w:pPr>
              <w:wordWrap/>
              <w:snapToGrid/>
              <w:ind w:firstLine="0" w:firstLineChars="0"/>
              <w:jc w:val="center"/>
              <w:rPr>
                <w:rFonts w:cs="Times New Roman"/>
                <w:sz w:val="21"/>
                <w:szCs w:val="21"/>
              </w:rPr>
            </w:pPr>
            <w:r>
              <w:rPr>
                <w:rFonts w:cs="Times New Roman"/>
                <w:sz w:val="21"/>
                <w:szCs w:val="21"/>
              </w:rPr>
              <w:t>2985075.99</w:t>
            </w:r>
          </w:p>
        </w:tc>
        <w:tc>
          <w:tcPr>
            <w:tcW w:w="1428" w:type="dxa"/>
            <w:tcBorders>
              <w:top w:val="single" w:color="auto" w:sz="4" w:space="0"/>
              <w:left w:val="single" w:color="auto" w:sz="4" w:space="0"/>
              <w:bottom w:val="single" w:color="auto" w:sz="4" w:space="0"/>
              <w:right w:val="single" w:color="auto" w:sz="4" w:space="0"/>
            </w:tcBorders>
            <w:vAlign w:val="center"/>
          </w:tcPr>
          <w:p w14:paraId="6274F563">
            <w:pPr>
              <w:wordWrap/>
              <w:snapToGrid/>
              <w:ind w:firstLine="0" w:firstLineChars="0"/>
              <w:jc w:val="center"/>
              <w:rPr>
                <w:rFonts w:cs="Times New Roman"/>
                <w:sz w:val="21"/>
                <w:szCs w:val="21"/>
              </w:rPr>
            </w:pPr>
            <w:r>
              <w:rPr>
                <w:rFonts w:cs="Times New Roman"/>
                <w:sz w:val="21"/>
                <w:szCs w:val="21"/>
              </w:rPr>
              <w:t>38365374.05</w:t>
            </w:r>
          </w:p>
        </w:tc>
        <w:tc>
          <w:tcPr>
            <w:tcW w:w="1331" w:type="dxa"/>
            <w:tcBorders>
              <w:top w:val="single" w:color="auto" w:sz="4" w:space="0"/>
              <w:left w:val="single" w:color="auto" w:sz="4" w:space="0"/>
              <w:bottom w:val="single" w:color="auto" w:sz="4" w:space="0"/>
              <w:right w:val="single" w:color="auto" w:sz="4" w:space="0"/>
            </w:tcBorders>
          </w:tcPr>
          <w:p w14:paraId="609D6C96">
            <w:pPr>
              <w:wordWrap/>
              <w:snapToGrid/>
              <w:ind w:firstLine="0" w:firstLineChars="0"/>
              <w:jc w:val="center"/>
              <w:rPr>
                <w:rFonts w:cs="Times New Roman"/>
                <w:sz w:val="21"/>
                <w:szCs w:val="21"/>
              </w:rPr>
            </w:pPr>
            <w:r>
              <w:rPr>
                <w:rFonts w:cs="Times New Roman"/>
                <w:sz w:val="21"/>
                <w:szCs w:val="21"/>
              </w:rPr>
              <w:t>56.76</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492468A1">
            <w:pPr>
              <w:widowControl/>
              <w:wordWrap/>
              <w:topLinePunct w:val="0"/>
              <w:adjustRightInd/>
              <w:snapToGrid/>
              <w:spacing w:line="240" w:lineRule="auto"/>
              <w:ind w:firstLine="0" w:firstLineChars="0"/>
              <w:jc w:val="left"/>
              <w:rPr>
                <w:rFonts w:cs="Times New Roman"/>
                <w:sz w:val="21"/>
                <w:szCs w:val="21"/>
              </w:rPr>
            </w:pPr>
          </w:p>
        </w:tc>
      </w:tr>
      <w:tr w14:paraId="11A40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202338A7">
            <w:pPr>
              <w:widowControl/>
              <w:wordWrap/>
              <w:topLinePunct w:val="0"/>
              <w:adjustRightInd/>
              <w:snapToGrid/>
              <w:spacing w:line="240" w:lineRule="auto"/>
              <w:ind w:firstLine="0" w:firstLineChars="0"/>
              <w:jc w:val="left"/>
              <w:rPr>
                <w:rFonts w:cs="Times New Roman"/>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14:paraId="3CB4E0F8">
            <w:pPr>
              <w:wordWrap/>
              <w:snapToGrid/>
              <w:ind w:firstLine="0" w:firstLineChars="0"/>
              <w:jc w:val="center"/>
              <w:rPr>
                <w:rFonts w:cs="Times New Roman"/>
                <w:sz w:val="21"/>
                <w:szCs w:val="21"/>
              </w:rPr>
            </w:pPr>
            <w:r>
              <w:rPr>
                <w:rFonts w:cs="Times New Roman"/>
                <w:sz w:val="21"/>
                <w:szCs w:val="21"/>
              </w:rPr>
              <w:t>ZK12</w:t>
            </w:r>
          </w:p>
        </w:tc>
        <w:tc>
          <w:tcPr>
            <w:tcW w:w="1373" w:type="dxa"/>
            <w:tcBorders>
              <w:top w:val="single" w:color="auto" w:sz="4" w:space="0"/>
              <w:left w:val="single" w:color="auto" w:sz="4" w:space="0"/>
              <w:bottom w:val="single" w:color="auto" w:sz="4" w:space="0"/>
              <w:right w:val="single" w:color="auto" w:sz="4" w:space="0"/>
            </w:tcBorders>
            <w:vAlign w:val="center"/>
          </w:tcPr>
          <w:p w14:paraId="58B7D16E">
            <w:pPr>
              <w:wordWrap/>
              <w:snapToGrid/>
              <w:ind w:firstLine="0" w:firstLineChars="0"/>
              <w:jc w:val="center"/>
              <w:rPr>
                <w:rFonts w:cs="Times New Roman"/>
                <w:sz w:val="21"/>
                <w:szCs w:val="21"/>
              </w:rPr>
            </w:pPr>
            <w:r>
              <w:rPr>
                <w:rFonts w:cs="Times New Roman"/>
                <w:sz w:val="21"/>
                <w:szCs w:val="21"/>
              </w:rPr>
              <w:t>2984959.44</w:t>
            </w:r>
          </w:p>
        </w:tc>
        <w:tc>
          <w:tcPr>
            <w:tcW w:w="1428" w:type="dxa"/>
            <w:tcBorders>
              <w:top w:val="single" w:color="auto" w:sz="4" w:space="0"/>
              <w:left w:val="single" w:color="auto" w:sz="4" w:space="0"/>
              <w:bottom w:val="single" w:color="auto" w:sz="4" w:space="0"/>
              <w:right w:val="single" w:color="auto" w:sz="4" w:space="0"/>
            </w:tcBorders>
            <w:vAlign w:val="center"/>
          </w:tcPr>
          <w:p w14:paraId="07AF21DD">
            <w:pPr>
              <w:wordWrap/>
              <w:snapToGrid/>
              <w:ind w:firstLine="0" w:firstLineChars="0"/>
              <w:jc w:val="center"/>
              <w:rPr>
                <w:rFonts w:cs="Times New Roman"/>
                <w:sz w:val="21"/>
                <w:szCs w:val="21"/>
              </w:rPr>
            </w:pPr>
            <w:r>
              <w:rPr>
                <w:rFonts w:cs="Times New Roman"/>
                <w:sz w:val="21"/>
                <w:szCs w:val="21"/>
              </w:rPr>
              <w:t>38365375.77</w:t>
            </w:r>
          </w:p>
        </w:tc>
        <w:tc>
          <w:tcPr>
            <w:tcW w:w="1331" w:type="dxa"/>
            <w:tcBorders>
              <w:top w:val="single" w:color="auto" w:sz="4" w:space="0"/>
              <w:left w:val="single" w:color="auto" w:sz="4" w:space="0"/>
              <w:bottom w:val="single" w:color="auto" w:sz="4" w:space="0"/>
              <w:right w:val="single" w:color="auto" w:sz="4" w:space="0"/>
            </w:tcBorders>
          </w:tcPr>
          <w:p w14:paraId="36CBF4E2">
            <w:pPr>
              <w:wordWrap/>
              <w:snapToGrid/>
              <w:ind w:firstLine="0" w:firstLineChars="0"/>
              <w:jc w:val="center"/>
              <w:rPr>
                <w:rFonts w:cs="Times New Roman"/>
                <w:sz w:val="21"/>
                <w:szCs w:val="21"/>
              </w:rPr>
            </w:pPr>
            <w:r>
              <w:rPr>
                <w:rFonts w:cs="Times New Roman"/>
                <w:sz w:val="21"/>
                <w:szCs w:val="21"/>
              </w:rPr>
              <w:t>54.62</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6E1AC8B4">
            <w:pPr>
              <w:widowControl/>
              <w:wordWrap/>
              <w:topLinePunct w:val="0"/>
              <w:adjustRightInd/>
              <w:snapToGrid/>
              <w:spacing w:line="240" w:lineRule="auto"/>
              <w:ind w:firstLine="0" w:firstLineChars="0"/>
              <w:jc w:val="left"/>
              <w:rPr>
                <w:rFonts w:cs="Times New Roman"/>
                <w:sz w:val="21"/>
                <w:szCs w:val="21"/>
              </w:rPr>
            </w:pPr>
          </w:p>
        </w:tc>
      </w:tr>
      <w:tr w14:paraId="2E14D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vMerge w:val="restart"/>
            <w:tcBorders>
              <w:top w:val="single" w:color="auto" w:sz="4" w:space="0"/>
              <w:left w:val="single" w:color="auto" w:sz="12" w:space="0"/>
              <w:bottom w:val="single" w:color="auto" w:sz="4" w:space="0"/>
              <w:right w:val="single" w:color="auto" w:sz="4" w:space="0"/>
            </w:tcBorders>
            <w:vAlign w:val="center"/>
          </w:tcPr>
          <w:p w14:paraId="2193B611">
            <w:pPr>
              <w:wordWrap/>
              <w:snapToGrid/>
              <w:ind w:firstLine="0" w:firstLineChars="0"/>
              <w:jc w:val="center"/>
              <w:rPr>
                <w:rFonts w:cs="Times New Roman"/>
                <w:sz w:val="21"/>
                <w:szCs w:val="21"/>
              </w:rPr>
            </w:pPr>
            <w:r>
              <w:rPr>
                <w:rFonts w:cs="Times New Roman"/>
                <w:sz w:val="21"/>
                <w:szCs w:val="21"/>
              </w:rPr>
              <w:t>9</w:t>
            </w:r>
          </w:p>
        </w:tc>
        <w:tc>
          <w:tcPr>
            <w:tcW w:w="1422" w:type="dxa"/>
            <w:tcBorders>
              <w:top w:val="single" w:color="auto" w:sz="4" w:space="0"/>
              <w:left w:val="single" w:color="auto" w:sz="4" w:space="0"/>
              <w:bottom w:val="single" w:color="auto" w:sz="4" w:space="0"/>
              <w:right w:val="single" w:color="auto" w:sz="4" w:space="0"/>
            </w:tcBorders>
            <w:vAlign w:val="center"/>
          </w:tcPr>
          <w:p w14:paraId="508A3A0F">
            <w:pPr>
              <w:wordWrap/>
              <w:snapToGrid/>
              <w:ind w:firstLine="0" w:firstLineChars="0"/>
              <w:jc w:val="center"/>
              <w:rPr>
                <w:rFonts w:cs="Times New Roman"/>
                <w:sz w:val="21"/>
                <w:szCs w:val="21"/>
              </w:rPr>
            </w:pPr>
            <w:r>
              <w:rPr>
                <w:rFonts w:cs="Times New Roman"/>
                <w:sz w:val="21"/>
                <w:szCs w:val="21"/>
              </w:rPr>
              <w:t>ZK13</w:t>
            </w:r>
          </w:p>
        </w:tc>
        <w:tc>
          <w:tcPr>
            <w:tcW w:w="1373" w:type="dxa"/>
            <w:tcBorders>
              <w:top w:val="single" w:color="auto" w:sz="4" w:space="0"/>
              <w:left w:val="single" w:color="auto" w:sz="4" w:space="0"/>
              <w:bottom w:val="single" w:color="auto" w:sz="4" w:space="0"/>
              <w:right w:val="single" w:color="auto" w:sz="4" w:space="0"/>
            </w:tcBorders>
            <w:vAlign w:val="center"/>
          </w:tcPr>
          <w:p w14:paraId="5325CB01">
            <w:pPr>
              <w:wordWrap/>
              <w:snapToGrid/>
              <w:ind w:firstLine="0" w:firstLineChars="0"/>
              <w:jc w:val="center"/>
              <w:rPr>
                <w:rFonts w:cs="Times New Roman"/>
                <w:sz w:val="21"/>
                <w:szCs w:val="21"/>
              </w:rPr>
            </w:pPr>
            <w:r>
              <w:rPr>
                <w:rFonts w:cs="Times New Roman"/>
                <w:sz w:val="21"/>
                <w:szCs w:val="21"/>
              </w:rPr>
              <w:t>2985235.13</w:t>
            </w:r>
          </w:p>
        </w:tc>
        <w:tc>
          <w:tcPr>
            <w:tcW w:w="1428" w:type="dxa"/>
            <w:tcBorders>
              <w:top w:val="single" w:color="auto" w:sz="4" w:space="0"/>
              <w:left w:val="single" w:color="auto" w:sz="4" w:space="0"/>
              <w:bottom w:val="single" w:color="auto" w:sz="4" w:space="0"/>
              <w:right w:val="single" w:color="auto" w:sz="4" w:space="0"/>
            </w:tcBorders>
            <w:vAlign w:val="center"/>
          </w:tcPr>
          <w:p w14:paraId="4FF0B2D4">
            <w:pPr>
              <w:wordWrap/>
              <w:snapToGrid/>
              <w:ind w:firstLine="0" w:firstLineChars="0"/>
              <w:jc w:val="center"/>
              <w:rPr>
                <w:rFonts w:cs="Times New Roman"/>
                <w:sz w:val="21"/>
                <w:szCs w:val="21"/>
              </w:rPr>
            </w:pPr>
            <w:r>
              <w:rPr>
                <w:rFonts w:cs="Times New Roman"/>
                <w:sz w:val="21"/>
                <w:szCs w:val="21"/>
              </w:rPr>
              <w:t>38365122.15</w:t>
            </w:r>
          </w:p>
        </w:tc>
        <w:tc>
          <w:tcPr>
            <w:tcW w:w="1331" w:type="dxa"/>
            <w:tcBorders>
              <w:top w:val="single" w:color="auto" w:sz="4" w:space="0"/>
              <w:left w:val="single" w:color="auto" w:sz="4" w:space="0"/>
              <w:bottom w:val="single" w:color="auto" w:sz="4" w:space="0"/>
              <w:right w:val="single" w:color="auto" w:sz="4" w:space="0"/>
            </w:tcBorders>
          </w:tcPr>
          <w:p w14:paraId="484496F1">
            <w:pPr>
              <w:wordWrap/>
              <w:snapToGrid/>
              <w:ind w:firstLine="0" w:firstLineChars="0"/>
              <w:jc w:val="center"/>
              <w:rPr>
                <w:rFonts w:cs="Times New Roman"/>
                <w:sz w:val="21"/>
                <w:szCs w:val="21"/>
              </w:rPr>
            </w:pPr>
            <w:r>
              <w:rPr>
                <w:rFonts w:cs="Times New Roman"/>
                <w:sz w:val="21"/>
                <w:szCs w:val="21"/>
              </w:rPr>
              <w:t>60.51</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423FAA5C">
            <w:pPr>
              <w:widowControl/>
              <w:wordWrap/>
              <w:topLinePunct w:val="0"/>
              <w:adjustRightInd/>
              <w:snapToGrid/>
              <w:spacing w:line="240" w:lineRule="auto"/>
              <w:ind w:firstLine="0" w:firstLineChars="0"/>
              <w:jc w:val="left"/>
              <w:rPr>
                <w:rFonts w:cs="Times New Roman"/>
                <w:sz w:val="21"/>
                <w:szCs w:val="21"/>
              </w:rPr>
            </w:pPr>
          </w:p>
        </w:tc>
      </w:tr>
      <w:tr w14:paraId="75372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7C722AC1">
            <w:pPr>
              <w:widowControl/>
              <w:wordWrap/>
              <w:topLinePunct w:val="0"/>
              <w:adjustRightInd/>
              <w:snapToGrid/>
              <w:spacing w:line="240" w:lineRule="auto"/>
              <w:ind w:firstLine="0" w:firstLineChars="0"/>
              <w:jc w:val="left"/>
              <w:rPr>
                <w:rFonts w:cs="Times New Roman"/>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14:paraId="5585A641">
            <w:pPr>
              <w:wordWrap/>
              <w:snapToGrid/>
              <w:ind w:firstLine="0" w:firstLineChars="0"/>
              <w:jc w:val="center"/>
              <w:rPr>
                <w:rFonts w:cs="Times New Roman"/>
                <w:sz w:val="21"/>
                <w:szCs w:val="21"/>
              </w:rPr>
            </w:pPr>
            <w:r>
              <w:rPr>
                <w:rFonts w:cs="Times New Roman"/>
                <w:sz w:val="21"/>
                <w:szCs w:val="21"/>
              </w:rPr>
              <w:t>ZK14</w:t>
            </w:r>
          </w:p>
        </w:tc>
        <w:tc>
          <w:tcPr>
            <w:tcW w:w="1373" w:type="dxa"/>
            <w:tcBorders>
              <w:top w:val="single" w:color="auto" w:sz="4" w:space="0"/>
              <w:left w:val="single" w:color="auto" w:sz="4" w:space="0"/>
              <w:bottom w:val="single" w:color="auto" w:sz="4" w:space="0"/>
              <w:right w:val="single" w:color="auto" w:sz="4" w:space="0"/>
            </w:tcBorders>
            <w:vAlign w:val="center"/>
          </w:tcPr>
          <w:p w14:paraId="592D35ED">
            <w:pPr>
              <w:wordWrap/>
              <w:snapToGrid/>
              <w:ind w:firstLine="0" w:firstLineChars="0"/>
              <w:jc w:val="center"/>
              <w:rPr>
                <w:rFonts w:cs="Times New Roman"/>
                <w:sz w:val="21"/>
                <w:szCs w:val="21"/>
              </w:rPr>
            </w:pPr>
            <w:r>
              <w:rPr>
                <w:rFonts w:cs="Times New Roman"/>
                <w:sz w:val="21"/>
                <w:szCs w:val="21"/>
              </w:rPr>
              <w:t>2984964.15</w:t>
            </w:r>
          </w:p>
        </w:tc>
        <w:tc>
          <w:tcPr>
            <w:tcW w:w="1428" w:type="dxa"/>
            <w:tcBorders>
              <w:top w:val="single" w:color="auto" w:sz="4" w:space="0"/>
              <w:left w:val="single" w:color="auto" w:sz="4" w:space="0"/>
              <w:bottom w:val="single" w:color="auto" w:sz="4" w:space="0"/>
              <w:right w:val="single" w:color="auto" w:sz="4" w:space="0"/>
            </w:tcBorders>
            <w:vAlign w:val="center"/>
          </w:tcPr>
          <w:p w14:paraId="132AA85A">
            <w:pPr>
              <w:wordWrap/>
              <w:snapToGrid/>
              <w:ind w:firstLine="0" w:firstLineChars="0"/>
              <w:jc w:val="center"/>
              <w:rPr>
                <w:rFonts w:cs="Times New Roman"/>
                <w:sz w:val="21"/>
                <w:szCs w:val="21"/>
              </w:rPr>
            </w:pPr>
            <w:r>
              <w:rPr>
                <w:rFonts w:cs="Times New Roman"/>
                <w:sz w:val="21"/>
                <w:szCs w:val="21"/>
              </w:rPr>
              <w:t>38365066.46</w:t>
            </w:r>
          </w:p>
        </w:tc>
        <w:tc>
          <w:tcPr>
            <w:tcW w:w="1331" w:type="dxa"/>
            <w:tcBorders>
              <w:top w:val="single" w:color="auto" w:sz="4" w:space="0"/>
              <w:left w:val="single" w:color="auto" w:sz="4" w:space="0"/>
              <w:bottom w:val="single" w:color="auto" w:sz="4" w:space="0"/>
              <w:right w:val="single" w:color="auto" w:sz="4" w:space="0"/>
            </w:tcBorders>
          </w:tcPr>
          <w:p w14:paraId="4B75CA23">
            <w:pPr>
              <w:wordWrap/>
              <w:snapToGrid/>
              <w:ind w:firstLine="0" w:firstLineChars="0"/>
              <w:jc w:val="center"/>
              <w:rPr>
                <w:rFonts w:cs="Times New Roman"/>
                <w:sz w:val="21"/>
                <w:szCs w:val="21"/>
              </w:rPr>
            </w:pPr>
            <w:r>
              <w:rPr>
                <w:rFonts w:cs="Times New Roman"/>
                <w:sz w:val="21"/>
                <w:szCs w:val="21"/>
              </w:rPr>
              <w:t>59.29</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201C7D6B">
            <w:pPr>
              <w:widowControl/>
              <w:wordWrap/>
              <w:topLinePunct w:val="0"/>
              <w:adjustRightInd/>
              <w:snapToGrid/>
              <w:spacing w:line="240" w:lineRule="auto"/>
              <w:ind w:firstLine="0" w:firstLineChars="0"/>
              <w:jc w:val="left"/>
              <w:rPr>
                <w:rFonts w:cs="Times New Roman"/>
                <w:sz w:val="21"/>
                <w:szCs w:val="21"/>
              </w:rPr>
            </w:pPr>
          </w:p>
        </w:tc>
      </w:tr>
      <w:tr w14:paraId="5786C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vMerge w:val="restart"/>
            <w:tcBorders>
              <w:top w:val="single" w:color="auto" w:sz="4" w:space="0"/>
              <w:left w:val="single" w:color="auto" w:sz="12" w:space="0"/>
              <w:bottom w:val="single" w:color="auto" w:sz="4" w:space="0"/>
              <w:right w:val="single" w:color="auto" w:sz="4" w:space="0"/>
            </w:tcBorders>
            <w:vAlign w:val="center"/>
          </w:tcPr>
          <w:p w14:paraId="3F40CD04">
            <w:pPr>
              <w:wordWrap/>
              <w:snapToGrid/>
              <w:ind w:firstLine="0" w:firstLineChars="0"/>
              <w:jc w:val="center"/>
              <w:rPr>
                <w:rFonts w:cs="Times New Roman"/>
                <w:sz w:val="21"/>
                <w:szCs w:val="21"/>
              </w:rPr>
            </w:pPr>
            <w:r>
              <w:rPr>
                <w:rFonts w:cs="Times New Roman"/>
                <w:sz w:val="21"/>
                <w:szCs w:val="21"/>
              </w:rPr>
              <w:t>10</w:t>
            </w:r>
          </w:p>
        </w:tc>
        <w:tc>
          <w:tcPr>
            <w:tcW w:w="1422" w:type="dxa"/>
            <w:tcBorders>
              <w:top w:val="single" w:color="auto" w:sz="4" w:space="0"/>
              <w:left w:val="single" w:color="auto" w:sz="4" w:space="0"/>
              <w:bottom w:val="single" w:color="auto" w:sz="4" w:space="0"/>
              <w:right w:val="single" w:color="auto" w:sz="4" w:space="0"/>
            </w:tcBorders>
            <w:vAlign w:val="center"/>
          </w:tcPr>
          <w:p w14:paraId="1FABE541">
            <w:pPr>
              <w:wordWrap/>
              <w:snapToGrid/>
              <w:ind w:firstLine="0" w:firstLineChars="0"/>
              <w:jc w:val="center"/>
              <w:rPr>
                <w:rFonts w:cs="Times New Roman"/>
                <w:sz w:val="21"/>
                <w:szCs w:val="21"/>
              </w:rPr>
            </w:pPr>
            <w:r>
              <w:rPr>
                <w:rFonts w:cs="Times New Roman"/>
                <w:sz w:val="21"/>
                <w:szCs w:val="21"/>
              </w:rPr>
              <w:t>CK15</w:t>
            </w:r>
          </w:p>
        </w:tc>
        <w:tc>
          <w:tcPr>
            <w:tcW w:w="1373" w:type="dxa"/>
            <w:tcBorders>
              <w:top w:val="single" w:color="auto" w:sz="4" w:space="0"/>
              <w:left w:val="single" w:color="auto" w:sz="4" w:space="0"/>
              <w:bottom w:val="single" w:color="auto" w:sz="4" w:space="0"/>
              <w:right w:val="single" w:color="auto" w:sz="4" w:space="0"/>
            </w:tcBorders>
            <w:vAlign w:val="center"/>
          </w:tcPr>
          <w:p w14:paraId="3A7BA644">
            <w:pPr>
              <w:wordWrap/>
              <w:snapToGrid/>
              <w:ind w:firstLine="0" w:firstLineChars="0"/>
              <w:jc w:val="center"/>
              <w:rPr>
                <w:rFonts w:cs="Times New Roman"/>
                <w:sz w:val="21"/>
                <w:szCs w:val="21"/>
              </w:rPr>
            </w:pPr>
            <w:r>
              <w:rPr>
                <w:rFonts w:cs="Times New Roman"/>
                <w:sz w:val="21"/>
                <w:szCs w:val="21"/>
              </w:rPr>
              <w:t>2985209.11</w:t>
            </w:r>
          </w:p>
        </w:tc>
        <w:tc>
          <w:tcPr>
            <w:tcW w:w="1428" w:type="dxa"/>
            <w:tcBorders>
              <w:top w:val="single" w:color="auto" w:sz="4" w:space="0"/>
              <w:left w:val="single" w:color="auto" w:sz="4" w:space="0"/>
              <w:bottom w:val="single" w:color="auto" w:sz="4" w:space="0"/>
              <w:right w:val="single" w:color="auto" w:sz="4" w:space="0"/>
            </w:tcBorders>
            <w:vAlign w:val="center"/>
          </w:tcPr>
          <w:p w14:paraId="34330D1F">
            <w:pPr>
              <w:wordWrap/>
              <w:snapToGrid/>
              <w:ind w:firstLine="0" w:firstLineChars="0"/>
              <w:jc w:val="center"/>
              <w:rPr>
                <w:rFonts w:cs="Times New Roman"/>
                <w:sz w:val="21"/>
                <w:szCs w:val="21"/>
              </w:rPr>
            </w:pPr>
            <w:r>
              <w:rPr>
                <w:rFonts w:cs="Times New Roman"/>
                <w:sz w:val="21"/>
                <w:szCs w:val="21"/>
              </w:rPr>
              <w:t>38364718.79</w:t>
            </w:r>
          </w:p>
        </w:tc>
        <w:tc>
          <w:tcPr>
            <w:tcW w:w="1331" w:type="dxa"/>
            <w:tcBorders>
              <w:top w:val="single" w:color="auto" w:sz="4" w:space="0"/>
              <w:left w:val="single" w:color="auto" w:sz="4" w:space="0"/>
              <w:bottom w:val="single" w:color="auto" w:sz="4" w:space="0"/>
              <w:right w:val="single" w:color="auto" w:sz="4" w:space="0"/>
            </w:tcBorders>
          </w:tcPr>
          <w:p w14:paraId="355EFFC7">
            <w:pPr>
              <w:wordWrap/>
              <w:snapToGrid/>
              <w:ind w:firstLine="0" w:firstLineChars="0"/>
              <w:jc w:val="center"/>
              <w:rPr>
                <w:rFonts w:cs="Times New Roman"/>
                <w:sz w:val="21"/>
                <w:szCs w:val="21"/>
              </w:rPr>
            </w:pPr>
            <w:r>
              <w:rPr>
                <w:rFonts w:cs="Times New Roman"/>
                <w:sz w:val="21"/>
                <w:szCs w:val="21"/>
              </w:rPr>
              <w:t>61.96</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4E7EBFB5">
            <w:pPr>
              <w:widowControl/>
              <w:wordWrap/>
              <w:topLinePunct w:val="0"/>
              <w:adjustRightInd/>
              <w:snapToGrid/>
              <w:spacing w:line="240" w:lineRule="auto"/>
              <w:ind w:firstLine="0" w:firstLineChars="0"/>
              <w:jc w:val="left"/>
              <w:rPr>
                <w:rFonts w:cs="Times New Roman"/>
                <w:sz w:val="21"/>
                <w:szCs w:val="21"/>
              </w:rPr>
            </w:pPr>
          </w:p>
        </w:tc>
      </w:tr>
      <w:tr w14:paraId="5A633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3541A3AB">
            <w:pPr>
              <w:widowControl/>
              <w:wordWrap/>
              <w:topLinePunct w:val="0"/>
              <w:adjustRightInd/>
              <w:snapToGrid/>
              <w:spacing w:line="240" w:lineRule="auto"/>
              <w:ind w:firstLine="0" w:firstLineChars="0"/>
              <w:jc w:val="left"/>
              <w:rPr>
                <w:rFonts w:cs="Times New Roman"/>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14:paraId="658E18A8">
            <w:pPr>
              <w:wordWrap/>
              <w:snapToGrid/>
              <w:ind w:firstLine="0" w:firstLineChars="0"/>
              <w:jc w:val="center"/>
              <w:rPr>
                <w:rFonts w:cs="Times New Roman"/>
                <w:sz w:val="21"/>
                <w:szCs w:val="21"/>
              </w:rPr>
            </w:pPr>
            <w:r>
              <w:rPr>
                <w:rFonts w:cs="Times New Roman"/>
                <w:sz w:val="21"/>
                <w:szCs w:val="21"/>
              </w:rPr>
              <w:t>CK16</w:t>
            </w:r>
          </w:p>
        </w:tc>
        <w:tc>
          <w:tcPr>
            <w:tcW w:w="1373" w:type="dxa"/>
            <w:tcBorders>
              <w:top w:val="single" w:color="auto" w:sz="4" w:space="0"/>
              <w:left w:val="single" w:color="auto" w:sz="4" w:space="0"/>
              <w:bottom w:val="single" w:color="auto" w:sz="4" w:space="0"/>
              <w:right w:val="single" w:color="auto" w:sz="4" w:space="0"/>
            </w:tcBorders>
            <w:vAlign w:val="center"/>
          </w:tcPr>
          <w:p w14:paraId="362852FD">
            <w:pPr>
              <w:wordWrap/>
              <w:snapToGrid/>
              <w:ind w:firstLine="0" w:firstLineChars="0"/>
              <w:jc w:val="center"/>
              <w:rPr>
                <w:rFonts w:cs="Times New Roman"/>
                <w:sz w:val="21"/>
                <w:szCs w:val="21"/>
              </w:rPr>
            </w:pPr>
            <w:r>
              <w:rPr>
                <w:rFonts w:cs="Times New Roman"/>
                <w:sz w:val="21"/>
                <w:szCs w:val="21"/>
              </w:rPr>
              <w:t>2985209.09</w:t>
            </w:r>
          </w:p>
        </w:tc>
        <w:tc>
          <w:tcPr>
            <w:tcW w:w="1428" w:type="dxa"/>
            <w:tcBorders>
              <w:top w:val="single" w:color="auto" w:sz="4" w:space="0"/>
              <w:left w:val="single" w:color="auto" w:sz="4" w:space="0"/>
              <w:bottom w:val="single" w:color="auto" w:sz="4" w:space="0"/>
              <w:right w:val="single" w:color="auto" w:sz="4" w:space="0"/>
            </w:tcBorders>
            <w:vAlign w:val="center"/>
          </w:tcPr>
          <w:p w14:paraId="65909A21">
            <w:pPr>
              <w:wordWrap/>
              <w:snapToGrid/>
              <w:ind w:firstLine="0" w:firstLineChars="0"/>
              <w:jc w:val="center"/>
              <w:rPr>
                <w:rFonts w:cs="Times New Roman"/>
                <w:sz w:val="21"/>
                <w:szCs w:val="21"/>
              </w:rPr>
            </w:pPr>
            <w:r>
              <w:rPr>
                <w:rFonts w:cs="Times New Roman"/>
                <w:sz w:val="21"/>
                <w:szCs w:val="21"/>
              </w:rPr>
              <w:t>38364928.41</w:t>
            </w:r>
          </w:p>
        </w:tc>
        <w:tc>
          <w:tcPr>
            <w:tcW w:w="1331" w:type="dxa"/>
            <w:tcBorders>
              <w:top w:val="single" w:color="auto" w:sz="4" w:space="0"/>
              <w:left w:val="single" w:color="auto" w:sz="4" w:space="0"/>
              <w:bottom w:val="single" w:color="auto" w:sz="4" w:space="0"/>
              <w:right w:val="single" w:color="auto" w:sz="4" w:space="0"/>
            </w:tcBorders>
          </w:tcPr>
          <w:p w14:paraId="0754556C">
            <w:pPr>
              <w:wordWrap/>
              <w:snapToGrid/>
              <w:ind w:firstLine="0" w:firstLineChars="0"/>
              <w:jc w:val="center"/>
              <w:rPr>
                <w:rFonts w:cs="Times New Roman"/>
                <w:sz w:val="21"/>
                <w:szCs w:val="21"/>
              </w:rPr>
            </w:pPr>
            <w:r>
              <w:rPr>
                <w:rFonts w:cs="Times New Roman"/>
                <w:sz w:val="21"/>
                <w:szCs w:val="21"/>
              </w:rPr>
              <w:t>59.61</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61FDBE77">
            <w:pPr>
              <w:widowControl/>
              <w:wordWrap/>
              <w:topLinePunct w:val="0"/>
              <w:adjustRightInd/>
              <w:snapToGrid/>
              <w:spacing w:line="240" w:lineRule="auto"/>
              <w:ind w:firstLine="0" w:firstLineChars="0"/>
              <w:jc w:val="left"/>
              <w:rPr>
                <w:rFonts w:cs="Times New Roman"/>
                <w:sz w:val="21"/>
                <w:szCs w:val="21"/>
              </w:rPr>
            </w:pPr>
          </w:p>
        </w:tc>
      </w:tr>
      <w:tr w14:paraId="77230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vMerge w:val="restart"/>
            <w:tcBorders>
              <w:top w:val="single" w:color="auto" w:sz="4" w:space="0"/>
              <w:left w:val="single" w:color="auto" w:sz="12" w:space="0"/>
              <w:bottom w:val="single" w:color="auto" w:sz="4" w:space="0"/>
              <w:right w:val="single" w:color="auto" w:sz="4" w:space="0"/>
            </w:tcBorders>
            <w:vAlign w:val="center"/>
          </w:tcPr>
          <w:p w14:paraId="65C7DF9E">
            <w:pPr>
              <w:wordWrap/>
              <w:snapToGrid/>
              <w:ind w:firstLine="0" w:firstLineChars="0"/>
              <w:jc w:val="center"/>
              <w:rPr>
                <w:rFonts w:cs="Times New Roman"/>
                <w:sz w:val="21"/>
                <w:szCs w:val="21"/>
              </w:rPr>
            </w:pPr>
            <w:r>
              <w:rPr>
                <w:rFonts w:cs="Times New Roman"/>
                <w:sz w:val="21"/>
                <w:szCs w:val="21"/>
              </w:rPr>
              <w:t>11</w:t>
            </w:r>
          </w:p>
        </w:tc>
        <w:tc>
          <w:tcPr>
            <w:tcW w:w="1422" w:type="dxa"/>
            <w:tcBorders>
              <w:top w:val="single" w:color="auto" w:sz="4" w:space="0"/>
              <w:left w:val="single" w:color="auto" w:sz="4" w:space="0"/>
              <w:bottom w:val="single" w:color="auto" w:sz="4" w:space="0"/>
              <w:right w:val="single" w:color="auto" w:sz="4" w:space="0"/>
            </w:tcBorders>
            <w:vAlign w:val="center"/>
          </w:tcPr>
          <w:p w14:paraId="28CC30D9">
            <w:pPr>
              <w:wordWrap/>
              <w:snapToGrid/>
              <w:ind w:firstLine="0" w:firstLineChars="0"/>
              <w:jc w:val="center"/>
              <w:rPr>
                <w:rFonts w:cs="Times New Roman"/>
                <w:sz w:val="21"/>
                <w:szCs w:val="21"/>
              </w:rPr>
            </w:pPr>
            <w:r>
              <w:rPr>
                <w:rFonts w:cs="Times New Roman"/>
                <w:sz w:val="21"/>
                <w:szCs w:val="21"/>
              </w:rPr>
              <w:t>CK17</w:t>
            </w:r>
          </w:p>
        </w:tc>
        <w:tc>
          <w:tcPr>
            <w:tcW w:w="1373" w:type="dxa"/>
            <w:tcBorders>
              <w:top w:val="single" w:color="auto" w:sz="4" w:space="0"/>
              <w:left w:val="single" w:color="auto" w:sz="4" w:space="0"/>
              <w:bottom w:val="single" w:color="auto" w:sz="4" w:space="0"/>
              <w:right w:val="single" w:color="auto" w:sz="4" w:space="0"/>
            </w:tcBorders>
            <w:vAlign w:val="center"/>
          </w:tcPr>
          <w:p w14:paraId="1B87CDBB">
            <w:pPr>
              <w:wordWrap/>
              <w:snapToGrid/>
              <w:ind w:firstLine="0" w:firstLineChars="0"/>
              <w:jc w:val="center"/>
              <w:rPr>
                <w:rFonts w:cs="Times New Roman"/>
                <w:sz w:val="21"/>
                <w:szCs w:val="21"/>
              </w:rPr>
            </w:pPr>
            <w:r>
              <w:rPr>
                <w:rFonts w:cs="Times New Roman"/>
                <w:sz w:val="21"/>
                <w:szCs w:val="21"/>
              </w:rPr>
              <w:t>2984989.31</w:t>
            </w:r>
          </w:p>
        </w:tc>
        <w:tc>
          <w:tcPr>
            <w:tcW w:w="1428" w:type="dxa"/>
            <w:tcBorders>
              <w:top w:val="single" w:color="auto" w:sz="4" w:space="0"/>
              <w:left w:val="single" w:color="auto" w:sz="4" w:space="0"/>
              <w:bottom w:val="single" w:color="auto" w:sz="4" w:space="0"/>
              <w:right w:val="single" w:color="auto" w:sz="4" w:space="0"/>
            </w:tcBorders>
            <w:vAlign w:val="center"/>
          </w:tcPr>
          <w:p w14:paraId="35A2AEAA">
            <w:pPr>
              <w:wordWrap/>
              <w:snapToGrid/>
              <w:ind w:firstLine="0" w:firstLineChars="0"/>
              <w:jc w:val="center"/>
              <w:rPr>
                <w:rFonts w:cs="Times New Roman"/>
                <w:sz w:val="21"/>
                <w:szCs w:val="21"/>
              </w:rPr>
            </w:pPr>
            <w:r>
              <w:rPr>
                <w:rFonts w:cs="Times New Roman"/>
                <w:sz w:val="21"/>
                <w:szCs w:val="21"/>
              </w:rPr>
              <w:t>38364156.84</w:t>
            </w:r>
          </w:p>
        </w:tc>
        <w:tc>
          <w:tcPr>
            <w:tcW w:w="1331" w:type="dxa"/>
            <w:tcBorders>
              <w:top w:val="single" w:color="auto" w:sz="4" w:space="0"/>
              <w:left w:val="single" w:color="auto" w:sz="4" w:space="0"/>
              <w:bottom w:val="single" w:color="auto" w:sz="4" w:space="0"/>
              <w:right w:val="single" w:color="auto" w:sz="4" w:space="0"/>
            </w:tcBorders>
          </w:tcPr>
          <w:p w14:paraId="6D4A8EBF">
            <w:pPr>
              <w:wordWrap/>
              <w:snapToGrid/>
              <w:ind w:firstLine="0" w:firstLineChars="0"/>
              <w:jc w:val="center"/>
              <w:rPr>
                <w:rFonts w:cs="Times New Roman"/>
                <w:sz w:val="21"/>
                <w:szCs w:val="21"/>
              </w:rPr>
            </w:pPr>
            <w:r>
              <w:rPr>
                <w:rFonts w:cs="Times New Roman"/>
                <w:sz w:val="21"/>
                <w:szCs w:val="21"/>
              </w:rPr>
              <w:t>68.94</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63393B68">
            <w:pPr>
              <w:widowControl/>
              <w:wordWrap/>
              <w:topLinePunct w:val="0"/>
              <w:adjustRightInd/>
              <w:snapToGrid/>
              <w:spacing w:line="240" w:lineRule="auto"/>
              <w:ind w:firstLine="0" w:firstLineChars="0"/>
              <w:jc w:val="left"/>
              <w:rPr>
                <w:rFonts w:cs="Times New Roman"/>
                <w:sz w:val="21"/>
                <w:szCs w:val="21"/>
              </w:rPr>
            </w:pPr>
          </w:p>
        </w:tc>
      </w:tr>
      <w:tr w14:paraId="10D25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3F89532E">
            <w:pPr>
              <w:widowControl/>
              <w:wordWrap/>
              <w:topLinePunct w:val="0"/>
              <w:adjustRightInd/>
              <w:snapToGrid/>
              <w:spacing w:line="240" w:lineRule="auto"/>
              <w:ind w:firstLine="0" w:firstLineChars="0"/>
              <w:jc w:val="left"/>
              <w:rPr>
                <w:rFonts w:cs="Times New Roman"/>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14:paraId="455ED6FF">
            <w:pPr>
              <w:wordWrap/>
              <w:snapToGrid/>
              <w:ind w:firstLine="0" w:firstLineChars="0"/>
              <w:jc w:val="center"/>
              <w:rPr>
                <w:rFonts w:cs="Times New Roman"/>
                <w:sz w:val="21"/>
                <w:szCs w:val="21"/>
              </w:rPr>
            </w:pPr>
            <w:r>
              <w:rPr>
                <w:rFonts w:cs="Times New Roman"/>
                <w:sz w:val="21"/>
                <w:szCs w:val="21"/>
              </w:rPr>
              <w:t>CK18</w:t>
            </w:r>
          </w:p>
        </w:tc>
        <w:tc>
          <w:tcPr>
            <w:tcW w:w="1373" w:type="dxa"/>
            <w:tcBorders>
              <w:top w:val="single" w:color="auto" w:sz="4" w:space="0"/>
              <w:left w:val="single" w:color="auto" w:sz="4" w:space="0"/>
              <w:bottom w:val="single" w:color="auto" w:sz="4" w:space="0"/>
              <w:right w:val="single" w:color="auto" w:sz="4" w:space="0"/>
            </w:tcBorders>
            <w:vAlign w:val="center"/>
          </w:tcPr>
          <w:p w14:paraId="30E57467">
            <w:pPr>
              <w:wordWrap/>
              <w:snapToGrid/>
              <w:ind w:firstLine="0" w:firstLineChars="0"/>
              <w:jc w:val="center"/>
              <w:rPr>
                <w:rFonts w:cs="Times New Roman"/>
                <w:sz w:val="21"/>
                <w:szCs w:val="21"/>
              </w:rPr>
            </w:pPr>
            <w:r>
              <w:rPr>
                <w:rFonts w:cs="Times New Roman"/>
                <w:sz w:val="21"/>
                <w:szCs w:val="21"/>
              </w:rPr>
              <w:t>2985256.08</w:t>
            </w:r>
          </w:p>
        </w:tc>
        <w:tc>
          <w:tcPr>
            <w:tcW w:w="1428" w:type="dxa"/>
            <w:tcBorders>
              <w:top w:val="single" w:color="auto" w:sz="4" w:space="0"/>
              <w:left w:val="single" w:color="auto" w:sz="4" w:space="0"/>
              <w:bottom w:val="single" w:color="auto" w:sz="4" w:space="0"/>
              <w:right w:val="single" w:color="auto" w:sz="4" w:space="0"/>
            </w:tcBorders>
            <w:vAlign w:val="center"/>
          </w:tcPr>
          <w:p w14:paraId="13962008">
            <w:pPr>
              <w:wordWrap/>
              <w:snapToGrid/>
              <w:ind w:firstLine="0" w:firstLineChars="0"/>
              <w:jc w:val="center"/>
              <w:rPr>
                <w:rFonts w:cs="Times New Roman"/>
                <w:sz w:val="21"/>
                <w:szCs w:val="21"/>
              </w:rPr>
            </w:pPr>
            <w:r>
              <w:rPr>
                <w:rFonts w:cs="Times New Roman"/>
                <w:sz w:val="21"/>
                <w:szCs w:val="21"/>
              </w:rPr>
              <w:t>38364108.37</w:t>
            </w:r>
          </w:p>
        </w:tc>
        <w:tc>
          <w:tcPr>
            <w:tcW w:w="1331" w:type="dxa"/>
            <w:tcBorders>
              <w:top w:val="single" w:color="auto" w:sz="4" w:space="0"/>
              <w:left w:val="single" w:color="auto" w:sz="4" w:space="0"/>
              <w:bottom w:val="single" w:color="auto" w:sz="4" w:space="0"/>
              <w:right w:val="single" w:color="auto" w:sz="4" w:space="0"/>
            </w:tcBorders>
          </w:tcPr>
          <w:p w14:paraId="6C8DBD87">
            <w:pPr>
              <w:wordWrap/>
              <w:snapToGrid/>
              <w:ind w:firstLine="0" w:firstLineChars="0"/>
              <w:jc w:val="center"/>
              <w:rPr>
                <w:rFonts w:cs="Times New Roman"/>
                <w:sz w:val="21"/>
                <w:szCs w:val="21"/>
              </w:rPr>
            </w:pPr>
            <w:r>
              <w:rPr>
                <w:rFonts w:cs="Times New Roman"/>
                <w:sz w:val="21"/>
                <w:szCs w:val="21"/>
              </w:rPr>
              <w:t>77.59</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2FE4BBEF">
            <w:pPr>
              <w:widowControl/>
              <w:wordWrap/>
              <w:topLinePunct w:val="0"/>
              <w:adjustRightInd/>
              <w:snapToGrid/>
              <w:spacing w:line="240" w:lineRule="auto"/>
              <w:ind w:firstLine="0" w:firstLineChars="0"/>
              <w:jc w:val="left"/>
              <w:rPr>
                <w:rFonts w:cs="Times New Roman"/>
                <w:sz w:val="21"/>
                <w:szCs w:val="21"/>
              </w:rPr>
            </w:pPr>
          </w:p>
        </w:tc>
      </w:tr>
      <w:tr w14:paraId="6FAC5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vMerge w:val="restart"/>
            <w:tcBorders>
              <w:top w:val="single" w:color="auto" w:sz="4" w:space="0"/>
              <w:left w:val="single" w:color="auto" w:sz="12" w:space="0"/>
              <w:bottom w:val="single" w:color="auto" w:sz="4" w:space="0"/>
              <w:right w:val="single" w:color="auto" w:sz="4" w:space="0"/>
            </w:tcBorders>
            <w:vAlign w:val="center"/>
          </w:tcPr>
          <w:p w14:paraId="1290963E">
            <w:pPr>
              <w:wordWrap/>
              <w:snapToGrid/>
              <w:ind w:firstLine="0" w:firstLineChars="0"/>
              <w:jc w:val="center"/>
              <w:rPr>
                <w:rFonts w:cs="Times New Roman"/>
                <w:sz w:val="21"/>
                <w:szCs w:val="21"/>
              </w:rPr>
            </w:pPr>
            <w:r>
              <w:rPr>
                <w:rFonts w:cs="Times New Roman"/>
                <w:sz w:val="21"/>
                <w:szCs w:val="21"/>
              </w:rPr>
              <w:t>12</w:t>
            </w:r>
          </w:p>
        </w:tc>
        <w:tc>
          <w:tcPr>
            <w:tcW w:w="1422" w:type="dxa"/>
            <w:tcBorders>
              <w:top w:val="single" w:color="auto" w:sz="4" w:space="0"/>
              <w:left w:val="single" w:color="auto" w:sz="4" w:space="0"/>
              <w:bottom w:val="single" w:color="auto" w:sz="4" w:space="0"/>
              <w:right w:val="single" w:color="auto" w:sz="4" w:space="0"/>
            </w:tcBorders>
            <w:vAlign w:val="center"/>
          </w:tcPr>
          <w:p w14:paraId="49C0CCDC">
            <w:pPr>
              <w:wordWrap/>
              <w:snapToGrid/>
              <w:ind w:firstLine="0" w:firstLineChars="0"/>
              <w:jc w:val="center"/>
              <w:rPr>
                <w:rFonts w:cs="Times New Roman"/>
                <w:sz w:val="21"/>
                <w:szCs w:val="21"/>
              </w:rPr>
            </w:pPr>
            <w:r>
              <w:rPr>
                <w:rFonts w:cs="Times New Roman"/>
                <w:sz w:val="21"/>
                <w:szCs w:val="21"/>
              </w:rPr>
              <w:t>CK19</w:t>
            </w:r>
          </w:p>
        </w:tc>
        <w:tc>
          <w:tcPr>
            <w:tcW w:w="1373" w:type="dxa"/>
            <w:tcBorders>
              <w:top w:val="single" w:color="auto" w:sz="4" w:space="0"/>
              <w:left w:val="single" w:color="auto" w:sz="4" w:space="0"/>
              <w:bottom w:val="single" w:color="auto" w:sz="4" w:space="0"/>
              <w:right w:val="single" w:color="auto" w:sz="4" w:space="0"/>
            </w:tcBorders>
            <w:vAlign w:val="center"/>
          </w:tcPr>
          <w:p w14:paraId="22AB7C27">
            <w:pPr>
              <w:wordWrap/>
              <w:snapToGrid/>
              <w:ind w:firstLine="0" w:firstLineChars="0"/>
              <w:jc w:val="center"/>
              <w:rPr>
                <w:rFonts w:cs="Times New Roman"/>
                <w:sz w:val="21"/>
                <w:szCs w:val="21"/>
              </w:rPr>
            </w:pPr>
            <w:r>
              <w:rPr>
                <w:rFonts w:cs="Times New Roman"/>
                <w:sz w:val="21"/>
                <w:szCs w:val="21"/>
              </w:rPr>
              <w:t>2985406.84</w:t>
            </w:r>
          </w:p>
        </w:tc>
        <w:tc>
          <w:tcPr>
            <w:tcW w:w="1428" w:type="dxa"/>
            <w:tcBorders>
              <w:top w:val="single" w:color="auto" w:sz="4" w:space="0"/>
              <w:left w:val="single" w:color="auto" w:sz="4" w:space="0"/>
              <w:bottom w:val="single" w:color="auto" w:sz="4" w:space="0"/>
              <w:right w:val="single" w:color="auto" w:sz="4" w:space="0"/>
            </w:tcBorders>
            <w:vAlign w:val="center"/>
          </w:tcPr>
          <w:p w14:paraId="6B944DAF">
            <w:pPr>
              <w:wordWrap/>
              <w:snapToGrid/>
              <w:ind w:firstLine="0" w:firstLineChars="0"/>
              <w:jc w:val="center"/>
              <w:rPr>
                <w:rFonts w:cs="Times New Roman"/>
                <w:sz w:val="21"/>
                <w:szCs w:val="21"/>
              </w:rPr>
            </w:pPr>
            <w:r>
              <w:rPr>
                <w:rFonts w:cs="Times New Roman"/>
                <w:sz w:val="21"/>
                <w:szCs w:val="21"/>
              </w:rPr>
              <w:t>38364166.84</w:t>
            </w:r>
          </w:p>
        </w:tc>
        <w:tc>
          <w:tcPr>
            <w:tcW w:w="1331" w:type="dxa"/>
            <w:tcBorders>
              <w:top w:val="single" w:color="auto" w:sz="4" w:space="0"/>
              <w:left w:val="single" w:color="auto" w:sz="4" w:space="0"/>
              <w:bottom w:val="single" w:color="auto" w:sz="4" w:space="0"/>
              <w:right w:val="single" w:color="auto" w:sz="4" w:space="0"/>
            </w:tcBorders>
          </w:tcPr>
          <w:p w14:paraId="0E9969C0">
            <w:pPr>
              <w:wordWrap/>
              <w:snapToGrid/>
              <w:ind w:firstLine="0" w:firstLineChars="0"/>
              <w:jc w:val="center"/>
              <w:rPr>
                <w:rFonts w:cs="Times New Roman"/>
                <w:sz w:val="21"/>
                <w:szCs w:val="21"/>
              </w:rPr>
            </w:pPr>
            <w:r>
              <w:rPr>
                <w:rFonts w:cs="Times New Roman"/>
                <w:sz w:val="21"/>
                <w:szCs w:val="21"/>
              </w:rPr>
              <w:t>78.89</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0AEA3D67">
            <w:pPr>
              <w:widowControl/>
              <w:wordWrap/>
              <w:topLinePunct w:val="0"/>
              <w:adjustRightInd/>
              <w:snapToGrid/>
              <w:spacing w:line="240" w:lineRule="auto"/>
              <w:ind w:firstLine="0" w:firstLineChars="0"/>
              <w:jc w:val="left"/>
              <w:rPr>
                <w:rFonts w:cs="Times New Roman"/>
                <w:sz w:val="21"/>
                <w:szCs w:val="21"/>
              </w:rPr>
            </w:pPr>
          </w:p>
        </w:tc>
      </w:tr>
      <w:tr w14:paraId="6D03A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19E03EF2">
            <w:pPr>
              <w:widowControl/>
              <w:wordWrap/>
              <w:topLinePunct w:val="0"/>
              <w:adjustRightInd/>
              <w:snapToGrid/>
              <w:spacing w:line="240" w:lineRule="auto"/>
              <w:ind w:firstLine="0" w:firstLineChars="0"/>
              <w:jc w:val="left"/>
              <w:rPr>
                <w:rFonts w:cs="Times New Roman"/>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14:paraId="6ADBD92E">
            <w:pPr>
              <w:wordWrap/>
              <w:snapToGrid/>
              <w:ind w:firstLine="0" w:firstLineChars="0"/>
              <w:jc w:val="center"/>
              <w:rPr>
                <w:rFonts w:cs="Times New Roman"/>
                <w:sz w:val="21"/>
                <w:szCs w:val="21"/>
              </w:rPr>
            </w:pPr>
            <w:r>
              <w:rPr>
                <w:rFonts w:cs="Times New Roman"/>
                <w:sz w:val="21"/>
                <w:szCs w:val="21"/>
              </w:rPr>
              <w:t>CK20</w:t>
            </w:r>
          </w:p>
        </w:tc>
        <w:tc>
          <w:tcPr>
            <w:tcW w:w="1373" w:type="dxa"/>
            <w:tcBorders>
              <w:top w:val="single" w:color="auto" w:sz="4" w:space="0"/>
              <w:left w:val="single" w:color="auto" w:sz="4" w:space="0"/>
              <w:bottom w:val="single" w:color="auto" w:sz="4" w:space="0"/>
              <w:right w:val="single" w:color="auto" w:sz="4" w:space="0"/>
            </w:tcBorders>
            <w:vAlign w:val="center"/>
          </w:tcPr>
          <w:p w14:paraId="0366843E">
            <w:pPr>
              <w:wordWrap/>
              <w:snapToGrid/>
              <w:ind w:firstLine="0" w:firstLineChars="0"/>
              <w:jc w:val="center"/>
              <w:rPr>
                <w:rFonts w:cs="Times New Roman"/>
                <w:sz w:val="21"/>
                <w:szCs w:val="21"/>
              </w:rPr>
            </w:pPr>
            <w:r>
              <w:rPr>
                <w:rFonts w:cs="Times New Roman"/>
                <w:sz w:val="21"/>
                <w:szCs w:val="21"/>
              </w:rPr>
              <w:t>2985693.40</w:t>
            </w:r>
          </w:p>
        </w:tc>
        <w:tc>
          <w:tcPr>
            <w:tcW w:w="1428" w:type="dxa"/>
            <w:tcBorders>
              <w:top w:val="single" w:color="auto" w:sz="4" w:space="0"/>
              <w:left w:val="single" w:color="auto" w:sz="4" w:space="0"/>
              <w:bottom w:val="single" w:color="auto" w:sz="4" w:space="0"/>
              <w:right w:val="single" w:color="auto" w:sz="4" w:space="0"/>
            </w:tcBorders>
            <w:vAlign w:val="center"/>
          </w:tcPr>
          <w:p w14:paraId="26463221">
            <w:pPr>
              <w:wordWrap/>
              <w:snapToGrid/>
              <w:ind w:firstLine="0" w:firstLineChars="0"/>
              <w:jc w:val="center"/>
              <w:rPr>
                <w:rFonts w:cs="Times New Roman"/>
                <w:sz w:val="21"/>
                <w:szCs w:val="21"/>
              </w:rPr>
            </w:pPr>
            <w:r>
              <w:rPr>
                <w:rFonts w:cs="Times New Roman"/>
                <w:sz w:val="21"/>
                <w:szCs w:val="21"/>
              </w:rPr>
              <w:t>38364170.78</w:t>
            </w:r>
          </w:p>
        </w:tc>
        <w:tc>
          <w:tcPr>
            <w:tcW w:w="1331" w:type="dxa"/>
            <w:tcBorders>
              <w:top w:val="single" w:color="auto" w:sz="4" w:space="0"/>
              <w:left w:val="single" w:color="auto" w:sz="4" w:space="0"/>
              <w:bottom w:val="single" w:color="auto" w:sz="4" w:space="0"/>
              <w:right w:val="single" w:color="auto" w:sz="4" w:space="0"/>
            </w:tcBorders>
          </w:tcPr>
          <w:p w14:paraId="115C18B2">
            <w:pPr>
              <w:wordWrap/>
              <w:snapToGrid/>
              <w:ind w:firstLine="0" w:firstLineChars="0"/>
              <w:jc w:val="center"/>
              <w:rPr>
                <w:rFonts w:cs="Times New Roman"/>
                <w:sz w:val="21"/>
                <w:szCs w:val="21"/>
              </w:rPr>
            </w:pPr>
            <w:r>
              <w:rPr>
                <w:rFonts w:cs="Times New Roman"/>
                <w:sz w:val="21"/>
                <w:szCs w:val="21"/>
              </w:rPr>
              <w:t>81.37</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698480F5">
            <w:pPr>
              <w:widowControl/>
              <w:wordWrap/>
              <w:topLinePunct w:val="0"/>
              <w:adjustRightInd/>
              <w:snapToGrid/>
              <w:spacing w:line="240" w:lineRule="auto"/>
              <w:ind w:firstLine="0" w:firstLineChars="0"/>
              <w:jc w:val="left"/>
              <w:rPr>
                <w:rFonts w:cs="Times New Roman"/>
                <w:sz w:val="21"/>
                <w:szCs w:val="21"/>
              </w:rPr>
            </w:pPr>
          </w:p>
        </w:tc>
      </w:tr>
      <w:tr w14:paraId="7796F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73" w:type="dxa"/>
            <w:vMerge w:val="restart"/>
            <w:tcBorders>
              <w:top w:val="single" w:color="auto" w:sz="4" w:space="0"/>
              <w:left w:val="single" w:color="auto" w:sz="12" w:space="0"/>
              <w:bottom w:val="single" w:color="auto" w:sz="4" w:space="0"/>
              <w:right w:val="single" w:color="auto" w:sz="4" w:space="0"/>
            </w:tcBorders>
            <w:vAlign w:val="center"/>
          </w:tcPr>
          <w:p w14:paraId="570B9C7C">
            <w:pPr>
              <w:wordWrap/>
              <w:snapToGrid/>
              <w:ind w:firstLine="0" w:firstLineChars="0"/>
              <w:jc w:val="center"/>
              <w:rPr>
                <w:rFonts w:cs="Times New Roman"/>
                <w:sz w:val="21"/>
                <w:szCs w:val="21"/>
              </w:rPr>
            </w:pPr>
            <w:r>
              <w:rPr>
                <w:rFonts w:cs="Times New Roman"/>
                <w:sz w:val="21"/>
                <w:szCs w:val="21"/>
              </w:rPr>
              <w:t>13</w:t>
            </w:r>
          </w:p>
        </w:tc>
        <w:tc>
          <w:tcPr>
            <w:tcW w:w="1422" w:type="dxa"/>
            <w:tcBorders>
              <w:top w:val="single" w:color="auto" w:sz="4" w:space="0"/>
              <w:left w:val="single" w:color="auto" w:sz="4" w:space="0"/>
              <w:bottom w:val="single" w:color="auto" w:sz="4" w:space="0"/>
              <w:right w:val="single" w:color="auto" w:sz="4" w:space="0"/>
            </w:tcBorders>
            <w:vAlign w:val="center"/>
          </w:tcPr>
          <w:p w14:paraId="3C58FE3C">
            <w:pPr>
              <w:wordWrap/>
              <w:snapToGrid/>
              <w:ind w:firstLine="0" w:firstLineChars="0"/>
              <w:jc w:val="center"/>
              <w:rPr>
                <w:rFonts w:cs="Times New Roman"/>
                <w:sz w:val="21"/>
                <w:szCs w:val="21"/>
              </w:rPr>
            </w:pPr>
            <w:r>
              <w:rPr>
                <w:rFonts w:cs="Times New Roman"/>
                <w:sz w:val="21"/>
                <w:szCs w:val="21"/>
              </w:rPr>
              <w:t>CK21</w:t>
            </w:r>
          </w:p>
        </w:tc>
        <w:tc>
          <w:tcPr>
            <w:tcW w:w="1373" w:type="dxa"/>
            <w:tcBorders>
              <w:top w:val="single" w:color="auto" w:sz="4" w:space="0"/>
              <w:left w:val="single" w:color="auto" w:sz="4" w:space="0"/>
              <w:bottom w:val="single" w:color="auto" w:sz="4" w:space="0"/>
              <w:right w:val="single" w:color="auto" w:sz="4" w:space="0"/>
            </w:tcBorders>
            <w:vAlign w:val="center"/>
          </w:tcPr>
          <w:p w14:paraId="3CE12A4D">
            <w:pPr>
              <w:wordWrap/>
              <w:snapToGrid/>
              <w:ind w:firstLine="0" w:firstLineChars="0"/>
              <w:jc w:val="center"/>
              <w:rPr>
                <w:rFonts w:cs="Times New Roman"/>
                <w:sz w:val="21"/>
                <w:szCs w:val="21"/>
              </w:rPr>
            </w:pPr>
            <w:r>
              <w:rPr>
                <w:rFonts w:cs="Times New Roman"/>
                <w:sz w:val="21"/>
                <w:szCs w:val="21"/>
              </w:rPr>
              <w:t>2985205.91</w:t>
            </w:r>
          </w:p>
        </w:tc>
        <w:tc>
          <w:tcPr>
            <w:tcW w:w="1428" w:type="dxa"/>
            <w:tcBorders>
              <w:top w:val="single" w:color="auto" w:sz="4" w:space="0"/>
              <w:left w:val="single" w:color="auto" w:sz="4" w:space="0"/>
              <w:bottom w:val="single" w:color="auto" w:sz="4" w:space="0"/>
              <w:right w:val="single" w:color="auto" w:sz="4" w:space="0"/>
            </w:tcBorders>
            <w:vAlign w:val="center"/>
          </w:tcPr>
          <w:p w14:paraId="52942E38">
            <w:pPr>
              <w:wordWrap/>
              <w:snapToGrid/>
              <w:ind w:firstLine="0" w:firstLineChars="0"/>
              <w:jc w:val="center"/>
              <w:rPr>
                <w:rFonts w:cs="Times New Roman"/>
                <w:sz w:val="21"/>
                <w:szCs w:val="21"/>
              </w:rPr>
            </w:pPr>
            <w:r>
              <w:rPr>
                <w:rFonts w:cs="Times New Roman"/>
                <w:sz w:val="21"/>
                <w:szCs w:val="21"/>
              </w:rPr>
              <w:t>38363828.20</w:t>
            </w:r>
          </w:p>
        </w:tc>
        <w:tc>
          <w:tcPr>
            <w:tcW w:w="1331" w:type="dxa"/>
            <w:tcBorders>
              <w:top w:val="single" w:color="auto" w:sz="4" w:space="0"/>
              <w:left w:val="single" w:color="auto" w:sz="4" w:space="0"/>
              <w:bottom w:val="single" w:color="auto" w:sz="4" w:space="0"/>
              <w:right w:val="single" w:color="auto" w:sz="4" w:space="0"/>
            </w:tcBorders>
          </w:tcPr>
          <w:p w14:paraId="2803A10E">
            <w:pPr>
              <w:wordWrap/>
              <w:snapToGrid/>
              <w:ind w:firstLine="0" w:firstLineChars="0"/>
              <w:jc w:val="center"/>
              <w:rPr>
                <w:rFonts w:cs="Times New Roman"/>
                <w:sz w:val="21"/>
                <w:szCs w:val="21"/>
              </w:rPr>
            </w:pPr>
            <w:r>
              <w:rPr>
                <w:rFonts w:cs="Times New Roman"/>
                <w:sz w:val="21"/>
                <w:szCs w:val="21"/>
              </w:rPr>
              <w:t>77.31</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7763AF80">
            <w:pPr>
              <w:widowControl/>
              <w:wordWrap/>
              <w:topLinePunct w:val="0"/>
              <w:adjustRightInd/>
              <w:snapToGrid/>
              <w:spacing w:line="240" w:lineRule="auto"/>
              <w:ind w:firstLine="0" w:firstLineChars="0"/>
              <w:jc w:val="left"/>
              <w:rPr>
                <w:rFonts w:cs="Times New Roman"/>
                <w:sz w:val="21"/>
                <w:szCs w:val="21"/>
              </w:rPr>
            </w:pPr>
          </w:p>
        </w:tc>
      </w:tr>
      <w:tr w14:paraId="32596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1A57FCBB">
            <w:pPr>
              <w:widowControl/>
              <w:wordWrap/>
              <w:topLinePunct w:val="0"/>
              <w:adjustRightInd/>
              <w:snapToGrid/>
              <w:spacing w:line="240" w:lineRule="auto"/>
              <w:ind w:firstLine="0" w:firstLineChars="0"/>
              <w:jc w:val="left"/>
              <w:rPr>
                <w:rFonts w:cs="Times New Roman"/>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14:paraId="146CCC82">
            <w:pPr>
              <w:wordWrap/>
              <w:snapToGrid/>
              <w:ind w:firstLine="0" w:firstLineChars="0"/>
              <w:jc w:val="center"/>
              <w:rPr>
                <w:rFonts w:cs="Times New Roman"/>
                <w:sz w:val="21"/>
                <w:szCs w:val="21"/>
              </w:rPr>
            </w:pPr>
            <w:r>
              <w:rPr>
                <w:rFonts w:cs="Times New Roman"/>
                <w:sz w:val="21"/>
                <w:szCs w:val="21"/>
              </w:rPr>
              <w:t>CK22</w:t>
            </w:r>
          </w:p>
        </w:tc>
        <w:tc>
          <w:tcPr>
            <w:tcW w:w="1373" w:type="dxa"/>
            <w:tcBorders>
              <w:top w:val="single" w:color="auto" w:sz="4" w:space="0"/>
              <w:left w:val="single" w:color="auto" w:sz="4" w:space="0"/>
              <w:bottom w:val="single" w:color="auto" w:sz="4" w:space="0"/>
              <w:right w:val="single" w:color="auto" w:sz="4" w:space="0"/>
            </w:tcBorders>
            <w:vAlign w:val="center"/>
          </w:tcPr>
          <w:p w14:paraId="0C101448">
            <w:pPr>
              <w:wordWrap/>
              <w:snapToGrid/>
              <w:ind w:firstLine="0" w:firstLineChars="0"/>
              <w:jc w:val="center"/>
              <w:rPr>
                <w:rFonts w:cs="Times New Roman"/>
                <w:sz w:val="21"/>
                <w:szCs w:val="21"/>
              </w:rPr>
            </w:pPr>
            <w:r>
              <w:rPr>
                <w:rFonts w:cs="Times New Roman"/>
                <w:sz w:val="21"/>
                <w:szCs w:val="21"/>
              </w:rPr>
              <w:t>2984975.12</w:t>
            </w:r>
          </w:p>
        </w:tc>
        <w:tc>
          <w:tcPr>
            <w:tcW w:w="1428" w:type="dxa"/>
            <w:tcBorders>
              <w:top w:val="single" w:color="auto" w:sz="4" w:space="0"/>
              <w:left w:val="single" w:color="auto" w:sz="4" w:space="0"/>
              <w:bottom w:val="single" w:color="auto" w:sz="4" w:space="0"/>
              <w:right w:val="single" w:color="auto" w:sz="4" w:space="0"/>
            </w:tcBorders>
            <w:vAlign w:val="center"/>
          </w:tcPr>
          <w:p w14:paraId="27BED4C5">
            <w:pPr>
              <w:wordWrap/>
              <w:snapToGrid/>
              <w:ind w:firstLine="0" w:firstLineChars="0"/>
              <w:jc w:val="center"/>
              <w:rPr>
                <w:rFonts w:cs="Times New Roman"/>
                <w:sz w:val="21"/>
                <w:szCs w:val="21"/>
              </w:rPr>
            </w:pPr>
            <w:r>
              <w:rPr>
                <w:rFonts w:cs="Times New Roman"/>
                <w:sz w:val="21"/>
                <w:szCs w:val="21"/>
              </w:rPr>
              <w:t>38363827.00</w:t>
            </w:r>
          </w:p>
        </w:tc>
        <w:tc>
          <w:tcPr>
            <w:tcW w:w="1331" w:type="dxa"/>
            <w:tcBorders>
              <w:top w:val="single" w:color="auto" w:sz="4" w:space="0"/>
              <w:left w:val="single" w:color="auto" w:sz="4" w:space="0"/>
              <w:bottom w:val="single" w:color="auto" w:sz="4" w:space="0"/>
              <w:right w:val="single" w:color="auto" w:sz="4" w:space="0"/>
            </w:tcBorders>
          </w:tcPr>
          <w:p w14:paraId="046FCC72">
            <w:pPr>
              <w:wordWrap/>
              <w:snapToGrid/>
              <w:ind w:firstLine="0" w:firstLineChars="0"/>
              <w:jc w:val="center"/>
              <w:rPr>
                <w:rFonts w:cs="Times New Roman"/>
                <w:sz w:val="21"/>
                <w:szCs w:val="21"/>
              </w:rPr>
            </w:pPr>
            <w:r>
              <w:rPr>
                <w:rFonts w:cs="Times New Roman"/>
                <w:sz w:val="21"/>
                <w:szCs w:val="21"/>
              </w:rPr>
              <w:t>75.10</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7098977D">
            <w:pPr>
              <w:widowControl/>
              <w:wordWrap/>
              <w:topLinePunct w:val="0"/>
              <w:adjustRightInd/>
              <w:snapToGrid/>
              <w:spacing w:line="240" w:lineRule="auto"/>
              <w:ind w:firstLine="0" w:firstLineChars="0"/>
              <w:jc w:val="left"/>
              <w:rPr>
                <w:rFonts w:cs="Times New Roman"/>
                <w:sz w:val="21"/>
                <w:szCs w:val="21"/>
              </w:rPr>
            </w:pPr>
          </w:p>
        </w:tc>
      </w:tr>
      <w:tr w14:paraId="19A28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3" w:type="dxa"/>
            <w:vMerge w:val="restart"/>
            <w:tcBorders>
              <w:top w:val="single" w:color="auto" w:sz="4" w:space="0"/>
              <w:left w:val="single" w:color="auto" w:sz="12" w:space="0"/>
              <w:bottom w:val="single" w:color="auto" w:sz="12" w:space="0"/>
              <w:right w:val="single" w:color="auto" w:sz="4" w:space="0"/>
            </w:tcBorders>
            <w:vAlign w:val="center"/>
          </w:tcPr>
          <w:p w14:paraId="55C074B7">
            <w:pPr>
              <w:wordWrap/>
              <w:snapToGrid/>
              <w:ind w:firstLine="0" w:firstLineChars="0"/>
              <w:jc w:val="center"/>
              <w:rPr>
                <w:rFonts w:cs="Times New Roman"/>
                <w:sz w:val="21"/>
                <w:szCs w:val="21"/>
              </w:rPr>
            </w:pPr>
            <w:r>
              <w:rPr>
                <w:rFonts w:cs="Times New Roman"/>
                <w:sz w:val="21"/>
                <w:szCs w:val="21"/>
              </w:rPr>
              <w:t>14</w:t>
            </w:r>
          </w:p>
        </w:tc>
        <w:tc>
          <w:tcPr>
            <w:tcW w:w="1422" w:type="dxa"/>
            <w:tcBorders>
              <w:top w:val="single" w:color="auto" w:sz="4" w:space="0"/>
              <w:left w:val="single" w:color="auto" w:sz="4" w:space="0"/>
              <w:bottom w:val="single" w:color="auto" w:sz="4" w:space="0"/>
              <w:right w:val="single" w:color="auto" w:sz="4" w:space="0"/>
            </w:tcBorders>
            <w:vAlign w:val="center"/>
          </w:tcPr>
          <w:p w14:paraId="64436E6A">
            <w:pPr>
              <w:wordWrap/>
              <w:snapToGrid/>
              <w:ind w:firstLine="0" w:firstLineChars="0"/>
              <w:jc w:val="center"/>
              <w:rPr>
                <w:rFonts w:cs="Times New Roman"/>
                <w:sz w:val="21"/>
                <w:szCs w:val="21"/>
              </w:rPr>
            </w:pPr>
            <w:r>
              <w:rPr>
                <w:rFonts w:cs="Times New Roman"/>
                <w:sz w:val="21"/>
                <w:szCs w:val="21"/>
              </w:rPr>
              <w:t>CK23</w:t>
            </w:r>
          </w:p>
        </w:tc>
        <w:tc>
          <w:tcPr>
            <w:tcW w:w="1373" w:type="dxa"/>
            <w:tcBorders>
              <w:top w:val="single" w:color="auto" w:sz="4" w:space="0"/>
              <w:left w:val="single" w:color="auto" w:sz="4" w:space="0"/>
              <w:bottom w:val="single" w:color="auto" w:sz="4" w:space="0"/>
              <w:right w:val="single" w:color="auto" w:sz="4" w:space="0"/>
            </w:tcBorders>
            <w:vAlign w:val="center"/>
          </w:tcPr>
          <w:p w14:paraId="472DA509">
            <w:pPr>
              <w:wordWrap/>
              <w:snapToGrid/>
              <w:ind w:firstLine="0" w:firstLineChars="0"/>
              <w:jc w:val="center"/>
              <w:rPr>
                <w:rFonts w:cs="Times New Roman"/>
                <w:sz w:val="21"/>
                <w:szCs w:val="21"/>
              </w:rPr>
            </w:pPr>
            <w:r>
              <w:rPr>
                <w:rFonts w:cs="Times New Roman"/>
                <w:sz w:val="21"/>
                <w:szCs w:val="21"/>
              </w:rPr>
              <w:t>2984787.45</w:t>
            </w:r>
          </w:p>
        </w:tc>
        <w:tc>
          <w:tcPr>
            <w:tcW w:w="1428" w:type="dxa"/>
            <w:tcBorders>
              <w:top w:val="single" w:color="auto" w:sz="4" w:space="0"/>
              <w:left w:val="single" w:color="auto" w:sz="4" w:space="0"/>
              <w:bottom w:val="single" w:color="auto" w:sz="4" w:space="0"/>
              <w:right w:val="single" w:color="auto" w:sz="4" w:space="0"/>
            </w:tcBorders>
            <w:vAlign w:val="center"/>
          </w:tcPr>
          <w:p w14:paraId="4384EE54">
            <w:pPr>
              <w:wordWrap/>
              <w:snapToGrid/>
              <w:ind w:firstLine="0" w:firstLineChars="0"/>
              <w:jc w:val="center"/>
              <w:rPr>
                <w:rFonts w:cs="Times New Roman"/>
                <w:sz w:val="21"/>
                <w:szCs w:val="21"/>
              </w:rPr>
            </w:pPr>
            <w:r>
              <w:rPr>
                <w:rFonts w:cs="Times New Roman"/>
                <w:sz w:val="21"/>
                <w:szCs w:val="21"/>
              </w:rPr>
              <w:t>38363825.24</w:t>
            </w:r>
          </w:p>
        </w:tc>
        <w:tc>
          <w:tcPr>
            <w:tcW w:w="1331" w:type="dxa"/>
            <w:tcBorders>
              <w:top w:val="single" w:color="auto" w:sz="4" w:space="0"/>
              <w:left w:val="single" w:color="auto" w:sz="4" w:space="0"/>
              <w:bottom w:val="single" w:color="auto" w:sz="4" w:space="0"/>
              <w:right w:val="single" w:color="auto" w:sz="4" w:space="0"/>
            </w:tcBorders>
          </w:tcPr>
          <w:p w14:paraId="6BABD3D1">
            <w:pPr>
              <w:wordWrap/>
              <w:snapToGrid/>
              <w:ind w:firstLine="0" w:firstLineChars="0"/>
              <w:jc w:val="center"/>
              <w:rPr>
                <w:rFonts w:cs="Times New Roman"/>
                <w:sz w:val="21"/>
                <w:szCs w:val="21"/>
              </w:rPr>
            </w:pPr>
            <w:r>
              <w:rPr>
                <w:rFonts w:cs="Times New Roman"/>
                <w:sz w:val="21"/>
                <w:szCs w:val="21"/>
              </w:rPr>
              <w:t>76.16</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50733DED">
            <w:pPr>
              <w:widowControl/>
              <w:wordWrap/>
              <w:topLinePunct w:val="0"/>
              <w:adjustRightInd/>
              <w:snapToGrid/>
              <w:spacing w:line="240" w:lineRule="auto"/>
              <w:ind w:firstLine="0" w:firstLineChars="0"/>
              <w:jc w:val="left"/>
              <w:rPr>
                <w:rFonts w:cs="Times New Roman"/>
                <w:sz w:val="21"/>
                <w:szCs w:val="21"/>
              </w:rPr>
            </w:pPr>
          </w:p>
        </w:tc>
      </w:tr>
      <w:tr w14:paraId="28193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12" w:space="0"/>
              <w:right w:val="single" w:color="auto" w:sz="4" w:space="0"/>
            </w:tcBorders>
            <w:vAlign w:val="center"/>
          </w:tcPr>
          <w:p w14:paraId="3330BBC6">
            <w:pPr>
              <w:widowControl/>
              <w:wordWrap/>
              <w:topLinePunct w:val="0"/>
              <w:adjustRightInd/>
              <w:snapToGrid/>
              <w:spacing w:line="240" w:lineRule="auto"/>
              <w:ind w:firstLine="0" w:firstLineChars="0"/>
              <w:jc w:val="left"/>
              <w:rPr>
                <w:rFonts w:cs="Times New Roman"/>
                <w:sz w:val="21"/>
                <w:szCs w:val="21"/>
              </w:rPr>
            </w:pPr>
          </w:p>
        </w:tc>
        <w:tc>
          <w:tcPr>
            <w:tcW w:w="1422" w:type="dxa"/>
            <w:tcBorders>
              <w:top w:val="single" w:color="auto" w:sz="4" w:space="0"/>
              <w:left w:val="single" w:color="auto" w:sz="4" w:space="0"/>
              <w:bottom w:val="single" w:color="auto" w:sz="12" w:space="0"/>
              <w:right w:val="single" w:color="auto" w:sz="4" w:space="0"/>
            </w:tcBorders>
            <w:vAlign w:val="center"/>
          </w:tcPr>
          <w:p w14:paraId="30876CD9">
            <w:pPr>
              <w:wordWrap/>
              <w:snapToGrid/>
              <w:ind w:firstLine="0" w:firstLineChars="0"/>
              <w:jc w:val="center"/>
              <w:rPr>
                <w:rFonts w:cs="Times New Roman"/>
                <w:sz w:val="21"/>
                <w:szCs w:val="21"/>
              </w:rPr>
            </w:pPr>
            <w:r>
              <w:rPr>
                <w:rFonts w:cs="Times New Roman"/>
                <w:sz w:val="21"/>
                <w:szCs w:val="21"/>
              </w:rPr>
              <w:t>CK24</w:t>
            </w:r>
          </w:p>
        </w:tc>
        <w:tc>
          <w:tcPr>
            <w:tcW w:w="1373" w:type="dxa"/>
            <w:tcBorders>
              <w:top w:val="single" w:color="auto" w:sz="4" w:space="0"/>
              <w:left w:val="single" w:color="auto" w:sz="4" w:space="0"/>
              <w:bottom w:val="single" w:color="auto" w:sz="12" w:space="0"/>
              <w:right w:val="single" w:color="auto" w:sz="4" w:space="0"/>
            </w:tcBorders>
            <w:vAlign w:val="center"/>
          </w:tcPr>
          <w:p w14:paraId="74AF5248">
            <w:pPr>
              <w:wordWrap/>
              <w:snapToGrid/>
              <w:ind w:firstLine="0" w:firstLineChars="0"/>
              <w:jc w:val="center"/>
              <w:rPr>
                <w:rFonts w:cs="Times New Roman"/>
                <w:sz w:val="21"/>
                <w:szCs w:val="21"/>
              </w:rPr>
            </w:pPr>
            <w:r>
              <w:rPr>
                <w:rFonts w:cs="Times New Roman"/>
                <w:sz w:val="21"/>
                <w:szCs w:val="21"/>
              </w:rPr>
              <w:t>2984562.23</w:t>
            </w:r>
          </w:p>
        </w:tc>
        <w:tc>
          <w:tcPr>
            <w:tcW w:w="1428" w:type="dxa"/>
            <w:tcBorders>
              <w:top w:val="single" w:color="auto" w:sz="4" w:space="0"/>
              <w:left w:val="single" w:color="auto" w:sz="4" w:space="0"/>
              <w:bottom w:val="single" w:color="auto" w:sz="12" w:space="0"/>
              <w:right w:val="single" w:color="auto" w:sz="4" w:space="0"/>
            </w:tcBorders>
            <w:vAlign w:val="center"/>
          </w:tcPr>
          <w:p w14:paraId="7A9D67D0">
            <w:pPr>
              <w:wordWrap/>
              <w:snapToGrid/>
              <w:ind w:firstLine="0" w:firstLineChars="0"/>
              <w:jc w:val="center"/>
              <w:rPr>
                <w:rFonts w:cs="Times New Roman"/>
                <w:sz w:val="21"/>
                <w:szCs w:val="21"/>
              </w:rPr>
            </w:pPr>
            <w:r>
              <w:rPr>
                <w:rFonts w:cs="Times New Roman"/>
                <w:sz w:val="21"/>
                <w:szCs w:val="21"/>
              </w:rPr>
              <w:t>38363826.55</w:t>
            </w:r>
          </w:p>
        </w:tc>
        <w:tc>
          <w:tcPr>
            <w:tcW w:w="1331" w:type="dxa"/>
            <w:tcBorders>
              <w:top w:val="single" w:color="auto" w:sz="4" w:space="0"/>
              <w:left w:val="single" w:color="auto" w:sz="4" w:space="0"/>
              <w:bottom w:val="single" w:color="auto" w:sz="12" w:space="0"/>
              <w:right w:val="single" w:color="auto" w:sz="4" w:space="0"/>
            </w:tcBorders>
          </w:tcPr>
          <w:p w14:paraId="2D6BEA62">
            <w:pPr>
              <w:wordWrap/>
              <w:snapToGrid/>
              <w:ind w:firstLine="0" w:firstLineChars="0"/>
              <w:jc w:val="center"/>
              <w:rPr>
                <w:rFonts w:cs="Times New Roman"/>
                <w:sz w:val="21"/>
                <w:szCs w:val="21"/>
              </w:rPr>
            </w:pPr>
            <w:r>
              <w:rPr>
                <w:rFonts w:cs="Times New Roman"/>
                <w:sz w:val="21"/>
                <w:szCs w:val="21"/>
              </w:rPr>
              <w:t>76.42</w:t>
            </w:r>
          </w:p>
        </w:tc>
        <w:tc>
          <w:tcPr>
            <w:tcW w:w="0" w:type="auto"/>
            <w:vMerge w:val="continue"/>
            <w:tcBorders>
              <w:top w:val="single" w:color="auto" w:sz="4" w:space="0"/>
              <w:left w:val="single" w:color="auto" w:sz="4" w:space="0"/>
              <w:bottom w:val="single" w:color="auto" w:sz="12" w:space="0"/>
              <w:right w:val="single" w:color="auto" w:sz="12" w:space="0"/>
            </w:tcBorders>
            <w:vAlign w:val="center"/>
          </w:tcPr>
          <w:p w14:paraId="3947E4E4">
            <w:pPr>
              <w:widowControl/>
              <w:wordWrap/>
              <w:topLinePunct w:val="0"/>
              <w:adjustRightInd/>
              <w:snapToGrid/>
              <w:spacing w:line="240" w:lineRule="auto"/>
              <w:ind w:firstLine="0" w:firstLineChars="0"/>
              <w:jc w:val="left"/>
              <w:rPr>
                <w:rFonts w:cs="Times New Roman"/>
                <w:sz w:val="21"/>
                <w:szCs w:val="21"/>
              </w:rPr>
            </w:pPr>
          </w:p>
        </w:tc>
      </w:tr>
    </w:tbl>
    <w:p w14:paraId="3336105C">
      <w:pPr>
        <w:pStyle w:val="2"/>
        <w:ind w:firstLine="519"/>
        <w:rPr>
          <w:rFonts w:cs="Times New Roman"/>
        </w:rPr>
      </w:pPr>
      <w:r>
        <w:rPr>
          <w:rFonts w:hint="eastAsia" w:cs="Times New Roman"/>
        </w:rPr>
        <w:t>矿山</w:t>
      </w:r>
      <w:r>
        <w:rPr>
          <w:rFonts w:cs="Times New Roman"/>
        </w:rPr>
        <w:t>现持采矿许可证核准生产规模为1</w:t>
      </w:r>
      <w:bookmarkStart w:id="337" w:name="_Hlk116223647"/>
      <w:r>
        <w:rPr>
          <w:rFonts w:cs="Times New Roman"/>
        </w:rPr>
        <w:t>50万t/a</w:t>
      </w:r>
      <w:r>
        <w:rPr>
          <w:rFonts w:hint="eastAsia" w:cs="Times New Roman"/>
        </w:rPr>
        <w:t>岩盐（即原矿）</w:t>
      </w:r>
      <w:r>
        <w:rPr>
          <w:rFonts w:cs="Times New Roman"/>
        </w:rPr>
        <w:t>，折合</w:t>
      </w:r>
      <w:r>
        <w:rPr>
          <w:rFonts w:hint="eastAsia" w:cs="Times New Roman"/>
        </w:rPr>
        <w:t>原</w:t>
      </w:r>
      <w:r>
        <w:rPr>
          <w:rFonts w:cs="Times New Roman"/>
        </w:rPr>
        <w:t>卤为220万m</w:t>
      </w:r>
      <w:r>
        <w:rPr>
          <w:rFonts w:cs="Times New Roman"/>
          <w:vertAlign w:val="superscript"/>
        </w:rPr>
        <w:t>3</w:t>
      </w:r>
      <w:r>
        <w:rPr>
          <w:rFonts w:cs="Times New Roman"/>
        </w:rPr>
        <w:t>/a</w:t>
      </w:r>
      <w:bookmarkEnd w:id="337"/>
      <w:r>
        <w:rPr>
          <w:rFonts w:cs="Times New Roman"/>
        </w:rPr>
        <w:t>。1990 年初至今，矿山已累计连续开采约30年，累计采出矿石量约1135.6万t，采空区总面积约15万㎡，采空区分布于-750m～-540m之间，平均开采厚度205.82m。</w:t>
      </w:r>
      <w:bookmarkStart w:id="338" w:name="_Hlk116223031"/>
      <w:r>
        <w:rPr>
          <w:rFonts w:hint="eastAsia" w:cs="Times New Roman"/>
        </w:rPr>
        <w:t>矿区现共有1</w:t>
      </w:r>
      <w:r>
        <w:rPr>
          <w:rFonts w:cs="Times New Roman"/>
        </w:rPr>
        <w:t>5</w:t>
      </w:r>
      <w:r>
        <w:rPr>
          <w:rFonts w:hint="eastAsia" w:cs="Times New Roman"/>
        </w:rPr>
        <w:t>个</w:t>
      </w:r>
      <w:bookmarkEnd w:id="338"/>
      <w:r>
        <w:rPr>
          <w:rFonts w:hint="eastAsia" w:cs="Times New Roman"/>
        </w:rPr>
        <w:t>采卤井正在开采，除ZK10、ZK12、CK3三口井串通采卤外，其余采卤井均为双井对流采卤。整个矿区设计</w:t>
      </w:r>
      <w:bookmarkStart w:id="339" w:name="_Hlk116547163"/>
      <w:r>
        <w:rPr>
          <w:rFonts w:hint="eastAsia" w:cs="Times New Roman"/>
        </w:rPr>
        <w:t>年采原卤220万m</w:t>
      </w:r>
      <w:r>
        <w:rPr>
          <w:rFonts w:hint="eastAsia" w:cs="Times New Roman"/>
          <w:vertAlign w:val="superscript"/>
        </w:rPr>
        <w:t>3</w:t>
      </w:r>
      <w:bookmarkEnd w:id="339"/>
      <w:r>
        <w:rPr>
          <w:rFonts w:hint="eastAsia" w:cs="Times New Roman"/>
        </w:rPr>
        <w:t>，矿山各卤井采卤量统计情况见附件。矿山现有卤水井布置情况见附图。矿区卤井主要用于为建滔（衡阳）实业有限公司烧碱项目提供原卤资源保障，在</w:t>
      </w:r>
      <w:bookmarkStart w:id="340" w:name="_Hlk116208272"/>
      <w:r>
        <w:rPr>
          <w:rFonts w:hint="eastAsia" w:cs="Times New Roman"/>
        </w:rPr>
        <w:t>建滔（衡阳）实业有限公司</w:t>
      </w:r>
      <w:bookmarkEnd w:id="340"/>
      <w:r>
        <w:rPr>
          <w:rFonts w:hint="eastAsia" w:cs="Times New Roman"/>
        </w:rPr>
        <w:t>现有烧碱项目环评报告中作为辅助工程（卤水工程）被提及。</w:t>
      </w:r>
    </w:p>
    <w:p w14:paraId="0343FEFD">
      <w:pPr>
        <w:pStyle w:val="3"/>
        <w:ind w:firstLine="519"/>
      </w:pPr>
      <w:r>
        <w:rPr>
          <w:rFonts w:hint="eastAsia"/>
        </w:rPr>
        <w:t>现有卤井对应烧碱项目环保手续情况详见表</w:t>
      </w:r>
      <w:r>
        <w:t>4</w:t>
      </w:r>
      <w:r>
        <w:rPr>
          <w:rFonts w:hint="eastAsia"/>
        </w:rPr>
        <w:t>.1-</w:t>
      </w:r>
      <w:r>
        <w:t>2</w:t>
      </w:r>
    </w:p>
    <w:p w14:paraId="11CA4C94">
      <w:pPr>
        <w:pStyle w:val="9"/>
      </w:pPr>
      <w:r>
        <w:t xml:space="preserve">表4.1-2 </w:t>
      </w:r>
      <w:r>
        <w:rPr>
          <w:rFonts w:hint="eastAsia"/>
        </w:rPr>
        <w:t>现有卤井对应烧碱项目环保手续情况</w:t>
      </w:r>
    </w:p>
    <w:tbl>
      <w:tblPr>
        <w:tblStyle w:val="29"/>
        <w:tblW w:w="512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6"/>
        <w:gridCol w:w="1618"/>
        <w:gridCol w:w="3361"/>
        <w:gridCol w:w="727"/>
        <w:gridCol w:w="1021"/>
        <w:gridCol w:w="1310"/>
      </w:tblGrid>
      <w:tr w14:paraId="6744D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04" w:type="pct"/>
            <w:tcBorders>
              <w:top w:val="single" w:color="auto" w:sz="12" w:space="0"/>
              <w:left w:val="single" w:color="auto" w:sz="12" w:space="0"/>
              <w:bottom w:val="single" w:color="auto" w:sz="6" w:space="0"/>
              <w:right w:val="single" w:color="auto" w:sz="6" w:space="0"/>
            </w:tcBorders>
            <w:vAlign w:val="center"/>
          </w:tcPr>
          <w:p w14:paraId="417CE66D">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序号</w:t>
            </w:r>
          </w:p>
        </w:tc>
        <w:tc>
          <w:tcPr>
            <w:tcW w:w="925" w:type="pct"/>
            <w:tcBorders>
              <w:top w:val="single" w:color="auto" w:sz="12" w:space="0"/>
              <w:left w:val="single" w:color="auto" w:sz="6" w:space="0"/>
              <w:bottom w:val="single" w:color="auto" w:sz="6" w:space="0"/>
              <w:right w:val="single" w:color="auto" w:sz="6" w:space="0"/>
            </w:tcBorders>
            <w:vAlign w:val="center"/>
          </w:tcPr>
          <w:p w14:paraId="60B4F584">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项目名称</w:t>
            </w:r>
          </w:p>
        </w:tc>
        <w:tc>
          <w:tcPr>
            <w:tcW w:w="1922" w:type="pct"/>
            <w:tcBorders>
              <w:top w:val="single" w:color="auto" w:sz="12" w:space="0"/>
              <w:left w:val="single" w:color="auto" w:sz="6" w:space="0"/>
              <w:bottom w:val="single" w:color="auto" w:sz="6" w:space="0"/>
              <w:right w:val="single" w:color="auto" w:sz="6" w:space="0"/>
            </w:tcBorders>
            <w:vAlign w:val="center"/>
          </w:tcPr>
          <w:p w14:paraId="1138BB8D">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建设内容及规模</w:t>
            </w:r>
          </w:p>
        </w:tc>
        <w:tc>
          <w:tcPr>
            <w:tcW w:w="416" w:type="pct"/>
            <w:tcBorders>
              <w:top w:val="single" w:color="auto" w:sz="12" w:space="0"/>
              <w:left w:val="single" w:color="auto" w:sz="6" w:space="0"/>
              <w:bottom w:val="single" w:color="auto" w:sz="6" w:space="0"/>
              <w:right w:val="single" w:color="auto" w:sz="6" w:space="0"/>
            </w:tcBorders>
            <w:vAlign w:val="center"/>
          </w:tcPr>
          <w:p w14:paraId="6E0D7351">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时间</w:t>
            </w:r>
          </w:p>
        </w:tc>
        <w:tc>
          <w:tcPr>
            <w:tcW w:w="584" w:type="pct"/>
            <w:tcBorders>
              <w:top w:val="single" w:color="auto" w:sz="12" w:space="0"/>
              <w:left w:val="single" w:color="auto" w:sz="6" w:space="0"/>
              <w:bottom w:val="single" w:color="auto" w:sz="6" w:space="0"/>
              <w:right w:val="single" w:color="auto" w:sz="6" w:space="0"/>
            </w:tcBorders>
            <w:vAlign w:val="center"/>
          </w:tcPr>
          <w:p w14:paraId="2168B1B2">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批文号</w:t>
            </w:r>
          </w:p>
        </w:tc>
        <w:tc>
          <w:tcPr>
            <w:tcW w:w="750" w:type="pct"/>
            <w:tcBorders>
              <w:top w:val="single" w:color="auto" w:sz="12" w:space="0"/>
              <w:left w:val="single" w:color="auto" w:sz="6" w:space="0"/>
              <w:bottom w:val="single" w:color="auto" w:sz="6" w:space="0"/>
              <w:right w:val="single" w:color="auto" w:sz="12" w:space="0"/>
            </w:tcBorders>
            <w:vAlign w:val="center"/>
          </w:tcPr>
          <w:p w14:paraId="47FD38ED">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验收</w:t>
            </w:r>
          </w:p>
        </w:tc>
      </w:tr>
      <w:tr w14:paraId="2C0F9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404" w:type="pct"/>
            <w:tcBorders>
              <w:top w:val="single" w:color="auto" w:sz="6" w:space="0"/>
              <w:left w:val="single" w:color="auto" w:sz="12" w:space="0"/>
              <w:bottom w:val="single" w:color="auto" w:sz="6" w:space="0"/>
              <w:right w:val="single" w:color="auto" w:sz="6" w:space="0"/>
            </w:tcBorders>
            <w:vAlign w:val="center"/>
          </w:tcPr>
          <w:p w14:paraId="0A40D822">
            <w:pPr>
              <w:wordWrap/>
              <w:topLinePunct w:val="0"/>
              <w:adjustRightInd/>
              <w:snapToGrid/>
              <w:spacing w:line="240" w:lineRule="auto"/>
              <w:ind w:firstLine="0" w:firstLineChars="0"/>
              <w:jc w:val="center"/>
              <w:rPr>
                <w:rFonts w:cs="Times New Roman"/>
                <w:sz w:val="21"/>
                <w:szCs w:val="21"/>
              </w:rPr>
            </w:pPr>
            <w:r>
              <w:rPr>
                <w:rFonts w:cs="Times New Roman"/>
                <w:sz w:val="21"/>
                <w:szCs w:val="21"/>
              </w:rPr>
              <w:t>1</w:t>
            </w:r>
          </w:p>
        </w:tc>
        <w:tc>
          <w:tcPr>
            <w:tcW w:w="925" w:type="pct"/>
            <w:tcBorders>
              <w:top w:val="single" w:color="auto" w:sz="6" w:space="0"/>
              <w:left w:val="single" w:color="auto" w:sz="6" w:space="0"/>
              <w:bottom w:val="single" w:color="auto" w:sz="6" w:space="0"/>
              <w:right w:val="single" w:color="auto" w:sz="6" w:space="0"/>
            </w:tcBorders>
            <w:vAlign w:val="center"/>
          </w:tcPr>
          <w:p w14:paraId="43D37D19">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建滔</w:t>
            </w:r>
            <w:r>
              <w:rPr>
                <w:rFonts w:cs="Times New Roman"/>
                <w:sz w:val="21"/>
                <w:szCs w:val="21"/>
              </w:rPr>
              <w:t>(</w:t>
            </w:r>
            <w:r>
              <w:rPr>
                <w:rFonts w:hint="eastAsia" w:cs="Times New Roman"/>
                <w:sz w:val="21"/>
                <w:szCs w:val="21"/>
              </w:rPr>
              <w:t>衡阳</w:t>
            </w:r>
            <w:r>
              <w:rPr>
                <w:rFonts w:cs="Times New Roman"/>
                <w:sz w:val="21"/>
                <w:szCs w:val="21"/>
              </w:rPr>
              <w:t>)</w:t>
            </w:r>
            <w:r>
              <w:rPr>
                <w:rFonts w:hint="eastAsia" w:cs="Times New Roman"/>
                <w:sz w:val="21"/>
                <w:szCs w:val="21"/>
              </w:rPr>
              <w:t>氯碱有限公司</w:t>
            </w:r>
            <w:r>
              <w:rPr>
                <w:rFonts w:cs="Times New Roman"/>
                <w:sz w:val="21"/>
                <w:szCs w:val="21"/>
              </w:rPr>
              <w:t>60kt/a</w:t>
            </w:r>
            <w:r>
              <w:rPr>
                <w:rFonts w:hint="eastAsia" w:cs="Times New Roman"/>
                <w:sz w:val="21"/>
                <w:szCs w:val="21"/>
              </w:rPr>
              <w:t>离子膜法烧碱项目</w:t>
            </w:r>
          </w:p>
        </w:tc>
        <w:tc>
          <w:tcPr>
            <w:tcW w:w="1922" w:type="pct"/>
            <w:tcBorders>
              <w:top w:val="single" w:color="auto" w:sz="6" w:space="0"/>
              <w:left w:val="single" w:color="auto" w:sz="6" w:space="0"/>
              <w:bottom w:val="single" w:color="auto" w:sz="6" w:space="0"/>
              <w:right w:val="single" w:color="auto" w:sz="6" w:space="0"/>
            </w:tcBorders>
            <w:vAlign w:val="center"/>
          </w:tcPr>
          <w:p w14:paraId="624BAAAC">
            <w:pPr>
              <w:wordWrap/>
              <w:topLinePunct w:val="0"/>
              <w:adjustRightInd/>
              <w:snapToGrid/>
              <w:spacing w:line="240" w:lineRule="auto"/>
              <w:ind w:firstLine="0" w:firstLineChars="0"/>
              <w:jc w:val="center"/>
              <w:rPr>
                <w:rFonts w:cs="Times New Roman"/>
                <w:sz w:val="21"/>
                <w:szCs w:val="21"/>
              </w:rPr>
            </w:pPr>
            <w:r>
              <w:rPr>
                <w:rFonts w:cs="Times New Roman"/>
                <w:sz w:val="21"/>
                <w:szCs w:val="21"/>
              </w:rPr>
              <w:t>50</w:t>
            </w:r>
            <w:r>
              <w:rPr>
                <w:rFonts w:hint="eastAsia" w:cs="Times New Roman"/>
                <w:sz w:val="21"/>
                <w:szCs w:val="21"/>
              </w:rPr>
              <w:t>％烧碱：</w:t>
            </w:r>
            <w:r>
              <w:rPr>
                <w:rFonts w:cs="Times New Roman"/>
                <w:sz w:val="21"/>
                <w:szCs w:val="21"/>
              </w:rPr>
              <w:t>40kt/a(</w:t>
            </w:r>
            <w:r>
              <w:rPr>
                <w:rFonts w:hint="eastAsia" w:cs="Times New Roman"/>
                <w:sz w:val="21"/>
                <w:szCs w:val="21"/>
              </w:rPr>
              <w:t>折</w:t>
            </w:r>
            <w:r>
              <w:rPr>
                <w:rFonts w:cs="Times New Roman"/>
                <w:sz w:val="21"/>
                <w:szCs w:val="21"/>
              </w:rPr>
              <w:t>100</w:t>
            </w:r>
            <w:r>
              <w:rPr>
                <w:rFonts w:hint="eastAsia" w:cs="Times New Roman"/>
                <w:sz w:val="21"/>
                <w:szCs w:val="21"/>
              </w:rPr>
              <w:t>％</w:t>
            </w:r>
            <w:r>
              <w:rPr>
                <w:rFonts w:cs="Times New Roman"/>
                <w:sz w:val="21"/>
                <w:szCs w:val="21"/>
              </w:rPr>
              <w:t>)</w:t>
            </w:r>
          </w:p>
          <w:p w14:paraId="07A0A000">
            <w:pPr>
              <w:wordWrap/>
              <w:topLinePunct w:val="0"/>
              <w:adjustRightInd/>
              <w:snapToGrid/>
              <w:spacing w:line="240" w:lineRule="auto"/>
              <w:ind w:firstLine="0" w:firstLineChars="0"/>
              <w:jc w:val="center"/>
              <w:rPr>
                <w:rFonts w:cs="Times New Roman"/>
                <w:sz w:val="21"/>
                <w:szCs w:val="21"/>
              </w:rPr>
            </w:pPr>
            <w:r>
              <w:rPr>
                <w:rFonts w:cs="Times New Roman"/>
                <w:sz w:val="21"/>
                <w:szCs w:val="21"/>
              </w:rPr>
              <w:t>30</w:t>
            </w:r>
            <w:r>
              <w:rPr>
                <w:rFonts w:hint="eastAsia" w:cs="Times New Roman"/>
                <w:sz w:val="21"/>
                <w:szCs w:val="21"/>
              </w:rPr>
              <w:t>％烧碱：</w:t>
            </w:r>
            <w:r>
              <w:rPr>
                <w:rFonts w:cs="Times New Roman"/>
                <w:sz w:val="21"/>
                <w:szCs w:val="21"/>
              </w:rPr>
              <w:t>20kt/a(</w:t>
            </w:r>
            <w:r>
              <w:rPr>
                <w:rFonts w:hint="eastAsia" w:cs="Times New Roman"/>
                <w:sz w:val="21"/>
                <w:szCs w:val="21"/>
              </w:rPr>
              <w:t>折</w:t>
            </w:r>
            <w:r>
              <w:rPr>
                <w:rFonts w:cs="Times New Roman"/>
                <w:sz w:val="21"/>
                <w:szCs w:val="21"/>
              </w:rPr>
              <w:t>100</w:t>
            </w:r>
            <w:r>
              <w:rPr>
                <w:rFonts w:hint="eastAsia" w:cs="Times New Roman"/>
                <w:sz w:val="21"/>
                <w:szCs w:val="21"/>
              </w:rPr>
              <w:t>％</w:t>
            </w:r>
            <w:r>
              <w:rPr>
                <w:rFonts w:cs="Times New Roman"/>
                <w:sz w:val="21"/>
                <w:szCs w:val="21"/>
              </w:rPr>
              <w:t>)</w:t>
            </w:r>
          </w:p>
          <w:p w14:paraId="52DB1B84">
            <w:pPr>
              <w:wordWrap/>
              <w:topLinePunct w:val="0"/>
              <w:adjustRightInd/>
              <w:snapToGrid/>
              <w:spacing w:line="240" w:lineRule="auto"/>
              <w:ind w:firstLine="0" w:firstLineChars="0"/>
              <w:jc w:val="center"/>
              <w:rPr>
                <w:rFonts w:cs="Times New Roman"/>
                <w:sz w:val="21"/>
                <w:szCs w:val="21"/>
              </w:rPr>
            </w:pPr>
            <w:r>
              <w:rPr>
                <w:rFonts w:cs="Times New Roman"/>
                <w:sz w:val="21"/>
                <w:szCs w:val="21"/>
              </w:rPr>
              <w:t>99.6</w:t>
            </w:r>
            <w:r>
              <w:rPr>
                <w:rFonts w:hint="eastAsia" w:cs="Times New Roman"/>
                <w:sz w:val="21"/>
                <w:szCs w:val="21"/>
              </w:rPr>
              <w:t>％液氯：</w:t>
            </w:r>
            <w:r>
              <w:rPr>
                <w:rFonts w:cs="Times New Roman"/>
                <w:sz w:val="21"/>
                <w:szCs w:val="21"/>
              </w:rPr>
              <w:t>40kt/a</w:t>
            </w:r>
          </w:p>
          <w:p w14:paraId="5BC4BA6C">
            <w:pPr>
              <w:wordWrap/>
              <w:topLinePunct w:val="0"/>
              <w:adjustRightInd/>
              <w:snapToGrid/>
              <w:spacing w:line="240" w:lineRule="auto"/>
              <w:ind w:firstLine="0" w:firstLineChars="0"/>
              <w:jc w:val="center"/>
              <w:rPr>
                <w:rFonts w:cs="Times New Roman"/>
                <w:sz w:val="21"/>
                <w:szCs w:val="21"/>
              </w:rPr>
            </w:pPr>
            <w:r>
              <w:rPr>
                <w:rFonts w:cs="Times New Roman"/>
                <w:sz w:val="21"/>
                <w:szCs w:val="21"/>
              </w:rPr>
              <w:t>31</w:t>
            </w:r>
            <w:r>
              <w:rPr>
                <w:rFonts w:hint="eastAsia" w:cs="Times New Roman"/>
                <w:sz w:val="21"/>
                <w:szCs w:val="21"/>
              </w:rPr>
              <w:t>％合成盐酸：</w:t>
            </w:r>
            <w:r>
              <w:rPr>
                <w:rFonts w:cs="Times New Roman"/>
                <w:sz w:val="21"/>
                <w:szCs w:val="21"/>
              </w:rPr>
              <w:t>20kt/a</w:t>
            </w:r>
          </w:p>
          <w:p w14:paraId="3492A121">
            <w:pPr>
              <w:wordWrap/>
              <w:topLinePunct w:val="0"/>
              <w:adjustRightInd/>
              <w:snapToGrid/>
              <w:spacing w:line="240" w:lineRule="auto"/>
              <w:ind w:firstLine="0" w:firstLineChars="0"/>
              <w:jc w:val="center"/>
              <w:rPr>
                <w:rFonts w:cs="Times New Roman"/>
                <w:sz w:val="21"/>
                <w:szCs w:val="21"/>
              </w:rPr>
            </w:pPr>
            <w:r>
              <w:rPr>
                <w:rFonts w:cs="Times New Roman"/>
                <w:sz w:val="21"/>
                <w:szCs w:val="21"/>
              </w:rPr>
              <w:t>31</w:t>
            </w:r>
            <w:r>
              <w:rPr>
                <w:rFonts w:hint="eastAsia" w:cs="Times New Roman"/>
                <w:sz w:val="21"/>
                <w:szCs w:val="21"/>
              </w:rPr>
              <w:t>％：</w:t>
            </w:r>
            <w:r>
              <w:rPr>
                <w:rFonts w:cs="Times New Roman"/>
                <w:sz w:val="21"/>
                <w:szCs w:val="21"/>
              </w:rPr>
              <w:t>20kt/a</w:t>
            </w:r>
          </w:p>
        </w:tc>
        <w:tc>
          <w:tcPr>
            <w:tcW w:w="416" w:type="pct"/>
            <w:tcBorders>
              <w:top w:val="single" w:color="auto" w:sz="6" w:space="0"/>
              <w:left w:val="single" w:color="auto" w:sz="6" w:space="0"/>
              <w:bottom w:val="single" w:color="auto" w:sz="6" w:space="0"/>
              <w:right w:val="single" w:color="auto" w:sz="6" w:space="0"/>
            </w:tcBorders>
            <w:vAlign w:val="center"/>
          </w:tcPr>
          <w:p w14:paraId="4DA5DF62">
            <w:pPr>
              <w:wordWrap/>
              <w:topLinePunct w:val="0"/>
              <w:adjustRightInd/>
              <w:snapToGrid/>
              <w:spacing w:line="240" w:lineRule="auto"/>
              <w:ind w:firstLine="0" w:firstLineChars="0"/>
              <w:jc w:val="center"/>
              <w:rPr>
                <w:rFonts w:cs="Times New Roman"/>
                <w:sz w:val="21"/>
                <w:szCs w:val="21"/>
              </w:rPr>
            </w:pPr>
            <w:r>
              <w:rPr>
                <w:rFonts w:cs="Times New Roman"/>
                <w:sz w:val="21"/>
                <w:szCs w:val="21"/>
              </w:rPr>
              <w:t>2005</w:t>
            </w:r>
            <w:r>
              <w:rPr>
                <w:rFonts w:hint="eastAsia" w:cs="Times New Roman"/>
                <w:sz w:val="21"/>
                <w:szCs w:val="21"/>
              </w:rPr>
              <w:t>年</w:t>
            </w:r>
            <w:r>
              <w:rPr>
                <w:rFonts w:cs="Times New Roman"/>
                <w:sz w:val="21"/>
                <w:szCs w:val="21"/>
              </w:rPr>
              <w:t>8</w:t>
            </w:r>
            <w:r>
              <w:rPr>
                <w:rFonts w:hint="eastAsia" w:cs="Times New Roman"/>
                <w:sz w:val="21"/>
                <w:szCs w:val="21"/>
              </w:rPr>
              <w:t>月</w:t>
            </w:r>
          </w:p>
        </w:tc>
        <w:tc>
          <w:tcPr>
            <w:tcW w:w="584" w:type="pct"/>
            <w:tcBorders>
              <w:top w:val="single" w:color="auto" w:sz="6" w:space="0"/>
              <w:left w:val="single" w:color="auto" w:sz="6" w:space="0"/>
              <w:bottom w:val="single" w:color="auto" w:sz="6" w:space="0"/>
              <w:right w:val="single" w:color="auto" w:sz="6" w:space="0"/>
            </w:tcBorders>
            <w:vAlign w:val="center"/>
          </w:tcPr>
          <w:p w14:paraId="36EC872D">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湘环评</w:t>
            </w:r>
            <w:r>
              <w:rPr>
                <w:rFonts w:cs="Times New Roman"/>
                <w:sz w:val="21"/>
                <w:szCs w:val="21"/>
              </w:rPr>
              <w:t>[2005]47</w:t>
            </w:r>
            <w:r>
              <w:rPr>
                <w:rFonts w:hint="eastAsia" w:cs="Times New Roman"/>
                <w:sz w:val="21"/>
                <w:szCs w:val="21"/>
              </w:rPr>
              <w:t>号</w:t>
            </w:r>
          </w:p>
        </w:tc>
        <w:tc>
          <w:tcPr>
            <w:tcW w:w="750" w:type="pct"/>
            <w:tcBorders>
              <w:top w:val="single" w:color="auto" w:sz="6" w:space="0"/>
              <w:left w:val="single" w:color="auto" w:sz="6" w:space="0"/>
              <w:bottom w:val="single" w:color="auto" w:sz="6" w:space="0"/>
              <w:right w:val="single" w:color="auto" w:sz="12" w:space="0"/>
            </w:tcBorders>
            <w:vAlign w:val="center"/>
          </w:tcPr>
          <w:p w14:paraId="30F0A0EB">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湘环评验</w:t>
            </w:r>
            <w:r>
              <w:rPr>
                <w:rFonts w:cs="Times New Roman"/>
                <w:sz w:val="21"/>
                <w:szCs w:val="21"/>
              </w:rPr>
              <w:t>[2007]31</w:t>
            </w:r>
            <w:r>
              <w:rPr>
                <w:rFonts w:hint="eastAsia" w:cs="Times New Roman"/>
                <w:sz w:val="21"/>
                <w:szCs w:val="21"/>
              </w:rPr>
              <w:t>号</w:t>
            </w:r>
          </w:p>
        </w:tc>
      </w:tr>
      <w:tr w14:paraId="666D0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04" w:type="pct"/>
            <w:tcBorders>
              <w:top w:val="single" w:color="auto" w:sz="6" w:space="0"/>
              <w:left w:val="single" w:color="auto" w:sz="12" w:space="0"/>
              <w:bottom w:val="single" w:color="auto" w:sz="6" w:space="0"/>
              <w:right w:val="single" w:color="auto" w:sz="6" w:space="0"/>
            </w:tcBorders>
            <w:vAlign w:val="center"/>
          </w:tcPr>
          <w:p w14:paraId="6096F359">
            <w:pPr>
              <w:wordWrap/>
              <w:topLinePunct w:val="0"/>
              <w:adjustRightInd/>
              <w:snapToGrid/>
              <w:spacing w:line="240" w:lineRule="auto"/>
              <w:ind w:firstLine="0" w:firstLineChars="0"/>
              <w:jc w:val="center"/>
              <w:rPr>
                <w:rFonts w:cs="Times New Roman"/>
                <w:sz w:val="21"/>
                <w:szCs w:val="21"/>
              </w:rPr>
            </w:pPr>
            <w:r>
              <w:rPr>
                <w:rFonts w:cs="Times New Roman"/>
                <w:sz w:val="21"/>
                <w:szCs w:val="21"/>
              </w:rPr>
              <w:t>2</w:t>
            </w:r>
          </w:p>
        </w:tc>
        <w:tc>
          <w:tcPr>
            <w:tcW w:w="925" w:type="pct"/>
            <w:tcBorders>
              <w:top w:val="single" w:color="auto" w:sz="6" w:space="0"/>
              <w:left w:val="single" w:color="auto" w:sz="6" w:space="0"/>
              <w:bottom w:val="single" w:color="auto" w:sz="6" w:space="0"/>
              <w:right w:val="single" w:color="auto" w:sz="6" w:space="0"/>
            </w:tcBorders>
            <w:vAlign w:val="center"/>
          </w:tcPr>
          <w:p w14:paraId="6B6DAA0F">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衡阳建滔化工有限公司</w:t>
            </w:r>
            <w:r>
              <w:rPr>
                <w:rFonts w:cs="Times New Roman"/>
                <w:sz w:val="21"/>
                <w:szCs w:val="21"/>
              </w:rPr>
              <w:t>10</w:t>
            </w:r>
            <w:r>
              <w:rPr>
                <w:rFonts w:hint="eastAsia" w:cs="Times New Roman"/>
                <w:sz w:val="21"/>
                <w:szCs w:val="21"/>
              </w:rPr>
              <w:t>万</w:t>
            </w:r>
            <w:r>
              <w:rPr>
                <w:rFonts w:cs="Times New Roman"/>
                <w:sz w:val="21"/>
                <w:szCs w:val="21"/>
              </w:rPr>
              <w:t>t/a</w:t>
            </w:r>
            <w:r>
              <w:rPr>
                <w:rFonts w:hint="eastAsia" w:cs="Times New Roman"/>
                <w:sz w:val="21"/>
                <w:szCs w:val="21"/>
              </w:rPr>
              <w:t>离子膜扩建工程、</w:t>
            </w:r>
            <w:r>
              <w:rPr>
                <w:rFonts w:cs="Times New Roman"/>
                <w:sz w:val="21"/>
                <w:szCs w:val="21"/>
              </w:rPr>
              <w:t>12</w:t>
            </w:r>
            <w:r>
              <w:rPr>
                <w:rFonts w:hint="eastAsia" w:cs="Times New Roman"/>
                <w:sz w:val="21"/>
                <w:szCs w:val="21"/>
              </w:rPr>
              <w:t>万</w:t>
            </w:r>
            <w:r>
              <w:rPr>
                <w:rFonts w:cs="Times New Roman"/>
                <w:sz w:val="21"/>
                <w:szCs w:val="21"/>
              </w:rPr>
              <w:t>t/a PVC</w:t>
            </w:r>
            <w:r>
              <w:rPr>
                <w:rFonts w:hint="eastAsia" w:cs="Times New Roman"/>
                <w:sz w:val="21"/>
                <w:szCs w:val="21"/>
              </w:rPr>
              <w:t>树脂工程</w:t>
            </w:r>
          </w:p>
        </w:tc>
        <w:tc>
          <w:tcPr>
            <w:tcW w:w="1922" w:type="pct"/>
            <w:tcBorders>
              <w:top w:val="single" w:color="auto" w:sz="6" w:space="0"/>
              <w:left w:val="single" w:color="auto" w:sz="6" w:space="0"/>
              <w:bottom w:val="single" w:color="auto" w:sz="6" w:space="0"/>
              <w:right w:val="single" w:color="auto" w:sz="6" w:space="0"/>
            </w:tcBorders>
            <w:vAlign w:val="center"/>
          </w:tcPr>
          <w:p w14:paraId="406A4E7C">
            <w:pPr>
              <w:wordWrap/>
              <w:topLinePunct w:val="0"/>
              <w:adjustRightInd/>
              <w:snapToGrid/>
              <w:spacing w:line="240" w:lineRule="auto"/>
              <w:ind w:firstLine="0" w:firstLineChars="0"/>
              <w:jc w:val="center"/>
              <w:rPr>
                <w:rFonts w:cs="Times New Roman"/>
                <w:sz w:val="21"/>
                <w:szCs w:val="21"/>
              </w:rPr>
            </w:pPr>
            <w:r>
              <w:rPr>
                <w:rFonts w:cs="Times New Roman"/>
                <w:sz w:val="21"/>
                <w:szCs w:val="21"/>
              </w:rPr>
              <w:t>50</w:t>
            </w:r>
            <w:r>
              <w:rPr>
                <w:rFonts w:hint="eastAsia" w:cs="Times New Roman"/>
                <w:sz w:val="21"/>
                <w:szCs w:val="21"/>
              </w:rPr>
              <w:t>％烧碱：</w:t>
            </w:r>
            <w:r>
              <w:rPr>
                <w:rFonts w:cs="Times New Roman"/>
                <w:sz w:val="21"/>
                <w:szCs w:val="21"/>
              </w:rPr>
              <w:t>50000t/a(</w:t>
            </w:r>
            <w:r>
              <w:rPr>
                <w:rFonts w:hint="eastAsia" w:cs="Times New Roman"/>
                <w:sz w:val="21"/>
                <w:szCs w:val="21"/>
              </w:rPr>
              <w:t>折</w:t>
            </w:r>
            <w:r>
              <w:rPr>
                <w:rFonts w:cs="Times New Roman"/>
                <w:sz w:val="21"/>
                <w:szCs w:val="21"/>
              </w:rPr>
              <w:t>100</w:t>
            </w:r>
            <w:r>
              <w:rPr>
                <w:rFonts w:hint="eastAsia" w:cs="Times New Roman"/>
                <w:sz w:val="21"/>
                <w:szCs w:val="21"/>
              </w:rPr>
              <w:t>％</w:t>
            </w:r>
            <w:r>
              <w:rPr>
                <w:rFonts w:cs="Times New Roman"/>
                <w:sz w:val="21"/>
                <w:szCs w:val="21"/>
              </w:rPr>
              <w:t>)</w:t>
            </w:r>
          </w:p>
          <w:p w14:paraId="4D33E753">
            <w:pPr>
              <w:wordWrap/>
              <w:topLinePunct w:val="0"/>
              <w:adjustRightInd/>
              <w:snapToGrid/>
              <w:spacing w:line="240" w:lineRule="auto"/>
              <w:ind w:firstLine="0" w:firstLineChars="0"/>
              <w:jc w:val="center"/>
              <w:rPr>
                <w:rFonts w:cs="Times New Roman"/>
                <w:sz w:val="21"/>
                <w:szCs w:val="21"/>
              </w:rPr>
            </w:pPr>
            <w:r>
              <w:rPr>
                <w:rFonts w:cs="Times New Roman"/>
                <w:sz w:val="21"/>
                <w:szCs w:val="21"/>
              </w:rPr>
              <w:t>32</w:t>
            </w:r>
            <w:r>
              <w:rPr>
                <w:rFonts w:hint="eastAsia" w:cs="Times New Roman"/>
                <w:sz w:val="21"/>
                <w:szCs w:val="21"/>
              </w:rPr>
              <w:t>％烧碱：</w:t>
            </w:r>
            <w:r>
              <w:rPr>
                <w:rFonts w:cs="Times New Roman"/>
                <w:sz w:val="21"/>
                <w:szCs w:val="21"/>
              </w:rPr>
              <w:t>50000t/a(</w:t>
            </w:r>
            <w:r>
              <w:rPr>
                <w:rFonts w:hint="eastAsia" w:cs="Times New Roman"/>
                <w:sz w:val="21"/>
                <w:szCs w:val="21"/>
              </w:rPr>
              <w:t>折</w:t>
            </w:r>
            <w:r>
              <w:rPr>
                <w:rFonts w:cs="Times New Roman"/>
                <w:sz w:val="21"/>
                <w:szCs w:val="21"/>
              </w:rPr>
              <w:t>100</w:t>
            </w:r>
            <w:r>
              <w:rPr>
                <w:rFonts w:hint="eastAsia" w:cs="Times New Roman"/>
                <w:sz w:val="21"/>
                <w:szCs w:val="21"/>
              </w:rPr>
              <w:t>％</w:t>
            </w:r>
            <w:r>
              <w:rPr>
                <w:rFonts w:cs="Times New Roman"/>
                <w:sz w:val="21"/>
                <w:szCs w:val="21"/>
              </w:rPr>
              <w:t>)</w:t>
            </w:r>
          </w:p>
          <w:p w14:paraId="5D1D4109">
            <w:pPr>
              <w:wordWrap/>
              <w:topLinePunct w:val="0"/>
              <w:adjustRightInd/>
              <w:snapToGrid/>
              <w:spacing w:line="240" w:lineRule="auto"/>
              <w:ind w:firstLine="0" w:firstLineChars="0"/>
              <w:jc w:val="center"/>
              <w:rPr>
                <w:rFonts w:cs="Times New Roman"/>
                <w:sz w:val="21"/>
                <w:szCs w:val="21"/>
              </w:rPr>
            </w:pPr>
            <w:r>
              <w:rPr>
                <w:rFonts w:cs="Times New Roman"/>
                <w:sz w:val="21"/>
                <w:szCs w:val="21"/>
              </w:rPr>
              <w:t>99.6</w:t>
            </w:r>
            <w:r>
              <w:rPr>
                <w:rFonts w:hint="eastAsia" w:cs="Times New Roman"/>
                <w:sz w:val="21"/>
                <w:szCs w:val="21"/>
              </w:rPr>
              <w:t>％液氯：</w:t>
            </w:r>
            <w:r>
              <w:rPr>
                <w:rFonts w:cs="Times New Roman"/>
                <w:sz w:val="21"/>
                <w:szCs w:val="21"/>
              </w:rPr>
              <w:t>10000t/a</w:t>
            </w:r>
          </w:p>
          <w:p w14:paraId="1BDAB832">
            <w:pPr>
              <w:wordWrap/>
              <w:topLinePunct w:val="0"/>
              <w:adjustRightInd/>
              <w:snapToGrid/>
              <w:spacing w:line="240" w:lineRule="auto"/>
              <w:ind w:firstLine="0" w:firstLineChars="0"/>
              <w:jc w:val="center"/>
              <w:rPr>
                <w:rFonts w:cs="Times New Roman"/>
                <w:sz w:val="21"/>
                <w:szCs w:val="21"/>
              </w:rPr>
            </w:pPr>
            <w:r>
              <w:rPr>
                <w:rFonts w:cs="Times New Roman"/>
                <w:sz w:val="21"/>
                <w:szCs w:val="21"/>
              </w:rPr>
              <w:t>93%</w:t>
            </w:r>
            <w:r>
              <w:rPr>
                <w:rFonts w:hint="eastAsia" w:cs="Times New Roman"/>
                <w:sz w:val="21"/>
                <w:szCs w:val="21"/>
              </w:rPr>
              <w:t>氯化氢：</w:t>
            </w:r>
            <w:r>
              <w:rPr>
                <w:rFonts w:cs="Times New Roman"/>
                <w:sz w:val="21"/>
                <w:szCs w:val="21"/>
              </w:rPr>
              <w:t>90000t/a(PVC</w:t>
            </w:r>
            <w:r>
              <w:rPr>
                <w:rFonts w:hint="eastAsia" w:cs="Times New Roman"/>
                <w:sz w:val="21"/>
                <w:szCs w:val="21"/>
              </w:rPr>
              <w:t>用</w:t>
            </w:r>
            <w:r>
              <w:rPr>
                <w:rFonts w:cs="Times New Roman"/>
                <w:sz w:val="21"/>
                <w:szCs w:val="21"/>
              </w:rPr>
              <w:t>)</w:t>
            </w:r>
          </w:p>
          <w:p w14:paraId="41080F8D">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副产芒硝：</w:t>
            </w:r>
            <w:r>
              <w:rPr>
                <w:rFonts w:cs="Times New Roman"/>
                <w:sz w:val="21"/>
                <w:szCs w:val="21"/>
              </w:rPr>
              <w:t>14226t/a</w:t>
            </w:r>
          </w:p>
          <w:p w14:paraId="09FF78DE">
            <w:pPr>
              <w:wordWrap/>
              <w:topLinePunct w:val="0"/>
              <w:adjustRightInd/>
              <w:snapToGrid/>
              <w:spacing w:line="240" w:lineRule="auto"/>
              <w:ind w:firstLine="0" w:firstLineChars="0"/>
              <w:jc w:val="center"/>
              <w:rPr>
                <w:rFonts w:cs="Times New Roman"/>
                <w:sz w:val="21"/>
                <w:szCs w:val="21"/>
              </w:rPr>
            </w:pPr>
            <w:r>
              <w:rPr>
                <w:rFonts w:cs="Times New Roman"/>
                <w:sz w:val="21"/>
                <w:szCs w:val="21"/>
              </w:rPr>
              <w:t>PVC</w:t>
            </w:r>
            <w:r>
              <w:rPr>
                <w:rFonts w:hint="eastAsia" w:cs="Times New Roman"/>
                <w:sz w:val="21"/>
                <w:szCs w:val="21"/>
              </w:rPr>
              <w:t>树脂：</w:t>
            </w:r>
            <w:r>
              <w:rPr>
                <w:rFonts w:cs="Times New Roman"/>
                <w:sz w:val="21"/>
                <w:szCs w:val="21"/>
              </w:rPr>
              <w:t>12</w:t>
            </w:r>
            <w:r>
              <w:rPr>
                <w:rFonts w:hint="eastAsia" w:cs="Times New Roman"/>
                <w:sz w:val="21"/>
                <w:szCs w:val="21"/>
              </w:rPr>
              <w:t>万</w:t>
            </w:r>
            <w:r>
              <w:rPr>
                <w:rFonts w:cs="Times New Roman"/>
                <w:sz w:val="21"/>
                <w:szCs w:val="21"/>
              </w:rPr>
              <w:t>t/a</w:t>
            </w:r>
          </w:p>
        </w:tc>
        <w:tc>
          <w:tcPr>
            <w:tcW w:w="416" w:type="pct"/>
            <w:tcBorders>
              <w:top w:val="single" w:color="auto" w:sz="6" w:space="0"/>
              <w:left w:val="single" w:color="auto" w:sz="6" w:space="0"/>
              <w:bottom w:val="single" w:color="auto" w:sz="6" w:space="0"/>
              <w:right w:val="single" w:color="auto" w:sz="6" w:space="0"/>
            </w:tcBorders>
            <w:vAlign w:val="center"/>
          </w:tcPr>
          <w:p w14:paraId="02103F00">
            <w:pPr>
              <w:wordWrap/>
              <w:topLinePunct w:val="0"/>
              <w:adjustRightInd/>
              <w:snapToGrid/>
              <w:spacing w:line="240" w:lineRule="auto"/>
              <w:ind w:firstLine="0" w:firstLineChars="0"/>
              <w:jc w:val="center"/>
              <w:rPr>
                <w:rFonts w:cs="Times New Roman"/>
                <w:sz w:val="21"/>
                <w:szCs w:val="21"/>
              </w:rPr>
            </w:pPr>
            <w:r>
              <w:rPr>
                <w:rFonts w:cs="Times New Roman"/>
                <w:sz w:val="21"/>
                <w:szCs w:val="21"/>
              </w:rPr>
              <w:t>2008</w:t>
            </w:r>
            <w:r>
              <w:rPr>
                <w:rFonts w:hint="eastAsia" w:cs="Times New Roman"/>
                <w:sz w:val="21"/>
                <w:szCs w:val="21"/>
              </w:rPr>
              <w:t>年</w:t>
            </w:r>
            <w:r>
              <w:rPr>
                <w:rFonts w:cs="Times New Roman"/>
                <w:sz w:val="21"/>
                <w:szCs w:val="21"/>
              </w:rPr>
              <w:t>4</w:t>
            </w:r>
            <w:r>
              <w:rPr>
                <w:rFonts w:hint="eastAsia" w:cs="Times New Roman"/>
                <w:sz w:val="21"/>
                <w:szCs w:val="21"/>
              </w:rPr>
              <w:t>月</w:t>
            </w:r>
          </w:p>
        </w:tc>
        <w:tc>
          <w:tcPr>
            <w:tcW w:w="584" w:type="pct"/>
            <w:tcBorders>
              <w:top w:val="single" w:color="auto" w:sz="6" w:space="0"/>
              <w:left w:val="single" w:color="auto" w:sz="6" w:space="0"/>
              <w:bottom w:val="single" w:color="auto" w:sz="6" w:space="0"/>
              <w:right w:val="single" w:color="auto" w:sz="6" w:space="0"/>
            </w:tcBorders>
            <w:vAlign w:val="center"/>
          </w:tcPr>
          <w:p w14:paraId="4F6CA7AC">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湘环评</w:t>
            </w:r>
            <w:r>
              <w:rPr>
                <w:rFonts w:cs="Times New Roman"/>
                <w:sz w:val="21"/>
                <w:szCs w:val="21"/>
              </w:rPr>
              <w:t>[2008]140</w:t>
            </w:r>
            <w:r>
              <w:rPr>
                <w:rFonts w:hint="eastAsia" w:cs="Times New Roman"/>
                <w:sz w:val="21"/>
                <w:szCs w:val="21"/>
              </w:rPr>
              <w:t>号</w:t>
            </w:r>
          </w:p>
        </w:tc>
        <w:tc>
          <w:tcPr>
            <w:tcW w:w="750" w:type="pct"/>
            <w:tcBorders>
              <w:top w:val="single" w:color="auto" w:sz="6" w:space="0"/>
              <w:left w:val="single" w:color="auto" w:sz="6" w:space="0"/>
              <w:bottom w:val="single" w:color="auto" w:sz="6" w:space="0"/>
              <w:right w:val="single" w:color="auto" w:sz="12" w:space="0"/>
            </w:tcBorders>
            <w:vAlign w:val="center"/>
          </w:tcPr>
          <w:p w14:paraId="310723D6">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湘环评验</w:t>
            </w:r>
            <w:r>
              <w:rPr>
                <w:rFonts w:cs="Times New Roman"/>
                <w:sz w:val="21"/>
                <w:szCs w:val="21"/>
              </w:rPr>
              <w:t>[2010]117</w:t>
            </w:r>
            <w:r>
              <w:rPr>
                <w:rFonts w:hint="eastAsia" w:cs="Times New Roman"/>
                <w:sz w:val="21"/>
                <w:szCs w:val="21"/>
              </w:rPr>
              <w:t>号</w:t>
            </w:r>
          </w:p>
        </w:tc>
      </w:tr>
      <w:tr w14:paraId="66F71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04" w:type="pct"/>
            <w:tcBorders>
              <w:top w:val="single" w:color="auto" w:sz="6" w:space="0"/>
              <w:left w:val="single" w:color="auto" w:sz="12" w:space="0"/>
              <w:bottom w:val="single" w:color="auto" w:sz="6" w:space="0"/>
              <w:right w:val="single" w:color="auto" w:sz="6" w:space="0"/>
            </w:tcBorders>
            <w:vAlign w:val="center"/>
          </w:tcPr>
          <w:p w14:paraId="0EEB18E6">
            <w:pPr>
              <w:wordWrap/>
              <w:topLinePunct w:val="0"/>
              <w:adjustRightInd/>
              <w:snapToGrid/>
              <w:spacing w:line="240" w:lineRule="auto"/>
              <w:ind w:firstLine="0" w:firstLineChars="0"/>
              <w:jc w:val="center"/>
              <w:rPr>
                <w:rFonts w:cs="Times New Roman"/>
                <w:sz w:val="21"/>
                <w:szCs w:val="21"/>
              </w:rPr>
            </w:pPr>
            <w:r>
              <w:rPr>
                <w:rFonts w:cs="Times New Roman"/>
                <w:sz w:val="21"/>
                <w:szCs w:val="21"/>
              </w:rPr>
              <w:t>3</w:t>
            </w:r>
          </w:p>
        </w:tc>
        <w:tc>
          <w:tcPr>
            <w:tcW w:w="925" w:type="pct"/>
            <w:tcBorders>
              <w:top w:val="single" w:color="auto" w:sz="6" w:space="0"/>
              <w:left w:val="single" w:color="auto" w:sz="6" w:space="0"/>
              <w:bottom w:val="single" w:color="auto" w:sz="6" w:space="0"/>
              <w:right w:val="single" w:color="auto" w:sz="6" w:space="0"/>
            </w:tcBorders>
            <w:vAlign w:val="center"/>
          </w:tcPr>
          <w:p w14:paraId="3864BAEB">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建滔</w:t>
            </w:r>
            <w:r>
              <w:rPr>
                <w:rFonts w:cs="Times New Roman"/>
                <w:sz w:val="21"/>
                <w:szCs w:val="21"/>
              </w:rPr>
              <w:t>(</w:t>
            </w:r>
            <w:r>
              <w:rPr>
                <w:rFonts w:hint="eastAsia" w:cs="Times New Roman"/>
                <w:sz w:val="21"/>
                <w:szCs w:val="21"/>
              </w:rPr>
              <w:t>衡阳</w:t>
            </w:r>
            <w:r>
              <w:rPr>
                <w:rFonts w:cs="Times New Roman"/>
                <w:sz w:val="21"/>
                <w:szCs w:val="21"/>
              </w:rPr>
              <w:t>)</w:t>
            </w:r>
            <w:r>
              <w:rPr>
                <w:rFonts w:hint="eastAsia" w:cs="Times New Roman"/>
                <w:sz w:val="21"/>
                <w:szCs w:val="21"/>
              </w:rPr>
              <w:t>实业有限公司烧碱生产线节能技术改造项目</w:t>
            </w:r>
          </w:p>
        </w:tc>
        <w:tc>
          <w:tcPr>
            <w:tcW w:w="1922" w:type="pct"/>
            <w:tcBorders>
              <w:top w:val="single" w:color="auto" w:sz="6" w:space="0"/>
              <w:left w:val="single" w:color="auto" w:sz="6" w:space="0"/>
              <w:bottom w:val="single" w:color="auto" w:sz="6" w:space="0"/>
              <w:right w:val="single" w:color="auto" w:sz="6" w:space="0"/>
            </w:tcBorders>
            <w:vAlign w:val="center"/>
          </w:tcPr>
          <w:p w14:paraId="6A867383">
            <w:pPr>
              <w:wordWrap/>
              <w:topLinePunct w:val="0"/>
              <w:adjustRightInd/>
              <w:snapToGrid/>
              <w:spacing w:line="240" w:lineRule="auto"/>
              <w:ind w:firstLine="0" w:firstLineChars="0"/>
              <w:jc w:val="center"/>
              <w:rPr>
                <w:rFonts w:cs="Times New Roman"/>
                <w:sz w:val="21"/>
                <w:szCs w:val="21"/>
              </w:rPr>
            </w:pPr>
            <w:r>
              <w:rPr>
                <w:rFonts w:cs="Times New Roman"/>
                <w:sz w:val="21"/>
                <w:szCs w:val="21"/>
              </w:rPr>
              <w:t>32%</w:t>
            </w:r>
            <w:r>
              <w:rPr>
                <w:rFonts w:hint="eastAsia" w:cs="Times New Roman"/>
                <w:sz w:val="21"/>
                <w:szCs w:val="21"/>
              </w:rPr>
              <w:t>烧碱：</w:t>
            </w:r>
            <w:r>
              <w:rPr>
                <w:rFonts w:cs="Times New Roman"/>
                <w:sz w:val="21"/>
                <w:szCs w:val="21"/>
              </w:rPr>
              <w:t>60000t/a(</w:t>
            </w:r>
            <w:r>
              <w:rPr>
                <w:rFonts w:hint="eastAsia" w:cs="Times New Roman"/>
                <w:sz w:val="21"/>
                <w:szCs w:val="21"/>
              </w:rPr>
              <w:t>折</w:t>
            </w:r>
            <w:r>
              <w:rPr>
                <w:rFonts w:cs="Times New Roman"/>
                <w:sz w:val="21"/>
                <w:szCs w:val="21"/>
              </w:rPr>
              <w:t>100%)</w:t>
            </w:r>
          </w:p>
          <w:p w14:paraId="18DAC046">
            <w:pPr>
              <w:wordWrap/>
              <w:topLinePunct w:val="0"/>
              <w:adjustRightInd/>
              <w:snapToGrid/>
              <w:spacing w:line="240" w:lineRule="auto"/>
              <w:ind w:firstLine="0" w:firstLineChars="0"/>
              <w:jc w:val="center"/>
              <w:rPr>
                <w:rFonts w:cs="Times New Roman"/>
                <w:sz w:val="21"/>
                <w:szCs w:val="21"/>
              </w:rPr>
            </w:pPr>
            <w:r>
              <w:rPr>
                <w:rFonts w:cs="Times New Roman"/>
                <w:sz w:val="21"/>
                <w:szCs w:val="21"/>
              </w:rPr>
              <w:t>99.6%</w:t>
            </w:r>
            <w:r>
              <w:rPr>
                <w:rFonts w:hint="eastAsia" w:cs="Times New Roman"/>
                <w:sz w:val="21"/>
                <w:szCs w:val="21"/>
              </w:rPr>
              <w:t>液氯：</w:t>
            </w:r>
            <w:r>
              <w:rPr>
                <w:rFonts w:cs="Times New Roman"/>
                <w:sz w:val="21"/>
                <w:szCs w:val="21"/>
              </w:rPr>
              <w:t>42840t/a</w:t>
            </w:r>
          </w:p>
          <w:p w14:paraId="08DFAE5D">
            <w:pPr>
              <w:wordWrap/>
              <w:topLinePunct w:val="0"/>
              <w:adjustRightInd/>
              <w:snapToGrid/>
              <w:spacing w:line="240" w:lineRule="auto"/>
              <w:ind w:firstLine="0" w:firstLineChars="0"/>
              <w:jc w:val="center"/>
              <w:rPr>
                <w:rFonts w:cs="Times New Roman"/>
                <w:sz w:val="21"/>
                <w:szCs w:val="21"/>
              </w:rPr>
            </w:pPr>
            <w:r>
              <w:rPr>
                <w:rFonts w:cs="Times New Roman"/>
                <w:sz w:val="21"/>
                <w:szCs w:val="21"/>
              </w:rPr>
              <w:t>31%</w:t>
            </w:r>
            <w:r>
              <w:rPr>
                <w:rFonts w:hint="eastAsia" w:cs="Times New Roman"/>
                <w:sz w:val="21"/>
                <w:szCs w:val="21"/>
              </w:rPr>
              <w:t>高纯盐酸：</w:t>
            </w:r>
            <w:r>
              <w:rPr>
                <w:rFonts w:cs="Times New Roman"/>
                <w:sz w:val="21"/>
                <w:szCs w:val="21"/>
              </w:rPr>
              <w:t>35000t/a</w:t>
            </w:r>
          </w:p>
          <w:p w14:paraId="19D96174">
            <w:pPr>
              <w:wordWrap/>
              <w:topLinePunct w:val="0"/>
              <w:adjustRightInd/>
              <w:snapToGrid/>
              <w:spacing w:line="240" w:lineRule="auto"/>
              <w:ind w:firstLine="0" w:firstLineChars="0"/>
              <w:jc w:val="center"/>
              <w:rPr>
                <w:rFonts w:cs="Times New Roman"/>
                <w:sz w:val="21"/>
                <w:szCs w:val="21"/>
              </w:rPr>
            </w:pPr>
            <w:r>
              <w:rPr>
                <w:rFonts w:hint="eastAsia" w:cs="Times New Roman"/>
                <w:sz w:val="21"/>
              </w:rPr>
              <w:t>（原</w:t>
            </w:r>
            <w:r>
              <w:rPr>
                <w:rFonts w:cs="Times New Roman"/>
                <w:sz w:val="21"/>
              </w:rPr>
              <w:t>3</w:t>
            </w:r>
            <w:r>
              <w:rPr>
                <w:rFonts w:hint="eastAsia" w:cs="Times New Roman"/>
                <w:sz w:val="21"/>
              </w:rPr>
              <w:t>万吨</w:t>
            </w:r>
            <w:r>
              <w:rPr>
                <w:rFonts w:cs="Times New Roman"/>
                <w:sz w:val="21"/>
              </w:rPr>
              <w:t>/</w:t>
            </w:r>
            <w:r>
              <w:rPr>
                <w:rFonts w:hint="eastAsia" w:cs="Times New Roman"/>
                <w:sz w:val="21"/>
              </w:rPr>
              <w:t>年隔膜烧碱装置于</w:t>
            </w:r>
            <w:r>
              <w:rPr>
                <w:rFonts w:cs="Times New Roman"/>
                <w:sz w:val="21"/>
              </w:rPr>
              <w:t>2010</w:t>
            </w:r>
            <w:r>
              <w:rPr>
                <w:rFonts w:hint="eastAsia" w:cs="Times New Roman"/>
                <w:sz w:val="21"/>
              </w:rPr>
              <w:t>年拆除）</w:t>
            </w:r>
          </w:p>
        </w:tc>
        <w:tc>
          <w:tcPr>
            <w:tcW w:w="416" w:type="pct"/>
            <w:tcBorders>
              <w:top w:val="single" w:color="auto" w:sz="6" w:space="0"/>
              <w:left w:val="single" w:color="auto" w:sz="6" w:space="0"/>
              <w:bottom w:val="single" w:color="auto" w:sz="6" w:space="0"/>
              <w:right w:val="single" w:color="auto" w:sz="6" w:space="0"/>
            </w:tcBorders>
            <w:vAlign w:val="center"/>
          </w:tcPr>
          <w:p w14:paraId="057B76E0">
            <w:pPr>
              <w:wordWrap/>
              <w:topLinePunct w:val="0"/>
              <w:adjustRightInd/>
              <w:snapToGrid/>
              <w:spacing w:line="240" w:lineRule="auto"/>
              <w:ind w:firstLine="0" w:firstLineChars="0"/>
              <w:jc w:val="center"/>
              <w:rPr>
                <w:rFonts w:cs="Times New Roman"/>
                <w:sz w:val="21"/>
                <w:szCs w:val="21"/>
              </w:rPr>
            </w:pPr>
            <w:r>
              <w:rPr>
                <w:rFonts w:cs="Times New Roman"/>
                <w:sz w:val="21"/>
                <w:szCs w:val="21"/>
              </w:rPr>
              <w:t>2011</w:t>
            </w:r>
            <w:r>
              <w:rPr>
                <w:rFonts w:hint="eastAsia" w:cs="Times New Roman"/>
                <w:sz w:val="21"/>
                <w:szCs w:val="21"/>
              </w:rPr>
              <w:t>年</w:t>
            </w:r>
            <w:r>
              <w:rPr>
                <w:rFonts w:cs="Times New Roman"/>
                <w:sz w:val="21"/>
                <w:szCs w:val="21"/>
              </w:rPr>
              <w:t>3</w:t>
            </w:r>
            <w:r>
              <w:rPr>
                <w:rFonts w:hint="eastAsia" w:cs="Times New Roman"/>
                <w:sz w:val="21"/>
                <w:szCs w:val="21"/>
              </w:rPr>
              <w:t>月</w:t>
            </w:r>
          </w:p>
        </w:tc>
        <w:tc>
          <w:tcPr>
            <w:tcW w:w="584" w:type="pct"/>
            <w:tcBorders>
              <w:top w:val="single" w:color="auto" w:sz="6" w:space="0"/>
              <w:left w:val="single" w:color="auto" w:sz="6" w:space="0"/>
              <w:bottom w:val="single" w:color="auto" w:sz="6" w:space="0"/>
              <w:right w:val="single" w:color="auto" w:sz="6" w:space="0"/>
            </w:tcBorders>
            <w:vAlign w:val="center"/>
          </w:tcPr>
          <w:p w14:paraId="5F7AFAB8">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湘环评</w:t>
            </w:r>
            <w:r>
              <w:rPr>
                <w:rFonts w:cs="Times New Roman"/>
                <w:sz w:val="21"/>
                <w:szCs w:val="21"/>
              </w:rPr>
              <w:t>[2010]12</w:t>
            </w:r>
            <w:r>
              <w:rPr>
                <w:rFonts w:hint="eastAsia" w:cs="Times New Roman"/>
                <w:sz w:val="21"/>
                <w:szCs w:val="21"/>
              </w:rPr>
              <w:t>号</w:t>
            </w:r>
          </w:p>
        </w:tc>
        <w:tc>
          <w:tcPr>
            <w:tcW w:w="750" w:type="pct"/>
            <w:tcBorders>
              <w:top w:val="single" w:color="auto" w:sz="6" w:space="0"/>
              <w:left w:val="single" w:color="auto" w:sz="6" w:space="0"/>
              <w:bottom w:val="single" w:color="auto" w:sz="6" w:space="0"/>
              <w:right w:val="single" w:color="auto" w:sz="12" w:space="0"/>
            </w:tcBorders>
            <w:vAlign w:val="center"/>
          </w:tcPr>
          <w:p w14:paraId="3B8DF2BE">
            <w:pPr>
              <w:wordWrap/>
              <w:topLinePunct w:val="0"/>
              <w:adjustRightInd/>
              <w:snapToGrid/>
              <w:spacing w:line="240" w:lineRule="auto"/>
              <w:ind w:firstLine="0" w:firstLineChars="0"/>
              <w:jc w:val="center"/>
              <w:rPr>
                <w:rFonts w:cs="Times New Roman"/>
                <w:sz w:val="21"/>
                <w:szCs w:val="21"/>
              </w:rPr>
            </w:pPr>
            <w:r>
              <w:rPr>
                <w:rFonts w:cs="Times New Roman"/>
                <w:sz w:val="21"/>
                <w:szCs w:val="21"/>
              </w:rPr>
              <w:t>2015</w:t>
            </w:r>
            <w:r>
              <w:rPr>
                <w:rFonts w:hint="eastAsia" w:cs="Times New Roman"/>
                <w:sz w:val="21"/>
                <w:szCs w:val="21"/>
              </w:rPr>
              <w:t>年</w:t>
            </w:r>
            <w:r>
              <w:rPr>
                <w:rFonts w:cs="Times New Roman"/>
                <w:sz w:val="21"/>
                <w:szCs w:val="21"/>
              </w:rPr>
              <w:t xml:space="preserve"> 5</w:t>
            </w:r>
            <w:r>
              <w:rPr>
                <w:rFonts w:hint="eastAsia" w:cs="Times New Roman"/>
                <w:sz w:val="21"/>
                <w:szCs w:val="21"/>
              </w:rPr>
              <w:t>月通过衡阳市环保局组织的环保验收</w:t>
            </w:r>
          </w:p>
        </w:tc>
      </w:tr>
      <w:tr w14:paraId="1D026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04" w:type="pct"/>
            <w:tcBorders>
              <w:top w:val="single" w:color="auto" w:sz="6" w:space="0"/>
              <w:left w:val="single" w:color="auto" w:sz="12" w:space="0"/>
              <w:bottom w:val="single" w:color="auto" w:sz="12" w:space="0"/>
              <w:right w:val="single" w:color="auto" w:sz="6" w:space="0"/>
            </w:tcBorders>
            <w:vAlign w:val="center"/>
          </w:tcPr>
          <w:p w14:paraId="12439DA3">
            <w:pPr>
              <w:wordWrap/>
              <w:topLinePunct w:val="0"/>
              <w:adjustRightInd/>
              <w:snapToGrid/>
              <w:spacing w:line="240" w:lineRule="auto"/>
              <w:ind w:firstLine="0" w:firstLineChars="0"/>
              <w:jc w:val="center"/>
              <w:rPr>
                <w:rFonts w:cs="Times New Roman"/>
                <w:sz w:val="21"/>
                <w:szCs w:val="21"/>
              </w:rPr>
            </w:pPr>
            <w:r>
              <w:rPr>
                <w:rFonts w:cs="Times New Roman"/>
                <w:sz w:val="21"/>
                <w:szCs w:val="21"/>
              </w:rPr>
              <w:t>4</w:t>
            </w:r>
          </w:p>
        </w:tc>
        <w:tc>
          <w:tcPr>
            <w:tcW w:w="925" w:type="pct"/>
            <w:tcBorders>
              <w:top w:val="single" w:color="auto" w:sz="6" w:space="0"/>
              <w:left w:val="single" w:color="auto" w:sz="6" w:space="0"/>
              <w:bottom w:val="single" w:color="auto" w:sz="12" w:space="0"/>
              <w:right w:val="single" w:color="auto" w:sz="6" w:space="0"/>
            </w:tcBorders>
            <w:vAlign w:val="center"/>
          </w:tcPr>
          <w:p w14:paraId="5BF41F79">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建滔</w:t>
            </w:r>
            <w:r>
              <w:rPr>
                <w:rFonts w:cs="Times New Roman"/>
                <w:sz w:val="21"/>
                <w:szCs w:val="21"/>
              </w:rPr>
              <w:t>(</w:t>
            </w:r>
            <w:r>
              <w:rPr>
                <w:rFonts w:hint="eastAsia" w:cs="Times New Roman"/>
                <w:sz w:val="21"/>
                <w:szCs w:val="21"/>
              </w:rPr>
              <w:t>衡阳</w:t>
            </w:r>
            <w:r>
              <w:rPr>
                <w:rFonts w:cs="Times New Roman"/>
                <w:sz w:val="21"/>
                <w:szCs w:val="21"/>
              </w:rPr>
              <w:t>)</w:t>
            </w:r>
            <w:r>
              <w:rPr>
                <w:rFonts w:hint="eastAsia" w:cs="Times New Roman"/>
                <w:sz w:val="21"/>
                <w:szCs w:val="21"/>
              </w:rPr>
              <w:t>实业有限公司</w:t>
            </w:r>
            <w:r>
              <w:rPr>
                <w:rFonts w:cs="Times New Roman"/>
                <w:sz w:val="21"/>
                <w:szCs w:val="21"/>
              </w:rPr>
              <w:t>20</w:t>
            </w:r>
            <w:r>
              <w:rPr>
                <w:rFonts w:hint="eastAsia" w:cs="Times New Roman"/>
                <w:sz w:val="21"/>
                <w:szCs w:val="21"/>
              </w:rPr>
              <w:t>万</w:t>
            </w:r>
            <w:r>
              <w:rPr>
                <w:rFonts w:cs="Times New Roman"/>
                <w:sz w:val="21"/>
                <w:szCs w:val="21"/>
              </w:rPr>
              <w:t>t/a</w:t>
            </w:r>
            <w:r>
              <w:rPr>
                <w:rFonts w:hint="eastAsia" w:cs="Times New Roman"/>
                <w:sz w:val="21"/>
                <w:szCs w:val="21"/>
              </w:rPr>
              <w:t>离子膜烧碱扩建工程、</w:t>
            </w:r>
            <w:r>
              <w:rPr>
                <w:rFonts w:cs="Times New Roman"/>
                <w:sz w:val="21"/>
                <w:szCs w:val="21"/>
              </w:rPr>
              <w:t>20</w:t>
            </w:r>
            <w:r>
              <w:rPr>
                <w:rFonts w:hint="eastAsia" w:cs="Times New Roman"/>
                <w:sz w:val="21"/>
                <w:szCs w:val="21"/>
              </w:rPr>
              <w:t>万</w:t>
            </w:r>
            <w:r>
              <w:rPr>
                <w:rFonts w:cs="Times New Roman"/>
                <w:sz w:val="21"/>
                <w:szCs w:val="21"/>
              </w:rPr>
              <w:t>t/aPVC</w:t>
            </w:r>
            <w:r>
              <w:rPr>
                <w:rFonts w:hint="eastAsia" w:cs="Times New Roman"/>
                <w:sz w:val="21"/>
                <w:szCs w:val="21"/>
              </w:rPr>
              <w:t>树脂扩建工程</w:t>
            </w:r>
          </w:p>
        </w:tc>
        <w:tc>
          <w:tcPr>
            <w:tcW w:w="1922" w:type="pct"/>
            <w:tcBorders>
              <w:top w:val="single" w:color="auto" w:sz="6" w:space="0"/>
              <w:left w:val="single" w:color="auto" w:sz="6" w:space="0"/>
              <w:bottom w:val="single" w:color="auto" w:sz="12" w:space="0"/>
              <w:right w:val="single" w:color="auto" w:sz="6" w:space="0"/>
            </w:tcBorders>
            <w:vAlign w:val="center"/>
          </w:tcPr>
          <w:p w14:paraId="783F61A7">
            <w:pPr>
              <w:wordWrap/>
              <w:topLinePunct w:val="0"/>
              <w:adjustRightInd/>
              <w:snapToGrid/>
              <w:spacing w:line="240" w:lineRule="auto"/>
              <w:ind w:firstLine="0" w:firstLineChars="0"/>
              <w:jc w:val="center"/>
              <w:rPr>
                <w:rFonts w:cs="Times New Roman"/>
                <w:sz w:val="21"/>
                <w:szCs w:val="21"/>
              </w:rPr>
            </w:pPr>
            <w:r>
              <w:rPr>
                <w:rFonts w:cs="Times New Roman"/>
                <w:sz w:val="21"/>
                <w:szCs w:val="21"/>
              </w:rPr>
              <w:t>32%</w:t>
            </w:r>
            <w:r>
              <w:rPr>
                <w:rFonts w:hint="eastAsia" w:cs="Times New Roman"/>
                <w:sz w:val="21"/>
                <w:szCs w:val="21"/>
              </w:rPr>
              <w:t>烧碱：</w:t>
            </w:r>
            <w:r>
              <w:rPr>
                <w:rFonts w:cs="Times New Roman"/>
                <w:sz w:val="21"/>
                <w:szCs w:val="21"/>
              </w:rPr>
              <w:t>200000t/a</w:t>
            </w:r>
            <w:r>
              <w:rPr>
                <w:rFonts w:hint="eastAsia" w:cs="Times New Roman"/>
                <w:sz w:val="21"/>
                <w:szCs w:val="21"/>
              </w:rPr>
              <w:t>（折</w:t>
            </w:r>
            <w:r>
              <w:rPr>
                <w:rFonts w:cs="Times New Roman"/>
                <w:sz w:val="21"/>
                <w:szCs w:val="21"/>
              </w:rPr>
              <w:t>100%</w:t>
            </w:r>
            <w:r>
              <w:rPr>
                <w:rFonts w:hint="eastAsia" w:cs="Times New Roman"/>
                <w:sz w:val="21"/>
                <w:szCs w:val="21"/>
              </w:rPr>
              <w:t>）</w:t>
            </w:r>
          </w:p>
          <w:p w14:paraId="5C2F9629">
            <w:pPr>
              <w:wordWrap/>
              <w:topLinePunct w:val="0"/>
              <w:adjustRightInd/>
              <w:snapToGrid/>
              <w:spacing w:line="240" w:lineRule="auto"/>
              <w:ind w:firstLine="0" w:firstLineChars="0"/>
              <w:jc w:val="center"/>
              <w:rPr>
                <w:rFonts w:cs="Times New Roman"/>
                <w:sz w:val="21"/>
                <w:szCs w:val="21"/>
              </w:rPr>
            </w:pPr>
            <w:r>
              <w:rPr>
                <w:rFonts w:cs="Times New Roman"/>
                <w:sz w:val="21"/>
                <w:szCs w:val="21"/>
              </w:rPr>
              <w:t>99.6%</w:t>
            </w:r>
            <w:r>
              <w:rPr>
                <w:rFonts w:hint="eastAsia" w:cs="Times New Roman"/>
                <w:sz w:val="21"/>
                <w:szCs w:val="21"/>
              </w:rPr>
              <w:t>液氯：</w:t>
            </w:r>
            <w:r>
              <w:rPr>
                <w:rFonts w:cs="Times New Roman"/>
                <w:sz w:val="21"/>
                <w:szCs w:val="21"/>
              </w:rPr>
              <w:t>40000t/a</w:t>
            </w:r>
          </w:p>
          <w:p w14:paraId="60309116">
            <w:pPr>
              <w:wordWrap/>
              <w:topLinePunct w:val="0"/>
              <w:adjustRightInd/>
              <w:snapToGrid/>
              <w:spacing w:line="240" w:lineRule="auto"/>
              <w:ind w:firstLine="0" w:firstLineChars="0"/>
              <w:jc w:val="center"/>
              <w:rPr>
                <w:rFonts w:cs="Times New Roman"/>
                <w:sz w:val="21"/>
                <w:szCs w:val="21"/>
              </w:rPr>
            </w:pPr>
            <w:r>
              <w:rPr>
                <w:rFonts w:cs="Times New Roman"/>
                <w:sz w:val="21"/>
                <w:szCs w:val="21"/>
              </w:rPr>
              <w:t>31%</w:t>
            </w:r>
            <w:r>
              <w:rPr>
                <w:rFonts w:hint="eastAsia" w:cs="Times New Roman"/>
                <w:sz w:val="21"/>
                <w:szCs w:val="21"/>
              </w:rPr>
              <w:t>高纯盐酸：</w:t>
            </w:r>
            <w:r>
              <w:rPr>
                <w:rFonts w:cs="Times New Roman"/>
                <w:sz w:val="21"/>
                <w:szCs w:val="21"/>
              </w:rPr>
              <w:t>192000t/a</w:t>
            </w:r>
          </w:p>
          <w:p w14:paraId="7EF2D195">
            <w:pPr>
              <w:wordWrap/>
              <w:topLinePunct w:val="0"/>
              <w:adjustRightInd/>
              <w:snapToGrid/>
              <w:spacing w:line="240" w:lineRule="auto"/>
              <w:ind w:firstLine="0" w:firstLineChars="0"/>
              <w:jc w:val="center"/>
              <w:rPr>
                <w:rFonts w:cs="Times New Roman"/>
                <w:sz w:val="21"/>
                <w:szCs w:val="21"/>
              </w:rPr>
            </w:pPr>
            <w:r>
              <w:rPr>
                <w:rFonts w:cs="Times New Roman"/>
                <w:sz w:val="21"/>
                <w:szCs w:val="21"/>
              </w:rPr>
              <w:t>93%</w:t>
            </w:r>
            <w:r>
              <w:rPr>
                <w:rFonts w:hint="eastAsia" w:cs="Times New Roman"/>
                <w:sz w:val="21"/>
                <w:szCs w:val="21"/>
              </w:rPr>
              <w:t>氯化氢：</w:t>
            </w:r>
            <w:r>
              <w:rPr>
                <w:rFonts w:cs="Times New Roman"/>
                <w:sz w:val="21"/>
                <w:szCs w:val="21"/>
              </w:rPr>
              <w:t>140000t/a</w:t>
            </w:r>
          </w:p>
          <w:p w14:paraId="6ABE03E4">
            <w:pPr>
              <w:wordWrap/>
              <w:topLinePunct w:val="0"/>
              <w:adjustRightInd/>
              <w:snapToGrid/>
              <w:spacing w:line="240" w:lineRule="auto"/>
              <w:ind w:firstLine="0" w:firstLineChars="0"/>
              <w:jc w:val="center"/>
              <w:rPr>
                <w:rFonts w:cs="Times New Roman"/>
                <w:sz w:val="21"/>
                <w:szCs w:val="21"/>
              </w:rPr>
            </w:pPr>
            <w:r>
              <w:rPr>
                <w:rFonts w:cs="Times New Roman"/>
                <w:sz w:val="21"/>
                <w:szCs w:val="21"/>
              </w:rPr>
              <w:t>PVC</w:t>
            </w:r>
            <w:r>
              <w:rPr>
                <w:rFonts w:hint="eastAsia" w:cs="Times New Roman"/>
                <w:sz w:val="21"/>
                <w:szCs w:val="21"/>
              </w:rPr>
              <w:t>树脂：</w:t>
            </w:r>
            <w:r>
              <w:rPr>
                <w:rFonts w:cs="Times New Roman"/>
                <w:sz w:val="21"/>
                <w:szCs w:val="21"/>
              </w:rPr>
              <w:t>20</w:t>
            </w:r>
            <w:r>
              <w:rPr>
                <w:rFonts w:hint="eastAsia" w:cs="Times New Roman"/>
                <w:sz w:val="21"/>
                <w:szCs w:val="21"/>
              </w:rPr>
              <w:t>万</w:t>
            </w:r>
            <w:r>
              <w:rPr>
                <w:rFonts w:cs="Times New Roman"/>
                <w:sz w:val="21"/>
                <w:szCs w:val="21"/>
              </w:rPr>
              <w:t>t/a</w:t>
            </w:r>
          </w:p>
        </w:tc>
        <w:tc>
          <w:tcPr>
            <w:tcW w:w="416" w:type="pct"/>
            <w:tcBorders>
              <w:top w:val="single" w:color="auto" w:sz="6" w:space="0"/>
              <w:left w:val="single" w:color="auto" w:sz="6" w:space="0"/>
              <w:bottom w:val="single" w:color="auto" w:sz="12" w:space="0"/>
              <w:right w:val="single" w:color="auto" w:sz="6" w:space="0"/>
            </w:tcBorders>
            <w:vAlign w:val="center"/>
          </w:tcPr>
          <w:p w14:paraId="154102CB">
            <w:pPr>
              <w:wordWrap/>
              <w:topLinePunct w:val="0"/>
              <w:adjustRightInd/>
              <w:snapToGrid/>
              <w:spacing w:line="240" w:lineRule="auto"/>
              <w:ind w:firstLine="0" w:firstLineChars="0"/>
              <w:jc w:val="center"/>
              <w:rPr>
                <w:rFonts w:cs="Times New Roman"/>
                <w:sz w:val="21"/>
                <w:szCs w:val="21"/>
              </w:rPr>
            </w:pPr>
            <w:r>
              <w:rPr>
                <w:rFonts w:cs="Times New Roman"/>
                <w:sz w:val="21"/>
                <w:szCs w:val="21"/>
              </w:rPr>
              <w:t>2013</w:t>
            </w:r>
            <w:r>
              <w:rPr>
                <w:rFonts w:hint="eastAsia" w:cs="Times New Roman"/>
                <w:sz w:val="21"/>
                <w:szCs w:val="21"/>
              </w:rPr>
              <w:t>年</w:t>
            </w:r>
            <w:r>
              <w:rPr>
                <w:rFonts w:cs="Times New Roman"/>
                <w:sz w:val="21"/>
                <w:szCs w:val="21"/>
              </w:rPr>
              <w:t>12</w:t>
            </w:r>
            <w:r>
              <w:rPr>
                <w:rFonts w:hint="eastAsia" w:cs="Times New Roman"/>
                <w:sz w:val="21"/>
                <w:szCs w:val="21"/>
              </w:rPr>
              <w:t>月</w:t>
            </w:r>
          </w:p>
        </w:tc>
        <w:tc>
          <w:tcPr>
            <w:tcW w:w="584" w:type="pct"/>
            <w:tcBorders>
              <w:top w:val="single" w:color="auto" w:sz="6" w:space="0"/>
              <w:left w:val="single" w:color="auto" w:sz="6" w:space="0"/>
              <w:bottom w:val="single" w:color="auto" w:sz="12" w:space="0"/>
              <w:right w:val="single" w:color="auto" w:sz="6" w:space="0"/>
            </w:tcBorders>
            <w:vAlign w:val="center"/>
          </w:tcPr>
          <w:p w14:paraId="3D538769">
            <w:pPr>
              <w:wordWrap/>
              <w:topLinePunct w:val="0"/>
              <w:adjustRightInd/>
              <w:snapToGrid/>
              <w:spacing w:line="240" w:lineRule="auto"/>
              <w:ind w:firstLine="0" w:firstLineChars="0"/>
              <w:jc w:val="center"/>
              <w:rPr>
                <w:rFonts w:cs="Times New Roman"/>
                <w:sz w:val="21"/>
                <w:szCs w:val="21"/>
              </w:rPr>
            </w:pPr>
            <w:r>
              <w:rPr>
                <w:rFonts w:hint="eastAsia" w:cs="Times New Roman"/>
                <w:sz w:val="21"/>
              </w:rPr>
              <w:t>湘环评</w:t>
            </w:r>
            <w:r>
              <w:rPr>
                <w:rFonts w:cs="Times New Roman"/>
                <w:sz w:val="21"/>
              </w:rPr>
              <w:t>[2013]74</w:t>
            </w:r>
            <w:r>
              <w:rPr>
                <w:rFonts w:hint="eastAsia" w:cs="Times New Roman"/>
                <w:sz w:val="21"/>
              </w:rPr>
              <w:t>号</w:t>
            </w:r>
          </w:p>
        </w:tc>
        <w:tc>
          <w:tcPr>
            <w:tcW w:w="750" w:type="pct"/>
            <w:tcBorders>
              <w:top w:val="single" w:color="auto" w:sz="6" w:space="0"/>
              <w:left w:val="single" w:color="auto" w:sz="6" w:space="0"/>
              <w:bottom w:val="single" w:color="auto" w:sz="12" w:space="0"/>
              <w:right w:val="single" w:color="auto" w:sz="12" w:space="0"/>
            </w:tcBorders>
            <w:vAlign w:val="center"/>
          </w:tcPr>
          <w:p w14:paraId="34FAF57A">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湘环评验</w:t>
            </w:r>
            <w:r>
              <w:rPr>
                <w:rFonts w:cs="Times New Roman"/>
                <w:sz w:val="21"/>
                <w:szCs w:val="21"/>
              </w:rPr>
              <w:t>[2017]20</w:t>
            </w:r>
            <w:r>
              <w:rPr>
                <w:rFonts w:hint="eastAsia" w:cs="Times New Roman"/>
                <w:sz w:val="21"/>
                <w:szCs w:val="21"/>
              </w:rPr>
              <w:t>号</w:t>
            </w:r>
          </w:p>
        </w:tc>
      </w:tr>
    </w:tbl>
    <w:p w14:paraId="75B0A284">
      <w:pPr>
        <w:pStyle w:val="2"/>
        <w:ind w:firstLine="519"/>
        <w:rPr>
          <w:rFonts w:cs="Times New Roman"/>
        </w:rPr>
      </w:pPr>
      <w:r>
        <w:rPr>
          <w:rFonts w:cs="Times New Roman"/>
        </w:rPr>
        <w:t>根据《湖南省衡阳市盐矿区桐山—松木塘矿段建滔岩盐矿矿山储量年报（2021年1月～2021年12月）》，截至2021年12月底，矿山保有资源量矿石量47865.6万t，矿物量NaCl 20540.4万t，Na</w:t>
      </w:r>
      <w:r>
        <w:rPr>
          <w:rFonts w:cs="Times New Roman"/>
          <w:vertAlign w:val="subscript"/>
        </w:rPr>
        <w:t>2</w:t>
      </w:r>
      <w:r>
        <w:rPr>
          <w:rFonts w:cs="Times New Roman"/>
        </w:rPr>
        <w:t>SO</w:t>
      </w:r>
      <w:r>
        <w:rPr>
          <w:rFonts w:cs="Times New Roman"/>
          <w:vertAlign w:val="subscript"/>
        </w:rPr>
        <w:t>4</w:t>
      </w:r>
      <w:r>
        <w:rPr>
          <w:rFonts w:cs="Times New Roman"/>
        </w:rPr>
        <w:t xml:space="preserve"> 5136.3万t；</w:t>
      </w:r>
      <w:r>
        <w:rPr>
          <w:rFonts w:hint="eastAsia" w:cs="Times New Roman"/>
        </w:rPr>
        <w:t>期间动用资源量</w:t>
      </w:r>
      <w:r>
        <w:rPr>
          <w:rFonts w:cs="Times New Roman"/>
        </w:rPr>
        <w:t>矿石量541.1万t，NaCl233.8万t，Na</w:t>
      </w:r>
      <w:r>
        <w:rPr>
          <w:rFonts w:cs="Times New Roman"/>
          <w:vertAlign w:val="subscript"/>
        </w:rPr>
        <w:t>2</w:t>
      </w:r>
      <w:r>
        <w:rPr>
          <w:rFonts w:cs="Times New Roman"/>
        </w:rPr>
        <w:t>SO</w:t>
      </w:r>
      <w:r>
        <w:rPr>
          <w:rFonts w:cs="Times New Roman"/>
          <w:vertAlign w:val="subscript"/>
        </w:rPr>
        <w:t>4</w:t>
      </w:r>
      <w:r>
        <w:rPr>
          <w:rFonts w:cs="Times New Roman"/>
        </w:rPr>
        <w:t xml:space="preserve"> 58.0万t；累计探明资源量矿石量54515.6万t，矿物量NaCl 23568.8万t，Na</w:t>
      </w:r>
      <w:r>
        <w:rPr>
          <w:rFonts w:cs="Times New Roman"/>
          <w:vertAlign w:val="subscript"/>
        </w:rPr>
        <w:t>2</w:t>
      </w:r>
      <w:r>
        <w:rPr>
          <w:rFonts w:cs="Times New Roman"/>
        </w:rPr>
        <w:t>SO</w:t>
      </w:r>
      <w:r>
        <w:rPr>
          <w:rFonts w:cs="Times New Roman"/>
          <w:vertAlign w:val="subscript"/>
        </w:rPr>
        <w:t>4</w:t>
      </w:r>
      <w:r>
        <w:rPr>
          <w:rFonts w:cs="Times New Roman"/>
        </w:rPr>
        <w:t xml:space="preserve">    5798.6万t。</w:t>
      </w:r>
    </w:p>
    <w:p w14:paraId="6CDF17EB">
      <w:pPr>
        <w:pStyle w:val="7"/>
      </w:pPr>
      <w:bookmarkStart w:id="341" w:name="_Toc86852292"/>
      <w:bookmarkStart w:id="342" w:name="_Toc90989239"/>
      <w:bookmarkStart w:id="343" w:name="_Toc89882458"/>
      <w:bookmarkStart w:id="344" w:name="_Toc90997671"/>
      <w:bookmarkStart w:id="345" w:name="_Toc121420828"/>
      <w:bookmarkStart w:id="346" w:name="_Toc90318418"/>
      <w:bookmarkStart w:id="347" w:name="_Toc89786133"/>
      <w:bookmarkStart w:id="348" w:name="_Hlk86849529"/>
      <w:r>
        <w:t xml:space="preserve">4.1.2 </w:t>
      </w:r>
      <w:bookmarkEnd w:id="341"/>
      <w:r>
        <w:t>矿山生产情况简述</w:t>
      </w:r>
      <w:bookmarkEnd w:id="342"/>
      <w:bookmarkEnd w:id="343"/>
      <w:bookmarkEnd w:id="344"/>
      <w:bookmarkEnd w:id="345"/>
      <w:bookmarkEnd w:id="346"/>
      <w:bookmarkEnd w:id="347"/>
    </w:p>
    <w:bookmarkEnd w:id="348"/>
    <w:p w14:paraId="34CA3718">
      <w:pPr>
        <w:pStyle w:val="8"/>
        <w:ind w:firstLine="0" w:firstLineChars="0"/>
        <w:rPr>
          <w:rFonts w:cs="Times New Roman"/>
        </w:rPr>
      </w:pPr>
      <w:r>
        <w:rPr>
          <w:rFonts w:cs="Times New Roman"/>
        </w:rPr>
        <w:t>4.1.2.1 建设内容</w:t>
      </w:r>
    </w:p>
    <w:p w14:paraId="35BFC6F8">
      <w:pPr>
        <w:ind w:firstLine="519"/>
        <w:rPr>
          <w:rFonts w:cs="Times New Roman"/>
        </w:rPr>
      </w:pPr>
      <w:r>
        <w:rPr>
          <w:rFonts w:cs="Times New Roman"/>
        </w:rPr>
        <w:t>衡阳建滔化工有限公司岩盐矿矿区内现主要建设有生产井15口，采卤场</w:t>
      </w:r>
      <w:r>
        <w:rPr>
          <w:rFonts w:hint="eastAsia" w:cs="Times New Roman"/>
        </w:rPr>
        <w:t>1</w:t>
      </w:r>
      <w:r>
        <w:rPr>
          <w:rFonts w:cs="Times New Roman"/>
        </w:rPr>
        <w:t>座。</w:t>
      </w:r>
      <w:r>
        <w:rPr>
          <w:rFonts w:hint="eastAsia" w:cs="Times New Roman"/>
        </w:rPr>
        <w:t>设计年采原卤220万m</w:t>
      </w:r>
      <w:r>
        <w:rPr>
          <w:rFonts w:hint="eastAsia" w:cs="Times New Roman"/>
          <w:vertAlign w:val="superscript"/>
        </w:rPr>
        <w:t>3</w:t>
      </w:r>
      <w:r>
        <w:rPr>
          <w:rFonts w:hint="eastAsia" w:cs="Times New Roman"/>
        </w:rPr>
        <w:t>。</w:t>
      </w:r>
      <w:r>
        <w:rPr>
          <w:rFonts w:cs="Times New Roman"/>
        </w:rPr>
        <w:t>现有建设内容详见下表。</w:t>
      </w:r>
    </w:p>
    <w:p w14:paraId="26AFEDE4">
      <w:pPr>
        <w:pStyle w:val="9"/>
      </w:pPr>
      <w:r>
        <w:t>表4.1-3  衡阳建滔化工有限公司岩盐矿矿区现有建设内容一览表</w:t>
      </w:r>
    </w:p>
    <w:tbl>
      <w:tblPr>
        <w:tblStyle w:val="29"/>
        <w:tblW w:w="512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185"/>
        <w:gridCol w:w="1313"/>
        <w:gridCol w:w="5547"/>
      </w:tblGrid>
      <w:tr w14:paraId="7FD45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shd w:val="clear" w:color="auto" w:fill="auto"/>
            <w:noWrap/>
            <w:vAlign w:val="center"/>
          </w:tcPr>
          <w:p w14:paraId="2B29FA1D">
            <w:pPr>
              <w:pStyle w:val="48"/>
            </w:pPr>
            <w:r>
              <w:t>序号</w:t>
            </w:r>
          </w:p>
        </w:tc>
        <w:tc>
          <w:tcPr>
            <w:tcW w:w="678" w:type="pct"/>
            <w:shd w:val="clear" w:color="auto" w:fill="auto"/>
            <w:noWrap/>
            <w:vAlign w:val="center"/>
          </w:tcPr>
          <w:p w14:paraId="79BDADC1">
            <w:pPr>
              <w:pStyle w:val="48"/>
            </w:pPr>
            <w:r>
              <w:t>工程名称</w:t>
            </w:r>
          </w:p>
        </w:tc>
        <w:tc>
          <w:tcPr>
            <w:tcW w:w="751" w:type="pct"/>
            <w:shd w:val="clear" w:color="auto" w:fill="auto"/>
            <w:vAlign w:val="center"/>
          </w:tcPr>
          <w:p w14:paraId="3868314E">
            <w:pPr>
              <w:pStyle w:val="48"/>
            </w:pPr>
            <w:r>
              <w:t>单项工程</w:t>
            </w:r>
          </w:p>
        </w:tc>
        <w:tc>
          <w:tcPr>
            <w:tcW w:w="3172" w:type="pct"/>
            <w:shd w:val="clear" w:color="auto" w:fill="auto"/>
            <w:noWrap/>
            <w:vAlign w:val="center"/>
          </w:tcPr>
          <w:p w14:paraId="24F9CDB9">
            <w:pPr>
              <w:pStyle w:val="48"/>
            </w:pPr>
            <w:r>
              <w:t>主要工程内容</w:t>
            </w:r>
          </w:p>
        </w:tc>
      </w:tr>
      <w:tr w14:paraId="2064B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shd w:val="clear" w:color="auto" w:fill="auto"/>
            <w:noWrap/>
            <w:vAlign w:val="center"/>
          </w:tcPr>
          <w:p w14:paraId="3ADAC9F1">
            <w:pPr>
              <w:pStyle w:val="48"/>
            </w:pPr>
            <w:r>
              <w:t>1</w:t>
            </w:r>
          </w:p>
        </w:tc>
        <w:tc>
          <w:tcPr>
            <w:tcW w:w="678" w:type="pct"/>
            <w:vMerge w:val="restart"/>
            <w:shd w:val="clear" w:color="auto" w:fill="auto"/>
            <w:noWrap/>
            <w:vAlign w:val="center"/>
          </w:tcPr>
          <w:p w14:paraId="3B5393B3">
            <w:pPr>
              <w:pStyle w:val="48"/>
            </w:pPr>
            <w:r>
              <w:t>主体工程</w:t>
            </w:r>
          </w:p>
        </w:tc>
        <w:tc>
          <w:tcPr>
            <w:tcW w:w="751" w:type="pct"/>
            <w:shd w:val="clear" w:color="000000" w:fill="FFFFFF"/>
            <w:vAlign w:val="center"/>
          </w:tcPr>
          <w:p w14:paraId="3587B8F0">
            <w:pPr>
              <w:pStyle w:val="48"/>
            </w:pPr>
            <w:r>
              <w:t>钻井工程</w:t>
            </w:r>
          </w:p>
        </w:tc>
        <w:tc>
          <w:tcPr>
            <w:tcW w:w="3172" w:type="pct"/>
            <w:shd w:val="clear" w:color="auto" w:fill="auto"/>
            <w:vAlign w:val="center"/>
          </w:tcPr>
          <w:p w14:paraId="4E074116">
            <w:pPr>
              <w:pStyle w:val="48"/>
            </w:pPr>
            <w:r>
              <w:t>矿区现有采卤井15口，其中ZK10、ZK12、CK3 等3口井已串通采卤，其他卤井2井为一组</w:t>
            </w:r>
          </w:p>
        </w:tc>
      </w:tr>
      <w:tr w14:paraId="647B7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shd w:val="clear" w:color="auto" w:fill="auto"/>
            <w:noWrap/>
            <w:vAlign w:val="center"/>
          </w:tcPr>
          <w:p w14:paraId="4CF71ABF">
            <w:pPr>
              <w:pStyle w:val="48"/>
            </w:pPr>
          </w:p>
        </w:tc>
        <w:tc>
          <w:tcPr>
            <w:tcW w:w="678" w:type="pct"/>
            <w:vMerge w:val="continue"/>
            <w:shd w:val="clear" w:color="auto" w:fill="auto"/>
            <w:noWrap/>
            <w:vAlign w:val="center"/>
          </w:tcPr>
          <w:p w14:paraId="179105E3">
            <w:pPr>
              <w:pStyle w:val="48"/>
            </w:pPr>
          </w:p>
        </w:tc>
        <w:tc>
          <w:tcPr>
            <w:tcW w:w="751" w:type="pct"/>
            <w:shd w:val="clear" w:color="000000" w:fill="FFFFFF"/>
            <w:vAlign w:val="center"/>
          </w:tcPr>
          <w:p w14:paraId="591925A6">
            <w:pPr>
              <w:pStyle w:val="48"/>
            </w:pPr>
            <w:bookmarkStart w:id="349" w:name="_Hlk89437245"/>
            <w:r>
              <w:t>采卤场</w:t>
            </w:r>
            <w:bookmarkEnd w:id="349"/>
          </w:p>
        </w:tc>
        <w:tc>
          <w:tcPr>
            <w:tcW w:w="3172" w:type="pct"/>
            <w:shd w:val="clear" w:color="auto" w:fill="auto"/>
            <w:vAlign w:val="center"/>
          </w:tcPr>
          <w:p w14:paraId="415B098C">
            <w:pPr>
              <w:pStyle w:val="48"/>
            </w:pPr>
            <w:r>
              <w:t>本项目设置有1个</w:t>
            </w:r>
            <w:bookmarkStart w:id="350" w:name="_Hlk89436982"/>
            <w:r>
              <w:t>采卤场</w:t>
            </w:r>
            <w:bookmarkEnd w:id="350"/>
            <w:r>
              <w:t>，位于矿区东北侧，</w:t>
            </w:r>
            <w:bookmarkStart w:id="351" w:name="_Hlk88675471"/>
            <w:r>
              <w:t>建滔（衡阳）实业有限公司</w:t>
            </w:r>
            <w:bookmarkEnd w:id="351"/>
            <w:r>
              <w:t>PVC生产装置南侧，采卤场内包含采卤泵房、卤水池、淡卤池等工程设施</w:t>
            </w:r>
          </w:p>
        </w:tc>
      </w:tr>
      <w:tr w14:paraId="75905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shd w:val="clear" w:color="auto" w:fill="auto"/>
            <w:noWrap/>
            <w:vAlign w:val="center"/>
          </w:tcPr>
          <w:p w14:paraId="175275F6">
            <w:pPr>
              <w:pStyle w:val="48"/>
            </w:pPr>
          </w:p>
        </w:tc>
        <w:tc>
          <w:tcPr>
            <w:tcW w:w="678" w:type="pct"/>
            <w:vMerge w:val="continue"/>
            <w:shd w:val="clear" w:color="auto" w:fill="auto"/>
            <w:noWrap/>
            <w:vAlign w:val="center"/>
          </w:tcPr>
          <w:p w14:paraId="26DB1FAF">
            <w:pPr>
              <w:pStyle w:val="48"/>
            </w:pPr>
          </w:p>
        </w:tc>
        <w:tc>
          <w:tcPr>
            <w:tcW w:w="751" w:type="pct"/>
            <w:shd w:val="clear" w:color="000000" w:fill="FFFFFF"/>
            <w:vAlign w:val="center"/>
          </w:tcPr>
          <w:p w14:paraId="237860E7">
            <w:pPr>
              <w:pStyle w:val="48"/>
            </w:pPr>
            <w:r>
              <w:t>管线工程</w:t>
            </w:r>
          </w:p>
        </w:tc>
        <w:tc>
          <w:tcPr>
            <w:tcW w:w="3172" w:type="pct"/>
            <w:shd w:val="clear" w:color="auto" w:fill="auto"/>
            <w:vAlign w:val="center"/>
          </w:tcPr>
          <w:p w14:paraId="694EDB0B">
            <w:pPr>
              <w:pStyle w:val="48"/>
            </w:pPr>
            <w:r>
              <w:t>主要包含注水管线工程（注水总管：无缝钢管ø377</w:t>
            </w:r>
            <w:r>
              <w:rPr>
                <w:rFonts w:hint="eastAsia" w:ascii="MS Mincho" w:hAnsi="MS Mincho" w:eastAsia="MS Mincho" w:cs="MS Mincho"/>
              </w:rPr>
              <w:t>☓</w:t>
            </w:r>
            <w:r>
              <w:t>12.0；注水支管：无缝钢管ø159</w:t>
            </w:r>
            <w:r>
              <w:rPr>
                <w:rFonts w:hint="eastAsia" w:ascii="MS Mincho" w:hAnsi="MS Mincho" w:eastAsia="MS Mincho" w:cs="MS Mincho"/>
              </w:rPr>
              <w:t>☓</w:t>
            </w:r>
            <w:r>
              <w:t>10.0，）、回卤管线工程（回卤总管：无缝钢管ø377</w:t>
            </w:r>
            <w:r>
              <w:rPr>
                <w:rFonts w:hint="eastAsia" w:ascii="MS Mincho" w:hAnsi="MS Mincho" w:eastAsia="MS Mincho" w:cs="MS Mincho"/>
              </w:rPr>
              <w:t>☓</w:t>
            </w:r>
            <w:r>
              <w:t>12.0；回卤支管：无缝钢管ø159</w:t>
            </w:r>
            <w:r>
              <w:rPr>
                <w:rFonts w:hint="eastAsia" w:ascii="MS Mincho" w:hAnsi="MS Mincho" w:eastAsia="MS Mincho" w:cs="MS Mincho"/>
              </w:rPr>
              <w:t>☓</w:t>
            </w:r>
            <w:r>
              <w:t>10.0）及输卤管线工程（PE管 DN350）</w:t>
            </w:r>
          </w:p>
        </w:tc>
      </w:tr>
      <w:tr w14:paraId="3EF3E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shd w:val="clear" w:color="auto" w:fill="auto"/>
            <w:noWrap/>
            <w:vAlign w:val="center"/>
          </w:tcPr>
          <w:p w14:paraId="67E87BB7">
            <w:pPr>
              <w:pStyle w:val="48"/>
            </w:pPr>
          </w:p>
        </w:tc>
        <w:tc>
          <w:tcPr>
            <w:tcW w:w="678" w:type="pct"/>
            <w:vMerge w:val="continue"/>
            <w:shd w:val="clear" w:color="auto" w:fill="auto"/>
            <w:noWrap/>
            <w:vAlign w:val="center"/>
          </w:tcPr>
          <w:p w14:paraId="31FE1F93">
            <w:pPr>
              <w:pStyle w:val="48"/>
            </w:pPr>
          </w:p>
        </w:tc>
        <w:tc>
          <w:tcPr>
            <w:tcW w:w="751" w:type="pct"/>
            <w:shd w:val="clear" w:color="000000" w:fill="FFFFFF"/>
            <w:vAlign w:val="center"/>
          </w:tcPr>
          <w:p w14:paraId="623B8CC7">
            <w:pPr>
              <w:pStyle w:val="48"/>
            </w:pPr>
            <w:r>
              <w:t>阀门控制室</w:t>
            </w:r>
          </w:p>
        </w:tc>
        <w:tc>
          <w:tcPr>
            <w:tcW w:w="3172" w:type="pct"/>
            <w:shd w:val="clear" w:color="auto" w:fill="auto"/>
            <w:vAlign w:val="center"/>
          </w:tcPr>
          <w:p w14:paraId="6DA57894">
            <w:pPr>
              <w:pStyle w:val="48"/>
            </w:pPr>
            <w:r>
              <w:t>CK21-CK22、CK23-CK24 两对采卤井设置有阀门控制室一座，位于</w:t>
            </w:r>
            <w:r>
              <w:rPr>
                <w:rFonts w:hint="eastAsia"/>
              </w:rPr>
              <w:t>金华路</w:t>
            </w:r>
            <w:r>
              <w:t>与松枫大道交汇处西侧</w:t>
            </w:r>
          </w:p>
        </w:tc>
      </w:tr>
      <w:tr w14:paraId="069E6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shd w:val="clear" w:color="auto" w:fill="auto"/>
            <w:noWrap/>
            <w:vAlign w:val="center"/>
          </w:tcPr>
          <w:p w14:paraId="7DD5BEFA">
            <w:pPr>
              <w:pStyle w:val="48"/>
            </w:pPr>
            <w:r>
              <w:t>2</w:t>
            </w:r>
          </w:p>
        </w:tc>
        <w:tc>
          <w:tcPr>
            <w:tcW w:w="678" w:type="pct"/>
            <w:vMerge w:val="restart"/>
            <w:shd w:val="clear" w:color="auto" w:fill="auto"/>
            <w:noWrap/>
            <w:vAlign w:val="center"/>
          </w:tcPr>
          <w:p w14:paraId="4C4453DA">
            <w:pPr>
              <w:pStyle w:val="48"/>
            </w:pPr>
            <w:r>
              <w:t>储运工程</w:t>
            </w:r>
          </w:p>
        </w:tc>
        <w:tc>
          <w:tcPr>
            <w:tcW w:w="751" w:type="pct"/>
            <w:shd w:val="clear" w:color="000000" w:fill="FFFFFF"/>
            <w:vAlign w:val="center"/>
          </w:tcPr>
          <w:p w14:paraId="496FD2E8">
            <w:pPr>
              <w:pStyle w:val="48"/>
            </w:pPr>
            <w:r>
              <w:t>进场道路</w:t>
            </w:r>
          </w:p>
        </w:tc>
        <w:tc>
          <w:tcPr>
            <w:tcW w:w="3172" w:type="pct"/>
            <w:shd w:val="clear" w:color="auto" w:fill="auto"/>
            <w:vAlign w:val="center"/>
          </w:tcPr>
          <w:p w14:paraId="289E788C">
            <w:pPr>
              <w:pStyle w:val="48"/>
            </w:pPr>
            <w:r>
              <w:t>利用建滔（衡阳）实业有限公司厂内道路</w:t>
            </w:r>
          </w:p>
        </w:tc>
      </w:tr>
      <w:tr w14:paraId="58D41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shd w:val="clear" w:color="auto" w:fill="auto"/>
            <w:noWrap/>
            <w:vAlign w:val="center"/>
          </w:tcPr>
          <w:p w14:paraId="7713BF74">
            <w:pPr>
              <w:pStyle w:val="48"/>
            </w:pPr>
          </w:p>
        </w:tc>
        <w:tc>
          <w:tcPr>
            <w:tcW w:w="678" w:type="pct"/>
            <w:vMerge w:val="continue"/>
            <w:shd w:val="clear" w:color="auto" w:fill="auto"/>
            <w:noWrap/>
            <w:vAlign w:val="center"/>
          </w:tcPr>
          <w:p w14:paraId="013EDE7D">
            <w:pPr>
              <w:pStyle w:val="48"/>
            </w:pPr>
          </w:p>
        </w:tc>
        <w:tc>
          <w:tcPr>
            <w:tcW w:w="751" w:type="pct"/>
            <w:shd w:val="clear" w:color="000000" w:fill="FFFFFF"/>
            <w:vAlign w:val="center"/>
          </w:tcPr>
          <w:p w14:paraId="2DD8396D">
            <w:pPr>
              <w:pStyle w:val="48"/>
            </w:pPr>
            <w:r>
              <w:t>井场道路</w:t>
            </w:r>
          </w:p>
        </w:tc>
        <w:tc>
          <w:tcPr>
            <w:tcW w:w="3172" w:type="pct"/>
            <w:shd w:val="clear" w:color="auto" w:fill="auto"/>
            <w:vAlign w:val="center"/>
          </w:tcPr>
          <w:p w14:paraId="51DE4486">
            <w:pPr>
              <w:pStyle w:val="48"/>
            </w:pPr>
            <w:r>
              <w:t>利用</w:t>
            </w:r>
            <w:r>
              <w:rPr>
                <w:rFonts w:hint="eastAsia"/>
              </w:rPr>
              <w:t>松木经济开发区</w:t>
            </w:r>
            <w:r>
              <w:t>道路</w:t>
            </w:r>
          </w:p>
        </w:tc>
      </w:tr>
      <w:tr w14:paraId="7F1ED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shd w:val="clear" w:color="auto" w:fill="auto"/>
            <w:noWrap/>
            <w:vAlign w:val="center"/>
          </w:tcPr>
          <w:p w14:paraId="4699CA1C">
            <w:pPr>
              <w:pStyle w:val="48"/>
            </w:pPr>
            <w:r>
              <w:t>3</w:t>
            </w:r>
          </w:p>
        </w:tc>
        <w:tc>
          <w:tcPr>
            <w:tcW w:w="678" w:type="pct"/>
            <w:vMerge w:val="restart"/>
            <w:shd w:val="clear" w:color="auto" w:fill="auto"/>
            <w:noWrap/>
            <w:vAlign w:val="center"/>
          </w:tcPr>
          <w:p w14:paraId="076A46FE">
            <w:pPr>
              <w:pStyle w:val="48"/>
            </w:pPr>
            <w:r>
              <w:t>辅助工程</w:t>
            </w:r>
          </w:p>
        </w:tc>
        <w:tc>
          <w:tcPr>
            <w:tcW w:w="751" w:type="pct"/>
            <w:shd w:val="clear" w:color="000000" w:fill="FFFFFF"/>
            <w:vAlign w:val="center"/>
          </w:tcPr>
          <w:p w14:paraId="46505EF3">
            <w:pPr>
              <w:pStyle w:val="48"/>
            </w:pPr>
            <w:r>
              <w:t>办公、生活设施</w:t>
            </w:r>
          </w:p>
        </w:tc>
        <w:tc>
          <w:tcPr>
            <w:tcW w:w="3172" w:type="pct"/>
            <w:shd w:val="clear" w:color="auto" w:fill="auto"/>
            <w:vAlign w:val="center"/>
          </w:tcPr>
          <w:p w14:paraId="44205E13">
            <w:pPr>
              <w:pStyle w:val="48"/>
            </w:pPr>
            <w:r>
              <w:t>矿山生产依托建滔（衡阳）实业有限公司员工，矿</w:t>
            </w:r>
            <w:r>
              <w:rPr>
                <w:rFonts w:hint="eastAsia"/>
              </w:rPr>
              <w:t>区</w:t>
            </w:r>
            <w:r>
              <w:t>内不另建办公生活设施</w:t>
            </w:r>
          </w:p>
        </w:tc>
      </w:tr>
      <w:tr w14:paraId="5F17D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shd w:val="clear" w:color="auto" w:fill="auto"/>
            <w:noWrap/>
            <w:vAlign w:val="center"/>
          </w:tcPr>
          <w:p w14:paraId="306DE15F">
            <w:pPr>
              <w:pStyle w:val="48"/>
            </w:pPr>
          </w:p>
        </w:tc>
        <w:tc>
          <w:tcPr>
            <w:tcW w:w="678" w:type="pct"/>
            <w:vMerge w:val="continue"/>
            <w:shd w:val="clear" w:color="auto" w:fill="auto"/>
            <w:noWrap/>
            <w:vAlign w:val="center"/>
          </w:tcPr>
          <w:p w14:paraId="2531DFE2">
            <w:pPr>
              <w:pStyle w:val="48"/>
            </w:pPr>
          </w:p>
        </w:tc>
        <w:tc>
          <w:tcPr>
            <w:tcW w:w="751" w:type="pct"/>
            <w:shd w:val="clear" w:color="000000" w:fill="FFFFFF"/>
            <w:vAlign w:val="center"/>
          </w:tcPr>
          <w:p w14:paraId="66CA7EC6">
            <w:pPr>
              <w:pStyle w:val="48"/>
            </w:pPr>
            <w:r>
              <w:t>机修车间</w:t>
            </w:r>
          </w:p>
        </w:tc>
        <w:tc>
          <w:tcPr>
            <w:tcW w:w="3172" w:type="pct"/>
            <w:shd w:val="clear" w:color="auto" w:fill="auto"/>
            <w:vAlign w:val="center"/>
          </w:tcPr>
          <w:p w14:paraId="5F40908E">
            <w:pPr>
              <w:pStyle w:val="48"/>
            </w:pPr>
            <w:r>
              <w:rPr>
                <w:rFonts w:hint="eastAsia"/>
              </w:rPr>
              <w:t>依托建滔（衡阳）实业有限公司</w:t>
            </w:r>
            <w:r>
              <w:t>机修车间，主要</w:t>
            </w:r>
            <w:r>
              <w:rPr>
                <w:rFonts w:hint="eastAsia"/>
              </w:rPr>
              <w:t>用于</w:t>
            </w:r>
            <w:r>
              <w:t>水泵等采卤设备的维修及保养工作等</w:t>
            </w:r>
          </w:p>
        </w:tc>
      </w:tr>
      <w:tr w14:paraId="24545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shd w:val="clear" w:color="auto" w:fill="auto"/>
            <w:noWrap/>
            <w:vAlign w:val="center"/>
          </w:tcPr>
          <w:p w14:paraId="270AF6F7">
            <w:pPr>
              <w:pStyle w:val="48"/>
            </w:pPr>
          </w:p>
          <w:p w14:paraId="2668804C">
            <w:pPr>
              <w:pStyle w:val="48"/>
            </w:pPr>
            <w:r>
              <w:t>4</w:t>
            </w:r>
          </w:p>
        </w:tc>
        <w:tc>
          <w:tcPr>
            <w:tcW w:w="678" w:type="pct"/>
            <w:vMerge w:val="restart"/>
            <w:shd w:val="clear" w:color="auto" w:fill="auto"/>
            <w:noWrap/>
            <w:vAlign w:val="center"/>
          </w:tcPr>
          <w:p w14:paraId="39875025">
            <w:pPr>
              <w:pStyle w:val="48"/>
            </w:pPr>
            <w:r>
              <w:t>公用工程</w:t>
            </w:r>
          </w:p>
        </w:tc>
        <w:tc>
          <w:tcPr>
            <w:tcW w:w="751" w:type="pct"/>
            <w:shd w:val="clear" w:color="000000" w:fill="FFFFFF"/>
            <w:vAlign w:val="center"/>
          </w:tcPr>
          <w:p w14:paraId="5E1878F2">
            <w:pPr>
              <w:pStyle w:val="48"/>
            </w:pPr>
            <w:r>
              <w:t>供水</w:t>
            </w:r>
          </w:p>
        </w:tc>
        <w:tc>
          <w:tcPr>
            <w:tcW w:w="3172" w:type="pct"/>
            <w:shd w:val="clear" w:color="auto" w:fill="auto"/>
            <w:vAlign w:val="center"/>
          </w:tcPr>
          <w:p w14:paraId="13B15DF8">
            <w:pPr>
              <w:pStyle w:val="48"/>
            </w:pPr>
            <w:r>
              <w:t>生产用水由</w:t>
            </w:r>
            <w:bookmarkStart w:id="352" w:name="_Hlk88675104"/>
            <w:r>
              <w:t>建滔（衡阳）实业有限公司生产系统回用水</w:t>
            </w:r>
            <w:bookmarkEnd w:id="352"/>
            <w:r>
              <w:t>提供，回用水来自于建滔（衡阳）实业有限公司</w:t>
            </w:r>
            <w:r>
              <w:rPr>
                <w:rFonts w:hint="eastAsia"/>
              </w:rPr>
              <w:t>生产系统（离子膜烧碱装置</w:t>
            </w:r>
            <w:r>
              <w:rPr>
                <w:rFonts w:hint="eastAsia"/>
                <w:szCs w:val="24"/>
              </w:rPr>
              <w:t>二次盐水精制、氯气冷却冷凝水、电解槽淡盐水等，盐水浓度</w:t>
            </w:r>
            <w:r>
              <w:rPr>
                <w:szCs w:val="24"/>
              </w:rPr>
              <w:t>200±4g/L</w:t>
            </w:r>
            <w:r>
              <w:rPr>
                <w:rFonts w:hint="eastAsia"/>
              </w:rPr>
              <w:t>）</w:t>
            </w:r>
            <w:r>
              <w:t>，经地下管道输送至淡卤池</w:t>
            </w:r>
          </w:p>
        </w:tc>
      </w:tr>
      <w:tr w14:paraId="0551F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shd w:val="clear" w:color="auto" w:fill="auto"/>
            <w:noWrap/>
            <w:vAlign w:val="center"/>
          </w:tcPr>
          <w:p w14:paraId="56C92CB7">
            <w:pPr>
              <w:pStyle w:val="48"/>
            </w:pPr>
          </w:p>
        </w:tc>
        <w:tc>
          <w:tcPr>
            <w:tcW w:w="678" w:type="pct"/>
            <w:vMerge w:val="continue"/>
            <w:shd w:val="clear" w:color="auto" w:fill="auto"/>
            <w:noWrap/>
            <w:vAlign w:val="center"/>
          </w:tcPr>
          <w:p w14:paraId="29CA9D99">
            <w:pPr>
              <w:pStyle w:val="48"/>
            </w:pPr>
          </w:p>
        </w:tc>
        <w:tc>
          <w:tcPr>
            <w:tcW w:w="751" w:type="pct"/>
            <w:shd w:val="clear" w:color="000000" w:fill="FFFFFF"/>
            <w:vAlign w:val="center"/>
          </w:tcPr>
          <w:p w14:paraId="39511E16">
            <w:pPr>
              <w:pStyle w:val="48"/>
            </w:pPr>
            <w:r>
              <w:t>排水</w:t>
            </w:r>
          </w:p>
        </w:tc>
        <w:tc>
          <w:tcPr>
            <w:tcW w:w="3172" w:type="pct"/>
            <w:shd w:val="clear" w:color="auto" w:fill="auto"/>
            <w:vAlign w:val="center"/>
          </w:tcPr>
          <w:p w14:paraId="443C13A6">
            <w:pPr>
              <w:pStyle w:val="48"/>
            </w:pPr>
            <w:r>
              <w:t>本项目无废水产生</w:t>
            </w:r>
          </w:p>
        </w:tc>
      </w:tr>
      <w:tr w14:paraId="3C795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shd w:val="clear" w:color="auto" w:fill="auto"/>
            <w:noWrap/>
            <w:vAlign w:val="center"/>
          </w:tcPr>
          <w:p w14:paraId="77575D63">
            <w:pPr>
              <w:pStyle w:val="48"/>
            </w:pPr>
          </w:p>
        </w:tc>
        <w:tc>
          <w:tcPr>
            <w:tcW w:w="678" w:type="pct"/>
            <w:vMerge w:val="continue"/>
            <w:shd w:val="clear" w:color="auto" w:fill="auto"/>
            <w:noWrap/>
            <w:vAlign w:val="center"/>
          </w:tcPr>
          <w:p w14:paraId="0F060DDF">
            <w:pPr>
              <w:pStyle w:val="48"/>
            </w:pPr>
          </w:p>
        </w:tc>
        <w:tc>
          <w:tcPr>
            <w:tcW w:w="751" w:type="pct"/>
            <w:shd w:val="clear" w:color="000000" w:fill="FFFFFF"/>
            <w:vAlign w:val="center"/>
          </w:tcPr>
          <w:p w14:paraId="6FBBCF9C">
            <w:pPr>
              <w:pStyle w:val="48"/>
            </w:pPr>
            <w:r>
              <w:t>供配电</w:t>
            </w:r>
          </w:p>
        </w:tc>
        <w:tc>
          <w:tcPr>
            <w:tcW w:w="3172" w:type="pct"/>
            <w:shd w:val="clear" w:color="auto" w:fill="auto"/>
            <w:vAlign w:val="center"/>
          </w:tcPr>
          <w:p w14:paraId="0870F09D">
            <w:pPr>
              <w:pStyle w:val="48"/>
            </w:pPr>
            <w:r>
              <w:t>依托建滔（衡阳）实业有限公司自配 220KV 变电站</w:t>
            </w:r>
          </w:p>
        </w:tc>
      </w:tr>
      <w:tr w14:paraId="4C48C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shd w:val="clear" w:color="auto" w:fill="auto"/>
            <w:noWrap/>
            <w:vAlign w:val="center"/>
          </w:tcPr>
          <w:p w14:paraId="16C4E986">
            <w:pPr>
              <w:pStyle w:val="48"/>
            </w:pPr>
            <w:r>
              <w:t>5</w:t>
            </w:r>
          </w:p>
        </w:tc>
        <w:tc>
          <w:tcPr>
            <w:tcW w:w="678" w:type="pct"/>
            <w:vMerge w:val="restart"/>
            <w:shd w:val="clear" w:color="auto" w:fill="auto"/>
            <w:noWrap/>
            <w:vAlign w:val="center"/>
          </w:tcPr>
          <w:p w14:paraId="047FC60E">
            <w:pPr>
              <w:pStyle w:val="48"/>
            </w:pPr>
            <w:r>
              <w:t>环保工程</w:t>
            </w:r>
          </w:p>
        </w:tc>
        <w:tc>
          <w:tcPr>
            <w:tcW w:w="751" w:type="pct"/>
            <w:shd w:val="clear" w:color="000000" w:fill="FFFFFF"/>
            <w:vAlign w:val="center"/>
          </w:tcPr>
          <w:p w14:paraId="183D5B94">
            <w:pPr>
              <w:pStyle w:val="48"/>
            </w:pPr>
            <w:r>
              <w:t>固废处理</w:t>
            </w:r>
          </w:p>
        </w:tc>
        <w:tc>
          <w:tcPr>
            <w:tcW w:w="3172" w:type="pct"/>
            <w:shd w:val="clear" w:color="auto" w:fill="auto"/>
            <w:noWrap/>
            <w:vAlign w:val="center"/>
          </w:tcPr>
          <w:p w14:paraId="54927342">
            <w:pPr>
              <w:pStyle w:val="48"/>
            </w:pPr>
            <w:r>
              <w:t>水泵保养产生的废机油、配件等由机修车间统一收</w:t>
            </w:r>
          </w:p>
          <w:p w14:paraId="51008417">
            <w:pPr>
              <w:pStyle w:val="48"/>
            </w:pPr>
            <w:r>
              <w:t>集，统一处理</w:t>
            </w:r>
            <w:r>
              <w:rPr>
                <w:rFonts w:hint="eastAsia"/>
              </w:rPr>
              <w:t>；职工生活垃圾依托园区环卫部门处理处置；卤水池残渣依托建滔（衡阳）实业有限司离子膜烧碱生产部处理处置(外售，处置合同见附件)。</w:t>
            </w:r>
          </w:p>
        </w:tc>
      </w:tr>
      <w:tr w14:paraId="0188F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shd w:val="clear" w:color="auto" w:fill="auto"/>
            <w:noWrap/>
            <w:vAlign w:val="center"/>
          </w:tcPr>
          <w:p w14:paraId="5B29B76B">
            <w:pPr>
              <w:pStyle w:val="48"/>
            </w:pPr>
          </w:p>
        </w:tc>
        <w:tc>
          <w:tcPr>
            <w:tcW w:w="678" w:type="pct"/>
            <w:vMerge w:val="continue"/>
            <w:shd w:val="clear" w:color="auto" w:fill="auto"/>
            <w:noWrap/>
            <w:vAlign w:val="center"/>
          </w:tcPr>
          <w:p w14:paraId="55CFCB25">
            <w:pPr>
              <w:pStyle w:val="48"/>
            </w:pPr>
          </w:p>
        </w:tc>
        <w:tc>
          <w:tcPr>
            <w:tcW w:w="751" w:type="pct"/>
            <w:shd w:val="clear" w:color="000000" w:fill="FFFFFF"/>
            <w:vAlign w:val="center"/>
          </w:tcPr>
          <w:p w14:paraId="5FFCD612">
            <w:pPr>
              <w:pStyle w:val="48"/>
            </w:pPr>
            <w:r>
              <w:rPr>
                <w:rFonts w:hint="eastAsia"/>
              </w:rPr>
              <w:t>噪声</w:t>
            </w:r>
          </w:p>
        </w:tc>
        <w:tc>
          <w:tcPr>
            <w:tcW w:w="3172" w:type="pct"/>
            <w:shd w:val="clear" w:color="auto" w:fill="auto"/>
            <w:noWrap/>
            <w:vAlign w:val="center"/>
          </w:tcPr>
          <w:p w14:paraId="0C5295A4">
            <w:pPr>
              <w:pStyle w:val="48"/>
            </w:pPr>
            <w:r>
              <w:rPr>
                <w:rFonts w:hint="eastAsia"/>
              </w:rPr>
              <w:t>基础减震，厂房隔声</w:t>
            </w:r>
          </w:p>
        </w:tc>
      </w:tr>
    </w:tbl>
    <w:p w14:paraId="4D4E172D">
      <w:pPr>
        <w:ind w:firstLine="0" w:firstLineChars="0"/>
        <w:rPr>
          <w:rFonts w:cs="Times New Roman"/>
        </w:rPr>
      </w:pPr>
      <w:r>
        <w:rPr>
          <w:rFonts w:cs="Times New Roman"/>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3"/>
        <w:gridCol w:w="2706"/>
        <w:gridCol w:w="2796"/>
      </w:tblGrid>
      <w:tr w14:paraId="681D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3" w:type="dxa"/>
            <w:vAlign w:val="center"/>
          </w:tcPr>
          <w:p w14:paraId="5D8301F5">
            <w:pPr>
              <w:pStyle w:val="2"/>
              <w:spacing w:line="240" w:lineRule="auto"/>
              <w:ind w:firstLine="0" w:firstLineChars="0"/>
              <w:jc w:val="center"/>
            </w:pPr>
            <w:r>
              <w:drawing>
                <wp:inline distT="0" distB="0" distL="0" distR="0">
                  <wp:extent cx="1685290" cy="20269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rcRect t="11094" r="17463" b="14432"/>
                          <a:stretch>
                            <a:fillRect/>
                          </a:stretch>
                        </pic:blipFill>
                        <pic:spPr>
                          <a:xfrm>
                            <a:off x="0" y="0"/>
                            <a:ext cx="1689084" cy="2031255"/>
                          </a:xfrm>
                          <a:prstGeom prst="rect">
                            <a:avLst/>
                          </a:prstGeom>
                          <a:ln>
                            <a:noFill/>
                          </a:ln>
                        </pic:spPr>
                      </pic:pic>
                    </a:graphicData>
                  </a:graphic>
                </wp:inline>
              </w:drawing>
            </w:r>
          </w:p>
        </w:tc>
        <w:tc>
          <w:tcPr>
            <w:tcW w:w="2641" w:type="dxa"/>
            <w:vAlign w:val="center"/>
          </w:tcPr>
          <w:p w14:paraId="5630C7B2">
            <w:pPr>
              <w:pStyle w:val="2"/>
              <w:spacing w:line="240" w:lineRule="auto"/>
              <w:ind w:firstLine="0" w:firstLineChars="0"/>
              <w:jc w:val="center"/>
            </w:pPr>
            <w:r>
              <w:drawing>
                <wp:inline distT="0" distB="0" distL="0" distR="0">
                  <wp:extent cx="1573530" cy="209677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1583697" cy="2110706"/>
                          </a:xfrm>
                          <a:prstGeom prst="rect">
                            <a:avLst/>
                          </a:prstGeom>
                        </pic:spPr>
                      </pic:pic>
                    </a:graphicData>
                  </a:graphic>
                </wp:inline>
              </w:drawing>
            </w:r>
          </w:p>
        </w:tc>
        <w:tc>
          <w:tcPr>
            <w:tcW w:w="2728" w:type="dxa"/>
            <w:vAlign w:val="center"/>
          </w:tcPr>
          <w:p w14:paraId="14047470">
            <w:pPr>
              <w:pStyle w:val="2"/>
              <w:spacing w:line="240" w:lineRule="auto"/>
              <w:ind w:firstLine="0" w:firstLineChars="0"/>
              <w:jc w:val="center"/>
            </w:pPr>
            <w:r>
              <w:drawing>
                <wp:inline distT="0" distB="0" distL="0" distR="0">
                  <wp:extent cx="1635125" cy="202755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45471" cy="2040015"/>
                          </a:xfrm>
                          <a:prstGeom prst="rect">
                            <a:avLst/>
                          </a:prstGeom>
                          <a:noFill/>
                        </pic:spPr>
                      </pic:pic>
                    </a:graphicData>
                  </a:graphic>
                </wp:inline>
              </w:drawing>
            </w:r>
          </w:p>
        </w:tc>
      </w:tr>
      <w:tr w14:paraId="3F4F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3" w:type="dxa"/>
            <w:vAlign w:val="center"/>
          </w:tcPr>
          <w:p w14:paraId="6FA140C7">
            <w:pPr>
              <w:pStyle w:val="2"/>
              <w:spacing w:line="240" w:lineRule="auto"/>
              <w:ind w:firstLine="0" w:firstLineChars="0"/>
              <w:jc w:val="center"/>
            </w:pPr>
            <w:r>
              <w:rPr>
                <w:rFonts w:hint="eastAsia"/>
              </w:rPr>
              <w:t>卤水罐</w:t>
            </w:r>
          </w:p>
        </w:tc>
        <w:tc>
          <w:tcPr>
            <w:tcW w:w="2641" w:type="dxa"/>
            <w:vAlign w:val="center"/>
          </w:tcPr>
          <w:p w14:paraId="2DE171C2">
            <w:pPr>
              <w:pStyle w:val="2"/>
              <w:spacing w:line="240" w:lineRule="auto"/>
              <w:ind w:firstLine="0" w:firstLineChars="0"/>
              <w:jc w:val="center"/>
            </w:pPr>
            <w:r>
              <w:rPr>
                <w:rFonts w:hint="eastAsia"/>
              </w:rPr>
              <w:t>淡卤罐</w:t>
            </w:r>
          </w:p>
        </w:tc>
        <w:tc>
          <w:tcPr>
            <w:tcW w:w="2728" w:type="dxa"/>
            <w:vAlign w:val="center"/>
          </w:tcPr>
          <w:p w14:paraId="28F94528">
            <w:pPr>
              <w:pStyle w:val="2"/>
              <w:spacing w:line="240" w:lineRule="auto"/>
              <w:ind w:firstLine="0" w:firstLineChars="0"/>
              <w:jc w:val="center"/>
            </w:pPr>
            <w:r>
              <w:rPr>
                <w:rFonts w:hint="eastAsia"/>
              </w:rPr>
              <w:t>废卤罐</w:t>
            </w:r>
          </w:p>
        </w:tc>
      </w:tr>
      <w:tr w14:paraId="790A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gridSpan w:val="3"/>
            <w:vAlign w:val="center"/>
          </w:tcPr>
          <w:p w14:paraId="6E25D724">
            <w:pPr>
              <w:pStyle w:val="2"/>
              <w:spacing w:line="240" w:lineRule="auto"/>
              <w:ind w:firstLine="0" w:firstLineChars="0"/>
              <w:jc w:val="center"/>
            </w:pPr>
            <w:r>
              <w:drawing>
                <wp:inline distT="0" distB="0" distL="0" distR="0">
                  <wp:extent cx="4126230" cy="248158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rcRect t="19835"/>
                          <a:stretch>
                            <a:fillRect/>
                          </a:stretch>
                        </pic:blipFill>
                        <pic:spPr>
                          <a:xfrm>
                            <a:off x="0" y="0"/>
                            <a:ext cx="4151502" cy="2496848"/>
                          </a:xfrm>
                          <a:prstGeom prst="rect">
                            <a:avLst/>
                          </a:prstGeom>
                          <a:ln>
                            <a:noFill/>
                          </a:ln>
                        </pic:spPr>
                      </pic:pic>
                    </a:graphicData>
                  </a:graphic>
                </wp:inline>
              </w:drawing>
            </w:r>
          </w:p>
        </w:tc>
      </w:tr>
      <w:tr w14:paraId="7897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gridSpan w:val="3"/>
            <w:vAlign w:val="center"/>
          </w:tcPr>
          <w:p w14:paraId="3B2C53F6">
            <w:pPr>
              <w:pStyle w:val="2"/>
              <w:spacing w:line="240" w:lineRule="auto"/>
              <w:ind w:firstLine="0" w:firstLineChars="0"/>
              <w:jc w:val="center"/>
            </w:pPr>
            <w:r>
              <w:rPr>
                <w:rFonts w:hint="eastAsia"/>
              </w:rPr>
              <w:t>采卤泵房</w:t>
            </w:r>
          </w:p>
        </w:tc>
      </w:tr>
    </w:tbl>
    <w:p w14:paraId="6835F6A9">
      <w:pPr>
        <w:pStyle w:val="9"/>
      </w:pPr>
      <w:r>
        <w:t>图4.1-1 采卤场现状</w:t>
      </w:r>
      <w:r>
        <w:rPr>
          <w:rFonts w:hint="eastAsia"/>
        </w:rPr>
        <w:t>照片</w:t>
      </w:r>
    </w:p>
    <w:p w14:paraId="208E3F98">
      <w:pPr>
        <w:pStyle w:val="8"/>
        <w:ind w:firstLine="0" w:firstLineChars="0"/>
        <w:rPr>
          <w:rFonts w:cs="Times New Roman"/>
        </w:rPr>
      </w:pPr>
      <w:r>
        <w:rPr>
          <w:rFonts w:cs="Times New Roman"/>
        </w:rPr>
        <w:t>4.1.2.2 生产设备</w:t>
      </w:r>
    </w:p>
    <w:p w14:paraId="679B0E25">
      <w:pPr>
        <w:ind w:firstLine="519"/>
        <w:rPr>
          <w:rFonts w:cs="Times New Roman"/>
        </w:rPr>
      </w:pPr>
      <w:r>
        <w:rPr>
          <w:rFonts w:cs="Times New Roman"/>
        </w:rPr>
        <w:t>采卤场设有采卤泵房及罐区，其中采卤泵房内设置有采卤泵4台，输卤泵4台，废卤泵1台，罐区设置有5000m</w:t>
      </w:r>
      <w:r>
        <w:rPr>
          <w:rFonts w:cs="Times New Roman"/>
          <w:vertAlign w:val="superscript"/>
        </w:rPr>
        <w:t>3</w:t>
      </w:r>
      <w:r>
        <w:rPr>
          <w:rFonts w:cs="Times New Roman"/>
        </w:rPr>
        <w:t>卤水池2个，3800m</w:t>
      </w:r>
      <w:r>
        <w:rPr>
          <w:rFonts w:cs="Times New Roman"/>
          <w:vertAlign w:val="superscript"/>
        </w:rPr>
        <w:t>3</w:t>
      </w:r>
      <w:r>
        <w:rPr>
          <w:rFonts w:cs="Times New Roman"/>
        </w:rPr>
        <w:t>淡卤池（用来采卤的回用水）2个，5000m</w:t>
      </w:r>
      <w:r>
        <w:rPr>
          <w:rFonts w:cs="Times New Roman"/>
          <w:vertAlign w:val="superscript"/>
        </w:rPr>
        <w:t>3</w:t>
      </w:r>
      <w:r>
        <w:rPr>
          <w:rFonts w:cs="Times New Roman"/>
        </w:rPr>
        <w:t>淡卤池（用来采卤的回用水）1个。</w:t>
      </w:r>
    </w:p>
    <w:p w14:paraId="578DBA00">
      <w:pPr>
        <w:pStyle w:val="9"/>
      </w:pPr>
      <w:r>
        <w:t>表4.1-4  衡阳建滔化工有限公司岩盐矿矿区现有生产设备一览表</w:t>
      </w:r>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303"/>
        <w:gridCol w:w="1984"/>
        <w:gridCol w:w="1559"/>
        <w:gridCol w:w="1134"/>
        <w:gridCol w:w="1493"/>
      </w:tblGrid>
      <w:tr w14:paraId="7B998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2D0DFE15">
            <w:pPr>
              <w:wordWrap/>
              <w:topLinePunct w:val="0"/>
              <w:adjustRightInd/>
              <w:snapToGrid/>
              <w:ind w:firstLine="0" w:firstLineChars="0"/>
              <w:jc w:val="center"/>
              <w:rPr>
                <w:rFonts w:cs="Times New Roman"/>
                <w:sz w:val="21"/>
                <w:szCs w:val="21"/>
              </w:rPr>
            </w:pPr>
            <w:r>
              <w:rPr>
                <w:rFonts w:hint="eastAsia" w:ascii="宋体" w:hAnsi="宋体" w:cs="宋体"/>
                <w:kern w:val="0"/>
                <w:sz w:val="21"/>
                <w:szCs w:val="21"/>
              </w:rPr>
              <w:t>序号</w:t>
            </w:r>
          </w:p>
        </w:tc>
        <w:tc>
          <w:tcPr>
            <w:tcW w:w="1303" w:type="dxa"/>
            <w:vAlign w:val="center"/>
          </w:tcPr>
          <w:p w14:paraId="6DD67341">
            <w:pPr>
              <w:wordWrap/>
              <w:topLinePunct w:val="0"/>
              <w:adjustRightInd/>
              <w:snapToGrid/>
              <w:ind w:firstLine="0" w:firstLineChars="0"/>
              <w:jc w:val="center"/>
              <w:rPr>
                <w:rFonts w:cs="Times New Roman"/>
                <w:sz w:val="21"/>
                <w:szCs w:val="21"/>
              </w:rPr>
            </w:pPr>
            <w:r>
              <w:rPr>
                <w:rFonts w:hint="eastAsia" w:ascii="宋体" w:hAnsi="宋体" w:cs="宋体"/>
                <w:kern w:val="0"/>
                <w:sz w:val="21"/>
                <w:szCs w:val="21"/>
              </w:rPr>
              <w:t>名称</w:t>
            </w:r>
          </w:p>
        </w:tc>
        <w:tc>
          <w:tcPr>
            <w:tcW w:w="1984" w:type="dxa"/>
            <w:vAlign w:val="center"/>
          </w:tcPr>
          <w:p w14:paraId="7F2C692F">
            <w:pPr>
              <w:wordWrap/>
              <w:topLinePunct w:val="0"/>
              <w:adjustRightInd/>
              <w:snapToGrid/>
              <w:ind w:firstLine="0" w:firstLineChars="0"/>
              <w:jc w:val="center"/>
              <w:rPr>
                <w:rFonts w:cs="Times New Roman"/>
                <w:sz w:val="21"/>
                <w:szCs w:val="21"/>
              </w:rPr>
            </w:pPr>
            <w:r>
              <w:rPr>
                <w:rFonts w:hint="eastAsia" w:ascii="宋体" w:hAnsi="宋体" w:cs="宋体"/>
                <w:kern w:val="0"/>
                <w:sz w:val="21"/>
                <w:szCs w:val="21"/>
              </w:rPr>
              <w:t>型号</w:t>
            </w:r>
          </w:p>
        </w:tc>
        <w:tc>
          <w:tcPr>
            <w:tcW w:w="1559" w:type="dxa"/>
            <w:vAlign w:val="center"/>
          </w:tcPr>
          <w:p w14:paraId="727E7252">
            <w:pPr>
              <w:wordWrap/>
              <w:topLinePunct w:val="0"/>
              <w:adjustRightInd/>
              <w:snapToGrid/>
              <w:ind w:firstLine="0" w:firstLineChars="0"/>
              <w:jc w:val="center"/>
              <w:rPr>
                <w:rFonts w:cs="Times New Roman"/>
                <w:sz w:val="21"/>
                <w:szCs w:val="21"/>
              </w:rPr>
            </w:pPr>
            <w:r>
              <w:rPr>
                <w:rFonts w:hint="eastAsia" w:ascii="宋体" w:hAnsi="宋体" w:cs="宋体"/>
                <w:kern w:val="0"/>
                <w:sz w:val="21"/>
                <w:szCs w:val="21"/>
              </w:rPr>
              <w:t>单位</w:t>
            </w:r>
          </w:p>
        </w:tc>
        <w:tc>
          <w:tcPr>
            <w:tcW w:w="1134" w:type="dxa"/>
            <w:vAlign w:val="center"/>
          </w:tcPr>
          <w:p w14:paraId="1183B5D7">
            <w:pPr>
              <w:wordWrap/>
              <w:topLinePunct w:val="0"/>
              <w:adjustRightInd/>
              <w:snapToGrid/>
              <w:ind w:firstLine="0" w:firstLineChars="0"/>
              <w:jc w:val="center"/>
              <w:rPr>
                <w:rFonts w:cs="Times New Roman"/>
                <w:sz w:val="21"/>
                <w:szCs w:val="21"/>
              </w:rPr>
            </w:pPr>
            <w:r>
              <w:rPr>
                <w:rFonts w:hint="eastAsia" w:ascii="宋体" w:hAnsi="宋体" w:cs="宋体"/>
                <w:kern w:val="0"/>
                <w:sz w:val="21"/>
                <w:szCs w:val="21"/>
              </w:rPr>
              <w:t>数量</w:t>
            </w:r>
          </w:p>
        </w:tc>
        <w:tc>
          <w:tcPr>
            <w:tcW w:w="1493" w:type="dxa"/>
            <w:vAlign w:val="center"/>
          </w:tcPr>
          <w:p w14:paraId="608786E5">
            <w:pPr>
              <w:wordWrap/>
              <w:topLinePunct w:val="0"/>
              <w:adjustRightInd/>
              <w:snapToGrid/>
              <w:ind w:firstLine="0" w:firstLineChars="0"/>
              <w:jc w:val="center"/>
              <w:rPr>
                <w:rFonts w:cs="Times New Roman"/>
                <w:sz w:val="21"/>
                <w:szCs w:val="21"/>
              </w:rPr>
            </w:pPr>
            <w:r>
              <w:rPr>
                <w:rFonts w:hint="eastAsia" w:ascii="宋体" w:hAnsi="宋体" w:cs="宋体"/>
                <w:kern w:val="0"/>
                <w:sz w:val="21"/>
                <w:szCs w:val="21"/>
              </w:rPr>
              <w:t>备注</w:t>
            </w:r>
          </w:p>
        </w:tc>
      </w:tr>
      <w:tr w14:paraId="6D8A6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7D920872">
            <w:pPr>
              <w:wordWrap/>
              <w:topLinePunct w:val="0"/>
              <w:adjustRightInd/>
              <w:snapToGrid/>
              <w:ind w:firstLine="0" w:firstLineChars="0"/>
              <w:jc w:val="center"/>
              <w:rPr>
                <w:rFonts w:cs="Times New Roman"/>
                <w:sz w:val="21"/>
                <w:szCs w:val="21"/>
              </w:rPr>
            </w:pPr>
            <w:r>
              <w:rPr>
                <w:rFonts w:eastAsia="Times New Roman" w:cs="Times New Roman"/>
                <w:kern w:val="0"/>
                <w:sz w:val="21"/>
                <w:szCs w:val="21"/>
              </w:rPr>
              <w:t>1</w:t>
            </w:r>
          </w:p>
        </w:tc>
        <w:tc>
          <w:tcPr>
            <w:tcW w:w="1303" w:type="dxa"/>
            <w:vAlign w:val="center"/>
          </w:tcPr>
          <w:p w14:paraId="0AB33E9C">
            <w:pPr>
              <w:wordWrap/>
              <w:topLinePunct w:val="0"/>
              <w:adjustRightInd/>
              <w:snapToGrid/>
              <w:ind w:firstLine="0" w:firstLineChars="0"/>
              <w:jc w:val="center"/>
              <w:rPr>
                <w:rFonts w:cs="Times New Roman"/>
                <w:sz w:val="21"/>
                <w:szCs w:val="21"/>
              </w:rPr>
            </w:pPr>
            <w:bookmarkStart w:id="353" w:name="_Hlk89091476"/>
            <w:r>
              <w:rPr>
                <w:rFonts w:cs="Times New Roman"/>
                <w:sz w:val="21"/>
                <w:szCs w:val="21"/>
              </w:rPr>
              <w:t>采卤泵</w:t>
            </w:r>
            <w:bookmarkEnd w:id="353"/>
          </w:p>
        </w:tc>
        <w:tc>
          <w:tcPr>
            <w:tcW w:w="1984" w:type="dxa"/>
            <w:vAlign w:val="center"/>
          </w:tcPr>
          <w:p w14:paraId="1800C6A4">
            <w:pPr>
              <w:wordWrap/>
              <w:topLinePunct w:val="0"/>
              <w:adjustRightInd/>
              <w:snapToGrid/>
              <w:ind w:firstLine="0" w:firstLineChars="0"/>
              <w:jc w:val="center"/>
              <w:rPr>
                <w:rFonts w:cs="Times New Roman"/>
                <w:sz w:val="21"/>
                <w:szCs w:val="21"/>
              </w:rPr>
            </w:pPr>
            <w:r>
              <w:rPr>
                <w:rFonts w:cs="Times New Roman"/>
                <w:sz w:val="21"/>
                <w:szCs w:val="21"/>
              </w:rPr>
              <w:t>DF280-43*8</w:t>
            </w:r>
          </w:p>
        </w:tc>
        <w:tc>
          <w:tcPr>
            <w:tcW w:w="1559" w:type="dxa"/>
            <w:vAlign w:val="center"/>
          </w:tcPr>
          <w:p w14:paraId="16226F89">
            <w:pPr>
              <w:wordWrap/>
              <w:topLinePunct w:val="0"/>
              <w:adjustRightInd/>
              <w:snapToGrid/>
              <w:ind w:firstLine="0" w:firstLineChars="0"/>
              <w:jc w:val="center"/>
              <w:rPr>
                <w:rFonts w:cs="Times New Roman"/>
                <w:sz w:val="21"/>
                <w:szCs w:val="21"/>
              </w:rPr>
            </w:pPr>
            <w:r>
              <w:rPr>
                <w:rFonts w:cs="Times New Roman"/>
                <w:sz w:val="21"/>
                <w:szCs w:val="21"/>
              </w:rPr>
              <w:t>台</w:t>
            </w:r>
          </w:p>
        </w:tc>
        <w:tc>
          <w:tcPr>
            <w:tcW w:w="1134" w:type="dxa"/>
            <w:vAlign w:val="center"/>
          </w:tcPr>
          <w:p w14:paraId="52F6DB05">
            <w:pPr>
              <w:wordWrap/>
              <w:topLinePunct w:val="0"/>
              <w:adjustRightInd/>
              <w:snapToGrid/>
              <w:ind w:firstLine="0" w:firstLineChars="0"/>
              <w:jc w:val="center"/>
              <w:rPr>
                <w:rFonts w:cs="Times New Roman"/>
                <w:sz w:val="21"/>
                <w:szCs w:val="21"/>
              </w:rPr>
            </w:pPr>
            <w:r>
              <w:rPr>
                <w:rFonts w:cs="Times New Roman"/>
                <w:sz w:val="21"/>
                <w:szCs w:val="21"/>
              </w:rPr>
              <w:t>1</w:t>
            </w:r>
          </w:p>
        </w:tc>
        <w:tc>
          <w:tcPr>
            <w:tcW w:w="1493" w:type="dxa"/>
            <w:vAlign w:val="center"/>
          </w:tcPr>
          <w:p w14:paraId="36681AB0">
            <w:pPr>
              <w:wordWrap/>
              <w:topLinePunct w:val="0"/>
              <w:adjustRightInd/>
              <w:snapToGrid/>
              <w:ind w:firstLine="0" w:firstLineChars="0"/>
              <w:jc w:val="center"/>
              <w:rPr>
                <w:rFonts w:cs="Times New Roman"/>
                <w:sz w:val="21"/>
                <w:szCs w:val="21"/>
              </w:rPr>
            </w:pPr>
            <w:r>
              <w:rPr>
                <w:rFonts w:cs="Times New Roman"/>
                <w:sz w:val="21"/>
                <w:szCs w:val="21"/>
              </w:rPr>
              <w:t>400KW</w:t>
            </w:r>
          </w:p>
        </w:tc>
      </w:tr>
      <w:tr w14:paraId="78550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04809032">
            <w:pPr>
              <w:wordWrap/>
              <w:topLinePunct w:val="0"/>
              <w:adjustRightInd/>
              <w:snapToGrid/>
              <w:ind w:firstLine="0" w:firstLineChars="0"/>
              <w:jc w:val="center"/>
              <w:rPr>
                <w:rFonts w:cs="Times New Roman"/>
                <w:sz w:val="21"/>
                <w:szCs w:val="21"/>
              </w:rPr>
            </w:pPr>
            <w:r>
              <w:rPr>
                <w:rFonts w:eastAsia="Times New Roman" w:cs="Times New Roman"/>
                <w:kern w:val="0"/>
                <w:sz w:val="21"/>
                <w:szCs w:val="21"/>
              </w:rPr>
              <w:t>2</w:t>
            </w:r>
          </w:p>
        </w:tc>
        <w:tc>
          <w:tcPr>
            <w:tcW w:w="1303" w:type="dxa"/>
            <w:vAlign w:val="center"/>
          </w:tcPr>
          <w:p w14:paraId="158CC450">
            <w:pPr>
              <w:wordWrap/>
              <w:topLinePunct w:val="0"/>
              <w:adjustRightInd/>
              <w:snapToGrid/>
              <w:ind w:firstLine="0" w:firstLineChars="0"/>
              <w:jc w:val="center"/>
              <w:rPr>
                <w:rFonts w:cs="Times New Roman"/>
                <w:sz w:val="21"/>
                <w:szCs w:val="21"/>
              </w:rPr>
            </w:pPr>
            <w:r>
              <w:rPr>
                <w:rFonts w:cs="Times New Roman"/>
                <w:sz w:val="21"/>
                <w:szCs w:val="21"/>
              </w:rPr>
              <w:t>采卤泵</w:t>
            </w:r>
          </w:p>
        </w:tc>
        <w:tc>
          <w:tcPr>
            <w:tcW w:w="1984" w:type="dxa"/>
            <w:vAlign w:val="center"/>
          </w:tcPr>
          <w:p w14:paraId="1EA27480">
            <w:pPr>
              <w:wordWrap/>
              <w:topLinePunct w:val="0"/>
              <w:adjustRightInd/>
              <w:snapToGrid/>
              <w:ind w:firstLine="0" w:firstLineChars="0"/>
              <w:jc w:val="center"/>
              <w:rPr>
                <w:rFonts w:cs="Times New Roman"/>
                <w:sz w:val="21"/>
                <w:szCs w:val="21"/>
              </w:rPr>
            </w:pPr>
            <w:r>
              <w:rPr>
                <w:rFonts w:cs="Times New Roman"/>
                <w:sz w:val="21"/>
                <w:szCs w:val="21"/>
              </w:rPr>
              <w:t>DF450-60*6</w:t>
            </w:r>
          </w:p>
        </w:tc>
        <w:tc>
          <w:tcPr>
            <w:tcW w:w="1559" w:type="dxa"/>
            <w:vAlign w:val="center"/>
          </w:tcPr>
          <w:p w14:paraId="6C63DD68">
            <w:pPr>
              <w:wordWrap/>
              <w:topLinePunct w:val="0"/>
              <w:adjustRightInd/>
              <w:snapToGrid/>
              <w:ind w:firstLine="0" w:firstLineChars="0"/>
              <w:jc w:val="center"/>
              <w:rPr>
                <w:rFonts w:cs="Times New Roman"/>
                <w:sz w:val="21"/>
                <w:szCs w:val="21"/>
              </w:rPr>
            </w:pPr>
            <w:r>
              <w:rPr>
                <w:rFonts w:cs="Times New Roman"/>
                <w:sz w:val="21"/>
                <w:szCs w:val="21"/>
              </w:rPr>
              <w:t>台</w:t>
            </w:r>
          </w:p>
        </w:tc>
        <w:tc>
          <w:tcPr>
            <w:tcW w:w="1134" w:type="dxa"/>
            <w:vAlign w:val="center"/>
          </w:tcPr>
          <w:p w14:paraId="38780134">
            <w:pPr>
              <w:wordWrap/>
              <w:topLinePunct w:val="0"/>
              <w:adjustRightInd/>
              <w:snapToGrid/>
              <w:ind w:firstLine="0" w:firstLineChars="0"/>
              <w:jc w:val="center"/>
              <w:rPr>
                <w:rFonts w:cs="Times New Roman"/>
                <w:sz w:val="21"/>
                <w:szCs w:val="21"/>
              </w:rPr>
            </w:pPr>
            <w:r>
              <w:rPr>
                <w:rFonts w:cs="Times New Roman"/>
                <w:sz w:val="21"/>
                <w:szCs w:val="21"/>
              </w:rPr>
              <w:t>3</w:t>
            </w:r>
          </w:p>
        </w:tc>
        <w:tc>
          <w:tcPr>
            <w:tcW w:w="1493" w:type="dxa"/>
            <w:vAlign w:val="center"/>
          </w:tcPr>
          <w:p w14:paraId="746A4EB0">
            <w:pPr>
              <w:wordWrap/>
              <w:topLinePunct w:val="0"/>
              <w:adjustRightInd/>
              <w:snapToGrid/>
              <w:ind w:firstLine="0" w:firstLineChars="0"/>
              <w:jc w:val="center"/>
              <w:rPr>
                <w:rFonts w:cs="Times New Roman"/>
                <w:sz w:val="21"/>
                <w:szCs w:val="21"/>
              </w:rPr>
            </w:pPr>
            <w:r>
              <w:rPr>
                <w:rFonts w:cs="Times New Roman"/>
                <w:sz w:val="21"/>
                <w:szCs w:val="21"/>
              </w:rPr>
              <w:t>710KW</w:t>
            </w:r>
          </w:p>
        </w:tc>
      </w:tr>
      <w:tr w14:paraId="56F7F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5C518E54">
            <w:pPr>
              <w:wordWrap/>
              <w:topLinePunct w:val="0"/>
              <w:adjustRightInd/>
              <w:snapToGrid/>
              <w:ind w:firstLine="0" w:firstLineChars="0"/>
              <w:jc w:val="center"/>
              <w:rPr>
                <w:rFonts w:cs="Times New Roman"/>
                <w:sz w:val="21"/>
                <w:szCs w:val="21"/>
              </w:rPr>
            </w:pPr>
            <w:r>
              <w:rPr>
                <w:rFonts w:eastAsia="Times New Roman" w:cs="Times New Roman"/>
                <w:kern w:val="0"/>
                <w:sz w:val="21"/>
                <w:szCs w:val="21"/>
              </w:rPr>
              <w:t>3</w:t>
            </w:r>
          </w:p>
        </w:tc>
        <w:tc>
          <w:tcPr>
            <w:tcW w:w="1303" w:type="dxa"/>
            <w:vAlign w:val="center"/>
          </w:tcPr>
          <w:p w14:paraId="4B30AD2F">
            <w:pPr>
              <w:wordWrap/>
              <w:topLinePunct w:val="0"/>
              <w:adjustRightInd/>
              <w:snapToGrid/>
              <w:ind w:firstLine="0" w:firstLineChars="0"/>
              <w:jc w:val="center"/>
              <w:rPr>
                <w:rFonts w:cs="Times New Roman"/>
                <w:sz w:val="21"/>
                <w:szCs w:val="21"/>
              </w:rPr>
            </w:pPr>
            <w:r>
              <w:rPr>
                <w:rFonts w:cs="Times New Roman"/>
                <w:sz w:val="21"/>
                <w:szCs w:val="21"/>
              </w:rPr>
              <w:t>输卤泵</w:t>
            </w:r>
          </w:p>
        </w:tc>
        <w:tc>
          <w:tcPr>
            <w:tcW w:w="1984" w:type="dxa"/>
            <w:vAlign w:val="center"/>
          </w:tcPr>
          <w:p w14:paraId="7F927991">
            <w:pPr>
              <w:wordWrap/>
              <w:topLinePunct w:val="0"/>
              <w:adjustRightInd/>
              <w:snapToGrid/>
              <w:ind w:firstLine="0" w:firstLineChars="0"/>
              <w:jc w:val="center"/>
              <w:rPr>
                <w:rFonts w:cs="Times New Roman"/>
                <w:sz w:val="21"/>
                <w:szCs w:val="21"/>
              </w:rPr>
            </w:pPr>
            <w:r>
              <w:rPr>
                <w:rFonts w:cs="Times New Roman"/>
                <w:sz w:val="21"/>
                <w:szCs w:val="21"/>
              </w:rPr>
              <w:t>HCC-250B</w:t>
            </w:r>
          </w:p>
        </w:tc>
        <w:tc>
          <w:tcPr>
            <w:tcW w:w="1559" w:type="dxa"/>
            <w:vAlign w:val="center"/>
          </w:tcPr>
          <w:p w14:paraId="599F9F43">
            <w:pPr>
              <w:wordWrap/>
              <w:topLinePunct w:val="0"/>
              <w:adjustRightInd/>
              <w:snapToGrid/>
              <w:ind w:firstLine="0" w:firstLineChars="0"/>
              <w:jc w:val="center"/>
              <w:rPr>
                <w:rFonts w:cs="Times New Roman"/>
                <w:sz w:val="21"/>
                <w:szCs w:val="21"/>
              </w:rPr>
            </w:pPr>
            <w:r>
              <w:rPr>
                <w:rFonts w:cs="Times New Roman"/>
                <w:sz w:val="21"/>
                <w:szCs w:val="21"/>
              </w:rPr>
              <w:t>台</w:t>
            </w:r>
          </w:p>
        </w:tc>
        <w:tc>
          <w:tcPr>
            <w:tcW w:w="1134" w:type="dxa"/>
            <w:vAlign w:val="center"/>
          </w:tcPr>
          <w:p w14:paraId="780DD317">
            <w:pPr>
              <w:wordWrap/>
              <w:topLinePunct w:val="0"/>
              <w:adjustRightInd/>
              <w:snapToGrid/>
              <w:ind w:firstLine="0" w:firstLineChars="0"/>
              <w:jc w:val="center"/>
              <w:rPr>
                <w:rFonts w:cs="Times New Roman"/>
                <w:sz w:val="21"/>
                <w:szCs w:val="21"/>
              </w:rPr>
            </w:pPr>
            <w:r>
              <w:rPr>
                <w:rFonts w:cs="Times New Roman"/>
                <w:sz w:val="21"/>
                <w:szCs w:val="21"/>
              </w:rPr>
              <w:t>4</w:t>
            </w:r>
          </w:p>
        </w:tc>
        <w:tc>
          <w:tcPr>
            <w:tcW w:w="1493" w:type="dxa"/>
            <w:vAlign w:val="center"/>
          </w:tcPr>
          <w:p w14:paraId="158A78AD">
            <w:pPr>
              <w:wordWrap/>
              <w:topLinePunct w:val="0"/>
              <w:adjustRightInd/>
              <w:snapToGrid/>
              <w:ind w:firstLine="0" w:firstLineChars="0"/>
              <w:jc w:val="center"/>
              <w:rPr>
                <w:rFonts w:cs="Times New Roman"/>
                <w:sz w:val="21"/>
                <w:szCs w:val="21"/>
              </w:rPr>
            </w:pPr>
            <w:r>
              <w:rPr>
                <w:rFonts w:cs="Times New Roman"/>
                <w:sz w:val="21"/>
                <w:szCs w:val="21"/>
              </w:rPr>
              <w:t>55KW</w:t>
            </w:r>
          </w:p>
        </w:tc>
      </w:tr>
      <w:tr w14:paraId="478C8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394FB7A8">
            <w:pPr>
              <w:wordWrap/>
              <w:topLinePunct w:val="0"/>
              <w:adjustRightInd/>
              <w:snapToGrid/>
              <w:ind w:firstLine="0" w:firstLineChars="0"/>
              <w:jc w:val="center"/>
              <w:rPr>
                <w:rFonts w:cs="Times New Roman"/>
                <w:sz w:val="21"/>
                <w:szCs w:val="21"/>
              </w:rPr>
            </w:pPr>
            <w:r>
              <w:rPr>
                <w:rFonts w:eastAsia="Times New Roman" w:cs="Times New Roman"/>
                <w:kern w:val="0"/>
                <w:sz w:val="21"/>
                <w:szCs w:val="21"/>
              </w:rPr>
              <w:t>4</w:t>
            </w:r>
          </w:p>
        </w:tc>
        <w:tc>
          <w:tcPr>
            <w:tcW w:w="1303" w:type="dxa"/>
            <w:vAlign w:val="center"/>
          </w:tcPr>
          <w:p w14:paraId="32BCC093">
            <w:pPr>
              <w:wordWrap/>
              <w:topLinePunct w:val="0"/>
              <w:adjustRightInd/>
              <w:snapToGrid/>
              <w:ind w:firstLine="0" w:firstLineChars="0"/>
              <w:jc w:val="center"/>
              <w:rPr>
                <w:rFonts w:cs="Times New Roman"/>
                <w:sz w:val="21"/>
                <w:szCs w:val="21"/>
              </w:rPr>
            </w:pPr>
            <w:bookmarkStart w:id="354" w:name="_Hlk89091486"/>
            <w:r>
              <w:rPr>
                <w:rFonts w:cs="Times New Roman"/>
                <w:sz w:val="21"/>
                <w:szCs w:val="21"/>
              </w:rPr>
              <w:t>废卤泵</w:t>
            </w:r>
            <w:bookmarkEnd w:id="354"/>
          </w:p>
        </w:tc>
        <w:tc>
          <w:tcPr>
            <w:tcW w:w="1984" w:type="dxa"/>
            <w:vAlign w:val="center"/>
          </w:tcPr>
          <w:p w14:paraId="6522A138">
            <w:pPr>
              <w:wordWrap/>
              <w:topLinePunct w:val="0"/>
              <w:adjustRightInd/>
              <w:snapToGrid/>
              <w:ind w:firstLine="0" w:firstLineChars="0"/>
              <w:jc w:val="center"/>
              <w:rPr>
                <w:rFonts w:cs="Times New Roman"/>
                <w:sz w:val="21"/>
                <w:szCs w:val="21"/>
              </w:rPr>
            </w:pPr>
            <w:r>
              <w:rPr>
                <w:rFonts w:cs="Times New Roman"/>
                <w:sz w:val="21"/>
                <w:szCs w:val="21"/>
              </w:rPr>
              <w:t>IS100-65-250</w:t>
            </w:r>
          </w:p>
        </w:tc>
        <w:tc>
          <w:tcPr>
            <w:tcW w:w="1559" w:type="dxa"/>
            <w:vAlign w:val="center"/>
          </w:tcPr>
          <w:p w14:paraId="516761F4">
            <w:pPr>
              <w:wordWrap/>
              <w:topLinePunct w:val="0"/>
              <w:adjustRightInd/>
              <w:snapToGrid/>
              <w:ind w:firstLine="0" w:firstLineChars="0"/>
              <w:jc w:val="center"/>
              <w:rPr>
                <w:rFonts w:cs="Times New Roman"/>
                <w:sz w:val="21"/>
                <w:szCs w:val="21"/>
              </w:rPr>
            </w:pPr>
            <w:r>
              <w:rPr>
                <w:rFonts w:cs="Times New Roman"/>
                <w:sz w:val="21"/>
                <w:szCs w:val="21"/>
              </w:rPr>
              <w:t>台</w:t>
            </w:r>
          </w:p>
        </w:tc>
        <w:tc>
          <w:tcPr>
            <w:tcW w:w="1134" w:type="dxa"/>
            <w:vAlign w:val="center"/>
          </w:tcPr>
          <w:p w14:paraId="6B752513">
            <w:pPr>
              <w:wordWrap/>
              <w:topLinePunct w:val="0"/>
              <w:adjustRightInd/>
              <w:snapToGrid/>
              <w:ind w:firstLine="0" w:firstLineChars="0"/>
              <w:jc w:val="center"/>
              <w:rPr>
                <w:rFonts w:cs="Times New Roman"/>
                <w:sz w:val="21"/>
                <w:szCs w:val="21"/>
              </w:rPr>
            </w:pPr>
            <w:r>
              <w:rPr>
                <w:rFonts w:cs="Times New Roman"/>
                <w:sz w:val="21"/>
                <w:szCs w:val="21"/>
              </w:rPr>
              <w:t>1</w:t>
            </w:r>
          </w:p>
        </w:tc>
        <w:tc>
          <w:tcPr>
            <w:tcW w:w="1493" w:type="dxa"/>
            <w:vAlign w:val="center"/>
          </w:tcPr>
          <w:p w14:paraId="6AEC6B37">
            <w:pPr>
              <w:wordWrap/>
              <w:topLinePunct w:val="0"/>
              <w:adjustRightInd/>
              <w:snapToGrid/>
              <w:ind w:firstLine="0" w:firstLineChars="0"/>
              <w:jc w:val="center"/>
              <w:rPr>
                <w:rFonts w:cs="Times New Roman"/>
                <w:sz w:val="21"/>
                <w:szCs w:val="21"/>
              </w:rPr>
            </w:pPr>
          </w:p>
        </w:tc>
      </w:tr>
      <w:tr w14:paraId="25FB8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0E40720D">
            <w:pPr>
              <w:wordWrap/>
              <w:topLinePunct w:val="0"/>
              <w:adjustRightInd/>
              <w:snapToGrid/>
              <w:ind w:firstLine="0" w:firstLineChars="0"/>
              <w:jc w:val="center"/>
              <w:rPr>
                <w:rFonts w:cs="Times New Roman" w:eastAsiaTheme="minorEastAsia"/>
                <w:kern w:val="0"/>
                <w:sz w:val="21"/>
                <w:szCs w:val="21"/>
              </w:rPr>
            </w:pPr>
            <w:r>
              <w:rPr>
                <w:rFonts w:cs="Times New Roman" w:eastAsiaTheme="minorEastAsia"/>
                <w:kern w:val="0"/>
                <w:sz w:val="21"/>
                <w:szCs w:val="21"/>
              </w:rPr>
              <w:t>5</w:t>
            </w:r>
          </w:p>
        </w:tc>
        <w:tc>
          <w:tcPr>
            <w:tcW w:w="1303" w:type="dxa"/>
            <w:vAlign w:val="center"/>
          </w:tcPr>
          <w:p w14:paraId="278FAA46">
            <w:pPr>
              <w:wordWrap/>
              <w:topLinePunct w:val="0"/>
              <w:adjustRightInd/>
              <w:snapToGrid/>
              <w:ind w:firstLine="0" w:firstLineChars="0"/>
              <w:jc w:val="center"/>
              <w:rPr>
                <w:rFonts w:cs="Times New Roman"/>
                <w:sz w:val="21"/>
                <w:szCs w:val="21"/>
              </w:rPr>
            </w:pPr>
            <w:bookmarkStart w:id="355" w:name="_Hlk88661400"/>
            <w:r>
              <w:rPr>
                <w:rFonts w:cs="Times New Roman"/>
                <w:sz w:val="21"/>
                <w:szCs w:val="21"/>
              </w:rPr>
              <w:t>卤水池</w:t>
            </w:r>
            <w:bookmarkEnd w:id="355"/>
          </w:p>
        </w:tc>
        <w:tc>
          <w:tcPr>
            <w:tcW w:w="1984" w:type="dxa"/>
            <w:vAlign w:val="center"/>
          </w:tcPr>
          <w:p w14:paraId="2CE1DAB6">
            <w:pPr>
              <w:wordWrap/>
              <w:topLinePunct w:val="0"/>
              <w:adjustRightInd/>
              <w:snapToGrid/>
              <w:ind w:firstLine="0" w:firstLineChars="0"/>
              <w:jc w:val="center"/>
              <w:rPr>
                <w:rFonts w:cs="Times New Roman"/>
                <w:sz w:val="21"/>
                <w:szCs w:val="21"/>
              </w:rPr>
            </w:pPr>
            <w:r>
              <w:rPr>
                <w:rFonts w:cs="Times New Roman"/>
                <w:sz w:val="21"/>
                <w:szCs w:val="21"/>
              </w:rPr>
              <w:t>5000m</w:t>
            </w:r>
            <w:r>
              <w:rPr>
                <w:rFonts w:cs="Times New Roman"/>
                <w:sz w:val="21"/>
                <w:szCs w:val="21"/>
                <w:vertAlign w:val="superscript"/>
              </w:rPr>
              <w:t>3</w:t>
            </w:r>
          </w:p>
        </w:tc>
        <w:tc>
          <w:tcPr>
            <w:tcW w:w="1559" w:type="dxa"/>
            <w:vAlign w:val="center"/>
          </w:tcPr>
          <w:p w14:paraId="320F498B">
            <w:pPr>
              <w:wordWrap/>
              <w:topLinePunct w:val="0"/>
              <w:adjustRightInd/>
              <w:snapToGrid/>
              <w:ind w:firstLine="0" w:firstLineChars="0"/>
              <w:jc w:val="center"/>
              <w:rPr>
                <w:rFonts w:cs="Times New Roman"/>
                <w:sz w:val="21"/>
                <w:szCs w:val="21"/>
              </w:rPr>
            </w:pPr>
            <w:r>
              <w:rPr>
                <w:rFonts w:cs="Times New Roman"/>
                <w:sz w:val="21"/>
                <w:szCs w:val="21"/>
              </w:rPr>
              <w:t>个</w:t>
            </w:r>
          </w:p>
        </w:tc>
        <w:tc>
          <w:tcPr>
            <w:tcW w:w="1134" w:type="dxa"/>
            <w:vAlign w:val="center"/>
          </w:tcPr>
          <w:p w14:paraId="599DD392">
            <w:pPr>
              <w:wordWrap/>
              <w:topLinePunct w:val="0"/>
              <w:adjustRightInd/>
              <w:snapToGrid/>
              <w:ind w:firstLine="0" w:firstLineChars="0"/>
              <w:jc w:val="center"/>
              <w:rPr>
                <w:rFonts w:cs="Times New Roman"/>
                <w:sz w:val="21"/>
                <w:szCs w:val="21"/>
              </w:rPr>
            </w:pPr>
            <w:r>
              <w:rPr>
                <w:rFonts w:cs="Times New Roman"/>
                <w:sz w:val="21"/>
                <w:szCs w:val="21"/>
              </w:rPr>
              <w:t>2</w:t>
            </w:r>
          </w:p>
        </w:tc>
        <w:tc>
          <w:tcPr>
            <w:tcW w:w="1493" w:type="dxa"/>
            <w:vAlign w:val="center"/>
          </w:tcPr>
          <w:p w14:paraId="18DB7FAA">
            <w:pPr>
              <w:wordWrap/>
              <w:topLinePunct w:val="0"/>
              <w:adjustRightInd/>
              <w:snapToGrid/>
              <w:ind w:firstLine="0" w:firstLineChars="0"/>
              <w:jc w:val="center"/>
              <w:rPr>
                <w:rFonts w:cs="Times New Roman"/>
                <w:sz w:val="21"/>
                <w:szCs w:val="21"/>
              </w:rPr>
            </w:pPr>
            <w:r>
              <w:rPr>
                <w:rFonts w:hint="eastAsia" w:cs="Times New Roman"/>
                <w:sz w:val="21"/>
                <w:szCs w:val="21"/>
              </w:rPr>
              <w:t>原</w:t>
            </w:r>
            <w:r>
              <w:rPr>
                <w:rFonts w:cs="Times New Roman"/>
                <w:sz w:val="21"/>
                <w:szCs w:val="21"/>
              </w:rPr>
              <w:t>卤暂存</w:t>
            </w:r>
          </w:p>
        </w:tc>
      </w:tr>
      <w:tr w14:paraId="3CA26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0102A138">
            <w:pPr>
              <w:wordWrap/>
              <w:topLinePunct w:val="0"/>
              <w:adjustRightInd/>
              <w:snapToGrid/>
              <w:ind w:firstLine="0" w:firstLineChars="0"/>
              <w:jc w:val="center"/>
              <w:rPr>
                <w:rFonts w:cs="Times New Roman" w:eastAsiaTheme="minorEastAsia"/>
                <w:kern w:val="0"/>
                <w:sz w:val="21"/>
                <w:szCs w:val="21"/>
              </w:rPr>
            </w:pPr>
            <w:r>
              <w:rPr>
                <w:rFonts w:cs="Times New Roman" w:eastAsiaTheme="minorEastAsia"/>
                <w:kern w:val="0"/>
                <w:sz w:val="21"/>
                <w:szCs w:val="21"/>
              </w:rPr>
              <w:t>6</w:t>
            </w:r>
          </w:p>
        </w:tc>
        <w:tc>
          <w:tcPr>
            <w:tcW w:w="1303" w:type="dxa"/>
            <w:vAlign w:val="center"/>
          </w:tcPr>
          <w:p w14:paraId="550C0BAA">
            <w:pPr>
              <w:wordWrap/>
              <w:topLinePunct w:val="0"/>
              <w:adjustRightInd/>
              <w:snapToGrid/>
              <w:ind w:firstLine="0" w:firstLineChars="0"/>
              <w:jc w:val="center"/>
              <w:rPr>
                <w:rFonts w:cs="Times New Roman"/>
                <w:sz w:val="21"/>
                <w:szCs w:val="21"/>
              </w:rPr>
            </w:pPr>
            <w:r>
              <w:rPr>
                <w:rFonts w:cs="Times New Roman"/>
                <w:sz w:val="21"/>
                <w:szCs w:val="21"/>
              </w:rPr>
              <w:t>淡卤池</w:t>
            </w:r>
          </w:p>
        </w:tc>
        <w:tc>
          <w:tcPr>
            <w:tcW w:w="1984" w:type="dxa"/>
            <w:vAlign w:val="center"/>
          </w:tcPr>
          <w:p w14:paraId="0D4D0FBB">
            <w:pPr>
              <w:wordWrap/>
              <w:topLinePunct w:val="0"/>
              <w:adjustRightInd/>
              <w:snapToGrid/>
              <w:ind w:firstLine="0" w:firstLineChars="0"/>
              <w:jc w:val="center"/>
              <w:rPr>
                <w:rFonts w:cs="Times New Roman"/>
                <w:sz w:val="21"/>
                <w:szCs w:val="21"/>
              </w:rPr>
            </w:pPr>
            <w:r>
              <w:rPr>
                <w:rFonts w:cs="Times New Roman"/>
                <w:sz w:val="21"/>
                <w:szCs w:val="21"/>
              </w:rPr>
              <w:t>3800m</w:t>
            </w:r>
            <w:r>
              <w:rPr>
                <w:rFonts w:cs="Times New Roman"/>
                <w:sz w:val="21"/>
                <w:szCs w:val="21"/>
                <w:vertAlign w:val="superscript"/>
              </w:rPr>
              <w:t>3</w:t>
            </w:r>
          </w:p>
        </w:tc>
        <w:tc>
          <w:tcPr>
            <w:tcW w:w="1559" w:type="dxa"/>
            <w:vAlign w:val="center"/>
          </w:tcPr>
          <w:p w14:paraId="24EFE9E5">
            <w:pPr>
              <w:wordWrap/>
              <w:topLinePunct w:val="0"/>
              <w:adjustRightInd/>
              <w:snapToGrid/>
              <w:ind w:firstLine="0" w:firstLineChars="0"/>
              <w:jc w:val="center"/>
              <w:rPr>
                <w:rFonts w:cs="Times New Roman"/>
                <w:sz w:val="21"/>
                <w:szCs w:val="21"/>
              </w:rPr>
            </w:pPr>
            <w:r>
              <w:rPr>
                <w:rFonts w:cs="Times New Roman"/>
                <w:sz w:val="21"/>
                <w:szCs w:val="21"/>
              </w:rPr>
              <w:t>个</w:t>
            </w:r>
          </w:p>
        </w:tc>
        <w:tc>
          <w:tcPr>
            <w:tcW w:w="1134" w:type="dxa"/>
            <w:vAlign w:val="center"/>
          </w:tcPr>
          <w:p w14:paraId="4330F497">
            <w:pPr>
              <w:wordWrap/>
              <w:topLinePunct w:val="0"/>
              <w:adjustRightInd/>
              <w:snapToGrid/>
              <w:ind w:firstLine="0" w:firstLineChars="0"/>
              <w:jc w:val="center"/>
              <w:rPr>
                <w:rFonts w:cs="Times New Roman"/>
                <w:sz w:val="21"/>
                <w:szCs w:val="21"/>
              </w:rPr>
            </w:pPr>
            <w:r>
              <w:rPr>
                <w:rFonts w:cs="Times New Roman"/>
                <w:sz w:val="21"/>
                <w:szCs w:val="21"/>
              </w:rPr>
              <w:t>2</w:t>
            </w:r>
          </w:p>
        </w:tc>
        <w:tc>
          <w:tcPr>
            <w:tcW w:w="1493" w:type="dxa"/>
            <w:vMerge w:val="restart"/>
            <w:vAlign w:val="center"/>
          </w:tcPr>
          <w:p w14:paraId="7BE7DBED">
            <w:pPr>
              <w:wordWrap/>
              <w:topLinePunct w:val="0"/>
              <w:adjustRightInd/>
              <w:snapToGrid/>
              <w:spacing w:line="240" w:lineRule="auto"/>
              <w:ind w:firstLine="0" w:firstLineChars="0"/>
              <w:jc w:val="center"/>
              <w:rPr>
                <w:rFonts w:cs="Times New Roman"/>
                <w:sz w:val="21"/>
                <w:szCs w:val="21"/>
              </w:rPr>
            </w:pPr>
            <w:r>
              <w:rPr>
                <w:rFonts w:cs="Times New Roman"/>
                <w:sz w:val="21"/>
                <w:szCs w:val="21"/>
              </w:rPr>
              <w:t>采卤回用水暂存</w:t>
            </w:r>
            <w:r>
              <w:rPr>
                <w:rFonts w:hint="eastAsia" w:cs="Times New Roman"/>
                <w:sz w:val="21"/>
                <w:szCs w:val="21"/>
              </w:rPr>
              <w:t>及事故状态下泄露卤水暂存</w:t>
            </w:r>
          </w:p>
        </w:tc>
      </w:tr>
      <w:tr w14:paraId="69CF0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7041EABA">
            <w:pPr>
              <w:wordWrap/>
              <w:topLinePunct w:val="0"/>
              <w:adjustRightInd/>
              <w:snapToGrid/>
              <w:ind w:firstLine="0" w:firstLineChars="0"/>
              <w:jc w:val="center"/>
              <w:rPr>
                <w:rFonts w:cs="Times New Roman" w:eastAsiaTheme="minorEastAsia"/>
                <w:kern w:val="0"/>
                <w:sz w:val="21"/>
                <w:szCs w:val="21"/>
              </w:rPr>
            </w:pPr>
            <w:r>
              <w:rPr>
                <w:rFonts w:cs="Times New Roman" w:eastAsiaTheme="minorEastAsia"/>
                <w:kern w:val="0"/>
                <w:sz w:val="21"/>
                <w:szCs w:val="21"/>
              </w:rPr>
              <w:t>7</w:t>
            </w:r>
          </w:p>
        </w:tc>
        <w:tc>
          <w:tcPr>
            <w:tcW w:w="1303" w:type="dxa"/>
            <w:vAlign w:val="center"/>
          </w:tcPr>
          <w:p w14:paraId="20AB4D74">
            <w:pPr>
              <w:wordWrap/>
              <w:topLinePunct w:val="0"/>
              <w:adjustRightInd/>
              <w:snapToGrid/>
              <w:ind w:firstLine="0" w:firstLineChars="0"/>
              <w:jc w:val="center"/>
              <w:rPr>
                <w:rFonts w:cs="Times New Roman"/>
                <w:sz w:val="21"/>
                <w:szCs w:val="21"/>
              </w:rPr>
            </w:pPr>
            <w:r>
              <w:rPr>
                <w:rFonts w:cs="Times New Roman"/>
                <w:sz w:val="21"/>
                <w:szCs w:val="21"/>
              </w:rPr>
              <w:t>淡卤池</w:t>
            </w:r>
          </w:p>
        </w:tc>
        <w:tc>
          <w:tcPr>
            <w:tcW w:w="1984" w:type="dxa"/>
            <w:vAlign w:val="center"/>
          </w:tcPr>
          <w:p w14:paraId="34D4FA21">
            <w:pPr>
              <w:wordWrap/>
              <w:topLinePunct w:val="0"/>
              <w:adjustRightInd/>
              <w:snapToGrid/>
              <w:ind w:firstLine="0" w:firstLineChars="0"/>
              <w:jc w:val="center"/>
              <w:rPr>
                <w:rFonts w:cs="Times New Roman"/>
                <w:sz w:val="21"/>
                <w:szCs w:val="21"/>
              </w:rPr>
            </w:pPr>
            <w:r>
              <w:rPr>
                <w:rFonts w:cs="Times New Roman"/>
                <w:sz w:val="21"/>
                <w:szCs w:val="21"/>
              </w:rPr>
              <w:t>5000m</w:t>
            </w:r>
            <w:r>
              <w:rPr>
                <w:rFonts w:cs="Times New Roman"/>
                <w:sz w:val="21"/>
                <w:szCs w:val="21"/>
                <w:vertAlign w:val="superscript"/>
              </w:rPr>
              <w:t>3</w:t>
            </w:r>
          </w:p>
        </w:tc>
        <w:tc>
          <w:tcPr>
            <w:tcW w:w="1559" w:type="dxa"/>
            <w:vAlign w:val="center"/>
          </w:tcPr>
          <w:p w14:paraId="034B412F">
            <w:pPr>
              <w:wordWrap/>
              <w:topLinePunct w:val="0"/>
              <w:adjustRightInd/>
              <w:snapToGrid/>
              <w:ind w:firstLine="0" w:firstLineChars="0"/>
              <w:jc w:val="center"/>
              <w:rPr>
                <w:rFonts w:cs="Times New Roman"/>
                <w:sz w:val="21"/>
                <w:szCs w:val="21"/>
              </w:rPr>
            </w:pPr>
            <w:r>
              <w:rPr>
                <w:rFonts w:cs="Times New Roman"/>
                <w:sz w:val="21"/>
                <w:szCs w:val="21"/>
              </w:rPr>
              <w:t>个</w:t>
            </w:r>
          </w:p>
        </w:tc>
        <w:tc>
          <w:tcPr>
            <w:tcW w:w="1134" w:type="dxa"/>
            <w:vAlign w:val="center"/>
          </w:tcPr>
          <w:p w14:paraId="7DD40758">
            <w:pPr>
              <w:wordWrap/>
              <w:topLinePunct w:val="0"/>
              <w:adjustRightInd/>
              <w:snapToGrid/>
              <w:ind w:firstLine="0" w:firstLineChars="0"/>
              <w:jc w:val="center"/>
              <w:rPr>
                <w:rFonts w:cs="Times New Roman"/>
                <w:sz w:val="21"/>
                <w:szCs w:val="21"/>
              </w:rPr>
            </w:pPr>
            <w:r>
              <w:rPr>
                <w:rFonts w:cs="Times New Roman"/>
                <w:sz w:val="21"/>
                <w:szCs w:val="21"/>
              </w:rPr>
              <w:t>1</w:t>
            </w:r>
          </w:p>
        </w:tc>
        <w:tc>
          <w:tcPr>
            <w:tcW w:w="1493" w:type="dxa"/>
            <w:vMerge w:val="continue"/>
            <w:vAlign w:val="center"/>
          </w:tcPr>
          <w:p w14:paraId="26DA8F64">
            <w:pPr>
              <w:wordWrap/>
              <w:topLinePunct w:val="0"/>
              <w:adjustRightInd/>
              <w:snapToGrid/>
              <w:ind w:firstLine="0" w:firstLineChars="0"/>
              <w:jc w:val="center"/>
              <w:rPr>
                <w:rFonts w:cs="Times New Roman"/>
                <w:sz w:val="21"/>
                <w:szCs w:val="21"/>
              </w:rPr>
            </w:pPr>
          </w:p>
        </w:tc>
      </w:tr>
      <w:tr w14:paraId="46E1C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9" w:type="dxa"/>
            <w:vAlign w:val="center"/>
          </w:tcPr>
          <w:p w14:paraId="3201B669">
            <w:pPr>
              <w:wordWrap/>
              <w:topLinePunct w:val="0"/>
              <w:adjustRightInd/>
              <w:snapToGrid/>
              <w:ind w:firstLine="0" w:firstLineChars="0"/>
              <w:jc w:val="center"/>
              <w:rPr>
                <w:rFonts w:cs="Times New Roman" w:eastAsiaTheme="minorEastAsia"/>
                <w:kern w:val="0"/>
                <w:sz w:val="21"/>
                <w:szCs w:val="21"/>
              </w:rPr>
            </w:pPr>
            <w:r>
              <w:rPr>
                <w:rFonts w:hint="eastAsia" w:cs="Times New Roman" w:eastAsiaTheme="minorEastAsia"/>
                <w:kern w:val="0"/>
                <w:sz w:val="21"/>
                <w:szCs w:val="21"/>
              </w:rPr>
              <w:t>8</w:t>
            </w:r>
          </w:p>
        </w:tc>
        <w:tc>
          <w:tcPr>
            <w:tcW w:w="1303" w:type="dxa"/>
            <w:vAlign w:val="center"/>
          </w:tcPr>
          <w:p w14:paraId="4BA6EE74">
            <w:pPr>
              <w:wordWrap/>
              <w:topLinePunct w:val="0"/>
              <w:adjustRightInd/>
              <w:snapToGrid/>
              <w:ind w:firstLine="0" w:firstLineChars="0"/>
              <w:jc w:val="center"/>
              <w:rPr>
                <w:rFonts w:cs="Times New Roman"/>
                <w:sz w:val="21"/>
                <w:szCs w:val="21"/>
              </w:rPr>
            </w:pPr>
            <w:r>
              <w:rPr>
                <w:rFonts w:hint="eastAsia" w:cs="Times New Roman"/>
                <w:sz w:val="21"/>
                <w:szCs w:val="21"/>
              </w:rPr>
              <w:t>废卤池</w:t>
            </w:r>
          </w:p>
        </w:tc>
        <w:tc>
          <w:tcPr>
            <w:tcW w:w="1984" w:type="dxa"/>
            <w:vAlign w:val="center"/>
          </w:tcPr>
          <w:p w14:paraId="746CE1A7">
            <w:pPr>
              <w:wordWrap/>
              <w:topLinePunct w:val="0"/>
              <w:adjustRightInd/>
              <w:snapToGrid/>
              <w:ind w:firstLine="0" w:firstLineChars="0"/>
              <w:jc w:val="center"/>
              <w:rPr>
                <w:rFonts w:cs="Times New Roman"/>
                <w:sz w:val="21"/>
                <w:szCs w:val="21"/>
              </w:rPr>
            </w:pPr>
            <w:r>
              <w:rPr>
                <w:rFonts w:hint="eastAsia" w:cs="Times New Roman"/>
                <w:sz w:val="21"/>
                <w:szCs w:val="21"/>
              </w:rPr>
              <w:t>1</w:t>
            </w:r>
            <w:r>
              <w:rPr>
                <w:rFonts w:cs="Times New Roman"/>
                <w:sz w:val="21"/>
                <w:szCs w:val="21"/>
              </w:rPr>
              <w:t>000m</w:t>
            </w:r>
            <w:r>
              <w:rPr>
                <w:rFonts w:cs="Times New Roman"/>
                <w:sz w:val="21"/>
                <w:szCs w:val="21"/>
                <w:vertAlign w:val="superscript"/>
              </w:rPr>
              <w:t>3</w:t>
            </w:r>
          </w:p>
        </w:tc>
        <w:tc>
          <w:tcPr>
            <w:tcW w:w="1559" w:type="dxa"/>
            <w:vAlign w:val="center"/>
          </w:tcPr>
          <w:p w14:paraId="1F3C07D0">
            <w:pPr>
              <w:wordWrap/>
              <w:topLinePunct w:val="0"/>
              <w:adjustRightInd/>
              <w:snapToGrid/>
              <w:ind w:firstLine="0" w:firstLineChars="0"/>
              <w:jc w:val="center"/>
              <w:rPr>
                <w:rFonts w:cs="Times New Roman"/>
                <w:sz w:val="21"/>
                <w:szCs w:val="21"/>
              </w:rPr>
            </w:pPr>
            <w:r>
              <w:rPr>
                <w:rFonts w:hint="eastAsia" w:cs="Times New Roman"/>
                <w:sz w:val="21"/>
                <w:szCs w:val="21"/>
              </w:rPr>
              <w:t>个</w:t>
            </w:r>
          </w:p>
        </w:tc>
        <w:tc>
          <w:tcPr>
            <w:tcW w:w="1134" w:type="dxa"/>
            <w:vAlign w:val="center"/>
          </w:tcPr>
          <w:p w14:paraId="1F6DE431">
            <w:pPr>
              <w:wordWrap/>
              <w:topLinePunct w:val="0"/>
              <w:adjustRightInd/>
              <w:snapToGrid/>
              <w:ind w:firstLine="0" w:firstLineChars="0"/>
              <w:jc w:val="center"/>
              <w:rPr>
                <w:rFonts w:cs="Times New Roman"/>
                <w:sz w:val="21"/>
                <w:szCs w:val="21"/>
              </w:rPr>
            </w:pPr>
            <w:r>
              <w:rPr>
                <w:rFonts w:hint="eastAsia" w:cs="Times New Roman"/>
                <w:sz w:val="21"/>
                <w:szCs w:val="21"/>
              </w:rPr>
              <w:t>1</w:t>
            </w:r>
          </w:p>
        </w:tc>
        <w:tc>
          <w:tcPr>
            <w:tcW w:w="1493" w:type="dxa"/>
            <w:vAlign w:val="center"/>
          </w:tcPr>
          <w:p w14:paraId="660F6D8F">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用作卤水泄露事故池</w:t>
            </w:r>
          </w:p>
        </w:tc>
      </w:tr>
    </w:tbl>
    <w:p w14:paraId="1FE62DAE">
      <w:pPr>
        <w:pStyle w:val="3"/>
        <w:ind w:firstLine="519"/>
        <w:rPr>
          <w:rFonts w:cs="Times New Roman"/>
        </w:rPr>
      </w:pPr>
    </w:p>
    <w:p w14:paraId="58E0F298">
      <w:pPr>
        <w:pStyle w:val="8"/>
        <w:ind w:firstLine="0" w:firstLineChars="0"/>
        <w:rPr>
          <w:rFonts w:cs="Times New Roman"/>
        </w:rPr>
      </w:pPr>
      <w:r>
        <w:rPr>
          <w:rFonts w:cs="Times New Roman"/>
        </w:rPr>
        <w:t>4.1.2.3 生产工艺流程及生产规模</w:t>
      </w:r>
    </w:p>
    <w:p w14:paraId="71F0DE05">
      <w:pPr>
        <w:ind w:firstLine="519"/>
        <w:rPr>
          <w:rFonts w:cs="Times New Roman"/>
        </w:rPr>
      </w:pPr>
      <w:r>
        <w:rPr>
          <w:rFonts w:cs="Times New Roman"/>
        </w:rPr>
        <w:t>现有工程由建滔（衡阳）实业有限公司回用水提供采卤用水。回用水来自于建滔（衡阳）实业有限公司二次盐水精制、</w:t>
      </w:r>
      <w:r>
        <w:rPr>
          <w:rFonts w:hint="eastAsia" w:cs="Times New Roman"/>
        </w:rPr>
        <w:t>氯气冷却冷凝水、</w:t>
      </w:r>
      <w:r>
        <w:rPr>
          <w:rFonts w:cs="Times New Roman"/>
        </w:rPr>
        <w:t>电解槽淡盐水等装置回用水，经地下管道输送至淡卤池。采卤用水经回用水池→采卤泵→注水主管→注水</w:t>
      </w:r>
      <w:r>
        <w:rPr>
          <w:rFonts w:hint="eastAsia" w:cs="Times New Roman"/>
        </w:rPr>
        <w:t>副</w:t>
      </w:r>
      <w:r>
        <w:rPr>
          <w:rFonts w:cs="Times New Roman"/>
        </w:rPr>
        <w:t>主管→注水支管→采卤</w:t>
      </w:r>
      <w:r>
        <w:rPr>
          <w:rFonts w:hint="eastAsia" w:cs="Times New Roman"/>
        </w:rPr>
        <w:t>泵</w:t>
      </w:r>
      <w:r>
        <w:rPr>
          <w:rFonts w:cs="Times New Roman"/>
        </w:rPr>
        <w:t>→井下溶解岩盐→卤水→回流支管→回流</w:t>
      </w:r>
      <w:r>
        <w:rPr>
          <w:rFonts w:hint="eastAsia" w:cs="Times New Roman"/>
        </w:rPr>
        <w:t>副</w:t>
      </w:r>
      <w:r>
        <w:rPr>
          <w:rFonts w:cs="Times New Roman"/>
        </w:rPr>
        <w:t>主管→回流主管→供卤池→输卤管→进入建滔（衡阳）实业有限公司。</w:t>
      </w:r>
    </w:p>
    <w:p w14:paraId="4A856B66">
      <w:pPr>
        <w:pStyle w:val="2"/>
        <w:ind w:firstLine="519"/>
        <w:rPr>
          <w:rFonts w:cs="Times New Roman"/>
        </w:rPr>
      </w:pPr>
      <w:r>
        <w:rPr>
          <w:rFonts w:cs="Times New Roman"/>
        </w:rPr>
        <w:t>根据矿山提供的2006年11月~2020年12月矿山各卤井采卤量统计表</w:t>
      </w:r>
      <w:r>
        <w:rPr>
          <w:rFonts w:hint="eastAsia" w:cs="Times New Roman"/>
        </w:rPr>
        <w:t>（见附件）</w:t>
      </w:r>
      <w:r>
        <w:rPr>
          <w:rFonts w:cs="Times New Roman"/>
        </w:rPr>
        <w:t>，2020年岩盐矿供应</w:t>
      </w:r>
      <w:r>
        <w:rPr>
          <w:rFonts w:hint="eastAsia" w:cs="Times New Roman"/>
        </w:rPr>
        <w:t>原卤</w:t>
      </w:r>
      <w:r>
        <w:rPr>
          <w:rFonts w:cs="Times New Roman"/>
        </w:rPr>
        <w:t>卤水量为206.4万m</w:t>
      </w:r>
      <w:r>
        <w:rPr>
          <w:rFonts w:cs="Times New Roman"/>
          <w:vertAlign w:val="superscript"/>
        </w:rPr>
        <w:t>3</w:t>
      </w:r>
      <w:r>
        <w:rPr>
          <w:rFonts w:cs="Times New Roman"/>
        </w:rPr>
        <w:t>（</w:t>
      </w:r>
      <w:r>
        <w:rPr>
          <w:rFonts w:hint="eastAsia" w:cs="Times New Roman"/>
        </w:rPr>
        <w:t>按N</w:t>
      </w:r>
      <w:r>
        <w:rPr>
          <w:rFonts w:cs="Times New Roman"/>
        </w:rPr>
        <w:t>a</w:t>
      </w:r>
      <w:r>
        <w:rPr>
          <w:rFonts w:hint="eastAsia" w:cs="Times New Roman"/>
        </w:rPr>
        <w:t>Cl浓度2</w:t>
      </w:r>
      <w:r>
        <w:rPr>
          <w:rFonts w:cs="Times New Roman"/>
        </w:rPr>
        <w:t>97.5g/L</w:t>
      </w:r>
      <w:r>
        <w:rPr>
          <w:rFonts w:hint="eastAsia" w:cs="Times New Roman"/>
        </w:rPr>
        <w:t>计算，</w:t>
      </w:r>
      <w:r>
        <w:rPr>
          <w:rFonts w:cs="Times New Roman"/>
        </w:rPr>
        <w:t>折合</w:t>
      </w:r>
      <w:r>
        <w:rPr>
          <w:rFonts w:hint="eastAsia" w:cs="Times New Roman"/>
        </w:rPr>
        <w:t>N</w:t>
      </w:r>
      <w:r>
        <w:rPr>
          <w:rFonts w:cs="Times New Roman"/>
        </w:rPr>
        <w:t>aCl</w:t>
      </w:r>
      <w:r>
        <w:rPr>
          <w:rFonts w:hint="eastAsia" w:cs="Times New Roman"/>
        </w:rPr>
        <w:t>矿物</w:t>
      </w:r>
      <w:r>
        <w:rPr>
          <w:rFonts w:cs="Times New Roman"/>
        </w:rPr>
        <w:t>量61.4万t/a），可见，目前本项目的生产基本处于满负荷运行状态。</w:t>
      </w:r>
    </w:p>
    <w:p w14:paraId="7464745A">
      <w:pPr>
        <w:pStyle w:val="8"/>
        <w:ind w:firstLine="0" w:firstLineChars="0"/>
        <w:rPr>
          <w:rFonts w:cs="Times New Roman"/>
        </w:rPr>
      </w:pPr>
      <w:r>
        <w:rPr>
          <w:rFonts w:cs="Times New Roman"/>
        </w:rPr>
        <w:t xml:space="preserve">4.1.2.3 </w:t>
      </w:r>
      <w:r>
        <w:rPr>
          <w:rFonts w:hint="eastAsia" w:cs="Times New Roman"/>
        </w:rPr>
        <w:t>现有工程污染物产排情况</w:t>
      </w:r>
    </w:p>
    <w:p w14:paraId="2BD3FC0A">
      <w:pPr>
        <w:pStyle w:val="3"/>
        <w:ind w:firstLine="519"/>
      </w:pPr>
      <w:r>
        <w:rPr>
          <w:rFonts w:hint="eastAsia"/>
        </w:rPr>
        <w:t>（1）废水</w:t>
      </w:r>
    </w:p>
    <w:p w14:paraId="0C18681A">
      <w:pPr>
        <w:ind w:firstLine="519"/>
      </w:pPr>
      <w:r>
        <w:rPr>
          <w:rFonts w:hint="eastAsia"/>
        </w:rPr>
        <w:t>现有工程员工依托</w:t>
      </w:r>
      <w:bookmarkStart w:id="356" w:name="_Hlk90915028"/>
      <w:r>
        <w:rPr>
          <w:rFonts w:hint="eastAsia"/>
        </w:rPr>
        <w:t>建滔（衡阳）实业有限公司离子膜烧碱生产部员工</w:t>
      </w:r>
      <w:bookmarkEnd w:id="356"/>
      <w:r>
        <w:rPr>
          <w:rFonts w:hint="eastAsia"/>
        </w:rPr>
        <w:t>，建滔（衡阳）实业有限公司离子膜烧碱生产部员工共计6</w:t>
      </w:r>
      <w:r>
        <w:t>0</w:t>
      </w:r>
      <w:r>
        <w:rPr>
          <w:rFonts w:hint="eastAsia"/>
        </w:rPr>
        <w:t>人，生活废水产生量为9</w:t>
      </w:r>
      <w:r>
        <w:t>m</w:t>
      </w:r>
      <w:r>
        <w:rPr>
          <w:vertAlign w:val="superscript"/>
        </w:rPr>
        <w:t>3</w:t>
      </w:r>
      <w:r>
        <w:t>/d</w:t>
      </w:r>
      <w:r>
        <w:rPr>
          <w:rFonts w:hint="eastAsia"/>
        </w:rPr>
        <w:t>，经建滔（衡阳）实业有限公司综合污水处理站处理后回用于生产。现有工程无生产废水产生。</w:t>
      </w:r>
    </w:p>
    <w:p w14:paraId="72F8EC4A">
      <w:pPr>
        <w:ind w:firstLine="519"/>
      </w:pPr>
      <w:r>
        <w:rPr>
          <w:rFonts w:hint="eastAsia"/>
        </w:rPr>
        <w:t>（2）废气</w:t>
      </w:r>
    </w:p>
    <w:p w14:paraId="50031A6B">
      <w:pPr>
        <w:pStyle w:val="2"/>
        <w:ind w:firstLine="519"/>
      </w:pPr>
      <w:r>
        <w:rPr>
          <w:rFonts w:hint="eastAsia"/>
        </w:rPr>
        <w:t>现有工程生产过程中无废气产生。</w:t>
      </w:r>
    </w:p>
    <w:p w14:paraId="12010914">
      <w:pPr>
        <w:pStyle w:val="3"/>
        <w:ind w:firstLine="519"/>
      </w:pPr>
      <w:r>
        <w:rPr>
          <w:rFonts w:hint="eastAsia"/>
        </w:rPr>
        <w:t>（3）固废</w:t>
      </w:r>
    </w:p>
    <w:p w14:paraId="35DD5741">
      <w:pPr>
        <w:ind w:firstLine="519"/>
      </w:pPr>
      <w:r>
        <w:rPr>
          <w:rFonts w:hint="eastAsia"/>
        </w:rPr>
        <w:t>职工生活垃圾产生量为</w:t>
      </w:r>
      <w:r>
        <w:t>30kg/d</w:t>
      </w:r>
      <w:r>
        <w:rPr>
          <w:rFonts w:hint="eastAsia"/>
        </w:rPr>
        <w:t>，依托园区环卫部门处理处置。生产过程中固废主要为卤水池残渣（</w:t>
      </w:r>
      <w:r>
        <w:t>21.15m</w:t>
      </w:r>
      <w:r>
        <w:rPr>
          <w:vertAlign w:val="superscript"/>
        </w:rPr>
        <w:t>3</w:t>
      </w:r>
      <w:r>
        <w:t>/a</w:t>
      </w:r>
      <w:r>
        <w:rPr>
          <w:rFonts w:hint="eastAsia"/>
        </w:rPr>
        <w:t>）及废机油（0</w:t>
      </w:r>
      <w:r>
        <w:t>.15 t/a</w:t>
      </w:r>
      <w:r>
        <w:rPr>
          <w:rFonts w:hint="eastAsia"/>
        </w:rPr>
        <w:t>），其中卤水池残渣依托建滔（衡阳）实业有限公司离子膜烧碱生产部处理处置，废机油</w:t>
      </w:r>
      <w:bookmarkStart w:id="357" w:name="_Hlk90973004"/>
      <w:r>
        <w:rPr>
          <w:rFonts w:hint="eastAsia"/>
        </w:rPr>
        <w:t>利用建滔（衡阳）实业有限公司</w:t>
      </w:r>
      <w:bookmarkEnd w:id="357"/>
      <w:r>
        <w:rPr>
          <w:rFonts w:hint="eastAsia"/>
        </w:rPr>
        <w:t>危废暂存间暂存后和建滔（衡阳）实业有限公司危废一并委托有资质单位处理处置。</w:t>
      </w:r>
    </w:p>
    <w:p w14:paraId="7A9502EC">
      <w:pPr>
        <w:pStyle w:val="9"/>
      </w:pPr>
      <w:r>
        <w:t xml:space="preserve">表4.1-5  </w:t>
      </w:r>
      <w:r>
        <w:rPr>
          <w:rFonts w:hint="eastAsia"/>
        </w:rPr>
        <w:t>现有工程</w:t>
      </w:r>
      <w:r>
        <w:t>排污汇总表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023"/>
        <w:gridCol w:w="930"/>
        <w:gridCol w:w="1379"/>
        <w:gridCol w:w="1834"/>
        <w:gridCol w:w="1168"/>
        <w:gridCol w:w="1175"/>
      </w:tblGrid>
      <w:tr w14:paraId="7ED80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3BDC58BA">
            <w:pPr>
              <w:spacing w:line="240" w:lineRule="auto"/>
              <w:ind w:firstLine="0" w:firstLineChars="0"/>
              <w:jc w:val="center"/>
              <w:rPr>
                <w:sz w:val="21"/>
                <w:szCs w:val="21"/>
              </w:rPr>
            </w:pPr>
            <w:r>
              <w:rPr>
                <w:rFonts w:hint="eastAsia"/>
                <w:sz w:val="21"/>
                <w:szCs w:val="21"/>
              </w:rPr>
              <w:t>种类</w:t>
            </w:r>
          </w:p>
        </w:tc>
        <w:tc>
          <w:tcPr>
            <w:tcW w:w="1023" w:type="dxa"/>
            <w:vAlign w:val="center"/>
          </w:tcPr>
          <w:p w14:paraId="39F21A69">
            <w:pPr>
              <w:spacing w:line="240" w:lineRule="auto"/>
              <w:ind w:firstLine="0" w:firstLineChars="0"/>
              <w:jc w:val="center"/>
              <w:rPr>
                <w:sz w:val="21"/>
                <w:szCs w:val="21"/>
              </w:rPr>
            </w:pPr>
            <w:r>
              <w:rPr>
                <w:rFonts w:hint="eastAsia"/>
                <w:sz w:val="21"/>
                <w:szCs w:val="21"/>
              </w:rPr>
              <w:t>污染源</w:t>
            </w:r>
          </w:p>
        </w:tc>
        <w:tc>
          <w:tcPr>
            <w:tcW w:w="930" w:type="dxa"/>
            <w:vAlign w:val="center"/>
          </w:tcPr>
          <w:p w14:paraId="22045760">
            <w:pPr>
              <w:spacing w:line="240" w:lineRule="auto"/>
              <w:ind w:firstLine="0" w:firstLineChars="0"/>
              <w:jc w:val="center"/>
              <w:rPr>
                <w:sz w:val="21"/>
                <w:szCs w:val="21"/>
              </w:rPr>
            </w:pPr>
            <w:r>
              <w:rPr>
                <w:rFonts w:hint="eastAsia"/>
                <w:sz w:val="21"/>
                <w:szCs w:val="21"/>
              </w:rPr>
              <w:t>污染物</w:t>
            </w:r>
          </w:p>
        </w:tc>
        <w:tc>
          <w:tcPr>
            <w:tcW w:w="1379" w:type="dxa"/>
            <w:vAlign w:val="center"/>
          </w:tcPr>
          <w:p w14:paraId="7A1FFB32">
            <w:pPr>
              <w:spacing w:line="240" w:lineRule="auto"/>
              <w:ind w:firstLine="0" w:firstLineChars="0"/>
              <w:jc w:val="center"/>
              <w:rPr>
                <w:sz w:val="21"/>
                <w:szCs w:val="21"/>
              </w:rPr>
            </w:pPr>
            <w:r>
              <w:rPr>
                <w:rFonts w:hint="eastAsia"/>
                <w:sz w:val="21"/>
                <w:szCs w:val="21"/>
              </w:rPr>
              <w:t>处理前产生量及产生浓度</w:t>
            </w:r>
          </w:p>
        </w:tc>
        <w:tc>
          <w:tcPr>
            <w:tcW w:w="1834" w:type="dxa"/>
            <w:vAlign w:val="center"/>
          </w:tcPr>
          <w:p w14:paraId="45D18FDE">
            <w:pPr>
              <w:spacing w:line="240" w:lineRule="auto"/>
              <w:ind w:firstLine="0" w:firstLineChars="0"/>
              <w:jc w:val="center"/>
              <w:rPr>
                <w:sz w:val="21"/>
                <w:szCs w:val="21"/>
              </w:rPr>
            </w:pPr>
            <w:r>
              <w:rPr>
                <w:rFonts w:hint="eastAsia"/>
                <w:sz w:val="21"/>
                <w:szCs w:val="21"/>
              </w:rPr>
              <w:t>处理措施</w:t>
            </w:r>
          </w:p>
        </w:tc>
        <w:tc>
          <w:tcPr>
            <w:tcW w:w="1168" w:type="dxa"/>
            <w:vAlign w:val="center"/>
          </w:tcPr>
          <w:p w14:paraId="79D62D8E">
            <w:pPr>
              <w:spacing w:line="240" w:lineRule="auto"/>
              <w:ind w:firstLine="0" w:firstLineChars="0"/>
              <w:jc w:val="center"/>
              <w:rPr>
                <w:sz w:val="21"/>
                <w:szCs w:val="21"/>
              </w:rPr>
            </w:pPr>
            <w:r>
              <w:rPr>
                <w:rFonts w:hint="eastAsia"/>
                <w:sz w:val="21"/>
                <w:szCs w:val="21"/>
              </w:rPr>
              <w:t>处理后排放量及排放浓度</w:t>
            </w:r>
          </w:p>
        </w:tc>
        <w:tc>
          <w:tcPr>
            <w:tcW w:w="1175" w:type="dxa"/>
            <w:vAlign w:val="center"/>
          </w:tcPr>
          <w:p w14:paraId="60C42C1E">
            <w:pPr>
              <w:spacing w:line="240" w:lineRule="auto"/>
              <w:ind w:firstLine="0" w:firstLineChars="0"/>
              <w:jc w:val="center"/>
              <w:rPr>
                <w:sz w:val="21"/>
                <w:szCs w:val="21"/>
              </w:rPr>
            </w:pPr>
            <w:r>
              <w:rPr>
                <w:rFonts w:hint="eastAsia"/>
                <w:sz w:val="21"/>
                <w:szCs w:val="21"/>
              </w:rPr>
              <w:t>最终去向</w:t>
            </w:r>
          </w:p>
        </w:tc>
      </w:tr>
      <w:tr w14:paraId="616C4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7D8601B4">
            <w:pPr>
              <w:spacing w:line="240" w:lineRule="auto"/>
              <w:ind w:firstLine="0" w:firstLineChars="0"/>
              <w:jc w:val="center"/>
              <w:rPr>
                <w:sz w:val="21"/>
                <w:szCs w:val="21"/>
              </w:rPr>
            </w:pPr>
            <w:r>
              <w:rPr>
                <w:rFonts w:hint="eastAsia"/>
                <w:sz w:val="21"/>
                <w:szCs w:val="21"/>
              </w:rPr>
              <w:t>废水</w:t>
            </w:r>
          </w:p>
        </w:tc>
        <w:tc>
          <w:tcPr>
            <w:tcW w:w="1023" w:type="dxa"/>
            <w:vAlign w:val="center"/>
          </w:tcPr>
          <w:p w14:paraId="4BDC4974">
            <w:pPr>
              <w:spacing w:line="240" w:lineRule="auto"/>
              <w:ind w:firstLine="0" w:firstLineChars="0"/>
              <w:jc w:val="center"/>
              <w:rPr>
                <w:sz w:val="21"/>
                <w:szCs w:val="21"/>
              </w:rPr>
            </w:pPr>
            <w:r>
              <w:rPr>
                <w:rFonts w:hint="eastAsia"/>
                <w:sz w:val="21"/>
                <w:szCs w:val="21"/>
              </w:rPr>
              <w:t>生活污水</w:t>
            </w:r>
          </w:p>
        </w:tc>
        <w:tc>
          <w:tcPr>
            <w:tcW w:w="930" w:type="dxa"/>
            <w:vAlign w:val="center"/>
          </w:tcPr>
          <w:p w14:paraId="39BDD366">
            <w:pPr>
              <w:spacing w:line="240" w:lineRule="auto"/>
              <w:ind w:firstLine="0" w:firstLineChars="0"/>
              <w:jc w:val="center"/>
              <w:rPr>
                <w:sz w:val="21"/>
                <w:szCs w:val="21"/>
              </w:rPr>
            </w:pPr>
            <w:r>
              <w:rPr>
                <w:rFonts w:hint="eastAsia"/>
                <w:sz w:val="21"/>
                <w:szCs w:val="21"/>
              </w:rPr>
              <w:t>COD、NH</w:t>
            </w:r>
            <w:r>
              <w:rPr>
                <w:rFonts w:hint="eastAsia"/>
                <w:sz w:val="21"/>
                <w:szCs w:val="21"/>
                <w:vertAlign w:val="subscript"/>
              </w:rPr>
              <w:t>3</w:t>
            </w:r>
            <w:r>
              <w:rPr>
                <w:rFonts w:hint="eastAsia"/>
                <w:sz w:val="21"/>
                <w:szCs w:val="21"/>
              </w:rPr>
              <w:t>-N</w:t>
            </w:r>
          </w:p>
        </w:tc>
        <w:tc>
          <w:tcPr>
            <w:tcW w:w="1379" w:type="dxa"/>
            <w:vAlign w:val="center"/>
          </w:tcPr>
          <w:p w14:paraId="18BB0122">
            <w:pPr>
              <w:spacing w:line="240" w:lineRule="auto"/>
              <w:ind w:firstLine="0" w:firstLineChars="0"/>
              <w:jc w:val="center"/>
              <w:rPr>
                <w:sz w:val="21"/>
                <w:szCs w:val="21"/>
              </w:rPr>
            </w:pPr>
            <w:r>
              <w:rPr>
                <w:sz w:val="21"/>
                <w:szCs w:val="21"/>
              </w:rPr>
              <w:t>9m</w:t>
            </w:r>
            <w:r>
              <w:rPr>
                <w:sz w:val="21"/>
                <w:szCs w:val="21"/>
                <w:vertAlign w:val="superscript"/>
              </w:rPr>
              <w:t>3</w:t>
            </w:r>
            <w:r>
              <w:rPr>
                <w:sz w:val="21"/>
                <w:szCs w:val="21"/>
              </w:rPr>
              <w:t>/d</w:t>
            </w:r>
          </w:p>
          <w:p w14:paraId="27E3A5E1">
            <w:pPr>
              <w:spacing w:line="240" w:lineRule="auto"/>
              <w:ind w:firstLine="0" w:firstLineChars="0"/>
              <w:jc w:val="center"/>
              <w:rPr>
                <w:sz w:val="21"/>
                <w:szCs w:val="21"/>
              </w:rPr>
            </w:pPr>
            <w:r>
              <w:rPr>
                <w:sz w:val="21"/>
                <w:szCs w:val="21"/>
              </w:rPr>
              <w:t>COD250mg/L</w:t>
            </w:r>
          </w:p>
        </w:tc>
        <w:tc>
          <w:tcPr>
            <w:tcW w:w="1834" w:type="dxa"/>
            <w:vAlign w:val="center"/>
          </w:tcPr>
          <w:p w14:paraId="75265A53">
            <w:pPr>
              <w:spacing w:line="240" w:lineRule="auto"/>
              <w:ind w:firstLine="0" w:firstLineChars="0"/>
              <w:jc w:val="center"/>
              <w:rPr>
                <w:sz w:val="21"/>
                <w:szCs w:val="21"/>
              </w:rPr>
            </w:pPr>
            <w:r>
              <w:rPr>
                <w:rFonts w:hint="eastAsia"/>
                <w:sz w:val="21"/>
                <w:szCs w:val="21"/>
              </w:rPr>
              <w:t>建滔（衡阳）实业有限公司综合污水处理站处理</w:t>
            </w:r>
          </w:p>
        </w:tc>
        <w:tc>
          <w:tcPr>
            <w:tcW w:w="1168" w:type="dxa"/>
            <w:vAlign w:val="center"/>
          </w:tcPr>
          <w:p w14:paraId="10DD36E6">
            <w:pPr>
              <w:spacing w:line="240" w:lineRule="auto"/>
              <w:ind w:firstLine="0" w:firstLineChars="0"/>
              <w:jc w:val="center"/>
              <w:rPr>
                <w:sz w:val="21"/>
                <w:szCs w:val="21"/>
              </w:rPr>
            </w:pPr>
            <w:r>
              <w:rPr>
                <w:sz w:val="21"/>
                <w:szCs w:val="21"/>
              </w:rPr>
              <w:t>9m</w:t>
            </w:r>
            <w:r>
              <w:rPr>
                <w:sz w:val="21"/>
                <w:szCs w:val="21"/>
                <w:vertAlign w:val="superscript"/>
              </w:rPr>
              <w:t>3</w:t>
            </w:r>
            <w:r>
              <w:rPr>
                <w:sz w:val="21"/>
                <w:szCs w:val="21"/>
              </w:rPr>
              <w:t>/d</w:t>
            </w:r>
          </w:p>
        </w:tc>
        <w:tc>
          <w:tcPr>
            <w:tcW w:w="1175" w:type="dxa"/>
            <w:vAlign w:val="center"/>
          </w:tcPr>
          <w:p w14:paraId="2CCCBD9B">
            <w:pPr>
              <w:spacing w:line="240" w:lineRule="auto"/>
              <w:ind w:firstLine="0" w:firstLineChars="0"/>
              <w:jc w:val="center"/>
              <w:rPr>
                <w:sz w:val="21"/>
                <w:szCs w:val="21"/>
              </w:rPr>
            </w:pPr>
            <w:r>
              <w:rPr>
                <w:rFonts w:hint="eastAsia"/>
                <w:sz w:val="21"/>
                <w:szCs w:val="21"/>
              </w:rPr>
              <w:t>回用</w:t>
            </w:r>
          </w:p>
        </w:tc>
      </w:tr>
      <w:tr w14:paraId="0A17F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67DE8577">
            <w:pPr>
              <w:spacing w:line="240" w:lineRule="auto"/>
              <w:ind w:firstLine="0" w:firstLineChars="0"/>
              <w:jc w:val="center"/>
              <w:rPr>
                <w:sz w:val="21"/>
                <w:szCs w:val="21"/>
              </w:rPr>
            </w:pPr>
            <w:r>
              <w:rPr>
                <w:rFonts w:hint="eastAsia"/>
                <w:sz w:val="21"/>
                <w:szCs w:val="21"/>
              </w:rPr>
              <w:t>废气</w:t>
            </w:r>
          </w:p>
        </w:tc>
        <w:tc>
          <w:tcPr>
            <w:tcW w:w="1023" w:type="dxa"/>
            <w:vAlign w:val="center"/>
          </w:tcPr>
          <w:p w14:paraId="7D1DBE85">
            <w:pPr>
              <w:spacing w:line="240" w:lineRule="auto"/>
              <w:ind w:firstLine="0" w:firstLineChars="0"/>
              <w:jc w:val="center"/>
              <w:rPr>
                <w:sz w:val="21"/>
                <w:szCs w:val="21"/>
              </w:rPr>
            </w:pPr>
            <w:r>
              <w:rPr>
                <w:rFonts w:hint="eastAsia"/>
                <w:sz w:val="21"/>
                <w:szCs w:val="21"/>
              </w:rPr>
              <w:t>/</w:t>
            </w:r>
          </w:p>
        </w:tc>
        <w:tc>
          <w:tcPr>
            <w:tcW w:w="930" w:type="dxa"/>
            <w:vAlign w:val="center"/>
          </w:tcPr>
          <w:p w14:paraId="1FF91B60">
            <w:pPr>
              <w:spacing w:line="240" w:lineRule="auto"/>
              <w:ind w:firstLine="0" w:firstLineChars="0"/>
              <w:jc w:val="center"/>
              <w:rPr>
                <w:sz w:val="21"/>
                <w:szCs w:val="21"/>
              </w:rPr>
            </w:pPr>
            <w:r>
              <w:rPr>
                <w:rFonts w:hint="eastAsia"/>
                <w:sz w:val="21"/>
                <w:szCs w:val="21"/>
              </w:rPr>
              <w:t>/</w:t>
            </w:r>
          </w:p>
        </w:tc>
        <w:tc>
          <w:tcPr>
            <w:tcW w:w="1379" w:type="dxa"/>
            <w:vAlign w:val="center"/>
          </w:tcPr>
          <w:p w14:paraId="51EC8B38">
            <w:pPr>
              <w:spacing w:line="240" w:lineRule="auto"/>
              <w:ind w:firstLine="0" w:firstLineChars="0"/>
              <w:jc w:val="center"/>
              <w:rPr>
                <w:sz w:val="21"/>
                <w:szCs w:val="21"/>
              </w:rPr>
            </w:pPr>
            <w:r>
              <w:rPr>
                <w:rFonts w:hint="eastAsia"/>
                <w:sz w:val="21"/>
                <w:szCs w:val="21"/>
              </w:rPr>
              <w:t>/</w:t>
            </w:r>
          </w:p>
        </w:tc>
        <w:tc>
          <w:tcPr>
            <w:tcW w:w="1834" w:type="dxa"/>
            <w:vAlign w:val="center"/>
          </w:tcPr>
          <w:p w14:paraId="0FF2E5E1">
            <w:pPr>
              <w:spacing w:line="240" w:lineRule="auto"/>
              <w:ind w:firstLine="0" w:firstLineChars="0"/>
              <w:jc w:val="center"/>
              <w:rPr>
                <w:sz w:val="21"/>
                <w:szCs w:val="21"/>
              </w:rPr>
            </w:pPr>
            <w:r>
              <w:rPr>
                <w:rFonts w:hint="eastAsia"/>
                <w:sz w:val="21"/>
                <w:szCs w:val="21"/>
              </w:rPr>
              <w:t>/</w:t>
            </w:r>
          </w:p>
        </w:tc>
        <w:tc>
          <w:tcPr>
            <w:tcW w:w="1168" w:type="dxa"/>
            <w:vAlign w:val="center"/>
          </w:tcPr>
          <w:p w14:paraId="4DD613DF">
            <w:pPr>
              <w:spacing w:line="240" w:lineRule="auto"/>
              <w:ind w:firstLine="0" w:firstLineChars="0"/>
              <w:jc w:val="center"/>
              <w:rPr>
                <w:sz w:val="21"/>
                <w:szCs w:val="21"/>
              </w:rPr>
            </w:pPr>
            <w:r>
              <w:rPr>
                <w:rFonts w:hint="eastAsia"/>
                <w:sz w:val="21"/>
                <w:szCs w:val="21"/>
              </w:rPr>
              <w:t>/</w:t>
            </w:r>
          </w:p>
        </w:tc>
        <w:tc>
          <w:tcPr>
            <w:tcW w:w="1175" w:type="dxa"/>
            <w:vAlign w:val="center"/>
          </w:tcPr>
          <w:p w14:paraId="715076C7">
            <w:pPr>
              <w:spacing w:line="240" w:lineRule="auto"/>
              <w:ind w:firstLine="0" w:firstLineChars="0"/>
              <w:jc w:val="center"/>
              <w:rPr>
                <w:sz w:val="21"/>
                <w:szCs w:val="21"/>
              </w:rPr>
            </w:pPr>
            <w:r>
              <w:rPr>
                <w:rFonts w:hint="eastAsia"/>
                <w:sz w:val="21"/>
                <w:szCs w:val="21"/>
              </w:rPr>
              <w:t>/</w:t>
            </w:r>
          </w:p>
        </w:tc>
      </w:tr>
      <w:tr w14:paraId="1C677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3" w:type="dxa"/>
            <w:vMerge w:val="restart"/>
            <w:vAlign w:val="center"/>
          </w:tcPr>
          <w:p w14:paraId="7F8D1116">
            <w:pPr>
              <w:spacing w:line="240" w:lineRule="auto"/>
              <w:ind w:firstLine="0" w:firstLineChars="0"/>
              <w:jc w:val="center"/>
              <w:rPr>
                <w:sz w:val="21"/>
                <w:szCs w:val="21"/>
              </w:rPr>
            </w:pPr>
            <w:r>
              <w:rPr>
                <w:rFonts w:hint="eastAsia"/>
                <w:sz w:val="21"/>
                <w:szCs w:val="21"/>
              </w:rPr>
              <w:t>固废</w:t>
            </w:r>
          </w:p>
        </w:tc>
        <w:tc>
          <w:tcPr>
            <w:tcW w:w="1023" w:type="dxa"/>
            <w:vAlign w:val="center"/>
          </w:tcPr>
          <w:p w14:paraId="601ED9E8">
            <w:pPr>
              <w:spacing w:line="240" w:lineRule="auto"/>
              <w:ind w:firstLine="0" w:firstLineChars="0"/>
              <w:jc w:val="center"/>
              <w:rPr>
                <w:sz w:val="21"/>
                <w:szCs w:val="21"/>
              </w:rPr>
            </w:pPr>
            <w:r>
              <w:rPr>
                <w:rFonts w:hint="eastAsia"/>
                <w:sz w:val="21"/>
                <w:szCs w:val="21"/>
              </w:rPr>
              <w:t>职工生活</w:t>
            </w:r>
          </w:p>
        </w:tc>
        <w:tc>
          <w:tcPr>
            <w:tcW w:w="930" w:type="dxa"/>
            <w:vAlign w:val="center"/>
          </w:tcPr>
          <w:p w14:paraId="3AB01438">
            <w:pPr>
              <w:spacing w:line="240" w:lineRule="auto"/>
              <w:ind w:firstLine="0" w:firstLineChars="0"/>
              <w:jc w:val="center"/>
              <w:rPr>
                <w:sz w:val="21"/>
                <w:szCs w:val="21"/>
              </w:rPr>
            </w:pPr>
            <w:r>
              <w:rPr>
                <w:rFonts w:hint="eastAsia"/>
                <w:sz w:val="21"/>
                <w:szCs w:val="21"/>
              </w:rPr>
              <w:t>生活垃圾</w:t>
            </w:r>
          </w:p>
        </w:tc>
        <w:tc>
          <w:tcPr>
            <w:tcW w:w="1379" w:type="dxa"/>
            <w:vAlign w:val="center"/>
          </w:tcPr>
          <w:p w14:paraId="4E59F45C">
            <w:pPr>
              <w:spacing w:line="240" w:lineRule="auto"/>
              <w:ind w:firstLine="0" w:firstLineChars="0"/>
              <w:jc w:val="center"/>
              <w:rPr>
                <w:sz w:val="21"/>
                <w:szCs w:val="21"/>
              </w:rPr>
            </w:pPr>
            <w:bookmarkStart w:id="358" w:name="_Hlk90971213"/>
            <w:r>
              <w:rPr>
                <w:rFonts w:hint="eastAsia"/>
                <w:sz w:val="21"/>
                <w:szCs w:val="21"/>
              </w:rPr>
              <w:t>3</w:t>
            </w:r>
            <w:r>
              <w:rPr>
                <w:sz w:val="21"/>
                <w:szCs w:val="21"/>
              </w:rPr>
              <w:t>0kg/d</w:t>
            </w:r>
            <w:bookmarkEnd w:id="358"/>
          </w:p>
        </w:tc>
        <w:tc>
          <w:tcPr>
            <w:tcW w:w="1834" w:type="dxa"/>
            <w:vAlign w:val="center"/>
          </w:tcPr>
          <w:p w14:paraId="6FC2ADF2">
            <w:pPr>
              <w:spacing w:line="240" w:lineRule="auto"/>
              <w:ind w:firstLine="0" w:firstLineChars="0"/>
              <w:jc w:val="center"/>
              <w:rPr>
                <w:sz w:val="21"/>
                <w:szCs w:val="21"/>
              </w:rPr>
            </w:pPr>
            <w:r>
              <w:rPr>
                <w:rFonts w:hint="eastAsia"/>
                <w:sz w:val="21"/>
                <w:szCs w:val="21"/>
              </w:rPr>
              <w:t>/</w:t>
            </w:r>
          </w:p>
        </w:tc>
        <w:tc>
          <w:tcPr>
            <w:tcW w:w="1168" w:type="dxa"/>
            <w:vAlign w:val="center"/>
          </w:tcPr>
          <w:p w14:paraId="18C74F53">
            <w:pPr>
              <w:spacing w:line="240" w:lineRule="auto"/>
              <w:ind w:firstLine="0" w:firstLineChars="0"/>
              <w:jc w:val="center"/>
              <w:rPr>
                <w:sz w:val="21"/>
                <w:szCs w:val="21"/>
              </w:rPr>
            </w:pPr>
            <w:r>
              <w:rPr>
                <w:rFonts w:hint="eastAsia"/>
                <w:sz w:val="21"/>
                <w:szCs w:val="21"/>
              </w:rPr>
              <w:t>0</w:t>
            </w:r>
          </w:p>
        </w:tc>
        <w:tc>
          <w:tcPr>
            <w:tcW w:w="1175" w:type="dxa"/>
            <w:vAlign w:val="center"/>
          </w:tcPr>
          <w:p w14:paraId="71B62449">
            <w:pPr>
              <w:spacing w:line="240" w:lineRule="auto"/>
              <w:ind w:firstLine="0" w:firstLineChars="0"/>
              <w:jc w:val="center"/>
              <w:rPr>
                <w:sz w:val="21"/>
                <w:szCs w:val="21"/>
              </w:rPr>
            </w:pPr>
            <w:bookmarkStart w:id="359" w:name="_Hlk90971222"/>
            <w:r>
              <w:rPr>
                <w:rFonts w:hint="eastAsia"/>
                <w:sz w:val="21"/>
                <w:szCs w:val="21"/>
              </w:rPr>
              <w:t>依托园区环卫部门处理处置</w:t>
            </w:r>
            <w:bookmarkEnd w:id="359"/>
          </w:p>
        </w:tc>
      </w:tr>
      <w:tr w14:paraId="0815B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1B33ED39">
            <w:pPr>
              <w:spacing w:line="240" w:lineRule="auto"/>
              <w:ind w:firstLine="0" w:firstLineChars="0"/>
              <w:jc w:val="center"/>
              <w:rPr>
                <w:sz w:val="21"/>
                <w:szCs w:val="21"/>
              </w:rPr>
            </w:pPr>
          </w:p>
        </w:tc>
        <w:tc>
          <w:tcPr>
            <w:tcW w:w="1023" w:type="dxa"/>
            <w:vAlign w:val="center"/>
          </w:tcPr>
          <w:p w14:paraId="18B2E14F">
            <w:pPr>
              <w:spacing w:line="240" w:lineRule="auto"/>
              <w:ind w:firstLine="0" w:firstLineChars="0"/>
              <w:jc w:val="center"/>
              <w:rPr>
                <w:sz w:val="21"/>
                <w:szCs w:val="20"/>
              </w:rPr>
            </w:pPr>
            <w:r>
              <w:rPr>
                <w:sz w:val="21"/>
                <w:szCs w:val="20"/>
              </w:rPr>
              <w:t>卤水池</w:t>
            </w:r>
          </w:p>
        </w:tc>
        <w:tc>
          <w:tcPr>
            <w:tcW w:w="930" w:type="dxa"/>
            <w:vAlign w:val="center"/>
          </w:tcPr>
          <w:p w14:paraId="2757EEFF">
            <w:pPr>
              <w:spacing w:line="240" w:lineRule="auto"/>
              <w:ind w:firstLine="0" w:firstLineChars="0"/>
              <w:jc w:val="center"/>
              <w:rPr>
                <w:sz w:val="21"/>
                <w:szCs w:val="20"/>
              </w:rPr>
            </w:pPr>
            <w:r>
              <w:rPr>
                <w:sz w:val="21"/>
                <w:szCs w:val="20"/>
              </w:rPr>
              <w:t>卤水池残渣</w:t>
            </w:r>
          </w:p>
        </w:tc>
        <w:tc>
          <w:tcPr>
            <w:tcW w:w="1379" w:type="dxa"/>
            <w:vAlign w:val="center"/>
          </w:tcPr>
          <w:p w14:paraId="1982A166">
            <w:pPr>
              <w:spacing w:line="240" w:lineRule="auto"/>
              <w:ind w:firstLine="0" w:firstLineChars="0"/>
              <w:jc w:val="center"/>
              <w:rPr>
                <w:sz w:val="21"/>
                <w:szCs w:val="21"/>
              </w:rPr>
            </w:pPr>
            <w:r>
              <w:rPr>
                <w:sz w:val="21"/>
                <w:szCs w:val="21"/>
              </w:rPr>
              <w:t>21.15m</w:t>
            </w:r>
            <w:r>
              <w:rPr>
                <w:sz w:val="21"/>
                <w:szCs w:val="21"/>
                <w:vertAlign w:val="superscript"/>
              </w:rPr>
              <w:t>3</w:t>
            </w:r>
            <w:r>
              <w:rPr>
                <w:sz w:val="21"/>
                <w:szCs w:val="21"/>
              </w:rPr>
              <w:t>/a</w:t>
            </w:r>
          </w:p>
        </w:tc>
        <w:tc>
          <w:tcPr>
            <w:tcW w:w="1834" w:type="dxa"/>
            <w:vAlign w:val="center"/>
          </w:tcPr>
          <w:p w14:paraId="7CE6FB5D">
            <w:pPr>
              <w:spacing w:line="240" w:lineRule="auto"/>
              <w:ind w:firstLine="0" w:firstLineChars="0"/>
              <w:jc w:val="center"/>
              <w:rPr>
                <w:sz w:val="21"/>
                <w:szCs w:val="21"/>
              </w:rPr>
            </w:pPr>
            <w:r>
              <w:rPr>
                <w:rFonts w:hint="eastAsia"/>
                <w:sz w:val="21"/>
                <w:szCs w:val="21"/>
              </w:rPr>
              <w:t>经</w:t>
            </w:r>
            <w:bookmarkStart w:id="360" w:name="_Hlk90972953"/>
            <w:r>
              <w:rPr>
                <w:rFonts w:hint="eastAsia"/>
                <w:sz w:val="21"/>
                <w:szCs w:val="21"/>
              </w:rPr>
              <w:t>建滔（衡阳）实业有限公司离子膜烧碱生产部</w:t>
            </w:r>
            <w:bookmarkEnd w:id="360"/>
            <w:r>
              <w:rPr>
                <w:rFonts w:hint="eastAsia"/>
                <w:sz w:val="21"/>
                <w:szCs w:val="21"/>
              </w:rPr>
              <w:t>压滤机压干处理后与烧碱生产部盐泥一并收集后外售</w:t>
            </w:r>
          </w:p>
        </w:tc>
        <w:tc>
          <w:tcPr>
            <w:tcW w:w="1168" w:type="dxa"/>
            <w:vAlign w:val="center"/>
          </w:tcPr>
          <w:p w14:paraId="230B2CD2">
            <w:pPr>
              <w:spacing w:line="240" w:lineRule="auto"/>
              <w:ind w:firstLine="0" w:firstLineChars="0"/>
              <w:jc w:val="center"/>
              <w:rPr>
                <w:sz w:val="21"/>
                <w:szCs w:val="21"/>
              </w:rPr>
            </w:pPr>
            <w:r>
              <w:rPr>
                <w:rFonts w:hint="eastAsia"/>
                <w:sz w:val="21"/>
                <w:szCs w:val="21"/>
              </w:rPr>
              <w:t>0</w:t>
            </w:r>
          </w:p>
        </w:tc>
        <w:tc>
          <w:tcPr>
            <w:tcW w:w="1175" w:type="dxa"/>
            <w:vAlign w:val="center"/>
          </w:tcPr>
          <w:p w14:paraId="2BC928FB">
            <w:pPr>
              <w:spacing w:line="240" w:lineRule="auto"/>
              <w:ind w:firstLine="0" w:firstLineChars="0"/>
              <w:jc w:val="center"/>
              <w:rPr>
                <w:sz w:val="21"/>
                <w:szCs w:val="21"/>
              </w:rPr>
            </w:pPr>
            <w:r>
              <w:rPr>
                <w:rFonts w:hint="eastAsia"/>
                <w:sz w:val="21"/>
                <w:szCs w:val="21"/>
              </w:rPr>
              <w:t>外售</w:t>
            </w:r>
          </w:p>
        </w:tc>
      </w:tr>
      <w:tr w14:paraId="710A0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3" w:type="dxa"/>
            <w:vMerge w:val="continue"/>
            <w:vAlign w:val="center"/>
          </w:tcPr>
          <w:p w14:paraId="253D9D1E">
            <w:pPr>
              <w:spacing w:line="240" w:lineRule="auto"/>
              <w:ind w:firstLine="0" w:firstLineChars="0"/>
              <w:jc w:val="center"/>
              <w:rPr>
                <w:sz w:val="21"/>
                <w:szCs w:val="21"/>
              </w:rPr>
            </w:pPr>
          </w:p>
        </w:tc>
        <w:tc>
          <w:tcPr>
            <w:tcW w:w="1023" w:type="dxa"/>
            <w:vAlign w:val="center"/>
          </w:tcPr>
          <w:p w14:paraId="1E59BA2D">
            <w:pPr>
              <w:spacing w:line="240" w:lineRule="auto"/>
              <w:ind w:firstLine="0" w:firstLineChars="0"/>
              <w:jc w:val="center"/>
              <w:rPr>
                <w:sz w:val="21"/>
                <w:szCs w:val="21"/>
              </w:rPr>
            </w:pPr>
            <w:r>
              <w:rPr>
                <w:rFonts w:hint="eastAsia"/>
                <w:sz w:val="21"/>
                <w:szCs w:val="21"/>
              </w:rPr>
              <w:t>设备维修及维护</w:t>
            </w:r>
          </w:p>
        </w:tc>
        <w:tc>
          <w:tcPr>
            <w:tcW w:w="930" w:type="dxa"/>
            <w:vAlign w:val="center"/>
          </w:tcPr>
          <w:p w14:paraId="7BE04C33">
            <w:pPr>
              <w:spacing w:line="240" w:lineRule="auto"/>
              <w:ind w:firstLine="0" w:firstLineChars="0"/>
              <w:jc w:val="center"/>
              <w:rPr>
                <w:sz w:val="21"/>
                <w:szCs w:val="21"/>
              </w:rPr>
            </w:pPr>
            <w:r>
              <w:rPr>
                <w:rFonts w:hint="eastAsia"/>
                <w:sz w:val="21"/>
                <w:szCs w:val="21"/>
              </w:rPr>
              <w:t>废机油</w:t>
            </w:r>
          </w:p>
        </w:tc>
        <w:tc>
          <w:tcPr>
            <w:tcW w:w="1379" w:type="dxa"/>
            <w:vAlign w:val="center"/>
          </w:tcPr>
          <w:p w14:paraId="50A74807">
            <w:pPr>
              <w:spacing w:line="240" w:lineRule="auto"/>
              <w:ind w:firstLine="0" w:firstLineChars="0"/>
              <w:jc w:val="center"/>
              <w:rPr>
                <w:sz w:val="21"/>
                <w:szCs w:val="21"/>
              </w:rPr>
            </w:pPr>
            <w:r>
              <w:rPr>
                <w:rFonts w:hint="eastAsia"/>
                <w:sz w:val="21"/>
                <w:szCs w:val="21"/>
              </w:rPr>
              <w:t>0</w:t>
            </w:r>
            <w:r>
              <w:rPr>
                <w:sz w:val="21"/>
                <w:szCs w:val="21"/>
              </w:rPr>
              <w:t>.05t/a</w:t>
            </w:r>
          </w:p>
        </w:tc>
        <w:tc>
          <w:tcPr>
            <w:tcW w:w="1834" w:type="dxa"/>
            <w:vAlign w:val="center"/>
          </w:tcPr>
          <w:p w14:paraId="7351A286">
            <w:pPr>
              <w:spacing w:line="240" w:lineRule="auto"/>
              <w:ind w:firstLine="0" w:firstLineChars="0"/>
              <w:jc w:val="center"/>
              <w:rPr>
                <w:sz w:val="21"/>
                <w:szCs w:val="21"/>
              </w:rPr>
            </w:pPr>
            <w:r>
              <w:rPr>
                <w:rFonts w:hint="eastAsia"/>
                <w:sz w:val="21"/>
                <w:szCs w:val="21"/>
              </w:rPr>
              <w:t>统一收集后暂存公司危废暂存间</w:t>
            </w:r>
          </w:p>
        </w:tc>
        <w:tc>
          <w:tcPr>
            <w:tcW w:w="1168" w:type="dxa"/>
            <w:vAlign w:val="center"/>
          </w:tcPr>
          <w:p w14:paraId="7BD358DE">
            <w:pPr>
              <w:spacing w:line="240" w:lineRule="auto"/>
              <w:ind w:firstLine="0" w:firstLineChars="0"/>
              <w:jc w:val="center"/>
              <w:rPr>
                <w:sz w:val="21"/>
                <w:szCs w:val="21"/>
              </w:rPr>
            </w:pPr>
            <w:r>
              <w:rPr>
                <w:rFonts w:hint="eastAsia"/>
                <w:sz w:val="21"/>
                <w:szCs w:val="21"/>
              </w:rPr>
              <w:t>0</w:t>
            </w:r>
          </w:p>
        </w:tc>
        <w:tc>
          <w:tcPr>
            <w:tcW w:w="1175" w:type="dxa"/>
            <w:vAlign w:val="center"/>
          </w:tcPr>
          <w:p w14:paraId="4C97A828">
            <w:pPr>
              <w:spacing w:line="240" w:lineRule="auto"/>
              <w:ind w:firstLine="0" w:firstLineChars="0"/>
              <w:jc w:val="center"/>
              <w:rPr>
                <w:sz w:val="21"/>
                <w:szCs w:val="21"/>
              </w:rPr>
            </w:pPr>
            <w:r>
              <w:rPr>
                <w:rFonts w:hint="eastAsia"/>
                <w:sz w:val="21"/>
                <w:szCs w:val="21"/>
              </w:rPr>
              <w:t>委托有资质单位处置</w:t>
            </w:r>
          </w:p>
        </w:tc>
      </w:tr>
    </w:tbl>
    <w:p w14:paraId="27727FE5">
      <w:pPr>
        <w:pStyle w:val="7"/>
      </w:pPr>
      <w:bookmarkStart w:id="361" w:name="_Toc121420829"/>
      <w:r>
        <w:t xml:space="preserve">4.1.3 </w:t>
      </w:r>
      <w:r>
        <w:rPr>
          <w:rFonts w:hint="eastAsia"/>
        </w:rPr>
        <w:t>相关工程介绍</w:t>
      </w:r>
      <w:bookmarkEnd w:id="361"/>
    </w:p>
    <w:p w14:paraId="572BD776">
      <w:pPr>
        <w:pStyle w:val="2"/>
        <w:ind w:firstLine="519"/>
        <w:rPr>
          <w:rFonts w:cs="Times New Roman"/>
        </w:rPr>
      </w:pPr>
      <w:bookmarkStart w:id="362" w:name="_Hlk121306431"/>
      <w:r>
        <w:rPr>
          <w:rFonts w:hint="eastAsia" w:cs="Times New Roman"/>
        </w:rPr>
        <w:t>建滔（衡阳）实业有限公司现有离子膜烧碱装置</w:t>
      </w:r>
      <w:bookmarkEnd w:id="362"/>
      <w:r>
        <w:rPr>
          <w:rFonts w:hint="eastAsia" w:cs="Times New Roman"/>
        </w:rPr>
        <w:t>生产规模为4</w:t>
      </w:r>
      <w:r>
        <w:rPr>
          <w:rFonts w:cs="Times New Roman"/>
        </w:rPr>
        <w:t>2</w:t>
      </w:r>
      <w:r>
        <w:rPr>
          <w:rFonts w:hint="eastAsia" w:cs="Times New Roman"/>
        </w:rPr>
        <w:t>万吨/年，采用离子膜法烧碱生产工艺。主要包括采卤、卤水冷冻脱硝及盐水精制、电解、氯化氢合成及盐酸装置、</w:t>
      </w:r>
      <w:bookmarkStart w:id="363" w:name="_Hlk121301971"/>
      <w:r>
        <w:rPr>
          <w:rFonts w:hint="eastAsia" w:cs="Times New Roman"/>
        </w:rPr>
        <w:t>废酸解析</w:t>
      </w:r>
      <w:bookmarkEnd w:id="363"/>
      <w:r>
        <w:rPr>
          <w:rFonts w:hint="eastAsia" w:cs="Times New Roman"/>
        </w:rPr>
        <w:t>等工段，工艺流程简图见图</w:t>
      </w:r>
      <w:r>
        <w:rPr>
          <w:rFonts w:cs="Times New Roman"/>
        </w:rPr>
        <w:t>4</w:t>
      </w:r>
      <w:r>
        <w:rPr>
          <w:rFonts w:hint="eastAsia" w:cs="Times New Roman"/>
        </w:rPr>
        <w:t>.1-</w:t>
      </w:r>
      <w:r>
        <w:rPr>
          <w:rFonts w:cs="Times New Roman"/>
        </w:rPr>
        <w:t>1</w:t>
      </w:r>
      <w:r>
        <w:rPr>
          <w:rFonts w:hint="eastAsia" w:cs="Times New Roman"/>
        </w:rPr>
        <w:t>。</w:t>
      </w:r>
    </w:p>
    <w:p w14:paraId="0E8DA0D0">
      <w:pPr>
        <w:pStyle w:val="3"/>
        <w:ind w:firstLine="519"/>
      </w:pPr>
      <w:r>
        <w:rPr>
          <w:rFonts w:hint="eastAsia"/>
        </w:rPr>
        <w:t>其中，盐水精制工序中二次精制产生的酸、碱性废水经污水中和池处理后送淡卤池，回用于采卤；电解工序来的湿氯气冷却过程产生含氯冷凝水，与电解工序产生的淡盐水一并经脱氯塔脱氯后送淡卤池</w:t>
      </w:r>
      <w:bookmarkStart w:id="364" w:name="_Hlk121306044"/>
      <w:r>
        <w:rPr>
          <w:rFonts w:hint="eastAsia"/>
        </w:rPr>
        <w:t>，回用于采卤</w:t>
      </w:r>
      <w:bookmarkEnd w:id="364"/>
      <w:r>
        <w:rPr>
          <w:rFonts w:hint="eastAsia"/>
        </w:rPr>
        <w:t>。离子膜烧碱装置废气主要为盐酸生产工序产生的含HCl尾气，经碱液喷淋吸收后均能达标排放。烧碱装置固废主要包括</w:t>
      </w:r>
      <w:bookmarkStart w:id="365" w:name="_Hlk121314299"/>
      <w:r>
        <w:rPr>
          <w:rFonts w:hint="eastAsia"/>
        </w:rPr>
        <w:t>盐泥</w:t>
      </w:r>
      <w:bookmarkEnd w:id="365"/>
      <w:r>
        <w:rPr>
          <w:rFonts w:hint="eastAsia"/>
        </w:rPr>
        <w:t>、废硫酸、氯气罐装产生的</w:t>
      </w:r>
      <w:bookmarkStart w:id="366" w:name="_Hlk121314989"/>
      <w:r>
        <w:rPr>
          <w:rFonts w:hint="eastAsia"/>
        </w:rPr>
        <w:t>NCl</w:t>
      </w:r>
      <w:r>
        <w:rPr>
          <w:rFonts w:hint="eastAsia"/>
          <w:vertAlign w:val="subscript"/>
        </w:rPr>
        <w:t>3</w:t>
      </w:r>
      <w:r>
        <w:rPr>
          <w:rFonts w:hint="eastAsia"/>
        </w:rPr>
        <w:t>废液</w:t>
      </w:r>
      <w:bookmarkEnd w:id="366"/>
      <w:r>
        <w:rPr>
          <w:rFonts w:hint="eastAsia"/>
        </w:rPr>
        <w:t>等，盐泥压滤收集后外售，硫酸废液制成80%稀硫酸后外卖，NCl</w:t>
      </w:r>
      <w:r>
        <w:rPr>
          <w:rFonts w:hint="eastAsia"/>
          <w:vertAlign w:val="subscript"/>
        </w:rPr>
        <w:t>3</w:t>
      </w:r>
      <w:r>
        <w:rPr>
          <w:rFonts w:hint="eastAsia"/>
        </w:rPr>
        <w:t>废液碱中和后排入中水站，各项固体废物均得到妥善处理。</w:t>
      </w:r>
    </w:p>
    <w:p w14:paraId="3F442207">
      <w:pPr>
        <w:pStyle w:val="3"/>
        <w:ind w:firstLine="0" w:firstLineChars="0"/>
        <w:jc w:val="center"/>
      </w:pPr>
      <w:r>
        <w:drawing>
          <wp:inline distT="0" distB="0" distL="0" distR="0">
            <wp:extent cx="5066665" cy="5024755"/>
            <wp:effectExtent l="0" t="0" r="63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74189" cy="5032518"/>
                    </a:xfrm>
                    <a:prstGeom prst="rect">
                      <a:avLst/>
                    </a:prstGeom>
                    <a:noFill/>
                  </pic:spPr>
                </pic:pic>
              </a:graphicData>
            </a:graphic>
          </wp:inline>
        </w:drawing>
      </w:r>
    </w:p>
    <w:p w14:paraId="07427825">
      <w:pPr>
        <w:pStyle w:val="9"/>
      </w:pPr>
      <w:r>
        <w:rPr>
          <w:rFonts w:hint="eastAsia"/>
        </w:rPr>
        <w:t>图</w:t>
      </w:r>
      <w:r>
        <w:t>4</w:t>
      </w:r>
      <w:r>
        <w:rPr>
          <w:rFonts w:hint="eastAsia"/>
        </w:rPr>
        <w:t>.1-</w:t>
      </w:r>
      <w:r>
        <w:t>2</w:t>
      </w:r>
      <w:r>
        <w:rPr>
          <w:rFonts w:hint="eastAsia"/>
        </w:rPr>
        <w:t>离子膜烧碱装置工艺流程简图</w:t>
      </w:r>
    </w:p>
    <w:p w14:paraId="4FF73C7C">
      <w:pPr>
        <w:pStyle w:val="6"/>
        <w:spacing w:before="0" w:beforeLines="0" w:after="0" w:afterLines="0"/>
        <w:rPr>
          <w:rFonts w:cs="Times New Roman"/>
        </w:rPr>
      </w:pPr>
      <w:bookmarkStart w:id="367" w:name="_Toc121420830"/>
      <w:r>
        <w:rPr>
          <w:rFonts w:cs="Times New Roman"/>
        </w:rPr>
        <w:t>4.2 拟建工程与现有工程</w:t>
      </w:r>
      <w:r>
        <w:rPr>
          <w:rFonts w:hint="eastAsia" w:cs="Times New Roman"/>
        </w:rPr>
        <w:t>、相关工程</w:t>
      </w:r>
      <w:r>
        <w:rPr>
          <w:rFonts w:cs="Times New Roman"/>
        </w:rPr>
        <w:t>的依托关系</w:t>
      </w:r>
      <w:bookmarkEnd w:id="367"/>
    </w:p>
    <w:p w14:paraId="371E448F">
      <w:pPr>
        <w:ind w:firstLine="519"/>
        <w:rPr>
          <w:rFonts w:cs="Times New Roman"/>
        </w:rPr>
      </w:pPr>
      <w:r>
        <w:rPr>
          <w:rFonts w:cs="Times New Roman"/>
        </w:rPr>
        <w:t>本项目建设完成后，正常生产情况下矿山新建4口卤水井（CK25-CK26、CK27-CK28）供应卤水，同时，老采区ZK10、ZK12、CK3三口井停采，采卤总体规模</w:t>
      </w:r>
      <w:r>
        <w:rPr>
          <w:rFonts w:hint="eastAsia" w:cs="Times New Roman"/>
        </w:rPr>
        <w:t>不发生变化，不新增采卤用水</w:t>
      </w:r>
      <w:r>
        <w:rPr>
          <w:rFonts w:cs="Times New Roman"/>
        </w:rPr>
        <w:t>。</w:t>
      </w:r>
      <w:r>
        <w:rPr>
          <w:rFonts w:hint="eastAsia" w:cs="Times New Roman"/>
        </w:rPr>
        <w:t>本项目矿山开采不新增员工，矿山开采工作人员主要从厂区现有员工进行调配，本项目不新增生活污水。</w:t>
      </w:r>
    </w:p>
    <w:p w14:paraId="38A90039">
      <w:pPr>
        <w:ind w:firstLine="519"/>
        <w:rPr>
          <w:rFonts w:cs="Times New Roman"/>
        </w:rPr>
      </w:pPr>
      <w:r>
        <w:rPr>
          <w:rFonts w:cs="Times New Roman"/>
        </w:rPr>
        <w:t>除主体工程新增卤井4口、阀门控制室1座及部分管线工程外，其他设施均依托矿区现有工程。</w:t>
      </w:r>
      <w:r>
        <w:rPr>
          <w:rFonts w:hint="eastAsia" w:cs="Times New Roman"/>
        </w:rPr>
        <w:t>依托工程详见下表。</w:t>
      </w:r>
    </w:p>
    <w:p w14:paraId="41EA3594">
      <w:pPr>
        <w:pStyle w:val="9"/>
      </w:pPr>
      <w:r>
        <w:t xml:space="preserve">表4.2-1  </w:t>
      </w:r>
      <w:bookmarkStart w:id="368" w:name="_Hlk116225615"/>
      <w:r>
        <w:rPr>
          <w:rFonts w:hint="eastAsia"/>
        </w:rPr>
        <w:t>依托工程</w:t>
      </w:r>
      <w:bookmarkEnd w:id="368"/>
      <w:r>
        <w:rPr>
          <w:rFonts w:hint="eastAsia"/>
        </w:rPr>
        <w:t>一览</w:t>
      </w:r>
      <w:r>
        <w:t>表</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313"/>
        <w:gridCol w:w="1315"/>
        <w:gridCol w:w="2625"/>
        <w:gridCol w:w="2559"/>
      </w:tblGrid>
      <w:tr w14:paraId="5A2AB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11D2E415">
            <w:pPr>
              <w:spacing w:line="240" w:lineRule="auto"/>
              <w:ind w:firstLine="0" w:firstLineChars="0"/>
              <w:jc w:val="center"/>
              <w:rPr>
                <w:sz w:val="21"/>
                <w:szCs w:val="21"/>
              </w:rPr>
            </w:pPr>
            <w:r>
              <w:rPr>
                <w:rFonts w:hint="eastAsia"/>
                <w:sz w:val="21"/>
                <w:szCs w:val="21"/>
              </w:rPr>
              <w:t>序号</w:t>
            </w:r>
          </w:p>
        </w:tc>
        <w:tc>
          <w:tcPr>
            <w:tcW w:w="770" w:type="pct"/>
            <w:vAlign w:val="center"/>
          </w:tcPr>
          <w:p w14:paraId="76D133F2">
            <w:pPr>
              <w:spacing w:line="240" w:lineRule="auto"/>
              <w:ind w:firstLine="0" w:firstLineChars="0"/>
              <w:jc w:val="center"/>
              <w:rPr>
                <w:sz w:val="21"/>
                <w:szCs w:val="21"/>
              </w:rPr>
            </w:pPr>
            <w:r>
              <w:rPr>
                <w:rFonts w:hint="eastAsia"/>
                <w:sz w:val="21"/>
                <w:szCs w:val="21"/>
              </w:rPr>
              <w:t>工程名称</w:t>
            </w:r>
          </w:p>
        </w:tc>
        <w:tc>
          <w:tcPr>
            <w:tcW w:w="771" w:type="pct"/>
            <w:vAlign w:val="center"/>
          </w:tcPr>
          <w:p w14:paraId="294321F3">
            <w:pPr>
              <w:spacing w:line="240" w:lineRule="auto"/>
              <w:ind w:firstLine="0" w:firstLineChars="0"/>
              <w:jc w:val="center"/>
              <w:rPr>
                <w:sz w:val="21"/>
                <w:szCs w:val="21"/>
              </w:rPr>
            </w:pPr>
            <w:r>
              <w:rPr>
                <w:rFonts w:hint="eastAsia"/>
                <w:sz w:val="21"/>
                <w:szCs w:val="21"/>
              </w:rPr>
              <w:t>单项工程</w:t>
            </w:r>
          </w:p>
        </w:tc>
        <w:tc>
          <w:tcPr>
            <w:tcW w:w="1539" w:type="pct"/>
            <w:vAlign w:val="center"/>
          </w:tcPr>
          <w:p w14:paraId="1167E446">
            <w:pPr>
              <w:spacing w:line="240" w:lineRule="auto"/>
              <w:ind w:firstLine="0" w:firstLineChars="0"/>
              <w:jc w:val="center"/>
              <w:rPr>
                <w:sz w:val="21"/>
                <w:szCs w:val="21"/>
              </w:rPr>
            </w:pPr>
            <w:r>
              <w:rPr>
                <w:rFonts w:hint="eastAsia"/>
                <w:sz w:val="21"/>
                <w:szCs w:val="21"/>
              </w:rPr>
              <w:t>依托情况</w:t>
            </w:r>
          </w:p>
        </w:tc>
        <w:tc>
          <w:tcPr>
            <w:tcW w:w="1500" w:type="pct"/>
            <w:vAlign w:val="center"/>
          </w:tcPr>
          <w:p w14:paraId="2696D309">
            <w:pPr>
              <w:spacing w:line="240" w:lineRule="auto"/>
              <w:ind w:firstLine="0" w:firstLineChars="0"/>
              <w:jc w:val="center"/>
              <w:rPr>
                <w:sz w:val="21"/>
                <w:szCs w:val="21"/>
              </w:rPr>
            </w:pPr>
            <w:r>
              <w:rPr>
                <w:rFonts w:hint="eastAsia"/>
                <w:sz w:val="21"/>
                <w:szCs w:val="21"/>
              </w:rPr>
              <w:t>可行性</w:t>
            </w:r>
          </w:p>
        </w:tc>
      </w:tr>
      <w:tr w14:paraId="49830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2E3D07B8">
            <w:pPr>
              <w:spacing w:line="240" w:lineRule="auto"/>
              <w:ind w:firstLine="0" w:firstLineChars="0"/>
              <w:jc w:val="center"/>
              <w:rPr>
                <w:sz w:val="21"/>
                <w:szCs w:val="21"/>
              </w:rPr>
            </w:pPr>
            <w:r>
              <w:rPr>
                <w:rFonts w:hint="eastAsia"/>
                <w:sz w:val="21"/>
                <w:szCs w:val="21"/>
              </w:rPr>
              <w:t>1</w:t>
            </w:r>
          </w:p>
        </w:tc>
        <w:tc>
          <w:tcPr>
            <w:tcW w:w="770" w:type="pct"/>
            <w:vMerge w:val="restart"/>
            <w:vAlign w:val="center"/>
          </w:tcPr>
          <w:p w14:paraId="676243CF">
            <w:pPr>
              <w:spacing w:line="240" w:lineRule="auto"/>
              <w:ind w:firstLine="0" w:firstLineChars="0"/>
              <w:jc w:val="center"/>
              <w:rPr>
                <w:sz w:val="21"/>
                <w:szCs w:val="21"/>
              </w:rPr>
            </w:pPr>
            <w:r>
              <w:rPr>
                <w:rFonts w:hint="eastAsia"/>
                <w:sz w:val="21"/>
                <w:szCs w:val="21"/>
              </w:rPr>
              <w:t>主体工程</w:t>
            </w:r>
          </w:p>
        </w:tc>
        <w:tc>
          <w:tcPr>
            <w:tcW w:w="771" w:type="pct"/>
            <w:vAlign w:val="center"/>
          </w:tcPr>
          <w:p w14:paraId="0C96947C">
            <w:pPr>
              <w:spacing w:line="240" w:lineRule="auto"/>
              <w:ind w:firstLine="0" w:firstLineChars="0"/>
              <w:jc w:val="center"/>
              <w:rPr>
                <w:sz w:val="21"/>
                <w:szCs w:val="21"/>
              </w:rPr>
            </w:pPr>
            <w:r>
              <w:rPr>
                <w:rFonts w:hint="eastAsia"/>
                <w:sz w:val="21"/>
                <w:szCs w:val="21"/>
              </w:rPr>
              <w:t>钻井工程</w:t>
            </w:r>
          </w:p>
        </w:tc>
        <w:tc>
          <w:tcPr>
            <w:tcW w:w="1539" w:type="pct"/>
            <w:vAlign w:val="center"/>
          </w:tcPr>
          <w:p w14:paraId="2CB5394D">
            <w:pPr>
              <w:spacing w:line="240" w:lineRule="auto"/>
              <w:ind w:firstLine="0" w:firstLineChars="0"/>
              <w:jc w:val="center"/>
              <w:rPr>
                <w:sz w:val="21"/>
                <w:szCs w:val="21"/>
              </w:rPr>
            </w:pPr>
            <w:r>
              <w:rPr>
                <w:rFonts w:hint="eastAsia"/>
                <w:sz w:val="21"/>
                <w:szCs w:val="21"/>
              </w:rPr>
              <w:t>矿区ZK10、ZK12、CK3 等3口井关闭封井</w:t>
            </w:r>
          </w:p>
        </w:tc>
        <w:tc>
          <w:tcPr>
            <w:tcW w:w="1500" w:type="pct"/>
            <w:vAlign w:val="center"/>
          </w:tcPr>
          <w:p w14:paraId="165F08C8">
            <w:pPr>
              <w:spacing w:line="240" w:lineRule="auto"/>
              <w:ind w:firstLine="0" w:firstLineChars="0"/>
              <w:jc w:val="center"/>
              <w:rPr>
                <w:sz w:val="21"/>
                <w:szCs w:val="21"/>
              </w:rPr>
            </w:pPr>
            <w:r>
              <w:rPr>
                <w:rFonts w:hint="eastAsia"/>
                <w:sz w:val="21"/>
                <w:szCs w:val="21"/>
              </w:rPr>
              <w:t>本项目新建采卤井两对，设计生产规模与ZK10、ZK12、CK3等3口井相同，维持矿区整体生产规模不变</w:t>
            </w:r>
          </w:p>
        </w:tc>
      </w:tr>
      <w:tr w14:paraId="71884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610ECFFA">
            <w:pPr>
              <w:spacing w:line="240" w:lineRule="auto"/>
              <w:ind w:firstLine="0" w:firstLineChars="0"/>
              <w:jc w:val="center"/>
              <w:rPr>
                <w:sz w:val="21"/>
                <w:szCs w:val="21"/>
              </w:rPr>
            </w:pPr>
            <w:r>
              <w:rPr>
                <w:rFonts w:hint="eastAsia"/>
                <w:sz w:val="21"/>
                <w:szCs w:val="21"/>
              </w:rPr>
              <w:t>2</w:t>
            </w:r>
          </w:p>
        </w:tc>
        <w:tc>
          <w:tcPr>
            <w:tcW w:w="770" w:type="pct"/>
            <w:vMerge w:val="continue"/>
            <w:vAlign w:val="center"/>
          </w:tcPr>
          <w:p w14:paraId="17C674A2">
            <w:pPr>
              <w:spacing w:line="240" w:lineRule="auto"/>
              <w:ind w:firstLine="0" w:firstLineChars="0"/>
              <w:jc w:val="center"/>
              <w:rPr>
                <w:sz w:val="21"/>
                <w:szCs w:val="21"/>
              </w:rPr>
            </w:pPr>
          </w:p>
        </w:tc>
        <w:tc>
          <w:tcPr>
            <w:tcW w:w="771" w:type="pct"/>
            <w:vAlign w:val="center"/>
          </w:tcPr>
          <w:p w14:paraId="185CF1D5">
            <w:pPr>
              <w:spacing w:line="240" w:lineRule="auto"/>
              <w:ind w:firstLine="0" w:firstLineChars="0"/>
              <w:jc w:val="center"/>
              <w:rPr>
                <w:sz w:val="21"/>
                <w:szCs w:val="21"/>
              </w:rPr>
            </w:pPr>
            <w:r>
              <w:rPr>
                <w:rFonts w:hint="eastAsia"/>
                <w:sz w:val="21"/>
                <w:szCs w:val="21"/>
              </w:rPr>
              <w:t>采卤场</w:t>
            </w:r>
          </w:p>
        </w:tc>
        <w:tc>
          <w:tcPr>
            <w:tcW w:w="1539" w:type="pct"/>
            <w:vAlign w:val="center"/>
          </w:tcPr>
          <w:p w14:paraId="69706C43">
            <w:pPr>
              <w:spacing w:line="240" w:lineRule="auto"/>
              <w:ind w:firstLine="0" w:firstLineChars="0"/>
              <w:jc w:val="center"/>
              <w:rPr>
                <w:sz w:val="21"/>
                <w:szCs w:val="21"/>
              </w:rPr>
            </w:pPr>
            <w:r>
              <w:rPr>
                <w:rFonts w:hint="eastAsia"/>
                <w:sz w:val="21"/>
                <w:szCs w:val="21"/>
              </w:rPr>
              <w:t>本项目采卤依托采卤场采卤泵房、卤水池、淡卤池等工程设施</w:t>
            </w:r>
          </w:p>
        </w:tc>
        <w:tc>
          <w:tcPr>
            <w:tcW w:w="1500" w:type="pct"/>
            <w:vAlign w:val="center"/>
          </w:tcPr>
          <w:p w14:paraId="16E549B3">
            <w:pPr>
              <w:spacing w:line="240" w:lineRule="auto"/>
              <w:ind w:firstLine="0" w:firstLineChars="0"/>
              <w:jc w:val="center"/>
              <w:rPr>
                <w:sz w:val="21"/>
                <w:szCs w:val="21"/>
              </w:rPr>
            </w:pPr>
            <w:r>
              <w:rPr>
                <w:rFonts w:hint="eastAsia"/>
                <w:sz w:val="21"/>
                <w:szCs w:val="21"/>
              </w:rPr>
              <w:t>本项目投入使用后，矿山整体生产规模不变，采卤泵及卤水池均能满足要求</w:t>
            </w:r>
          </w:p>
        </w:tc>
      </w:tr>
      <w:tr w14:paraId="5AC70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2B5A9E94">
            <w:pPr>
              <w:spacing w:line="240" w:lineRule="auto"/>
              <w:ind w:firstLine="0" w:firstLineChars="0"/>
              <w:jc w:val="center"/>
              <w:rPr>
                <w:sz w:val="21"/>
                <w:szCs w:val="21"/>
              </w:rPr>
            </w:pPr>
            <w:r>
              <w:rPr>
                <w:rFonts w:hint="eastAsia"/>
                <w:sz w:val="21"/>
                <w:szCs w:val="21"/>
              </w:rPr>
              <w:t>3</w:t>
            </w:r>
          </w:p>
        </w:tc>
        <w:tc>
          <w:tcPr>
            <w:tcW w:w="770" w:type="pct"/>
            <w:vMerge w:val="continue"/>
            <w:vAlign w:val="center"/>
          </w:tcPr>
          <w:p w14:paraId="1BB9C065">
            <w:pPr>
              <w:spacing w:line="240" w:lineRule="auto"/>
              <w:ind w:firstLine="0" w:firstLineChars="0"/>
              <w:jc w:val="center"/>
              <w:rPr>
                <w:sz w:val="21"/>
                <w:szCs w:val="21"/>
              </w:rPr>
            </w:pPr>
          </w:p>
        </w:tc>
        <w:tc>
          <w:tcPr>
            <w:tcW w:w="771" w:type="pct"/>
            <w:vAlign w:val="center"/>
          </w:tcPr>
          <w:p w14:paraId="6C391DDE">
            <w:pPr>
              <w:spacing w:line="240" w:lineRule="auto"/>
              <w:ind w:firstLine="0" w:firstLineChars="0"/>
              <w:jc w:val="center"/>
              <w:rPr>
                <w:sz w:val="21"/>
                <w:szCs w:val="21"/>
              </w:rPr>
            </w:pPr>
            <w:r>
              <w:rPr>
                <w:rFonts w:hint="eastAsia"/>
                <w:sz w:val="21"/>
                <w:szCs w:val="21"/>
              </w:rPr>
              <w:t>管线工程</w:t>
            </w:r>
          </w:p>
        </w:tc>
        <w:tc>
          <w:tcPr>
            <w:tcW w:w="1539" w:type="pct"/>
            <w:vAlign w:val="center"/>
          </w:tcPr>
          <w:p w14:paraId="431884E3">
            <w:pPr>
              <w:spacing w:line="240" w:lineRule="auto"/>
              <w:ind w:firstLine="0" w:firstLineChars="0"/>
              <w:jc w:val="center"/>
              <w:rPr>
                <w:sz w:val="21"/>
                <w:szCs w:val="21"/>
              </w:rPr>
            </w:pPr>
            <w:r>
              <w:rPr>
                <w:rFonts w:hint="eastAsia"/>
                <w:sz w:val="21"/>
                <w:szCs w:val="21"/>
              </w:rPr>
              <w:t>依托矿区现有采卤主管（包含注水主管和回卤主管）</w:t>
            </w:r>
          </w:p>
        </w:tc>
        <w:tc>
          <w:tcPr>
            <w:tcW w:w="1500" w:type="pct"/>
            <w:vAlign w:val="center"/>
          </w:tcPr>
          <w:p w14:paraId="4C14A33A">
            <w:pPr>
              <w:spacing w:line="240" w:lineRule="auto"/>
              <w:ind w:firstLine="0" w:firstLineChars="0"/>
              <w:jc w:val="center"/>
              <w:rPr>
                <w:sz w:val="21"/>
                <w:szCs w:val="21"/>
              </w:rPr>
            </w:pPr>
            <w:r>
              <w:rPr>
                <w:rFonts w:hint="eastAsia"/>
                <w:sz w:val="21"/>
                <w:szCs w:val="21"/>
              </w:rPr>
              <w:t>本项目新建管线接入矿区现有管线主管（金华路-松枫路-新安路敷设），引入采卤泵房</w:t>
            </w:r>
          </w:p>
        </w:tc>
      </w:tr>
      <w:tr w14:paraId="4DF49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0223E5BF">
            <w:pPr>
              <w:spacing w:line="240" w:lineRule="auto"/>
              <w:ind w:firstLine="0" w:firstLineChars="0"/>
              <w:jc w:val="center"/>
              <w:rPr>
                <w:sz w:val="21"/>
                <w:szCs w:val="21"/>
              </w:rPr>
            </w:pPr>
            <w:r>
              <w:rPr>
                <w:rFonts w:hint="eastAsia"/>
                <w:sz w:val="21"/>
                <w:szCs w:val="21"/>
              </w:rPr>
              <w:t>4</w:t>
            </w:r>
          </w:p>
        </w:tc>
        <w:tc>
          <w:tcPr>
            <w:tcW w:w="770" w:type="pct"/>
            <w:vAlign w:val="center"/>
          </w:tcPr>
          <w:p w14:paraId="010DE486">
            <w:pPr>
              <w:spacing w:line="240" w:lineRule="auto"/>
              <w:ind w:firstLine="0" w:firstLineChars="0"/>
              <w:jc w:val="center"/>
              <w:rPr>
                <w:sz w:val="21"/>
                <w:szCs w:val="21"/>
              </w:rPr>
            </w:pPr>
            <w:r>
              <w:rPr>
                <w:rFonts w:hint="eastAsia"/>
                <w:sz w:val="21"/>
                <w:szCs w:val="21"/>
              </w:rPr>
              <w:t>储运工程</w:t>
            </w:r>
          </w:p>
        </w:tc>
        <w:tc>
          <w:tcPr>
            <w:tcW w:w="771" w:type="pct"/>
            <w:vAlign w:val="center"/>
          </w:tcPr>
          <w:p w14:paraId="4F8C7677">
            <w:pPr>
              <w:spacing w:line="240" w:lineRule="auto"/>
              <w:ind w:firstLine="0" w:firstLineChars="0"/>
              <w:jc w:val="center"/>
              <w:rPr>
                <w:sz w:val="21"/>
                <w:szCs w:val="21"/>
              </w:rPr>
            </w:pPr>
            <w:r>
              <w:rPr>
                <w:rFonts w:hint="eastAsia"/>
                <w:sz w:val="21"/>
                <w:szCs w:val="21"/>
              </w:rPr>
              <w:t>井场道路</w:t>
            </w:r>
          </w:p>
        </w:tc>
        <w:tc>
          <w:tcPr>
            <w:tcW w:w="1539" w:type="pct"/>
            <w:vAlign w:val="center"/>
          </w:tcPr>
          <w:p w14:paraId="59146E4F">
            <w:pPr>
              <w:spacing w:line="240" w:lineRule="auto"/>
              <w:ind w:firstLine="0" w:firstLineChars="0"/>
              <w:jc w:val="center"/>
              <w:rPr>
                <w:sz w:val="21"/>
                <w:szCs w:val="21"/>
              </w:rPr>
            </w:pPr>
            <w:r>
              <w:rPr>
                <w:rFonts w:hint="eastAsia"/>
                <w:sz w:val="21"/>
                <w:szCs w:val="21"/>
              </w:rPr>
              <w:t>利用松木经济开发区道路</w:t>
            </w:r>
          </w:p>
        </w:tc>
        <w:tc>
          <w:tcPr>
            <w:tcW w:w="1500" w:type="pct"/>
            <w:vAlign w:val="center"/>
          </w:tcPr>
          <w:p w14:paraId="610A11B4">
            <w:pPr>
              <w:spacing w:line="240" w:lineRule="auto"/>
              <w:ind w:firstLine="0" w:firstLineChars="0"/>
              <w:jc w:val="center"/>
              <w:rPr>
                <w:sz w:val="21"/>
                <w:szCs w:val="21"/>
              </w:rPr>
            </w:pPr>
            <w:r>
              <w:rPr>
                <w:rFonts w:hint="eastAsia"/>
                <w:sz w:val="21"/>
                <w:szCs w:val="21"/>
              </w:rPr>
              <w:t>本项目新建卤水井均位于松木经开区园区范围内，沿园区道路敷设，可依托</w:t>
            </w:r>
          </w:p>
        </w:tc>
      </w:tr>
      <w:tr w14:paraId="35FD0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7E065D67">
            <w:pPr>
              <w:spacing w:line="240" w:lineRule="auto"/>
              <w:ind w:firstLine="0" w:firstLineChars="0"/>
              <w:jc w:val="center"/>
              <w:rPr>
                <w:sz w:val="21"/>
                <w:szCs w:val="21"/>
              </w:rPr>
            </w:pPr>
            <w:r>
              <w:rPr>
                <w:rFonts w:hint="eastAsia"/>
                <w:sz w:val="21"/>
                <w:szCs w:val="21"/>
              </w:rPr>
              <w:t>5</w:t>
            </w:r>
          </w:p>
        </w:tc>
        <w:tc>
          <w:tcPr>
            <w:tcW w:w="770" w:type="pct"/>
            <w:vAlign w:val="center"/>
          </w:tcPr>
          <w:p w14:paraId="201454AB">
            <w:pPr>
              <w:spacing w:line="240" w:lineRule="auto"/>
              <w:ind w:firstLine="0" w:firstLineChars="0"/>
              <w:jc w:val="center"/>
              <w:rPr>
                <w:sz w:val="21"/>
                <w:szCs w:val="21"/>
              </w:rPr>
            </w:pPr>
            <w:r>
              <w:rPr>
                <w:rFonts w:hint="eastAsia"/>
                <w:sz w:val="21"/>
                <w:szCs w:val="21"/>
              </w:rPr>
              <w:t>公用工程</w:t>
            </w:r>
          </w:p>
        </w:tc>
        <w:tc>
          <w:tcPr>
            <w:tcW w:w="771" w:type="pct"/>
            <w:vAlign w:val="center"/>
          </w:tcPr>
          <w:p w14:paraId="49DB74A6">
            <w:pPr>
              <w:spacing w:line="240" w:lineRule="auto"/>
              <w:ind w:firstLine="0" w:firstLineChars="0"/>
              <w:jc w:val="center"/>
              <w:rPr>
                <w:sz w:val="21"/>
                <w:szCs w:val="21"/>
              </w:rPr>
            </w:pPr>
            <w:r>
              <w:rPr>
                <w:rFonts w:hint="eastAsia"/>
                <w:sz w:val="21"/>
                <w:szCs w:val="21"/>
              </w:rPr>
              <w:t>供水</w:t>
            </w:r>
          </w:p>
        </w:tc>
        <w:tc>
          <w:tcPr>
            <w:tcW w:w="1539" w:type="pct"/>
            <w:vAlign w:val="center"/>
          </w:tcPr>
          <w:p w14:paraId="08BC3F36">
            <w:pPr>
              <w:spacing w:line="240" w:lineRule="auto"/>
              <w:ind w:firstLine="0" w:firstLineChars="0"/>
              <w:jc w:val="center"/>
              <w:rPr>
                <w:sz w:val="21"/>
                <w:szCs w:val="21"/>
              </w:rPr>
            </w:pPr>
            <w:r>
              <w:rPr>
                <w:rFonts w:hint="eastAsia"/>
                <w:sz w:val="21"/>
                <w:szCs w:val="21"/>
              </w:rPr>
              <w:t>生产用水由建滔（衡阳）实业有限公司生产系统回用水提供，经地下管道输送至淡卤池</w:t>
            </w:r>
          </w:p>
        </w:tc>
        <w:tc>
          <w:tcPr>
            <w:tcW w:w="1500" w:type="pct"/>
            <w:vAlign w:val="center"/>
          </w:tcPr>
          <w:p w14:paraId="1C36685A">
            <w:pPr>
              <w:spacing w:line="240" w:lineRule="auto"/>
              <w:ind w:firstLine="0" w:firstLineChars="0"/>
              <w:jc w:val="center"/>
              <w:rPr>
                <w:sz w:val="21"/>
                <w:szCs w:val="21"/>
              </w:rPr>
            </w:pPr>
            <w:r>
              <w:rPr>
                <w:rFonts w:hint="eastAsia"/>
                <w:sz w:val="21"/>
                <w:szCs w:val="21"/>
              </w:rPr>
              <w:t>建滔（衡阳）实业有限公司生产系统回用水量为13486.576 m</w:t>
            </w:r>
            <w:r>
              <w:rPr>
                <w:rFonts w:hint="eastAsia"/>
                <w:sz w:val="21"/>
                <w:szCs w:val="21"/>
                <w:vertAlign w:val="superscript"/>
              </w:rPr>
              <w:t>3</w:t>
            </w:r>
            <w:r>
              <w:rPr>
                <w:rFonts w:hint="eastAsia"/>
                <w:sz w:val="21"/>
                <w:szCs w:val="21"/>
              </w:rPr>
              <w:t>/d，满足矿山整体用水要求</w:t>
            </w:r>
          </w:p>
        </w:tc>
      </w:tr>
      <w:tr w14:paraId="43DB0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vAlign w:val="center"/>
          </w:tcPr>
          <w:p w14:paraId="484AFBD9">
            <w:pPr>
              <w:spacing w:line="240" w:lineRule="auto"/>
              <w:ind w:firstLine="0" w:firstLineChars="0"/>
              <w:jc w:val="center"/>
              <w:rPr>
                <w:sz w:val="21"/>
                <w:szCs w:val="21"/>
              </w:rPr>
            </w:pPr>
            <w:r>
              <w:rPr>
                <w:rFonts w:hint="eastAsia"/>
                <w:sz w:val="21"/>
                <w:szCs w:val="21"/>
              </w:rPr>
              <w:t>6</w:t>
            </w:r>
          </w:p>
        </w:tc>
        <w:tc>
          <w:tcPr>
            <w:tcW w:w="770" w:type="pct"/>
            <w:vAlign w:val="center"/>
          </w:tcPr>
          <w:p w14:paraId="2AC2F593">
            <w:pPr>
              <w:spacing w:line="240" w:lineRule="auto"/>
              <w:ind w:firstLine="0" w:firstLineChars="0"/>
              <w:jc w:val="center"/>
              <w:rPr>
                <w:sz w:val="21"/>
                <w:szCs w:val="21"/>
              </w:rPr>
            </w:pPr>
            <w:r>
              <w:rPr>
                <w:rFonts w:hint="eastAsia"/>
                <w:sz w:val="21"/>
                <w:szCs w:val="21"/>
              </w:rPr>
              <w:t>环保工程</w:t>
            </w:r>
          </w:p>
        </w:tc>
        <w:tc>
          <w:tcPr>
            <w:tcW w:w="771" w:type="pct"/>
            <w:vAlign w:val="center"/>
          </w:tcPr>
          <w:p w14:paraId="1A6CCA63">
            <w:pPr>
              <w:spacing w:line="240" w:lineRule="auto"/>
              <w:ind w:firstLine="0" w:firstLineChars="0"/>
              <w:jc w:val="center"/>
              <w:rPr>
                <w:sz w:val="21"/>
                <w:szCs w:val="21"/>
              </w:rPr>
            </w:pPr>
            <w:r>
              <w:rPr>
                <w:rFonts w:hint="eastAsia"/>
                <w:sz w:val="21"/>
                <w:szCs w:val="21"/>
              </w:rPr>
              <w:t>固废处理</w:t>
            </w:r>
          </w:p>
        </w:tc>
        <w:tc>
          <w:tcPr>
            <w:tcW w:w="1539" w:type="pct"/>
            <w:vAlign w:val="center"/>
          </w:tcPr>
          <w:p w14:paraId="3DF97C5A">
            <w:pPr>
              <w:spacing w:line="240" w:lineRule="auto"/>
              <w:ind w:firstLine="0" w:firstLineChars="0"/>
              <w:jc w:val="center"/>
              <w:rPr>
                <w:sz w:val="21"/>
                <w:szCs w:val="21"/>
              </w:rPr>
            </w:pPr>
            <w:r>
              <w:rPr>
                <w:rFonts w:hint="eastAsia"/>
                <w:sz w:val="21"/>
                <w:szCs w:val="21"/>
              </w:rPr>
              <w:t>水泵保养产生的废机油、配件等由机修车间统一收集，统一处理；职工生活垃圾依托园区环卫部门处理处置；卤水池残渣依托建滔（衡阳）实业有限司离子膜烧碱生产部处理处置</w:t>
            </w:r>
          </w:p>
        </w:tc>
        <w:tc>
          <w:tcPr>
            <w:tcW w:w="1500" w:type="pct"/>
            <w:vAlign w:val="center"/>
          </w:tcPr>
          <w:p w14:paraId="2D157D32">
            <w:pPr>
              <w:spacing w:line="240" w:lineRule="auto"/>
              <w:ind w:firstLine="0" w:firstLineChars="0"/>
              <w:jc w:val="center"/>
              <w:rPr>
                <w:sz w:val="21"/>
                <w:szCs w:val="21"/>
              </w:rPr>
            </w:pPr>
            <w:r>
              <w:rPr>
                <w:rFonts w:hint="eastAsia"/>
                <w:sz w:val="21"/>
                <w:szCs w:val="21"/>
              </w:rPr>
              <w:t>项目各类固废污染源主要位于采卤场，且产生量较少，采卤场邻近建滔（衡阳）实业有限公司生产装置区，固体废物依托处理可行</w:t>
            </w:r>
          </w:p>
        </w:tc>
      </w:tr>
    </w:tbl>
    <w:p w14:paraId="1EA6C557">
      <w:pPr>
        <w:pStyle w:val="6"/>
        <w:spacing w:before="170" w:after="170"/>
        <w:rPr>
          <w:rFonts w:cs="Times New Roman"/>
        </w:rPr>
      </w:pPr>
      <w:bookmarkStart w:id="369" w:name="_Toc121420831"/>
      <w:r>
        <w:rPr>
          <w:rFonts w:hint="eastAsia" w:cs="Times New Roman"/>
        </w:rPr>
        <w:t>4</w:t>
      </w:r>
      <w:r>
        <w:rPr>
          <w:rFonts w:cs="Times New Roman"/>
        </w:rPr>
        <w:t xml:space="preserve">.3 </w:t>
      </w:r>
      <w:r>
        <w:rPr>
          <w:rFonts w:hint="eastAsia" w:cs="Times New Roman"/>
        </w:rPr>
        <w:t>现有工程存在的环境问题</w:t>
      </w:r>
      <w:bookmarkEnd w:id="369"/>
    </w:p>
    <w:p w14:paraId="08843E12">
      <w:pPr>
        <w:ind w:firstLine="519"/>
        <w:rPr>
          <w:rFonts w:cs="Times New Roman"/>
        </w:rPr>
      </w:pPr>
      <w:r>
        <w:rPr>
          <w:rFonts w:hint="eastAsia" w:cs="Times New Roman"/>
        </w:rPr>
        <w:t>根据现场勘查及《湖南省衡阳建滔化工有限公司岩盐矿矿山地质环境保护与恢复治理（含土地复垦）方案》（2</w:t>
      </w:r>
      <w:r>
        <w:rPr>
          <w:rFonts w:cs="Times New Roman"/>
        </w:rPr>
        <w:t>015.7</w:t>
      </w:r>
      <w:r>
        <w:rPr>
          <w:rFonts w:hint="eastAsia" w:cs="Times New Roman"/>
        </w:rPr>
        <w:t>）、《衡阳建滔化工有限公司岩盐矿矿山开采地质灾害安全性论证》（2</w:t>
      </w:r>
      <w:r>
        <w:rPr>
          <w:rFonts w:cs="Times New Roman"/>
        </w:rPr>
        <w:t>021</w:t>
      </w:r>
      <w:r>
        <w:rPr>
          <w:rFonts w:hint="eastAsia" w:cs="Times New Roman"/>
        </w:rPr>
        <w:t>.</w:t>
      </w:r>
      <w:r>
        <w:rPr>
          <w:rFonts w:cs="Times New Roman"/>
        </w:rPr>
        <w:t>4</w:t>
      </w:r>
      <w:r>
        <w:rPr>
          <w:rFonts w:hint="eastAsia" w:cs="Times New Roman"/>
        </w:rPr>
        <w:t>），建滔收购矿山后组织生产以来，矿山未发生过大规模的冒卤、地面开裂、地面塌陷等地面变形破坏地质灾害现象。矿山制订有</w:t>
      </w:r>
      <w:bookmarkStart w:id="370" w:name="_Hlk116650380"/>
      <w:r>
        <w:rPr>
          <w:rFonts w:hint="eastAsia" w:cs="Times New Roman"/>
        </w:rPr>
        <w:t>采输卤</w:t>
      </w:r>
      <w:bookmarkEnd w:id="370"/>
      <w:r>
        <w:rPr>
          <w:rFonts w:hint="eastAsia" w:cs="Times New Roman"/>
        </w:rPr>
        <w:t>操作规程，建立有管道检修队，对采输卤管道定期进行检测、维修，修建了废卤池，防止卤水冒、漏。</w:t>
      </w:r>
    </w:p>
    <w:p w14:paraId="45BFDCE9">
      <w:pPr>
        <w:ind w:firstLine="519"/>
        <w:rPr>
          <w:rFonts w:cs="Times New Roman"/>
        </w:rPr>
      </w:pPr>
      <w:r>
        <w:rPr>
          <w:rFonts w:hint="eastAsia" w:cs="Times New Roman"/>
        </w:rPr>
        <w:t>根据现场勘查，矿山不使用和报废的生产井均已进行了封闭处理，采卤场均设置了排水沟及事故池（废卤池），</w:t>
      </w:r>
      <w:bookmarkStart w:id="371" w:name="_Hlk116490653"/>
      <w:r>
        <w:rPr>
          <w:rFonts w:hint="eastAsia" w:cs="Times New Roman"/>
        </w:rPr>
        <w:t>淡卤罐、废卤罐</w:t>
      </w:r>
      <w:bookmarkEnd w:id="371"/>
      <w:r>
        <w:rPr>
          <w:rFonts w:hint="eastAsia" w:cs="Times New Roman"/>
        </w:rPr>
        <w:t>均采用较为先进的碳钢板为池底/池体材质，淡卤罐、废卤罐及采卤泵房地面均已硬化，卤水池地面未作硬化处理。</w:t>
      </w:r>
    </w:p>
    <w:p w14:paraId="74BA3CFC">
      <w:pPr>
        <w:ind w:firstLine="519"/>
        <w:rPr>
          <w:rFonts w:cs="Times New Roman"/>
        </w:rPr>
      </w:pPr>
      <w:r>
        <w:rPr>
          <w:rFonts w:hint="eastAsia" w:cs="Times New Roman"/>
        </w:rPr>
        <w:t>以新带老措施：对于作业场所卤水罐地面作硬化处理。</w:t>
      </w:r>
    </w:p>
    <w:p w14:paraId="72BEB17D">
      <w:pPr>
        <w:pStyle w:val="6"/>
        <w:spacing w:before="170" w:after="170"/>
        <w:rPr>
          <w:rFonts w:cs="Times New Roman"/>
        </w:rPr>
      </w:pPr>
      <w:bookmarkStart w:id="372" w:name="_Toc121420832"/>
      <w:r>
        <w:rPr>
          <w:rFonts w:cs="Times New Roman"/>
        </w:rPr>
        <w:t>4.4 拟建工程概况</w:t>
      </w:r>
      <w:bookmarkEnd w:id="372"/>
    </w:p>
    <w:p w14:paraId="6F2CB4B6">
      <w:pPr>
        <w:pStyle w:val="7"/>
      </w:pPr>
      <w:bookmarkStart w:id="373" w:name="_Toc86852299"/>
      <w:bookmarkStart w:id="374" w:name="_Toc89882461"/>
      <w:bookmarkStart w:id="375" w:name="_Toc90318421"/>
      <w:bookmarkStart w:id="376" w:name="_Toc90997675"/>
      <w:bookmarkStart w:id="377" w:name="_Toc121420833"/>
      <w:bookmarkStart w:id="378" w:name="_Toc89786136"/>
      <w:bookmarkStart w:id="379" w:name="_Toc90989243"/>
      <w:r>
        <w:t>4.4.1 拟建项目</w:t>
      </w:r>
      <w:bookmarkEnd w:id="373"/>
      <w:r>
        <w:t>基本情况</w:t>
      </w:r>
      <w:bookmarkEnd w:id="374"/>
      <w:bookmarkEnd w:id="375"/>
      <w:bookmarkEnd w:id="376"/>
      <w:bookmarkEnd w:id="377"/>
      <w:bookmarkEnd w:id="378"/>
      <w:bookmarkEnd w:id="379"/>
    </w:p>
    <w:p w14:paraId="633DA0FC">
      <w:pPr>
        <w:ind w:firstLine="519"/>
        <w:rPr>
          <w:rFonts w:cs="Times New Roman"/>
        </w:rPr>
      </w:pPr>
      <w:r>
        <w:rPr>
          <w:rFonts w:cs="Times New Roman"/>
        </w:rPr>
        <w:t>（1）项目名称：</w:t>
      </w:r>
      <w:bookmarkStart w:id="380" w:name="_Hlk88489512"/>
      <w:r>
        <w:rPr>
          <w:rFonts w:cs="Times New Roman"/>
        </w:rPr>
        <w:t>衡阳建滔化工有限公司</w:t>
      </w:r>
      <w:bookmarkEnd w:id="380"/>
      <w:r>
        <w:rPr>
          <w:rFonts w:cs="Times New Roman"/>
        </w:rPr>
        <w:t>采卤井项目</w:t>
      </w:r>
    </w:p>
    <w:p w14:paraId="588136BB">
      <w:pPr>
        <w:ind w:firstLine="519"/>
        <w:rPr>
          <w:rFonts w:cs="Times New Roman"/>
        </w:rPr>
      </w:pPr>
      <w:r>
        <w:rPr>
          <w:rFonts w:cs="Times New Roman"/>
        </w:rPr>
        <w:t>（2）建设单位：衡阳建滔化工有限公司</w:t>
      </w:r>
    </w:p>
    <w:p w14:paraId="28C2E686">
      <w:pPr>
        <w:ind w:firstLine="519"/>
        <w:rPr>
          <w:rFonts w:cs="Times New Roman"/>
        </w:rPr>
      </w:pPr>
      <w:r>
        <w:rPr>
          <w:rFonts w:cs="Times New Roman"/>
        </w:rPr>
        <w:t>（3）建设地点：</w:t>
      </w:r>
      <w:bookmarkStart w:id="381" w:name="_Hlk92285149"/>
      <w:r>
        <w:rPr>
          <w:rFonts w:cs="Times New Roman"/>
        </w:rPr>
        <w:t>衡阳市松木经济开发区</w:t>
      </w:r>
      <w:bookmarkEnd w:id="381"/>
    </w:p>
    <w:p w14:paraId="2DEFF13B">
      <w:pPr>
        <w:ind w:firstLine="519"/>
        <w:rPr>
          <w:rFonts w:cs="Times New Roman"/>
        </w:rPr>
      </w:pPr>
      <w:r>
        <w:rPr>
          <w:rFonts w:cs="Times New Roman"/>
        </w:rPr>
        <w:t>（4）建设性质：改扩建</w:t>
      </w:r>
    </w:p>
    <w:p w14:paraId="6FFBC423">
      <w:pPr>
        <w:ind w:firstLine="519"/>
        <w:rPr>
          <w:rFonts w:cs="Times New Roman"/>
        </w:rPr>
      </w:pPr>
      <w:r>
        <w:rPr>
          <w:rFonts w:cs="Times New Roman"/>
        </w:rPr>
        <w:t>（5）开采方式：地下开采</w:t>
      </w:r>
    </w:p>
    <w:p w14:paraId="5CF39A76">
      <w:pPr>
        <w:ind w:firstLine="519"/>
        <w:rPr>
          <w:rFonts w:cs="Times New Roman"/>
        </w:rPr>
      </w:pPr>
      <w:r>
        <w:rPr>
          <w:rFonts w:cs="Times New Roman"/>
        </w:rPr>
        <w:t>（6）建设规模：新建4口卤水井（CK25-CK26、CK27-CK28），</w:t>
      </w:r>
      <w:r>
        <w:rPr>
          <w:rFonts w:hint="eastAsia" w:cs="Times New Roman"/>
        </w:rPr>
        <w:t>出卤能力</w:t>
      </w:r>
      <w:r>
        <w:rPr>
          <w:rFonts w:cs="Times New Roman"/>
        </w:rPr>
        <w:t>为200m</w:t>
      </w:r>
      <w:r>
        <w:rPr>
          <w:rFonts w:cs="Times New Roman"/>
          <w:vertAlign w:val="superscript"/>
        </w:rPr>
        <w:t>3</w:t>
      </w:r>
      <w:r>
        <w:rPr>
          <w:rFonts w:cs="Times New Roman"/>
        </w:rPr>
        <w:t>/h，本项目投入使用后，将老采区ZK10、ZK12、CK3三口井（合计设计</w:t>
      </w:r>
      <w:r>
        <w:rPr>
          <w:rFonts w:hint="eastAsia" w:cs="Times New Roman"/>
        </w:rPr>
        <w:t>出卤能力200m</w:t>
      </w:r>
      <w:r>
        <w:rPr>
          <w:rFonts w:hint="eastAsia" w:cs="Times New Roman"/>
          <w:vertAlign w:val="superscript"/>
        </w:rPr>
        <w:t>3</w:t>
      </w:r>
      <w:r>
        <w:rPr>
          <w:rFonts w:hint="eastAsia" w:cs="Times New Roman"/>
        </w:rPr>
        <w:t>/h</w:t>
      </w:r>
      <w:r>
        <w:rPr>
          <w:rFonts w:cs="Times New Roman"/>
        </w:rPr>
        <w:t>）停采，其他在采</w:t>
      </w:r>
      <w:r>
        <w:rPr>
          <w:rFonts w:hint="eastAsia" w:cs="Times New Roman"/>
        </w:rPr>
        <w:t>卤</w:t>
      </w:r>
      <w:r>
        <w:rPr>
          <w:rFonts w:cs="Times New Roman"/>
        </w:rPr>
        <w:t>井继续生产、维持不变。整个矿区开采规模不变，年</w:t>
      </w:r>
      <w:r>
        <w:rPr>
          <w:rFonts w:hint="eastAsia" w:cs="Times New Roman"/>
        </w:rPr>
        <w:t>岩盐</w:t>
      </w:r>
      <w:r>
        <w:rPr>
          <w:rFonts w:cs="Times New Roman"/>
        </w:rPr>
        <w:t>采</w:t>
      </w:r>
      <w:r>
        <w:rPr>
          <w:rFonts w:hint="eastAsia" w:cs="Times New Roman"/>
        </w:rPr>
        <w:t>150万t/a（折合</w:t>
      </w:r>
      <w:r>
        <w:rPr>
          <w:rFonts w:cs="Times New Roman"/>
        </w:rPr>
        <w:t>原卤</w:t>
      </w:r>
      <w:r>
        <w:rPr>
          <w:rFonts w:hint="eastAsia" w:cs="Times New Roman"/>
        </w:rPr>
        <w:t>为</w:t>
      </w:r>
      <w:r>
        <w:rPr>
          <w:rFonts w:cs="Times New Roman"/>
        </w:rPr>
        <w:t>220万m</w:t>
      </w:r>
      <w:r>
        <w:rPr>
          <w:rFonts w:cs="Times New Roman"/>
          <w:vertAlign w:val="superscript"/>
        </w:rPr>
        <w:t>3</w:t>
      </w:r>
      <w:r>
        <w:rPr>
          <w:rFonts w:cs="Times New Roman"/>
        </w:rPr>
        <w:t>/a</w:t>
      </w:r>
      <w:r>
        <w:rPr>
          <w:rFonts w:hint="eastAsia" w:cs="Times New Roman"/>
        </w:rPr>
        <w:t>），矿区卤水总体开采规模与</w:t>
      </w:r>
      <w:bookmarkStart w:id="382" w:name="_Hlk121419766"/>
      <w:r>
        <w:rPr>
          <w:rFonts w:hint="eastAsia" w:cs="Times New Roman"/>
        </w:rPr>
        <w:t>建滔（衡阳）实业有限公司42万吨/年离子膜烧碱项目</w:t>
      </w:r>
      <w:bookmarkEnd w:id="382"/>
      <w:r>
        <w:rPr>
          <w:rFonts w:hint="eastAsia" w:cs="Times New Roman"/>
        </w:rPr>
        <w:t>相匹配</w:t>
      </w:r>
      <w:r>
        <w:rPr>
          <w:rFonts w:cs="Times New Roman"/>
        </w:rPr>
        <w:t>；</w:t>
      </w:r>
    </w:p>
    <w:p w14:paraId="48F8FBE8">
      <w:pPr>
        <w:ind w:firstLine="519"/>
        <w:rPr>
          <w:rFonts w:cs="Times New Roman"/>
        </w:rPr>
      </w:pPr>
      <w:r>
        <w:rPr>
          <w:rFonts w:cs="Times New Roman"/>
        </w:rPr>
        <w:t>（7）服务年限：60年；</w:t>
      </w:r>
    </w:p>
    <w:p w14:paraId="2A926E3E">
      <w:pPr>
        <w:ind w:firstLine="519"/>
        <w:rPr>
          <w:rFonts w:cs="Times New Roman"/>
        </w:rPr>
      </w:pPr>
      <w:r>
        <w:rPr>
          <w:rFonts w:cs="Times New Roman"/>
        </w:rPr>
        <w:t>（8）项目投资：总投资800万元，其中环保投资21万元，占总投资的2.6%。</w:t>
      </w:r>
    </w:p>
    <w:p w14:paraId="2267229C">
      <w:pPr>
        <w:ind w:firstLine="519"/>
        <w:rPr>
          <w:rFonts w:cs="Times New Roman"/>
        </w:rPr>
      </w:pPr>
      <w:r>
        <w:rPr>
          <w:rFonts w:cs="Times New Roman"/>
        </w:rPr>
        <w:t>（9）劳动定员：本项目不新增劳动定员，矿区工作制度为年操作时间8000小时，生产方式为连续生产，实行三班两倒制。</w:t>
      </w:r>
    </w:p>
    <w:p w14:paraId="4DE8A831">
      <w:pPr>
        <w:ind w:firstLine="519"/>
        <w:rPr>
          <w:rFonts w:cs="Times New Roman"/>
        </w:rPr>
      </w:pPr>
      <w:r>
        <w:rPr>
          <w:rFonts w:cs="Times New Roman"/>
        </w:rPr>
        <w:t>（10）建设进度：本项目建设期为2022年11</w:t>
      </w:r>
      <w:r>
        <w:rPr>
          <w:rFonts w:hint="eastAsia" w:cs="Times New Roman"/>
        </w:rPr>
        <w:t>月</w:t>
      </w:r>
      <w:r>
        <w:rPr>
          <w:rFonts w:cs="Times New Roman"/>
        </w:rPr>
        <w:t>至2023年</w:t>
      </w:r>
      <w:r>
        <w:rPr>
          <w:rFonts w:hint="eastAsia" w:cs="Times New Roman"/>
        </w:rPr>
        <w:t>4月</w:t>
      </w:r>
      <w:r>
        <w:rPr>
          <w:rFonts w:cs="Times New Roman"/>
        </w:rPr>
        <w:t>，2023年</w:t>
      </w:r>
      <w:r>
        <w:rPr>
          <w:rFonts w:hint="eastAsia" w:cs="Times New Roman"/>
        </w:rPr>
        <w:t>4月</w:t>
      </w:r>
      <w:r>
        <w:rPr>
          <w:rFonts w:cs="Times New Roman"/>
        </w:rPr>
        <w:t>投入使用。</w:t>
      </w:r>
    </w:p>
    <w:p w14:paraId="6E48A48E">
      <w:pPr>
        <w:pStyle w:val="7"/>
      </w:pPr>
      <w:bookmarkStart w:id="383" w:name="_Toc86852300"/>
      <w:bookmarkStart w:id="384" w:name="_Toc90318422"/>
      <w:bookmarkStart w:id="385" w:name="_Toc89786137"/>
      <w:bookmarkStart w:id="386" w:name="_Toc121420834"/>
      <w:bookmarkStart w:id="387" w:name="_Toc90989244"/>
      <w:bookmarkStart w:id="388" w:name="_Toc89882462"/>
      <w:bookmarkStart w:id="389" w:name="_Toc90997676"/>
      <w:r>
        <w:t xml:space="preserve">4.4.2 </w:t>
      </w:r>
      <w:bookmarkEnd w:id="383"/>
      <w:r>
        <w:t>矿区地理位置</w:t>
      </w:r>
      <w:bookmarkEnd w:id="384"/>
      <w:bookmarkEnd w:id="385"/>
      <w:bookmarkEnd w:id="386"/>
      <w:bookmarkEnd w:id="387"/>
      <w:bookmarkEnd w:id="388"/>
      <w:bookmarkEnd w:id="389"/>
    </w:p>
    <w:p w14:paraId="3A424659">
      <w:pPr>
        <w:ind w:firstLine="519"/>
        <w:rPr>
          <w:rFonts w:cs="Times New Roman"/>
        </w:rPr>
      </w:pPr>
      <w:r>
        <w:rPr>
          <w:rFonts w:cs="Times New Roman"/>
        </w:rPr>
        <w:t>建滔岩盐矿位于衡阳市北部，离市区直线距离7km，</w:t>
      </w:r>
      <w:r>
        <w:rPr>
          <w:rFonts w:hint="eastAsia" w:cs="Times New Roman"/>
        </w:rPr>
        <w:t>行政区划现属衡阳市石鼓区黄沙湾街道</w:t>
      </w:r>
      <w:r>
        <w:rPr>
          <w:rFonts w:cs="Times New Roman"/>
        </w:rPr>
        <w:t>，在《衡阳市矿产资源总体规划（2016~2020年）》中属于石鼓桐山—衡南咸塘岩盐、芒硝、石膏非金属矿重点矿区，符合矿产资源总体规划要求。</w:t>
      </w:r>
      <w:r>
        <w:rPr>
          <w:rFonts w:hint="eastAsia" w:cs="Times New Roman"/>
        </w:rPr>
        <w:t>建滔岩盐矿矿权范围邻区分布有七里井芒硝矿，七里井芒硝矿位于建滔岩盐矿南面约0.8km。建滔岩盐矿矿区范围界线清楚，无边界争议和资源纠纷。矿山周边矿权关系详见下图。</w:t>
      </w:r>
    </w:p>
    <w:p w14:paraId="198FED47">
      <w:pPr>
        <w:pStyle w:val="2"/>
        <w:ind w:firstLine="0" w:firstLineChars="0"/>
        <w:jc w:val="center"/>
      </w:pPr>
      <w:r>
        <w:drawing>
          <wp:inline distT="0" distB="0" distL="0" distR="0">
            <wp:extent cx="4951095" cy="3729990"/>
            <wp:effectExtent l="0" t="0" r="190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63913" cy="3739656"/>
                    </a:xfrm>
                    <a:prstGeom prst="rect">
                      <a:avLst/>
                    </a:prstGeom>
                    <a:noFill/>
                    <a:ln>
                      <a:noFill/>
                    </a:ln>
                  </pic:spPr>
                </pic:pic>
              </a:graphicData>
            </a:graphic>
          </wp:inline>
        </w:drawing>
      </w:r>
    </w:p>
    <w:p w14:paraId="0D9499F3">
      <w:pPr>
        <w:pStyle w:val="9"/>
      </w:pPr>
      <w:r>
        <w:rPr>
          <w:rFonts w:hint="eastAsia"/>
        </w:rPr>
        <w:t>图</w:t>
      </w:r>
      <w:r>
        <w:t>4.4</w:t>
      </w:r>
      <w:r>
        <w:rPr>
          <w:rFonts w:hint="eastAsia"/>
        </w:rPr>
        <w:t>-1 矿山周边矿权关系图</w:t>
      </w:r>
    </w:p>
    <w:p w14:paraId="4C329870">
      <w:pPr>
        <w:ind w:firstLine="519"/>
        <w:rPr>
          <w:rFonts w:cs="Times New Roman"/>
        </w:rPr>
      </w:pPr>
      <w:r>
        <w:rPr>
          <w:rFonts w:cs="Times New Roman"/>
        </w:rPr>
        <w:t>根据矿山现持采矿许可证C4300002009126120061450，湖南省自然资源厅批准的矿区面积为1.32平方公里，矿区由6个拐点圈定，矿区拐点坐标见下表。</w:t>
      </w:r>
    </w:p>
    <w:p w14:paraId="12CAD0A6">
      <w:pPr>
        <w:pStyle w:val="9"/>
      </w:pPr>
      <w:r>
        <w:t>表4.4-1  矿区范围拐点坐标一览表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3595"/>
        <w:gridCol w:w="3289"/>
      </w:tblGrid>
      <w:tr w14:paraId="6D03A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4" w:type="pct"/>
            <w:vAlign w:val="center"/>
          </w:tcPr>
          <w:p w14:paraId="4BDEE85D">
            <w:pPr>
              <w:wordWrap/>
              <w:topLinePunct w:val="0"/>
              <w:adjustRightInd/>
              <w:snapToGrid/>
              <w:spacing w:line="240" w:lineRule="auto"/>
              <w:ind w:firstLine="0" w:firstLineChars="0"/>
              <w:jc w:val="center"/>
              <w:rPr>
                <w:rFonts w:cs="Times New Roman"/>
                <w:sz w:val="21"/>
                <w:szCs w:val="21"/>
              </w:rPr>
            </w:pPr>
            <w:r>
              <w:rPr>
                <w:rFonts w:cs="Times New Roman"/>
                <w:kern w:val="0"/>
                <w:sz w:val="21"/>
                <w:szCs w:val="21"/>
              </w:rPr>
              <w:t>拐点号</w:t>
            </w:r>
          </w:p>
        </w:tc>
        <w:tc>
          <w:tcPr>
            <w:tcW w:w="2108" w:type="pct"/>
            <w:vAlign w:val="center"/>
          </w:tcPr>
          <w:p w14:paraId="489C7B16">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X</w:t>
            </w:r>
            <w:r>
              <w:rPr>
                <w:rFonts w:cs="Times New Roman"/>
                <w:kern w:val="0"/>
                <w:sz w:val="21"/>
                <w:szCs w:val="21"/>
              </w:rPr>
              <w:t>坐标</w:t>
            </w:r>
          </w:p>
        </w:tc>
        <w:tc>
          <w:tcPr>
            <w:tcW w:w="1928" w:type="pct"/>
            <w:vAlign w:val="center"/>
          </w:tcPr>
          <w:p w14:paraId="42123AA9">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Y</w:t>
            </w:r>
            <w:r>
              <w:rPr>
                <w:rFonts w:cs="Times New Roman"/>
                <w:kern w:val="0"/>
                <w:sz w:val="21"/>
                <w:szCs w:val="21"/>
              </w:rPr>
              <w:t>坐标</w:t>
            </w:r>
          </w:p>
        </w:tc>
      </w:tr>
      <w:tr w14:paraId="793B7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4" w:type="pct"/>
            <w:vAlign w:val="center"/>
          </w:tcPr>
          <w:p w14:paraId="3DD74440">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1</w:t>
            </w:r>
          </w:p>
        </w:tc>
        <w:tc>
          <w:tcPr>
            <w:tcW w:w="2108" w:type="pct"/>
            <w:vAlign w:val="center"/>
          </w:tcPr>
          <w:p w14:paraId="0DD7E939">
            <w:pPr>
              <w:wordWrap/>
              <w:topLinePunct w:val="0"/>
              <w:adjustRightInd/>
              <w:snapToGrid/>
              <w:spacing w:line="240" w:lineRule="auto"/>
              <w:ind w:firstLine="0" w:firstLineChars="0"/>
              <w:jc w:val="center"/>
              <w:rPr>
                <w:rFonts w:cs="Times New Roman"/>
                <w:sz w:val="21"/>
                <w:szCs w:val="21"/>
              </w:rPr>
            </w:pPr>
            <w:r>
              <w:rPr>
                <w:rFonts w:cs="Times New Roman"/>
                <w:sz w:val="21"/>
                <w:szCs w:val="21"/>
              </w:rPr>
              <w:t>2984943.7347</w:t>
            </w:r>
          </w:p>
        </w:tc>
        <w:tc>
          <w:tcPr>
            <w:tcW w:w="1928" w:type="pct"/>
            <w:vAlign w:val="center"/>
          </w:tcPr>
          <w:p w14:paraId="74C81A2C">
            <w:pPr>
              <w:pStyle w:val="2"/>
              <w:spacing w:line="240" w:lineRule="auto"/>
              <w:ind w:firstLine="0" w:firstLineChars="0"/>
              <w:jc w:val="center"/>
              <w:rPr>
                <w:rFonts w:cs="Times New Roman"/>
                <w:sz w:val="21"/>
                <w:szCs w:val="21"/>
              </w:rPr>
            </w:pPr>
            <w:r>
              <w:rPr>
                <w:rFonts w:cs="Times New Roman"/>
                <w:sz w:val="21"/>
                <w:szCs w:val="21"/>
              </w:rPr>
              <w:t>38365557.5833</w:t>
            </w:r>
          </w:p>
        </w:tc>
      </w:tr>
      <w:tr w14:paraId="29BEB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4" w:type="pct"/>
            <w:vAlign w:val="center"/>
          </w:tcPr>
          <w:p w14:paraId="3BC50DC4">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2</w:t>
            </w:r>
          </w:p>
        </w:tc>
        <w:tc>
          <w:tcPr>
            <w:tcW w:w="2108" w:type="pct"/>
            <w:vAlign w:val="center"/>
          </w:tcPr>
          <w:p w14:paraId="26C58B6A">
            <w:pPr>
              <w:wordWrap/>
              <w:topLinePunct w:val="0"/>
              <w:adjustRightInd/>
              <w:snapToGrid/>
              <w:spacing w:line="240" w:lineRule="auto"/>
              <w:ind w:firstLine="0" w:firstLineChars="0"/>
              <w:jc w:val="center"/>
              <w:rPr>
                <w:rFonts w:cs="Times New Roman"/>
                <w:sz w:val="21"/>
                <w:szCs w:val="21"/>
              </w:rPr>
            </w:pPr>
            <w:r>
              <w:rPr>
                <w:rFonts w:cs="Times New Roman"/>
                <w:sz w:val="21"/>
                <w:szCs w:val="21"/>
              </w:rPr>
              <w:t>2984943.7235</w:t>
            </w:r>
          </w:p>
        </w:tc>
        <w:tc>
          <w:tcPr>
            <w:tcW w:w="1928" w:type="pct"/>
            <w:vAlign w:val="center"/>
          </w:tcPr>
          <w:p w14:paraId="336356FE">
            <w:pPr>
              <w:wordWrap/>
              <w:topLinePunct w:val="0"/>
              <w:adjustRightInd/>
              <w:snapToGrid/>
              <w:spacing w:line="240" w:lineRule="auto"/>
              <w:ind w:firstLine="0" w:firstLineChars="0"/>
              <w:jc w:val="center"/>
              <w:rPr>
                <w:rFonts w:cs="Times New Roman"/>
                <w:sz w:val="21"/>
                <w:szCs w:val="21"/>
              </w:rPr>
            </w:pPr>
            <w:r>
              <w:rPr>
                <w:rFonts w:cs="Times New Roman"/>
                <w:sz w:val="21"/>
                <w:szCs w:val="21"/>
              </w:rPr>
              <w:t>38363157.5562</w:t>
            </w:r>
          </w:p>
        </w:tc>
      </w:tr>
      <w:tr w14:paraId="27BAE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4" w:type="pct"/>
            <w:vAlign w:val="center"/>
          </w:tcPr>
          <w:p w14:paraId="06D620D7">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3</w:t>
            </w:r>
          </w:p>
        </w:tc>
        <w:tc>
          <w:tcPr>
            <w:tcW w:w="2108" w:type="pct"/>
            <w:vAlign w:val="center"/>
          </w:tcPr>
          <w:p w14:paraId="17704567">
            <w:pPr>
              <w:wordWrap/>
              <w:topLinePunct w:val="0"/>
              <w:adjustRightInd/>
              <w:snapToGrid/>
              <w:spacing w:line="240" w:lineRule="auto"/>
              <w:ind w:firstLine="0" w:firstLineChars="0"/>
              <w:jc w:val="center"/>
              <w:rPr>
                <w:rFonts w:cs="Times New Roman"/>
                <w:sz w:val="21"/>
                <w:szCs w:val="21"/>
              </w:rPr>
            </w:pPr>
            <w:r>
              <w:rPr>
                <w:rFonts w:cs="Times New Roman"/>
                <w:sz w:val="21"/>
                <w:szCs w:val="21"/>
              </w:rPr>
              <w:t>2985743.7359</w:t>
            </w:r>
          </w:p>
        </w:tc>
        <w:tc>
          <w:tcPr>
            <w:tcW w:w="1928" w:type="pct"/>
            <w:vAlign w:val="center"/>
          </w:tcPr>
          <w:p w14:paraId="40DA2428">
            <w:pPr>
              <w:wordWrap/>
              <w:topLinePunct w:val="0"/>
              <w:adjustRightInd/>
              <w:snapToGrid/>
              <w:spacing w:line="240" w:lineRule="auto"/>
              <w:ind w:firstLine="0" w:firstLineChars="0"/>
              <w:jc w:val="center"/>
              <w:rPr>
                <w:rFonts w:cs="Times New Roman"/>
                <w:sz w:val="21"/>
                <w:szCs w:val="21"/>
              </w:rPr>
            </w:pPr>
            <w:r>
              <w:rPr>
                <w:rFonts w:cs="Times New Roman"/>
                <w:sz w:val="21"/>
                <w:szCs w:val="21"/>
              </w:rPr>
              <w:t>38363157.5558</w:t>
            </w:r>
          </w:p>
        </w:tc>
      </w:tr>
      <w:tr w14:paraId="2BF81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4" w:type="pct"/>
            <w:vAlign w:val="center"/>
          </w:tcPr>
          <w:p w14:paraId="48ECA19A">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4</w:t>
            </w:r>
          </w:p>
        </w:tc>
        <w:tc>
          <w:tcPr>
            <w:tcW w:w="2108" w:type="pct"/>
            <w:vAlign w:val="center"/>
          </w:tcPr>
          <w:p w14:paraId="6A023D21">
            <w:pPr>
              <w:wordWrap/>
              <w:topLinePunct w:val="0"/>
              <w:adjustRightInd/>
              <w:snapToGrid/>
              <w:spacing w:line="240" w:lineRule="auto"/>
              <w:ind w:firstLine="0" w:firstLineChars="0"/>
              <w:jc w:val="center"/>
              <w:rPr>
                <w:rFonts w:cs="Times New Roman"/>
                <w:sz w:val="21"/>
                <w:szCs w:val="21"/>
              </w:rPr>
            </w:pPr>
            <w:r>
              <w:rPr>
                <w:rFonts w:cs="Times New Roman"/>
                <w:sz w:val="21"/>
                <w:szCs w:val="21"/>
              </w:rPr>
              <w:t>2985743.7365</w:t>
            </w:r>
          </w:p>
        </w:tc>
        <w:tc>
          <w:tcPr>
            <w:tcW w:w="1928" w:type="pct"/>
            <w:vAlign w:val="center"/>
          </w:tcPr>
          <w:p w14:paraId="7403E3DD">
            <w:pPr>
              <w:wordWrap/>
              <w:topLinePunct w:val="0"/>
              <w:adjustRightInd/>
              <w:snapToGrid/>
              <w:spacing w:line="240" w:lineRule="auto"/>
              <w:ind w:firstLine="0" w:firstLineChars="0"/>
              <w:jc w:val="center"/>
              <w:rPr>
                <w:rFonts w:cs="Times New Roman"/>
                <w:sz w:val="21"/>
                <w:szCs w:val="21"/>
              </w:rPr>
            </w:pPr>
            <w:r>
              <w:rPr>
                <w:rFonts w:cs="Times New Roman"/>
                <w:sz w:val="21"/>
                <w:szCs w:val="21"/>
              </w:rPr>
              <w:t>38364357.5693</w:t>
            </w:r>
          </w:p>
        </w:tc>
      </w:tr>
      <w:tr w14:paraId="467C2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4" w:type="pct"/>
            <w:vAlign w:val="center"/>
          </w:tcPr>
          <w:p w14:paraId="4167167D">
            <w:pPr>
              <w:wordWrap/>
              <w:topLinePunct w:val="0"/>
              <w:adjustRightInd/>
              <w:snapToGrid/>
              <w:spacing w:line="240" w:lineRule="auto"/>
              <w:ind w:firstLine="0" w:firstLineChars="0"/>
              <w:jc w:val="center"/>
              <w:rPr>
                <w:rFonts w:cs="Times New Roman" w:eastAsiaTheme="minorEastAsia"/>
                <w:kern w:val="0"/>
                <w:sz w:val="21"/>
                <w:szCs w:val="21"/>
              </w:rPr>
            </w:pPr>
            <w:r>
              <w:rPr>
                <w:rFonts w:cs="Times New Roman" w:eastAsiaTheme="minorEastAsia"/>
                <w:kern w:val="0"/>
                <w:sz w:val="21"/>
                <w:szCs w:val="21"/>
              </w:rPr>
              <w:t>5</w:t>
            </w:r>
          </w:p>
        </w:tc>
        <w:tc>
          <w:tcPr>
            <w:tcW w:w="2108" w:type="pct"/>
            <w:vAlign w:val="center"/>
          </w:tcPr>
          <w:p w14:paraId="6D527C00">
            <w:pPr>
              <w:wordWrap/>
              <w:topLinePunct w:val="0"/>
              <w:adjustRightInd/>
              <w:snapToGrid/>
              <w:spacing w:line="240" w:lineRule="auto"/>
              <w:ind w:firstLine="0" w:firstLineChars="0"/>
              <w:jc w:val="center"/>
              <w:rPr>
                <w:rFonts w:cs="Times New Roman"/>
                <w:sz w:val="21"/>
                <w:szCs w:val="21"/>
              </w:rPr>
            </w:pPr>
            <w:r>
              <w:rPr>
                <w:rFonts w:cs="Times New Roman"/>
                <w:sz w:val="21"/>
                <w:szCs w:val="21"/>
              </w:rPr>
              <w:t>2985243.7350</w:t>
            </w:r>
          </w:p>
        </w:tc>
        <w:tc>
          <w:tcPr>
            <w:tcW w:w="1928" w:type="pct"/>
            <w:vAlign w:val="center"/>
          </w:tcPr>
          <w:p w14:paraId="34883BBC">
            <w:pPr>
              <w:wordWrap/>
              <w:topLinePunct w:val="0"/>
              <w:adjustRightInd/>
              <w:snapToGrid/>
              <w:spacing w:line="240" w:lineRule="auto"/>
              <w:ind w:firstLine="0" w:firstLineChars="0"/>
              <w:jc w:val="center"/>
              <w:rPr>
                <w:rFonts w:cs="Times New Roman"/>
                <w:sz w:val="21"/>
                <w:szCs w:val="21"/>
              </w:rPr>
            </w:pPr>
            <w:r>
              <w:rPr>
                <w:rFonts w:cs="Times New Roman"/>
                <w:sz w:val="21"/>
                <w:szCs w:val="21"/>
              </w:rPr>
              <w:t>38364357.5696</w:t>
            </w:r>
          </w:p>
        </w:tc>
      </w:tr>
      <w:tr w14:paraId="35F49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4" w:type="pct"/>
            <w:vAlign w:val="center"/>
          </w:tcPr>
          <w:p w14:paraId="65555BDF">
            <w:pPr>
              <w:wordWrap/>
              <w:topLinePunct w:val="0"/>
              <w:adjustRightInd/>
              <w:snapToGrid/>
              <w:spacing w:line="240" w:lineRule="auto"/>
              <w:ind w:firstLine="0" w:firstLineChars="0"/>
              <w:jc w:val="center"/>
              <w:rPr>
                <w:rFonts w:cs="Times New Roman" w:eastAsiaTheme="minorEastAsia"/>
                <w:kern w:val="0"/>
                <w:sz w:val="21"/>
                <w:szCs w:val="21"/>
              </w:rPr>
            </w:pPr>
            <w:r>
              <w:rPr>
                <w:rFonts w:cs="Times New Roman" w:eastAsiaTheme="minorEastAsia"/>
                <w:kern w:val="0"/>
                <w:sz w:val="21"/>
                <w:szCs w:val="21"/>
              </w:rPr>
              <w:t>6</w:t>
            </w:r>
          </w:p>
        </w:tc>
        <w:tc>
          <w:tcPr>
            <w:tcW w:w="2108" w:type="pct"/>
            <w:vAlign w:val="center"/>
          </w:tcPr>
          <w:p w14:paraId="450ADA61">
            <w:pPr>
              <w:wordWrap/>
              <w:topLinePunct w:val="0"/>
              <w:adjustRightInd/>
              <w:snapToGrid/>
              <w:spacing w:line="240" w:lineRule="auto"/>
              <w:ind w:firstLine="0" w:firstLineChars="0"/>
              <w:jc w:val="center"/>
              <w:rPr>
                <w:rFonts w:cs="Times New Roman"/>
                <w:sz w:val="21"/>
                <w:szCs w:val="21"/>
              </w:rPr>
            </w:pPr>
            <w:r>
              <w:rPr>
                <w:rFonts w:cs="Times New Roman"/>
                <w:sz w:val="21"/>
                <w:szCs w:val="21"/>
              </w:rPr>
              <w:t>2985243.7356</w:t>
            </w:r>
          </w:p>
        </w:tc>
        <w:tc>
          <w:tcPr>
            <w:tcW w:w="1928" w:type="pct"/>
            <w:vAlign w:val="center"/>
          </w:tcPr>
          <w:p w14:paraId="28BEB6AB">
            <w:pPr>
              <w:wordWrap/>
              <w:topLinePunct w:val="0"/>
              <w:adjustRightInd/>
              <w:snapToGrid/>
              <w:spacing w:line="240" w:lineRule="auto"/>
              <w:ind w:firstLine="0" w:firstLineChars="0"/>
              <w:jc w:val="center"/>
              <w:rPr>
                <w:rFonts w:cs="Times New Roman"/>
                <w:sz w:val="21"/>
                <w:szCs w:val="21"/>
              </w:rPr>
            </w:pPr>
            <w:r>
              <w:rPr>
                <w:rFonts w:cs="Times New Roman"/>
                <w:sz w:val="21"/>
                <w:szCs w:val="21"/>
              </w:rPr>
              <w:t>38365557.5831</w:t>
            </w:r>
          </w:p>
        </w:tc>
      </w:tr>
      <w:tr w14:paraId="15E25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4" w:type="pct"/>
            <w:vAlign w:val="center"/>
          </w:tcPr>
          <w:p w14:paraId="63FAD387">
            <w:pPr>
              <w:wordWrap/>
              <w:topLinePunct w:val="0"/>
              <w:adjustRightInd/>
              <w:snapToGrid/>
              <w:spacing w:line="240" w:lineRule="auto"/>
              <w:ind w:firstLine="0" w:firstLineChars="0"/>
              <w:jc w:val="center"/>
              <w:rPr>
                <w:rFonts w:cs="Times New Roman" w:eastAsiaTheme="minorEastAsia"/>
                <w:kern w:val="0"/>
                <w:sz w:val="21"/>
                <w:szCs w:val="21"/>
              </w:rPr>
            </w:pPr>
            <w:r>
              <w:rPr>
                <w:rFonts w:cs="Times New Roman" w:eastAsiaTheme="minorEastAsia"/>
                <w:kern w:val="0"/>
                <w:sz w:val="21"/>
                <w:szCs w:val="21"/>
              </w:rPr>
              <w:t>开采标高</w:t>
            </w:r>
          </w:p>
        </w:tc>
        <w:tc>
          <w:tcPr>
            <w:tcW w:w="4036" w:type="pct"/>
            <w:gridSpan w:val="2"/>
            <w:vAlign w:val="center"/>
          </w:tcPr>
          <w:p w14:paraId="53A29614">
            <w:pPr>
              <w:wordWrap/>
              <w:topLinePunct w:val="0"/>
              <w:adjustRightInd/>
              <w:snapToGrid/>
              <w:spacing w:line="240" w:lineRule="auto"/>
              <w:ind w:firstLine="0" w:firstLineChars="0"/>
              <w:jc w:val="center"/>
              <w:rPr>
                <w:rFonts w:cs="Times New Roman"/>
                <w:sz w:val="21"/>
                <w:szCs w:val="21"/>
              </w:rPr>
            </w:pPr>
            <w:r>
              <w:rPr>
                <w:rFonts w:cs="Times New Roman"/>
                <w:sz w:val="21"/>
                <w:szCs w:val="21"/>
              </w:rPr>
              <w:t>从-458.26米至-750米</w:t>
            </w:r>
          </w:p>
        </w:tc>
      </w:tr>
    </w:tbl>
    <w:p w14:paraId="1AF8110C">
      <w:pPr>
        <w:pStyle w:val="7"/>
      </w:pPr>
      <w:bookmarkStart w:id="390" w:name="_Toc90997677"/>
      <w:bookmarkStart w:id="391" w:name="_Toc90318423"/>
      <w:bookmarkStart w:id="392" w:name="_Toc89882463"/>
      <w:bookmarkStart w:id="393" w:name="_Toc89786138"/>
      <w:bookmarkStart w:id="394" w:name="_Toc121420835"/>
      <w:bookmarkStart w:id="395" w:name="_Toc90989245"/>
      <w:r>
        <w:t>4.4.3 矿区资源概况</w:t>
      </w:r>
      <w:bookmarkEnd w:id="390"/>
      <w:bookmarkEnd w:id="391"/>
      <w:bookmarkEnd w:id="392"/>
      <w:bookmarkEnd w:id="393"/>
      <w:bookmarkEnd w:id="394"/>
      <w:bookmarkEnd w:id="395"/>
    </w:p>
    <w:p w14:paraId="2C4F1D30">
      <w:pPr>
        <w:pStyle w:val="8"/>
        <w:ind w:firstLine="0" w:firstLineChars="0"/>
        <w:rPr>
          <w:rFonts w:cs="Times New Roman"/>
        </w:rPr>
      </w:pPr>
      <w:r>
        <w:rPr>
          <w:rFonts w:cs="Times New Roman"/>
        </w:rPr>
        <w:t>4.4.3.1矿山地质特征</w:t>
      </w:r>
    </w:p>
    <w:p w14:paraId="3C4218A3">
      <w:pPr>
        <w:pStyle w:val="2"/>
        <w:ind w:firstLine="519"/>
        <w:rPr>
          <w:rFonts w:cs="Times New Roman"/>
        </w:rPr>
      </w:pPr>
      <w:r>
        <w:rPr>
          <w:rFonts w:cs="Times New Roman"/>
        </w:rPr>
        <w:t>1、主盐层</w:t>
      </w:r>
    </w:p>
    <w:p w14:paraId="1DD64AA1">
      <w:pPr>
        <w:pStyle w:val="2"/>
        <w:ind w:firstLine="519"/>
        <w:rPr>
          <w:rFonts w:cs="Times New Roman"/>
        </w:rPr>
      </w:pPr>
      <w:r>
        <w:rPr>
          <w:rFonts w:cs="Times New Roman"/>
        </w:rPr>
        <w:t>岩盐矿赋存于下第三系霞流市组</w:t>
      </w:r>
      <w:bookmarkStart w:id="396" w:name="_Hlk89413625"/>
      <w:r>
        <w:rPr>
          <w:rFonts w:cs="Times New Roman"/>
        </w:rPr>
        <w:t>茶山坳段</w:t>
      </w:r>
      <w:bookmarkEnd w:id="396"/>
      <w:bookmarkStart w:id="397" w:name="_Hlk89413751"/>
      <w:r>
        <w:rPr>
          <w:rFonts w:cs="Times New Roman"/>
        </w:rPr>
        <w:t>氯化物带</w:t>
      </w:r>
      <w:bookmarkEnd w:id="397"/>
      <w:r>
        <w:rPr>
          <w:rFonts w:cs="Times New Roman"/>
        </w:rPr>
        <w:t>中。矿层形态简单，呈层状产出，产状稳定，与地层一致，倾向北西——北北西，倾角5～15°，东西宽大于4000m，南北长4800m以上，已控制矿层范围约20km</w:t>
      </w:r>
      <w:r>
        <w:rPr>
          <w:rFonts w:cs="Times New Roman"/>
          <w:vertAlign w:val="superscript"/>
        </w:rPr>
        <w:t>2</w:t>
      </w:r>
      <w:r>
        <w:rPr>
          <w:rFonts w:cs="Times New Roman"/>
        </w:rPr>
        <w:t>。主盐层赋存于上硫酸盐带下部、氯化物带上部，以岩盐单层厚度大、夹石厚度小、夹石出现频率低、含矿率高、兰色石盐少见为特征。矿层最大埋深604.28m，最小埋深181.76m；埋深南浅北深，与矿层倾向延伸基本一致。含矿层厚度 216.07～326.50m，平均厚度 240.16m；岩盐矿层厚187.98～279.97m，平均厚度205.82m；见单矿层11层，单层厚度1.20～89.90m；夹层10层，单层厚1.50～10.80m；含矿率85.7%。</w:t>
      </w:r>
    </w:p>
    <w:p w14:paraId="1B1AE80C">
      <w:pPr>
        <w:pStyle w:val="2"/>
        <w:ind w:firstLine="519"/>
        <w:rPr>
          <w:rFonts w:cs="Times New Roman"/>
        </w:rPr>
      </w:pPr>
      <w:r>
        <w:rPr>
          <w:rFonts w:cs="Times New Roman"/>
        </w:rPr>
        <w:t>2、副盐层</w:t>
      </w:r>
    </w:p>
    <w:p w14:paraId="531EC7F6">
      <w:pPr>
        <w:pStyle w:val="2"/>
        <w:ind w:firstLine="519"/>
        <w:rPr>
          <w:rFonts w:cs="Times New Roman"/>
        </w:rPr>
      </w:pPr>
      <w:r>
        <w:rPr>
          <w:rFonts w:cs="Times New Roman"/>
        </w:rPr>
        <w:t>岩盐副矿层位于氯化物带下部，岩盐主矿层之下，两者呈过渡关系。矿层中以单矿层厚度小，夹石厚度大且出现频繁，蓝色石盐出现的频数增大，含矿率明显偏低为其特征。含矿层控制厚度 8.08～108.71m；矿层厚度1.63～19.73m；单矿层厚度 0.75～7.06m；夹层厚度 6.45～88.98m，单层厚度 0.63～61.44m；含矿率 16～47%。由于含盐盆地往中心部位含盐系厚度增大，目前无钻孔揭穿副含矿层，厚度变化规律不甚清楚。</w:t>
      </w:r>
    </w:p>
    <w:p w14:paraId="788D35DD">
      <w:pPr>
        <w:pStyle w:val="2"/>
        <w:ind w:firstLine="519"/>
        <w:rPr>
          <w:rFonts w:cs="Times New Roman"/>
        </w:rPr>
      </w:pPr>
      <w:r>
        <w:rPr>
          <w:rFonts w:cs="Times New Roman"/>
        </w:rPr>
        <w:t>3、钙芒硝矿层</w:t>
      </w:r>
    </w:p>
    <w:p w14:paraId="72074C6E">
      <w:pPr>
        <w:pStyle w:val="2"/>
        <w:ind w:firstLine="519"/>
        <w:rPr>
          <w:rFonts w:cs="Times New Roman"/>
        </w:rPr>
      </w:pPr>
      <w:r>
        <w:rPr>
          <w:rFonts w:cs="Times New Roman"/>
        </w:rPr>
        <w:t>见于上硫酸盐带下部，即深灰色含膏泥岩以下、主盐层之上，厚度 40.46～43.2m。钙芒硝多呈粒状，菱板状晶体与石盐共生，硬石膏呈不规则团块状，多与泥质相伴，很少与石盐相伴。</w:t>
      </w:r>
    </w:p>
    <w:p w14:paraId="714556EC">
      <w:pPr>
        <w:pStyle w:val="8"/>
        <w:ind w:firstLine="0" w:firstLineChars="0"/>
        <w:rPr>
          <w:rFonts w:cs="Times New Roman"/>
        </w:rPr>
      </w:pPr>
      <w:r>
        <w:rPr>
          <w:rFonts w:cs="Times New Roman"/>
        </w:rPr>
        <w:t>4.4.3.2矿石的矿物组成及化学成份</w:t>
      </w:r>
    </w:p>
    <w:p w14:paraId="6260AF12">
      <w:pPr>
        <w:ind w:firstLine="519"/>
        <w:rPr>
          <w:rFonts w:cs="Times New Roman"/>
        </w:rPr>
      </w:pPr>
      <w:r>
        <w:rPr>
          <w:rFonts w:cs="Times New Roman"/>
        </w:rPr>
        <w:t>1、岩盐矿层</w:t>
      </w:r>
    </w:p>
    <w:p w14:paraId="6BC6A426">
      <w:pPr>
        <w:ind w:firstLine="519"/>
        <w:rPr>
          <w:rFonts w:cs="Times New Roman"/>
        </w:rPr>
      </w:pPr>
      <w:r>
        <w:rPr>
          <w:rFonts w:cs="Times New Roman"/>
        </w:rPr>
        <w:t>矿石中有用矿物主要为石盐，其次为钙芒硝，少量硬石膏；杂质矿物为粘土矿物（泥质）及少量方解石、白云石等。主要有益组份为NaCl，伴生有益组份为Na</w:t>
      </w:r>
      <w:r>
        <w:rPr>
          <w:rFonts w:cs="Times New Roman"/>
          <w:vertAlign w:val="subscript"/>
        </w:rPr>
        <w:t>2</w:t>
      </w:r>
      <w:r>
        <w:rPr>
          <w:rFonts w:cs="Times New Roman"/>
        </w:rPr>
        <w:t>SO</w:t>
      </w:r>
      <w:r>
        <w:rPr>
          <w:rFonts w:cs="Times New Roman"/>
          <w:vertAlign w:val="subscript"/>
        </w:rPr>
        <w:t>4</w:t>
      </w:r>
      <w:r>
        <w:rPr>
          <w:rFonts w:cs="Times New Roman"/>
        </w:rPr>
        <w:t>，杂质组分主要为泥质等水不溶物。矿层中NaCl平均品位44.74%，单工程平均含量43.08～49.38%；伴生的 Na</w:t>
      </w:r>
      <w:r>
        <w:rPr>
          <w:rFonts w:cs="Times New Roman"/>
          <w:vertAlign w:val="subscript"/>
        </w:rPr>
        <w:t>2</w:t>
      </w:r>
      <w:r>
        <w:rPr>
          <w:rFonts w:cs="Times New Roman"/>
        </w:rPr>
        <w:t>SO</w:t>
      </w:r>
      <w:r>
        <w:rPr>
          <w:rFonts w:cs="Times New Roman"/>
          <w:vertAlign w:val="subscript"/>
        </w:rPr>
        <w:t>4</w:t>
      </w:r>
      <w:r>
        <w:rPr>
          <w:rFonts w:cs="Times New Roman"/>
        </w:rPr>
        <w:t>平均品位为9.67%，单工程平均品位在6.67～12.90%之间；水不溶物含量一般在25%左右，最高可达73.38%，平均28.24%。</w:t>
      </w:r>
    </w:p>
    <w:p w14:paraId="0AF766CF">
      <w:pPr>
        <w:ind w:firstLine="519"/>
        <w:rPr>
          <w:rFonts w:cs="Times New Roman"/>
        </w:rPr>
      </w:pPr>
      <w:r>
        <w:rPr>
          <w:rFonts w:cs="Times New Roman"/>
        </w:rPr>
        <w:t>2、钙芒硝矿层</w:t>
      </w:r>
    </w:p>
    <w:p w14:paraId="200EA2BB">
      <w:pPr>
        <w:ind w:firstLine="519"/>
        <w:rPr>
          <w:rFonts w:cs="Times New Roman"/>
        </w:rPr>
      </w:pPr>
      <w:r>
        <w:rPr>
          <w:rFonts w:cs="Times New Roman"/>
        </w:rPr>
        <w:t>矿石中有用矿物主要为钙芒硝，少量次生芒硝；杂质矿物主要为粘土矿物，次为硬石膏，少量方解石、白云石等。钙芒硝矿层中主要组分Na</w:t>
      </w:r>
      <w:r>
        <w:rPr>
          <w:rFonts w:cs="Times New Roman"/>
          <w:vertAlign w:val="subscript"/>
        </w:rPr>
        <w:t>2</w:t>
      </w:r>
      <w:r>
        <w:rPr>
          <w:rFonts w:cs="Times New Roman"/>
        </w:rPr>
        <w:t>SO</w:t>
      </w:r>
      <w:r>
        <w:rPr>
          <w:rFonts w:cs="Times New Roman"/>
          <w:vertAlign w:val="subscript"/>
        </w:rPr>
        <w:t>4</w:t>
      </w:r>
      <w:r>
        <w:rPr>
          <w:rFonts w:cs="Times New Roman"/>
        </w:rPr>
        <w:t xml:space="preserve"> 的平均品位为32.01%，单工程平均品位25.41～38.28%，在平面上沿走向、倾向方向变化不大，纵向上虽有一定变化，但无明显规律。伴生组份 NaCl含量甚微，绝大部分在1%以下。</w:t>
      </w:r>
    </w:p>
    <w:p w14:paraId="114D9339">
      <w:pPr>
        <w:pStyle w:val="8"/>
        <w:ind w:firstLine="0" w:firstLineChars="0"/>
        <w:rPr>
          <w:rFonts w:cs="Times New Roman"/>
        </w:rPr>
      </w:pPr>
      <w:r>
        <w:rPr>
          <w:rFonts w:cs="Times New Roman"/>
        </w:rPr>
        <w:t>4.4.3.3矿石结构构造</w:t>
      </w:r>
    </w:p>
    <w:p w14:paraId="22E21500">
      <w:pPr>
        <w:ind w:firstLine="519"/>
        <w:rPr>
          <w:rFonts w:cs="Times New Roman"/>
        </w:rPr>
      </w:pPr>
      <w:r>
        <w:rPr>
          <w:rFonts w:cs="Times New Roman"/>
        </w:rPr>
        <w:t>矿石结构以粒状结构为主，花斑状结构次之。构造以块状构造、斑点团块构造、条带构造为主，次为肠状构造和揉皱构造。</w:t>
      </w:r>
    </w:p>
    <w:p w14:paraId="50C16BBF">
      <w:pPr>
        <w:pStyle w:val="8"/>
        <w:ind w:firstLine="0" w:firstLineChars="0"/>
        <w:rPr>
          <w:rFonts w:cs="Times New Roman"/>
        </w:rPr>
      </w:pPr>
      <w:r>
        <w:rPr>
          <w:rFonts w:cs="Times New Roman"/>
        </w:rPr>
        <w:t>4.4.3.4矿石类型</w:t>
      </w:r>
    </w:p>
    <w:p w14:paraId="4633DC60">
      <w:pPr>
        <w:ind w:firstLine="519"/>
        <w:rPr>
          <w:rFonts w:cs="Times New Roman"/>
        </w:rPr>
      </w:pPr>
      <w:r>
        <w:rPr>
          <w:rFonts w:cs="Times New Roman"/>
        </w:rPr>
        <w:t>主要有结晶块状岩盐矿石，钙芒硝石盐混生岩盐矿石，斑点团块状、条带状岩盐矿石，结晶块状钙芒硝矿石和团块状条带状钙芒硝矿石等五种类型。</w:t>
      </w:r>
    </w:p>
    <w:p w14:paraId="1BB7E479">
      <w:pPr>
        <w:pStyle w:val="8"/>
        <w:ind w:firstLine="0" w:firstLineChars="0"/>
        <w:rPr>
          <w:rFonts w:cs="Times New Roman"/>
        </w:rPr>
      </w:pPr>
      <w:r>
        <w:rPr>
          <w:rFonts w:cs="Times New Roman"/>
        </w:rPr>
        <w:t>4.4.3.5共（伴）生矿产</w:t>
      </w:r>
    </w:p>
    <w:p w14:paraId="0AE03DF6">
      <w:pPr>
        <w:ind w:firstLine="519"/>
        <w:rPr>
          <w:rFonts w:cs="Times New Roman"/>
        </w:rPr>
      </w:pPr>
      <w:r>
        <w:rPr>
          <w:rFonts w:cs="Times New Roman"/>
        </w:rPr>
        <w:t>伴生组分</w:t>
      </w:r>
      <w:bookmarkStart w:id="398" w:name="_Hlk90237455"/>
      <w:r>
        <w:rPr>
          <w:rFonts w:cs="Times New Roman"/>
        </w:rPr>
        <w:t>硫酸钙（石膏）</w:t>
      </w:r>
      <w:bookmarkEnd w:id="398"/>
      <w:r>
        <w:rPr>
          <w:rFonts w:cs="Times New Roman"/>
        </w:rPr>
        <w:t>含量一般为10%左右，含量低。且Na</w:t>
      </w:r>
      <w:r>
        <w:rPr>
          <w:rFonts w:cs="Times New Roman"/>
          <w:vertAlign w:val="subscript"/>
        </w:rPr>
        <w:t>2</w:t>
      </w:r>
      <w:r>
        <w:rPr>
          <w:rFonts w:cs="Times New Roman"/>
        </w:rPr>
        <w:t>SO</w:t>
      </w:r>
      <w:r>
        <w:rPr>
          <w:rFonts w:cs="Times New Roman"/>
          <w:vertAlign w:val="subscript"/>
        </w:rPr>
        <w:t>4</w:t>
      </w:r>
      <w:r>
        <w:rPr>
          <w:rFonts w:cs="Times New Roman"/>
        </w:rPr>
        <w:t xml:space="preserve"> 的选矿方法为硐室水溶法，因此，硫酸钙（石膏）未进行综合利用。除此之外区内矿石不含其它伴生有益组分。</w:t>
      </w:r>
    </w:p>
    <w:p w14:paraId="51A8C93C">
      <w:pPr>
        <w:pStyle w:val="8"/>
        <w:ind w:firstLine="0" w:firstLineChars="0"/>
        <w:rPr>
          <w:rFonts w:cs="Times New Roman"/>
        </w:rPr>
      </w:pPr>
      <w:r>
        <w:rPr>
          <w:rFonts w:cs="Times New Roman"/>
        </w:rPr>
        <w:t>4.4.3.6矿石围岩及夹石特征</w:t>
      </w:r>
    </w:p>
    <w:p w14:paraId="277C3398">
      <w:pPr>
        <w:pStyle w:val="2"/>
        <w:ind w:firstLine="519"/>
        <w:rPr>
          <w:rFonts w:cs="Times New Roman"/>
        </w:rPr>
      </w:pPr>
      <w:r>
        <w:rPr>
          <w:rFonts w:cs="Times New Roman"/>
        </w:rPr>
        <w:t>1、矿层顶底板围岩特征</w:t>
      </w:r>
    </w:p>
    <w:p w14:paraId="49A2A35F">
      <w:pPr>
        <w:pStyle w:val="2"/>
        <w:ind w:firstLine="519"/>
        <w:rPr>
          <w:rFonts w:cs="Times New Roman"/>
        </w:rPr>
      </w:pPr>
      <w:r>
        <w:rPr>
          <w:rFonts w:cs="Times New Roman"/>
        </w:rPr>
        <w:t>（1）岩盐矿层：埋藏于地表以下181.76～604.28m之上硫酸盐带中。矿层直接顶板上硫酸盐钙芒硝矿层、含石盐钙芒硝矿层厚19.09～94.92m，平均厚58.07m，与矿层呈渐变过渡关系，矿层与围岩界线不甚清楚。区内广布紫红色泥岩、粉砂质泥岩，所施工的钻孔均见到该层位，岩层由南往北逐渐增厚，厚度为181.76～800m，为矿层的间接顶板；矿层底板为岩盐副矿层或下硫酸盐带钙芒硝岩、含硬石膏钙芒硝泥岩、粉砂质泥岩，矿层与底板界线不清，为渐变过渡关系，钻孔揭露厚度为8.08～108.71m。</w:t>
      </w:r>
    </w:p>
    <w:p w14:paraId="70F89A27">
      <w:pPr>
        <w:pStyle w:val="2"/>
        <w:ind w:firstLine="519"/>
        <w:rPr>
          <w:rFonts w:cs="Times New Roman"/>
        </w:rPr>
      </w:pPr>
      <w:r>
        <w:rPr>
          <w:rFonts w:cs="Times New Roman"/>
        </w:rPr>
        <w:t>（2）钙芒硝矿层：埋藏于地表以下64.56～552.93m之上的硫酸盐带中。矿层顶板为青灰色泥岩、灰质泥岩、含钙芒硝泥岩，矿层与围岩界线不甚清楚，呈过渡关系；底板为岩盐矿层，与其界线清楚。</w:t>
      </w:r>
    </w:p>
    <w:p w14:paraId="223AB6E8">
      <w:pPr>
        <w:pStyle w:val="2"/>
        <w:ind w:firstLine="519"/>
        <w:rPr>
          <w:rFonts w:cs="Times New Roman"/>
        </w:rPr>
      </w:pPr>
      <w:r>
        <w:rPr>
          <w:rFonts w:cs="Times New Roman"/>
        </w:rPr>
        <w:t>2、夹石特征</w:t>
      </w:r>
    </w:p>
    <w:p w14:paraId="27290574">
      <w:pPr>
        <w:pStyle w:val="2"/>
        <w:ind w:firstLine="519"/>
        <w:rPr>
          <w:rFonts w:cs="Times New Roman"/>
        </w:rPr>
      </w:pPr>
      <w:r>
        <w:rPr>
          <w:rFonts w:cs="Times New Roman"/>
        </w:rPr>
        <w:t>盐层中的夹石主要为卤泥岩或含钙芒硝卤泥岩，呈似层状，透镜状产出，纵、横两方向均难对比。但在上部主盐层中，夹石厚度小，出现频率低，而到下部副盐层，则夹石厚度增大，出现频率升高。钙芒硝矿层中，一般夹石较少，但在矿权范围之外的盆地边缘的钙芒硝矿层中，则夹石较多。</w:t>
      </w:r>
    </w:p>
    <w:p w14:paraId="7937BFE0">
      <w:pPr>
        <w:pStyle w:val="8"/>
        <w:ind w:firstLine="0" w:firstLineChars="0"/>
        <w:rPr>
          <w:rFonts w:cs="Times New Roman"/>
        </w:rPr>
      </w:pPr>
      <w:r>
        <w:rPr>
          <w:rFonts w:cs="Times New Roman"/>
        </w:rPr>
        <w:t>4.4.3.7矿床开采技术条件</w:t>
      </w:r>
    </w:p>
    <w:p w14:paraId="1C41A2DC">
      <w:pPr>
        <w:ind w:firstLine="521"/>
        <w:rPr>
          <w:rFonts w:cs="Times New Roman"/>
          <w:b/>
          <w:bCs/>
        </w:rPr>
      </w:pPr>
      <w:r>
        <w:rPr>
          <w:rFonts w:cs="Times New Roman"/>
          <w:b/>
          <w:bCs/>
        </w:rPr>
        <w:t>1、工程地质条件</w:t>
      </w:r>
    </w:p>
    <w:p w14:paraId="6FDAEABE">
      <w:pPr>
        <w:ind w:firstLine="519"/>
        <w:rPr>
          <w:rFonts w:cs="Times New Roman"/>
        </w:rPr>
      </w:pPr>
      <w:r>
        <w:rPr>
          <w:rFonts w:cs="Times New Roman"/>
        </w:rPr>
        <w:t>根据岩体与土体的坚固性及其特征，矿区内工程地质层可划分为土体和岩体两大类别。</w:t>
      </w:r>
    </w:p>
    <w:p w14:paraId="39EFFBAB">
      <w:pPr>
        <w:ind w:firstLine="519"/>
        <w:rPr>
          <w:rFonts w:cs="Times New Roman"/>
        </w:rPr>
      </w:pPr>
      <w:r>
        <w:rPr>
          <w:rFonts w:cs="Times New Roman"/>
        </w:rPr>
        <w:t>（1）土体</w:t>
      </w:r>
    </w:p>
    <w:p w14:paraId="0BDF4EE7">
      <w:pPr>
        <w:ind w:firstLine="519"/>
        <w:rPr>
          <w:rFonts w:cs="Times New Roman"/>
        </w:rPr>
      </w:pPr>
      <w:r>
        <w:rPr>
          <w:rFonts w:cs="Times New Roman"/>
        </w:rPr>
        <w:t>土体主要包括粘土、粉质粘土、砂质粘土、砂土、砂卵石双层结构土体和蠕虫状红土、砂砾石双层结构土体。</w:t>
      </w:r>
    </w:p>
    <w:p w14:paraId="0B543E5B">
      <w:pPr>
        <w:ind w:firstLine="519"/>
        <w:rPr>
          <w:rFonts w:cs="Times New Roman"/>
        </w:rPr>
      </w:pPr>
      <w:r>
        <w:rPr>
          <w:rFonts w:cs="Times New Roman"/>
        </w:rPr>
        <w:t>（2）岩体</w:t>
      </w:r>
    </w:p>
    <w:p w14:paraId="66AA753F">
      <w:pPr>
        <w:ind w:firstLine="519"/>
        <w:rPr>
          <w:rFonts w:cs="Times New Roman"/>
        </w:rPr>
      </w:pPr>
      <w:r>
        <w:rPr>
          <w:rFonts w:cs="Times New Roman"/>
        </w:rPr>
        <w:t>岩体主要包括较软～坚硬薄～厚层状泥岩、粉砂质泥岩、灰质泥岩、粉砂岩、细砂岩岩性综合体、软弱薄～块状含膏钙芒硝泥岩、钙芒硝矿及岩盐岩性综合体和较软～坚硬薄～中厚层状粉砂质泥岩，含膏泥岩及粉砂岩岩性综合体。</w:t>
      </w:r>
    </w:p>
    <w:p w14:paraId="7F81297D">
      <w:pPr>
        <w:ind w:firstLine="519"/>
        <w:rPr>
          <w:rFonts w:cs="Times New Roman"/>
        </w:rPr>
      </w:pPr>
      <w:r>
        <w:rPr>
          <w:rFonts w:cs="Times New Roman"/>
        </w:rPr>
        <w:t>（3）构造及岩体结构面</w:t>
      </w:r>
    </w:p>
    <w:p w14:paraId="41BBFDE7">
      <w:pPr>
        <w:ind w:firstLine="519"/>
        <w:rPr>
          <w:rFonts w:cs="Times New Roman"/>
        </w:rPr>
      </w:pPr>
      <w:r>
        <w:rPr>
          <w:rFonts w:cs="Times New Roman"/>
        </w:rPr>
        <w:t>区内断裂构造不发育，未见大的断层，但节理裂隙较发育，岩盐主矿层顶、底板为钙芒硝矿和岩盐岩软弱层。</w:t>
      </w:r>
    </w:p>
    <w:p w14:paraId="34504E24">
      <w:pPr>
        <w:ind w:firstLine="519"/>
        <w:rPr>
          <w:rFonts w:cs="Times New Roman"/>
        </w:rPr>
      </w:pPr>
      <w:r>
        <w:rPr>
          <w:rFonts w:cs="Times New Roman"/>
        </w:rPr>
        <w:t>（4）矿体围岩的稳定性</w:t>
      </w:r>
    </w:p>
    <w:p w14:paraId="7B7D1735">
      <w:pPr>
        <w:ind w:firstLine="519"/>
        <w:rPr>
          <w:rFonts w:cs="Times New Roman"/>
        </w:rPr>
      </w:pPr>
      <w:r>
        <w:rPr>
          <w:rFonts w:cs="Times New Roman"/>
        </w:rPr>
        <w:t>岩盐主矿层直接顶板为钙芒硝矿层，厚40.46～43.20m，饱和单轴抗压强度为11.0～22.4MPa，岩石质量等级为</w:t>
      </w:r>
      <w:r>
        <w:rPr>
          <w:rFonts w:hint="eastAsia" w:ascii="宋体" w:hAnsi="宋体" w:cs="宋体"/>
        </w:rPr>
        <w:t>Ⅲ</w:t>
      </w:r>
      <w:r>
        <w:rPr>
          <w:rFonts w:cs="Times New Roman"/>
        </w:rPr>
        <w:t>级；岩盐主矿层厚187.98～279.97m，平均厚度205.82m，饱和单轴抗压强度小于20MPa，岩石质量等级为</w:t>
      </w:r>
      <w:r>
        <w:rPr>
          <w:rFonts w:hint="eastAsia" w:ascii="宋体" w:hAnsi="宋体" w:cs="宋体"/>
        </w:rPr>
        <w:t>Ⅳ</w:t>
      </w:r>
      <w:r>
        <w:rPr>
          <w:rFonts w:cs="Times New Roman"/>
        </w:rPr>
        <w:t>级；矿层底板岩盐岩（岩盐副矿层）钻孔未揭穿，目前控制厚8.08～108.71m，饱和单轴抗压强度小于20MPa，岩石质量等级为</w:t>
      </w:r>
      <w:r>
        <w:rPr>
          <w:rFonts w:hint="eastAsia" w:ascii="宋体" w:hAnsi="宋体" w:cs="宋体"/>
        </w:rPr>
        <w:t>Ⅳ</w:t>
      </w:r>
      <w:r>
        <w:rPr>
          <w:rFonts w:cs="Times New Roman"/>
        </w:rPr>
        <w:t>级。综上所述，岩盐主矿层及其顶底板岩石饱和单轴抗压强度一般小于20MPa，岩石质量等级为</w:t>
      </w:r>
      <w:r>
        <w:rPr>
          <w:rFonts w:hint="eastAsia" w:ascii="宋体" w:hAnsi="宋体" w:cs="宋体"/>
        </w:rPr>
        <w:t>Ⅳ</w:t>
      </w:r>
      <w:r>
        <w:rPr>
          <w:rFonts w:cs="Times New Roman"/>
        </w:rPr>
        <w:t>～</w:t>
      </w:r>
      <w:r>
        <w:rPr>
          <w:rFonts w:hint="eastAsia" w:ascii="宋体" w:hAnsi="宋体" w:cs="宋体"/>
        </w:rPr>
        <w:t>Ⅲ</w:t>
      </w:r>
      <w:r>
        <w:rPr>
          <w:rFonts w:cs="Times New Roman"/>
        </w:rPr>
        <w:t>级，属软弱岩石，且遇水易软化、膨胀或易溶解，稳定性差，是未来矿山开采的主要工程地质问题之一。</w:t>
      </w:r>
    </w:p>
    <w:p w14:paraId="7ED10FB8">
      <w:pPr>
        <w:ind w:firstLine="519"/>
        <w:rPr>
          <w:rFonts w:cs="Times New Roman"/>
        </w:rPr>
      </w:pPr>
      <w:r>
        <w:rPr>
          <w:rFonts w:cs="Times New Roman"/>
        </w:rPr>
        <w:t>（5）工程地质条件小结</w:t>
      </w:r>
    </w:p>
    <w:p w14:paraId="67AA9FCD">
      <w:pPr>
        <w:ind w:firstLine="519"/>
        <w:rPr>
          <w:rFonts w:cs="Times New Roman"/>
        </w:rPr>
      </w:pPr>
      <w:r>
        <w:rPr>
          <w:rFonts w:cs="Times New Roman"/>
        </w:rPr>
        <w:t>矿区岩体工程地质条件不良，矿体围岩且遇水易软化、膨胀或易溶解，稳定性差。地表残坡积层厚度大于10m，山开采矿层的顶底板工程地质条件差，矿山工程地质条件复杂程度为中等。</w:t>
      </w:r>
    </w:p>
    <w:p w14:paraId="77E6E4AD">
      <w:pPr>
        <w:ind w:firstLine="521"/>
        <w:rPr>
          <w:rFonts w:cs="Times New Roman"/>
          <w:b/>
          <w:bCs/>
        </w:rPr>
      </w:pPr>
      <w:r>
        <w:rPr>
          <w:rFonts w:cs="Times New Roman"/>
          <w:b/>
          <w:bCs/>
        </w:rPr>
        <w:t>2、矿山水文地质条件</w:t>
      </w:r>
    </w:p>
    <w:p w14:paraId="3B07F8C6">
      <w:pPr>
        <w:ind w:firstLine="519"/>
        <w:rPr>
          <w:rFonts w:cs="Times New Roman"/>
        </w:rPr>
      </w:pPr>
      <w:r>
        <w:rPr>
          <w:rFonts w:cs="Times New Roman"/>
        </w:rPr>
        <w:t>矿区内分布下第三系红色岩系与第四系冲积层，根据地下水的成因类型及富水性，自上而下划分为三个含水层（带）与五个隔水层，其特征如下：</w:t>
      </w:r>
    </w:p>
    <w:p w14:paraId="56791E13">
      <w:pPr>
        <w:ind w:firstLine="519"/>
        <w:rPr>
          <w:rFonts w:cs="Times New Roman"/>
        </w:rPr>
      </w:pPr>
      <w:r>
        <w:rPr>
          <w:rFonts w:cs="Times New Roman"/>
        </w:rPr>
        <w:t>（1）含水层</w:t>
      </w:r>
    </w:p>
    <w:p w14:paraId="78301E3F">
      <w:pPr>
        <w:ind w:firstLine="519"/>
        <w:rPr>
          <w:rFonts w:cs="Times New Roman"/>
        </w:rPr>
      </w:pPr>
      <w:r>
        <w:rPr>
          <w:rFonts w:cs="Times New Roman"/>
        </w:rPr>
        <w:t>A、第四系全新统（Qh）砂卵石石含水层（I</w:t>
      </w:r>
      <w:r>
        <w:rPr>
          <w:rFonts w:cs="Times New Roman"/>
          <w:vertAlign w:val="subscript"/>
        </w:rPr>
        <w:t>1</w:t>
      </w:r>
      <w:r>
        <w:rPr>
          <w:rFonts w:cs="Times New Roman"/>
        </w:rPr>
        <w:t>）</w:t>
      </w:r>
    </w:p>
    <w:p w14:paraId="7EE96D02">
      <w:pPr>
        <w:ind w:firstLine="519"/>
        <w:rPr>
          <w:rFonts w:cs="Times New Roman"/>
        </w:rPr>
      </w:pPr>
      <w:r>
        <w:rPr>
          <w:rFonts w:cs="Times New Roman"/>
        </w:rPr>
        <w:t>分布矿区东部及南东，系湘江一级阶地冲积层，岩性上部为粉质粘土，厚6～9m，透水性弱，常构成相对隔水层；下部为砂卵石层，厚7～13m，结构松散，透水性好。</w:t>
      </w:r>
    </w:p>
    <w:p w14:paraId="5108E59A">
      <w:pPr>
        <w:ind w:firstLine="519"/>
        <w:rPr>
          <w:rFonts w:cs="Times New Roman"/>
        </w:rPr>
      </w:pPr>
      <w:r>
        <w:rPr>
          <w:rFonts w:cs="Times New Roman"/>
        </w:rPr>
        <w:t>B、第四系更新统（Qp）砂砾石含水层（I</w:t>
      </w:r>
      <w:r>
        <w:rPr>
          <w:rFonts w:cs="Times New Roman"/>
          <w:vertAlign w:val="subscript"/>
        </w:rPr>
        <w:t>2</w:t>
      </w:r>
      <w:r>
        <w:rPr>
          <w:rFonts w:cs="Times New Roman"/>
        </w:rPr>
        <w:t>）</w:t>
      </w:r>
    </w:p>
    <w:p w14:paraId="4419DEF7">
      <w:pPr>
        <w:ind w:firstLine="519"/>
        <w:rPr>
          <w:rFonts w:cs="Times New Roman"/>
        </w:rPr>
      </w:pPr>
      <w:r>
        <w:rPr>
          <w:rFonts w:cs="Times New Roman"/>
        </w:rPr>
        <w:t>分布于矿区东部，系湘江二级阶地冲积层，岩性上部为红土、蠕虫状红土，厚1～16.8米，透水性弱，常构成相对隔水层；下部砂砾石层，厚1.2～8.00m，上段呈半胶结状，下段呈松散状。在丘坡、沟谷内常见泉井，流量0.018～0.577L/s，集中排泄地段达1.828L/s。流量随季节变化，旱季大部分断流。</w:t>
      </w:r>
    </w:p>
    <w:p w14:paraId="1F11AAA4">
      <w:pPr>
        <w:ind w:firstLine="519"/>
        <w:rPr>
          <w:rFonts w:cs="Times New Roman"/>
        </w:rPr>
      </w:pPr>
      <w:r>
        <w:rPr>
          <w:rFonts w:cs="Times New Roman"/>
        </w:rPr>
        <w:t>C、风化裂隙含水层（</w:t>
      </w:r>
      <w:r>
        <w:rPr>
          <w:rFonts w:hint="eastAsia" w:ascii="宋体" w:hAnsi="宋体" w:cs="宋体"/>
        </w:rPr>
        <w:t>Ⅱ</w:t>
      </w:r>
      <w:r>
        <w:rPr>
          <w:rFonts w:cs="Times New Roman"/>
        </w:rPr>
        <w:t>）及特征</w:t>
      </w:r>
    </w:p>
    <w:p w14:paraId="63484AFA">
      <w:pPr>
        <w:ind w:firstLine="519"/>
        <w:rPr>
          <w:rFonts w:cs="Times New Roman"/>
        </w:rPr>
      </w:pPr>
      <w:r>
        <w:rPr>
          <w:rFonts w:cs="Times New Roman"/>
        </w:rPr>
        <w:t>分布于下第三系霞流市组高岭段（E</w:t>
      </w:r>
      <w:r>
        <w:rPr>
          <w:rFonts w:cs="Times New Roman"/>
          <w:vertAlign w:val="subscript"/>
        </w:rPr>
        <w:t>2</w:t>
      </w:r>
      <w:r>
        <w:rPr>
          <w:rFonts w:cs="Times New Roman"/>
        </w:rPr>
        <w:t>x</w:t>
      </w:r>
      <w:r>
        <w:rPr>
          <w:rFonts w:cs="Times New Roman"/>
          <w:vertAlign w:val="superscript"/>
        </w:rPr>
        <w:t>2</w:t>
      </w:r>
      <w:r>
        <w:rPr>
          <w:rFonts w:cs="Times New Roman"/>
        </w:rPr>
        <w:t>）、茶山坳段（E</w:t>
      </w:r>
      <w:r>
        <w:rPr>
          <w:rFonts w:cs="Times New Roman"/>
          <w:vertAlign w:val="subscript"/>
        </w:rPr>
        <w:t>2</w:t>
      </w:r>
      <w:r>
        <w:rPr>
          <w:rFonts w:cs="Times New Roman"/>
        </w:rPr>
        <w:t>x</w:t>
      </w:r>
      <w:r>
        <w:rPr>
          <w:rFonts w:cs="Times New Roman"/>
          <w:vertAlign w:val="superscript"/>
        </w:rPr>
        <w:t>1</w:t>
      </w:r>
      <w:r>
        <w:rPr>
          <w:rFonts w:cs="Times New Roman"/>
        </w:rPr>
        <w:t>）泥岩、粉砂质泥岩风化裂隙中。分布于矿区中、西部，为矿层上部含水层（带）。地下水主要赋存于近地表岩石的风化裂隙发育带中，由于地表岩石受风化作用影响，细微垂直裂隙较发育，易于接受大气降水的渗入补给。在冲沟或山坡前缘可见泉（井），泉流量0.022～0.303L/s。该含水层（带）分布不稳定，其底板埋深为 11.84～23.90m，厚度2.50～11.84m。</w:t>
      </w:r>
    </w:p>
    <w:p w14:paraId="15700F94">
      <w:pPr>
        <w:ind w:firstLine="519"/>
        <w:rPr>
          <w:rFonts w:cs="Times New Roman"/>
        </w:rPr>
      </w:pPr>
      <w:r>
        <w:rPr>
          <w:rFonts w:cs="Times New Roman"/>
        </w:rPr>
        <w:t>D、裂隙—溶孔承压含水层（E）及特征</w:t>
      </w:r>
    </w:p>
    <w:p w14:paraId="0B11370F">
      <w:pPr>
        <w:ind w:firstLine="519"/>
        <w:rPr>
          <w:rFonts w:cs="Times New Roman"/>
        </w:rPr>
      </w:pPr>
      <w:r>
        <w:rPr>
          <w:rFonts w:cs="Times New Roman"/>
        </w:rPr>
        <w:t>分布于</w:t>
      </w:r>
      <w:bookmarkStart w:id="399" w:name="_Hlk89413844"/>
      <w:r>
        <w:rPr>
          <w:rFonts w:cs="Times New Roman"/>
        </w:rPr>
        <w:t>下第三系霞流市组高岭段</w:t>
      </w:r>
      <w:bookmarkEnd w:id="399"/>
      <w:r>
        <w:rPr>
          <w:rFonts w:cs="Times New Roman"/>
        </w:rPr>
        <w:t>（E</w:t>
      </w:r>
      <w:r>
        <w:rPr>
          <w:rFonts w:cs="Times New Roman"/>
          <w:vertAlign w:val="subscript"/>
        </w:rPr>
        <w:t>2</w:t>
      </w:r>
      <w:r>
        <w:rPr>
          <w:rFonts w:cs="Times New Roman"/>
        </w:rPr>
        <w:t>x</w:t>
      </w:r>
      <w:r>
        <w:rPr>
          <w:rFonts w:cs="Times New Roman"/>
          <w:vertAlign w:val="superscript"/>
        </w:rPr>
        <w:t>2</w:t>
      </w:r>
      <w:r>
        <w:rPr>
          <w:rFonts w:cs="Times New Roman"/>
        </w:rPr>
        <w:t>）、茶山坳段（E</w:t>
      </w:r>
      <w:r>
        <w:rPr>
          <w:rFonts w:cs="Times New Roman"/>
          <w:vertAlign w:val="subscript"/>
        </w:rPr>
        <w:t>2</w:t>
      </w:r>
      <w:r>
        <w:rPr>
          <w:rFonts w:cs="Times New Roman"/>
        </w:rPr>
        <w:t>x</w:t>
      </w:r>
      <w:r>
        <w:rPr>
          <w:rFonts w:cs="Times New Roman"/>
          <w:vertAlign w:val="superscript"/>
        </w:rPr>
        <w:t>1</w:t>
      </w:r>
      <w:r>
        <w:rPr>
          <w:rFonts w:cs="Times New Roman"/>
        </w:rPr>
        <w:t>）青灰色钙质泥岩、紫红色粉砂质泥岩夹薄层砂岩中，以节理裂隙发育为主要特征。青灰色钙质泥岩单层厚一般几厘米至几十厘米，常见蜂窝状溶孔发育，部分地段形成小溶洞。节理裂隙随深度增加而逐渐减弱，此含水层（带）一般埋藏于地表以下 13.95～159.51m 之间，含水层（带）延伸不稳定，多呈透镜状、楔状插入，地下水具承压性，水位埋深5.40～26.85m，水位标高43.84～76.34m。</w:t>
      </w:r>
    </w:p>
    <w:p w14:paraId="2ADC5B4A">
      <w:pPr>
        <w:ind w:firstLine="519"/>
        <w:rPr>
          <w:rFonts w:cs="Times New Roman"/>
        </w:rPr>
      </w:pPr>
      <w:r>
        <w:rPr>
          <w:rFonts w:cs="Times New Roman"/>
        </w:rPr>
        <w:t>（2）隔水层</w:t>
      </w:r>
    </w:p>
    <w:p w14:paraId="6E52DC00">
      <w:pPr>
        <w:ind w:firstLine="519"/>
        <w:rPr>
          <w:rFonts w:cs="Times New Roman"/>
        </w:rPr>
      </w:pPr>
      <w:r>
        <w:rPr>
          <w:rFonts w:cs="Times New Roman"/>
        </w:rPr>
        <w:t>A、第四系全新统残坡积（Qh）相对隔水层特征</w:t>
      </w:r>
    </w:p>
    <w:p w14:paraId="0178EF2A">
      <w:pPr>
        <w:ind w:firstLine="519"/>
        <w:rPr>
          <w:rFonts w:cs="Times New Roman"/>
        </w:rPr>
      </w:pPr>
      <w:r>
        <w:rPr>
          <w:rFonts w:cs="Times New Roman"/>
        </w:rPr>
        <w:t>分布于矿区西部的丘陵谷地，由褐色亚粘土、少量砂、砾或粉砂质泥岩碎块及粘土组成。厚约 0～12 米，地表泉（井）露头甚少，其渗透、含水性微弱，当地村民曾在此层中挖井，都没有见到水而失败，说明该层不含水，为相对的隔水层。</w:t>
      </w:r>
    </w:p>
    <w:p w14:paraId="2EA2B8A3">
      <w:pPr>
        <w:ind w:firstLine="519"/>
        <w:rPr>
          <w:rFonts w:cs="Times New Roman"/>
        </w:rPr>
      </w:pPr>
      <w:r>
        <w:rPr>
          <w:rFonts w:cs="Times New Roman"/>
        </w:rPr>
        <w:t>B、第四系全新统冲积层（Qh）相对隔水层特征</w:t>
      </w:r>
    </w:p>
    <w:p w14:paraId="3200E0B2">
      <w:pPr>
        <w:ind w:firstLine="519"/>
        <w:rPr>
          <w:rFonts w:cs="Times New Roman"/>
        </w:rPr>
      </w:pPr>
      <w:r>
        <w:rPr>
          <w:rFonts w:cs="Times New Roman"/>
        </w:rPr>
        <w:t>分布于矿区东部及南东部湘江一级阶地上部，岩性为粉质粘土，厚 6～9m，土层结构较紧密，孔隙小，透水性弱，为相对隔水层。</w:t>
      </w:r>
    </w:p>
    <w:p w14:paraId="3D615E78">
      <w:pPr>
        <w:ind w:firstLine="519"/>
        <w:rPr>
          <w:rFonts w:cs="Times New Roman"/>
        </w:rPr>
      </w:pPr>
      <w:r>
        <w:rPr>
          <w:rFonts w:cs="Times New Roman"/>
        </w:rPr>
        <w:t>C、第四系更新统冲积层（Qp）相对隔水层特征</w:t>
      </w:r>
    </w:p>
    <w:p w14:paraId="1BBE154B">
      <w:pPr>
        <w:ind w:firstLine="519"/>
        <w:rPr>
          <w:rFonts w:cs="Times New Roman"/>
        </w:rPr>
      </w:pPr>
      <w:r>
        <w:rPr>
          <w:rFonts w:cs="Times New Roman"/>
        </w:rPr>
        <w:t>广泛分布于矿区东部二级阶地，岩性为红土、蠕虫状红土，厚1～16.80m，土层结构致密，透水性弱，为相对隔水层。</w:t>
      </w:r>
    </w:p>
    <w:p w14:paraId="30F178AC">
      <w:pPr>
        <w:ind w:firstLine="519"/>
        <w:rPr>
          <w:rFonts w:cs="Times New Roman"/>
        </w:rPr>
      </w:pPr>
      <w:r>
        <w:rPr>
          <w:rFonts w:cs="Times New Roman"/>
        </w:rPr>
        <w:t>D、下第三系（E）泥岩强风化粘土隔水层特征</w:t>
      </w:r>
    </w:p>
    <w:p w14:paraId="61DE7C3C">
      <w:pPr>
        <w:ind w:firstLine="519"/>
        <w:rPr>
          <w:rFonts w:cs="Times New Roman"/>
        </w:rPr>
      </w:pPr>
      <w:r>
        <w:rPr>
          <w:rFonts w:cs="Times New Roman"/>
        </w:rPr>
        <w:t>分布于矿区中西部第四系孔隙水含水层之下，泥岩强烈风化形成粘土层，透水性差，下覆粉砂质泥岩、泥岩的节理裂隙多被粘土质或方解石脉全充填，含水与透水能力弱。从钻孔分层测定静止水位看，也说明</w:t>
      </w:r>
      <w:bookmarkStart w:id="400" w:name="_Hlk89415439"/>
      <w:r>
        <w:rPr>
          <w:rFonts w:cs="Times New Roman"/>
        </w:rPr>
        <w:t>第四系含水层与下伏泥岩的裂隙—溶孔承压含水层无直接的水力联系</w:t>
      </w:r>
      <w:bookmarkEnd w:id="400"/>
      <w:r>
        <w:rPr>
          <w:rFonts w:cs="Times New Roman"/>
        </w:rPr>
        <w:t>，形成相对隔水层，层厚0.60～6.57m。</w:t>
      </w:r>
    </w:p>
    <w:p w14:paraId="769730DB">
      <w:pPr>
        <w:ind w:firstLine="519"/>
        <w:rPr>
          <w:rFonts w:cs="Times New Roman"/>
        </w:rPr>
      </w:pPr>
      <w:r>
        <w:rPr>
          <w:rFonts w:cs="Times New Roman"/>
        </w:rPr>
        <w:t>E、矿体顶板隔水层特征</w:t>
      </w:r>
    </w:p>
    <w:p w14:paraId="01818AD5">
      <w:pPr>
        <w:ind w:firstLine="519"/>
        <w:rPr>
          <w:rFonts w:cs="Times New Roman"/>
        </w:rPr>
      </w:pPr>
      <w:r>
        <w:rPr>
          <w:rFonts w:cs="Times New Roman"/>
        </w:rPr>
        <w:t>岩性为青灰色、紫红色泥岩、粉砂质泥岩及灰～深灰色含膏钙芒硝泥岩。矿区内地下水活动下限埋深于地表以下156.04m，往下节理、裂隙不发育，钻孔在钻进过程中岩芯完整，无地下水活动痕迹与漏失现象。据钻孔编录资料，矿区内矿体顶板隔水层厚为7.06～225.14m，一般厚度为100m左右，隔水层由南往北呈增厚趋势。</w:t>
      </w:r>
    </w:p>
    <w:p w14:paraId="0550B5AC">
      <w:pPr>
        <w:ind w:firstLine="519"/>
        <w:rPr>
          <w:rFonts w:cs="Times New Roman"/>
        </w:rPr>
      </w:pPr>
      <w:r>
        <w:rPr>
          <w:rFonts w:cs="Times New Roman"/>
        </w:rPr>
        <w:t>（3）断裂构造带含水导水特征区内断裂构造不发育，无断层水。</w:t>
      </w:r>
    </w:p>
    <w:p w14:paraId="020108DB">
      <w:pPr>
        <w:ind w:firstLine="519"/>
        <w:rPr>
          <w:rFonts w:cs="Times New Roman"/>
        </w:rPr>
      </w:pPr>
      <w:r>
        <w:rPr>
          <w:rFonts w:cs="Times New Roman"/>
        </w:rPr>
        <w:t>（4）地下水补给、径流、排泄特征</w:t>
      </w:r>
    </w:p>
    <w:p w14:paraId="2F74853B">
      <w:pPr>
        <w:ind w:firstLine="519"/>
        <w:rPr>
          <w:rFonts w:cs="Times New Roman"/>
        </w:rPr>
      </w:pPr>
      <w:r>
        <w:rPr>
          <w:rFonts w:cs="Times New Roman"/>
        </w:rPr>
        <w:t>A、第四系全新统（Qh）砂卵石孔隙水</w:t>
      </w:r>
    </w:p>
    <w:p w14:paraId="732A19C7">
      <w:pPr>
        <w:ind w:firstLine="519"/>
        <w:rPr>
          <w:rFonts w:cs="Times New Roman"/>
        </w:rPr>
      </w:pPr>
      <w:r>
        <w:rPr>
          <w:rFonts w:cs="Times New Roman"/>
        </w:rPr>
        <w:t>主要补给来源为大气降水及湘江河流岸边侧向补给。由于砂卵石结构松散，孔隙度大，渗透系数为3.2～63.66m/d，径流条件好。由于该含水层地势低，地表一般未见泉水出露。在雨季，地下水位随着湘江河水位上涨，平水期或枯水期，则以渗透的形式排泄于湘江。</w:t>
      </w:r>
    </w:p>
    <w:p w14:paraId="6406C991">
      <w:pPr>
        <w:ind w:firstLine="519"/>
        <w:rPr>
          <w:rFonts w:cs="Times New Roman"/>
        </w:rPr>
      </w:pPr>
      <w:r>
        <w:rPr>
          <w:rFonts w:cs="Times New Roman"/>
        </w:rPr>
        <w:t>B、第四系更新统（Qp）砂砾石孔隙水</w:t>
      </w:r>
    </w:p>
    <w:p w14:paraId="5A3C7969">
      <w:pPr>
        <w:ind w:firstLine="519"/>
        <w:rPr>
          <w:rFonts w:cs="Times New Roman"/>
        </w:rPr>
      </w:pPr>
      <w:r>
        <w:rPr>
          <w:rFonts w:cs="Times New Roman"/>
        </w:rPr>
        <w:t>主要补给来源为大气降水及地表水的渗透补给。</w:t>
      </w:r>
      <w:bookmarkStart w:id="401" w:name="_Hlk89414852"/>
      <w:r>
        <w:rPr>
          <w:rFonts w:cs="Times New Roman"/>
        </w:rPr>
        <w:t>径</w:t>
      </w:r>
      <w:bookmarkEnd w:id="401"/>
      <w:r>
        <w:rPr>
          <w:rFonts w:cs="Times New Roman"/>
        </w:rPr>
        <w:t>流条件取决于砂砾石层的孔隙度与透水性，该含水层上部常夹杂较多粘土物质或呈半胶结状，孔隙度较小，径流条件差，下部砂砾石层结构松散，含泥质物等杂质少，孔隙度大，渗透系数为6.31～33.60m/d，</w:t>
      </w:r>
      <w:bookmarkStart w:id="402" w:name="_Hlk89414881"/>
      <w:r>
        <w:rPr>
          <w:rFonts w:cs="Times New Roman"/>
        </w:rPr>
        <w:t>径</w:t>
      </w:r>
      <w:bookmarkEnd w:id="402"/>
      <w:r>
        <w:rPr>
          <w:rFonts w:cs="Times New Roman"/>
        </w:rPr>
        <w:t>流条件较好。</w:t>
      </w:r>
    </w:p>
    <w:p w14:paraId="1E9E0D1E">
      <w:pPr>
        <w:ind w:firstLine="519"/>
        <w:rPr>
          <w:rFonts w:cs="Times New Roman"/>
        </w:rPr>
      </w:pPr>
      <w:r>
        <w:rPr>
          <w:rFonts w:cs="Times New Roman"/>
        </w:rPr>
        <w:t>C、下第三系风化裂隙水</w:t>
      </w:r>
    </w:p>
    <w:p w14:paraId="7858744A">
      <w:pPr>
        <w:ind w:firstLine="519"/>
        <w:rPr>
          <w:rFonts w:cs="Times New Roman"/>
        </w:rPr>
      </w:pPr>
      <w:r>
        <w:rPr>
          <w:rFonts w:cs="Times New Roman"/>
        </w:rPr>
        <w:t>主要补给来源为大气降水，通过残坡积层与风化裂隙渗透补给。泥岩、粉砂质泥岩虽然节理裂隙发育，但多被泥质或粉砂质半充填与全充填，径流条件较差。地下水主要分散排泄于沟谷，形成冷浸田，或以下降泉方式排泄于山坡坡脚下，泉水流量受季节控制，一般雨季流量较大，旱季多干涸。</w:t>
      </w:r>
    </w:p>
    <w:p w14:paraId="07DCDB7F">
      <w:pPr>
        <w:ind w:firstLine="519"/>
        <w:rPr>
          <w:rFonts w:cs="Times New Roman"/>
        </w:rPr>
      </w:pPr>
      <w:r>
        <w:rPr>
          <w:rFonts w:cs="Times New Roman"/>
        </w:rPr>
        <w:t>D、</w:t>
      </w:r>
      <w:bookmarkStart w:id="403" w:name="_Hlk89415882"/>
      <w:r>
        <w:rPr>
          <w:rFonts w:cs="Times New Roman"/>
        </w:rPr>
        <w:t>下第三系裂隙～溶孔承压水</w:t>
      </w:r>
      <w:bookmarkEnd w:id="403"/>
    </w:p>
    <w:p w14:paraId="7D2D0BB9">
      <w:pPr>
        <w:ind w:firstLine="519"/>
        <w:rPr>
          <w:rFonts w:cs="Times New Roman"/>
        </w:rPr>
      </w:pPr>
      <w:r>
        <w:rPr>
          <w:rFonts w:cs="Times New Roman"/>
        </w:rPr>
        <w:t>补给来源主要为大气降水，次为其它含水层地下渗透补给。由于泥岩本身含水性弱，虽然岩石节理裂隙较发育，但多被泥质物充填，渗透性弱，地下水循环交替迟缓，径流条件较差。由于</w:t>
      </w:r>
      <w:bookmarkStart w:id="404" w:name="_Hlk89415889"/>
      <w:r>
        <w:rPr>
          <w:rFonts w:cs="Times New Roman"/>
        </w:rPr>
        <w:t>含水性弱</w:t>
      </w:r>
      <w:bookmarkEnd w:id="404"/>
      <w:r>
        <w:rPr>
          <w:rFonts w:cs="Times New Roman"/>
        </w:rPr>
        <w:t>～中等，</w:t>
      </w:r>
      <w:bookmarkStart w:id="405" w:name="_Hlk89416082"/>
      <w:r>
        <w:rPr>
          <w:rFonts w:cs="Times New Roman"/>
        </w:rPr>
        <w:t>埋深较大</w:t>
      </w:r>
      <w:bookmarkEnd w:id="405"/>
      <w:r>
        <w:rPr>
          <w:rFonts w:cs="Times New Roman"/>
        </w:rPr>
        <w:t>，地表一般未见该层地下水的排泄。</w:t>
      </w:r>
    </w:p>
    <w:p w14:paraId="3DF95B8F">
      <w:pPr>
        <w:ind w:firstLine="519"/>
        <w:rPr>
          <w:rFonts w:cs="Times New Roman"/>
        </w:rPr>
      </w:pPr>
      <w:r>
        <w:rPr>
          <w:rFonts w:cs="Times New Roman"/>
        </w:rPr>
        <w:t>（5）采卤井水文地质情况</w:t>
      </w:r>
    </w:p>
    <w:p w14:paraId="66216A7E">
      <w:pPr>
        <w:ind w:firstLine="519"/>
        <w:rPr>
          <w:rFonts w:cs="Times New Roman"/>
        </w:rPr>
      </w:pPr>
      <w:r>
        <w:rPr>
          <w:rFonts w:cs="Times New Roman"/>
        </w:rPr>
        <w:t>矿山的采卤井穿过岩层为第四系更新统（Qp）粘性土、砂砾石层、下第三系高岭段（E</w:t>
      </w:r>
      <w:r>
        <w:rPr>
          <w:rFonts w:cs="Times New Roman"/>
          <w:vertAlign w:val="subscript"/>
        </w:rPr>
        <w:t>2</w:t>
      </w:r>
      <w:r>
        <w:rPr>
          <w:rFonts w:cs="Times New Roman"/>
        </w:rPr>
        <w:t>x</w:t>
      </w:r>
      <w:r>
        <w:rPr>
          <w:rFonts w:cs="Times New Roman"/>
          <w:vertAlign w:val="superscript"/>
        </w:rPr>
        <w:t>2</w:t>
      </w:r>
      <w:r>
        <w:rPr>
          <w:rFonts w:cs="Times New Roman"/>
        </w:rPr>
        <w:t>）泥岩、粉砂质泥岩、粉砂岩和茶山坳段（E</w:t>
      </w:r>
      <w:r>
        <w:rPr>
          <w:rFonts w:cs="Times New Roman"/>
          <w:vertAlign w:val="subscript"/>
        </w:rPr>
        <w:t>2</w:t>
      </w:r>
      <w:r>
        <w:rPr>
          <w:rFonts w:cs="Times New Roman"/>
        </w:rPr>
        <w:t>x</w:t>
      </w:r>
      <w:r>
        <w:rPr>
          <w:rFonts w:cs="Times New Roman"/>
          <w:vertAlign w:val="superscript"/>
        </w:rPr>
        <w:t>1</w:t>
      </w:r>
      <w:r>
        <w:rPr>
          <w:rFonts w:cs="Times New Roman"/>
        </w:rPr>
        <w:t>）泥岩、粉砂质泥岩、含膏钙芒硝泥岩、钙芒硝矿、岩盐主矿层，至岩盐副矿层止。</w:t>
      </w:r>
    </w:p>
    <w:p w14:paraId="4809BB59">
      <w:pPr>
        <w:ind w:firstLine="519"/>
        <w:rPr>
          <w:rFonts w:cs="Times New Roman"/>
        </w:rPr>
      </w:pPr>
      <w:r>
        <w:rPr>
          <w:rFonts w:cs="Times New Roman"/>
        </w:rPr>
        <w:t>据调查，矿山在已有采卤井的建设过程中，</w:t>
      </w:r>
      <w:bookmarkStart w:id="406" w:name="_Hlk89414640"/>
      <w:r>
        <w:rPr>
          <w:rFonts w:cs="Times New Roman"/>
        </w:rPr>
        <w:t>均下了一层钢管隔离了第四系更新统砂砾石孔隙水、下第三系霞流市组泥岩、砂岩裂隙～溶孔承压水，并用水泥固井，有效抑制了含水层之水涌入采卤井</w:t>
      </w:r>
      <w:bookmarkEnd w:id="406"/>
      <w:r>
        <w:rPr>
          <w:rFonts w:cs="Times New Roman"/>
        </w:rPr>
        <w:t>，采卤井生产正常，采卤井所需之水</w:t>
      </w:r>
      <w:r>
        <w:rPr>
          <w:rFonts w:hint="eastAsia" w:cs="Times New Roman"/>
        </w:rPr>
        <w:t>取</w:t>
      </w:r>
      <w:r>
        <w:rPr>
          <w:rFonts w:cs="Times New Roman"/>
        </w:rPr>
        <w:t>用矿山（建滔（衡阳）实业有限公司）生产废水循环利用。</w:t>
      </w:r>
    </w:p>
    <w:p w14:paraId="2332045F">
      <w:pPr>
        <w:ind w:firstLine="519"/>
        <w:rPr>
          <w:rFonts w:cs="Times New Roman"/>
        </w:rPr>
      </w:pPr>
      <w:r>
        <w:rPr>
          <w:rFonts w:cs="Times New Roman"/>
        </w:rPr>
        <w:t>（6）矿山水文地质条件小结</w:t>
      </w:r>
    </w:p>
    <w:p w14:paraId="69F658F3">
      <w:pPr>
        <w:ind w:firstLine="519"/>
        <w:rPr>
          <w:rFonts w:cs="Times New Roman"/>
        </w:rPr>
      </w:pPr>
      <w:r>
        <w:rPr>
          <w:rFonts w:cs="Times New Roman"/>
        </w:rPr>
        <w:t>评估区内含水层主要为第四系孔隙水含水层（</w:t>
      </w:r>
      <w:r>
        <w:rPr>
          <w:rFonts w:hint="eastAsia" w:ascii="宋体" w:hAnsi="宋体" w:cs="宋体"/>
        </w:rPr>
        <w:t>Ⅰ</w:t>
      </w:r>
      <w:r>
        <w:rPr>
          <w:rFonts w:cs="Times New Roman"/>
        </w:rPr>
        <w:t>）、下第三系霞流市组泥岩、砂岩风化裂隙潜水含水层（</w:t>
      </w:r>
      <w:r>
        <w:rPr>
          <w:rFonts w:hint="eastAsia" w:ascii="宋体" w:hAnsi="宋体" w:cs="宋体"/>
        </w:rPr>
        <w:t>Ⅱ</w:t>
      </w:r>
      <w:r>
        <w:rPr>
          <w:rFonts w:cs="Times New Roman"/>
        </w:rPr>
        <w:t>）及下第三系霞流市组泥岩、砂岩裂隙～溶孔承压水含水层（</w:t>
      </w:r>
      <w:r>
        <w:rPr>
          <w:rFonts w:hint="eastAsia" w:ascii="宋体" w:hAnsi="宋体" w:cs="宋体"/>
        </w:rPr>
        <w:t>Ⅲ</w:t>
      </w:r>
      <w:r>
        <w:rPr>
          <w:rFonts w:cs="Times New Roman"/>
        </w:rPr>
        <w:t>），其中</w:t>
      </w:r>
      <w:r>
        <w:rPr>
          <w:rFonts w:hint="eastAsia" w:ascii="宋体" w:hAnsi="宋体" w:cs="宋体"/>
        </w:rPr>
        <w:t>Ⅰ</w:t>
      </w:r>
      <w:r>
        <w:rPr>
          <w:rFonts w:cs="Times New Roman"/>
        </w:rPr>
        <w:t>含水层富水性弱～丰富，</w:t>
      </w:r>
      <w:r>
        <w:rPr>
          <w:rFonts w:hint="eastAsia" w:ascii="宋体" w:hAnsi="宋体" w:cs="宋体"/>
        </w:rPr>
        <w:t>Ⅱ</w:t>
      </w:r>
      <w:r>
        <w:rPr>
          <w:rFonts w:cs="Times New Roman"/>
        </w:rPr>
        <w:t>含水层富水性弱，</w:t>
      </w:r>
      <w:r>
        <w:rPr>
          <w:rFonts w:hint="eastAsia" w:ascii="宋体" w:hAnsi="宋体" w:cs="宋体"/>
        </w:rPr>
        <w:t>Ⅲ</w:t>
      </w:r>
      <w:r>
        <w:rPr>
          <w:rFonts w:cs="Times New Roman"/>
        </w:rPr>
        <w:t>含水层富水性弱～中等，大气降水及地表水是含水层补充的主要来源。</w:t>
      </w:r>
    </w:p>
    <w:p w14:paraId="21354B0F">
      <w:pPr>
        <w:ind w:firstLine="519"/>
        <w:rPr>
          <w:rFonts w:cs="Times New Roman"/>
        </w:rPr>
      </w:pPr>
      <w:r>
        <w:rPr>
          <w:rFonts w:cs="Times New Roman"/>
        </w:rPr>
        <w:t>综上所述，矿区属以裂隙～溶孔承压水（</w:t>
      </w:r>
      <w:r>
        <w:rPr>
          <w:rFonts w:hint="eastAsia" w:ascii="宋体" w:hAnsi="宋体" w:cs="宋体"/>
        </w:rPr>
        <w:t>Ⅲ</w:t>
      </w:r>
      <w:r>
        <w:rPr>
          <w:rFonts w:cs="Times New Roman"/>
        </w:rPr>
        <w:t>）间接充水为主，</w:t>
      </w:r>
      <w:bookmarkStart w:id="407" w:name="_Hlk88642001"/>
      <w:r>
        <w:rPr>
          <w:rFonts w:cs="Times New Roman"/>
        </w:rPr>
        <w:t>水文</w:t>
      </w:r>
      <w:bookmarkEnd w:id="407"/>
      <w:r>
        <w:rPr>
          <w:rFonts w:cs="Times New Roman"/>
        </w:rPr>
        <w:t>地质条件复杂程度属中等类型。</w:t>
      </w:r>
    </w:p>
    <w:p w14:paraId="7CC9D6EB">
      <w:pPr>
        <w:ind w:firstLine="519"/>
        <w:rPr>
          <w:rFonts w:cs="Times New Roman"/>
        </w:rPr>
      </w:pPr>
      <w:r>
        <w:rPr>
          <w:rFonts w:cs="Times New Roman"/>
        </w:rPr>
        <w:t>3、小结</w:t>
      </w:r>
    </w:p>
    <w:p w14:paraId="2A5F2E23">
      <w:pPr>
        <w:ind w:firstLine="519"/>
        <w:rPr>
          <w:rFonts w:cs="Times New Roman"/>
        </w:rPr>
      </w:pPr>
      <w:r>
        <w:rPr>
          <w:rFonts w:cs="Times New Roman"/>
        </w:rPr>
        <w:t>矿山矿床水文</w:t>
      </w:r>
      <w:bookmarkStart w:id="408" w:name="_Hlk88642023"/>
      <w:r>
        <w:rPr>
          <w:rFonts w:cs="Times New Roman"/>
        </w:rPr>
        <w:t>地质条件中等</w:t>
      </w:r>
      <w:bookmarkEnd w:id="408"/>
      <w:r>
        <w:rPr>
          <w:rFonts w:cs="Times New Roman"/>
        </w:rPr>
        <w:t>、工程地质条件中等。</w:t>
      </w:r>
    </w:p>
    <w:p w14:paraId="4125A70B">
      <w:pPr>
        <w:pStyle w:val="8"/>
        <w:ind w:firstLine="0" w:firstLineChars="0"/>
        <w:rPr>
          <w:rFonts w:cs="Times New Roman"/>
        </w:rPr>
      </w:pPr>
      <w:r>
        <w:rPr>
          <w:rFonts w:cs="Times New Roman"/>
        </w:rPr>
        <w:t xml:space="preserve">4.4.3.8 </w:t>
      </w:r>
      <w:bookmarkStart w:id="409" w:name="_Hlk88644750"/>
      <w:r>
        <w:rPr>
          <w:rFonts w:cs="Times New Roman"/>
        </w:rPr>
        <w:t>矿山资源量</w:t>
      </w:r>
      <w:bookmarkEnd w:id="409"/>
    </w:p>
    <w:p w14:paraId="1A814320">
      <w:pPr>
        <w:pStyle w:val="2"/>
        <w:ind w:firstLine="519"/>
        <w:rPr>
          <w:rFonts w:cs="Times New Roman"/>
        </w:rPr>
      </w:pPr>
      <w:r>
        <w:rPr>
          <w:rFonts w:cs="Times New Roman"/>
        </w:rPr>
        <w:t>衡阳建滔化工有限公司目前正在生产，设计年生产规模为150万t/a（原矿），根据 2022年3月提交的《湖南省衡阳市松木经开区衡阳盐矿区桐山—松木塘矿段建滔岩盐矿矿山储量年报（2021年1月～2021年12月）》，截止2021年12月底，矿山保有资源量矿石量47865.6万t，矿物量NaCl 20540.4万t，Na</w:t>
      </w:r>
      <w:r>
        <w:rPr>
          <w:rFonts w:cs="Times New Roman"/>
          <w:vertAlign w:val="subscript"/>
        </w:rPr>
        <w:t>2</w:t>
      </w:r>
      <w:r>
        <w:rPr>
          <w:rFonts w:cs="Times New Roman"/>
        </w:rPr>
        <w:t>SO</w:t>
      </w:r>
      <w:r>
        <w:rPr>
          <w:rFonts w:cs="Times New Roman"/>
          <w:vertAlign w:val="subscript"/>
        </w:rPr>
        <w:t>4</w:t>
      </w:r>
      <w:r>
        <w:rPr>
          <w:rFonts w:cs="Times New Roman"/>
        </w:rPr>
        <w:t xml:space="preserve"> 5136.3万t；</w:t>
      </w:r>
      <w:r>
        <w:rPr>
          <w:rFonts w:hint="eastAsia" w:cs="Times New Roman"/>
        </w:rPr>
        <w:t>期间动用资源量</w:t>
      </w:r>
      <w:r>
        <w:rPr>
          <w:rFonts w:cs="Times New Roman"/>
        </w:rPr>
        <w:t>矿石量541.1万t，NaCl233.8万t，Na</w:t>
      </w:r>
      <w:r>
        <w:rPr>
          <w:rFonts w:cs="Times New Roman"/>
          <w:vertAlign w:val="subscript"/>
        </w:rPr>
        <w:t>2</w:t>
      </w:r>
      <w:r>
        <w:rPr>
          <w:rFonts w:cs="Times New Roman"/>
        </w:rPr>
        <w:t>SO</w:t>
      </w:r>
      <w:r>
        <w:rPr>
          <w:rFonts w:cs="Times New Roman"/>
          <w:vertAlign w:val="subscript"/>
        </w:rPr>
        <w:t>4</w:t>
      </w:r>
      <w:r>
        <w:rPr>
          <w:rFonts w:cs="Times New Roman"/>
        </w:rPr>
        <w:t xml:space="preserve"> 58.0万t；累计探明资源量矿石量54515.6万t，矿物量NaCl 23568.8万t，Na</w:t>
      </w:r>
      <w:r>
        <w:rPr>
          <w:rFonts w:cs="Times New Roman"/>
          <w:vertAlign w:val="subscript"/>
        </w:rPr>
        <w:t>2</w:t>
      </w:r>
      <w:r>
        <w:rPr>
          <w:rFonts w:cs="Times New Roman"/>
        </w:rPr>
        <w:t>SO</w:t>
      </w:r>
      <w:r>
        <w:rPr>
          <w:rFonts w:cs="Times New Roman"/>
          <w:vertAlign w:val="subscript"/>
        </w:rPr>
        <w:t>4</w:t>
      </w:r>
      <w:r>
        <w:rPr>
          <w:rFonts w:cs="Times New Roman"/>
        </w:rPr>
        <w:t xml:space="preserve"> 5798.6万t。。</w:t>
      </w:r>
    </w:p>
    <w:p w14:paraId="1DE6A484">
      <w:pPr>
        <w:pStyle w:val="8"/>
        <w:ind w:firstLine="0" w:firstLineChars="0"/>
        <w:rPr>
          <w:rFonts w:cs="Times New Roman"/>
        </w:rPr>
      </w:pPr>
      <w:r>
        <w:rPr>
          <w:rFonts w:cs="Times New Roman"/>
        </w:rPr>
        <w:t>4.4.3.9 工业指标</w:t>
      </w:r>
    </w:p>
    <w:p w14:paraId="453B6474">
      <w:pPr>
        <w:ind w:firstLine="519"/>
        <w:rPr>
          <w:rFonts w:cs="Times New Roman"/>
        </w:rPr>
      </w:pPr>
      <w:r>
        <w:rPr>
          <w:rFonts w:cs="Times New Roman"/>
        </w:rPr>
        <w:t>工业指标按照《湖南省衡阳市松木经开区衡阳盐矿区桐山—松木塘矿段建滔岩盐矿矿山储量年报（2021年1月～2021年12月）》及湖南省石油化学工业厅湘石化矿（1989）8号《关于下达衡阳盐矿区桐山矿段6～8 线矿块工业指标的函》（1989年4月10日）中采用的工业指标。具体指标为：</w:t>
      </w:r>
    </w:p>
    <w:p w14:paraId="62BC8066">
      <w:pPr>
        <w:ind w:firstLine="519"/>
        <w:rPr>
          <w:rFonts w:cs="Times New Roman"/>
        </w:rPr>
      </w:pPr>
      <w:r>
        <w:rPr>
          <w:rFonts w:cs="Times New Roman"/>
        </w:rPr>
        <w:t>1、边界品位：NaCl 15%；</w:t>
      </w:r>
    </w:p>
    <w:p w14:paraId="716B577A">
      <w:pPr>
        <w:ind w:firstLine="519"/>
        <w:rPr>
          <w:rFonts w:cs="Times New Roman"/>
        </w:rPr>
      </w:pPr>
      <w:r>
        <w:rPr>
          <w:rFonts w:cs="Times New Roman"/>
        </w:rPr>
        <w:t>2、工业品位：NaCl 35%；</w:t>
      </w:r>
    </w:p>
    <w:p w14:paraId="297C7431">
      <w:pPr>
        <w:ind w:firstLine="519"/>
        <w:rPr>
          <w:rFonts w:cs="Times New Roman"/>
        </w:rPr>
      </w:pPr>
      <w:r>
        <w:rPr>
          <w:rFonts w:cs="Times New Roman"/>
        </w:rPr>
        <w:t>3、可采厚度：2m；</w:t>
      </w:r>
    </w:p>
    <w:p w14:paraId="1DD65CA6">
      <w:pPr>
        <w:ind w:firstLine="519"/>
        <w:rPr>
          <w:rFonts w:cs="Times New Roman"/>
        </w:rPr>
      </w:pPr>
      <w:r>
        <w:rPr>
          <w:rFonts w:cs="Times New Roman"/>
        </w:rPr>
        <w:t>4、夹石剔除厚度：2m；</w:t>
      </w:r>
    </w:p>
    <w:p w14:paraId="15763739">
      <w:pPr>
        <w:ind w:firstLine="519"/>
        <w:rPr>
          <w:rFonts w:cs="Times New Roman"/>
        </w:rPr>
      </w:pPr>
      <w:r>
        <w:rPr>
          <w:rFonts w:cs="Times New Roman"/>
        </w:rPr>
        <w:t>5、主岩盐矿层中伴生 Na</w:t>
      </w:r>
      <w:r>
        <w:rPr>
          <w:rFonts w:cs="Times New Roman"/>
          <w:vertAlign w:val="subscript"/>
        </w:rPr>
        <w:t>2</w:t>
      </w:r>
      <w:r>
        <w:rPr>
          <w:rFonts w:cs="Times New Roman"/>
        </w:rPr>
        <w:t>SO</w:t>
      </w:r>
      <w:r>
        <w:rPr>
          <w:rFonts w:cs="Times New Roman"/>
          <w:vertAlign w:val="subscript"/>
        </w:rPr>
        <w:t>4</w:t>
      </w:r>
      <w:r>
        <w:rPr>
          <w:rFonts w:cs="Times New Roman"/>
        </w:rPr>
        <w:t>不定工业指标，按 Na</w:t>
      </w:r>
      <w:r>
        <w:rPr>
          <w:rFonts w:cs="Times New Roman"/>
          <w:vertAlign w:val="subscript"/>
        </w:rPr>
        <w:t>2</w:t>
      </w:r>
      <w:r>
        <w:rPr>
          <w:rFonts w:cs="Times New Roman"/>
        </w:rPr>
        <w:t>SO</w:t>
      </w:r>
      <w:r>
        <w:rPr>
          <w:rFonts w:cs="Times New Roman"/>
          <w:vertAlign w:val="subscript"/>
        </w:rPr>
        <w:t>4</w:t>
      </w:r>
      <w:r>
        <w:rPr>
          <w:rFonts w:cs="Times New Roman"/>
        </w:rPr>
        <w:t>含量计算。</w:t>
      </w:r>
    </w:p>
    <w:p w14:paraId="7BACB81A">
      <w:pPr>
        <w:pStyle w:val="7"/>
      </w:pPr>
      <w:bookmarkStart w:id="410" w:name="_Toc90989246"/>
      <w:bookmarkStart w:id="411" w:name="_Toc121420836"/>
      <w:bookmarkStart w:id="412" w:name="_Toc90997678"/>
      <w:bookmarkStart w:id="413" w:name="_Toc89882464"/>
      <w:bookmarkStart w:id="414" w:name="_Toc90318424"/>
      <w:bookmarkStart w:id="415" w:name="_Toc89786139"/>
      <w:r>
        <w:t>4.4.4 主要建设内容</w:t>
      </w:r>
      <w:bookmarkEnd w:id="410"/>
      <w:bookmarkEnd w:id="411"/>
      <w:bookmarkEnd w:id="412"/>
      <w:bookmarkEnd w:id="413"/>
      <w:bookmarkEnd w:id="414"/>
      <w:bookmarkEnd w:id="415"/>
    </w:p>
    <w:p w14:paraId="27DEA434">
      <w:pPr>
        <w:pStyle w:val="3"/>
        <w:ind w:firstLine="519"/>
        <w:rPr>
          <w:rFonts w:cs="Times New Roman"/>
        </w:rPr>
      </w:pPr>
      <w:r>
        <w:rPr>
          <w:rFonts w:cs="Times New Roman"/>
        </w:rPr>
        <w:t>本项目新建建设内容包含卤井、阀门控制室及管线工程三部分。</w:t>
      </w:r>
    </w:p>
    <w:p w14:paraId="7F37BF8D">
      <w:pPr>
        <w:pStyle w:val="9"/>
      </w:pPr>
      <w:r>
        <w:t>表4.4-2  本项目建设内容一览表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460"/>
        <w:gridCol w:w="6353"/>
      </w:tblGrid>
      <w:tr w14:paraId="0C37A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201B7F0C">
            <w:pPr>
              <w:wordWrap/>
              <w:topLinePunct w:val="0"/>
              <w:adjustRightInd/>
              <w:snapToGrid/>
              <w:spacing w:line="240" w:lineRule="auto"/>
              <w:ind w:firstLine="0" w:firstLineChars="0"/>
              <w:jc w:val="center"/>
              <w:rPr>
                <w:rFonts w:cs="Times New Roman"/>
                <w:sz w:val="21"/>
                <w:szCs w:val="21"/>
              </w:rPr>
            </w:pPr>
            <w:r>
              <w:rPr>
                <w:rFonts w:cs="Times New Roman"/>
                <w:kern w:val="0"/>
                <w:sz w:val="21"/>
                <w:szCs w:val="21"/>
              </w:rPr>
              <w:t>序</w:t>
            </w:r>
            <w:r>
              <w:rPr>
                <w:rFonts w:hint="eastAsia" w:ascii="宋体" w:hAnsi="宋体" w:cs="宋体"/>
                <w:kern w:val="0"/>
                <w:sz w:val="21"/>
                <w:szCs w:val="21"/>
              </w:rPr>
              <w:t>号</w:t>
            </w:r>
          </w:p>
        </w:tc>
        <w:tc>
          <w:tcPr>
            <w:tcW w:w="856" w:type="pct"/>
            <w:vAlign w:val="center"/>
          </w:tcPr>
          <w:p w14:paraId="3CCBE883">
            <w:pPr>
              <w:wordWrap/>
              <w:topLinePunct w:val="0"/>
              <w:adjustRightInd/>
              <w:snapToGrid/>
              <w:spacing w:line="240" w:lineRule="auto"/>
              <w:ind w:firstLine="0" w:firstLineChars="0"/>
              <w:jc w:val="center"/>
              <w:rPr>
                <w:rFonts w:cs="Times New Roman"/>
                <w:sz w:val="21"/>
                <w:szCs w:val="21"/>
              </w:rPr>
            </w:pPr>
            <w:r>
              <w:rPr>
                <w:rFonts w:cs="Times New Roman"/>
                <w:kern w:val="0"/>
                <w:sz w:val="21"/>
                <w:szCs w:val="21"/>
              </w:rPr>
              <w:t>工程名称</w:t>
            </w:r>
          </w:p>
        </w:tc>
        <w:tc>
          <w:tcPr>
            <w:tcW w:w="3725" w:type="pct"/>
            <w:vAlign w:val="center"/>
          </w:tcPr>
          <w:p w14:paraId="6B72461A">
            <w:pPr>
              <w:wordWrap/>
              <w:topLinePunct w:val="0"/>
              <w:adjustRightInd/>
              <w:snapToGrid/>
              <w:spacing w:line="240" w:lineRule="auto"/>
              <w:ind w:firstLine="0" w:firstLineChars="0"/>
              <w:jc w:val="center"/>
              <w:rPr>
                <w:rFonts w:cs="Times New Roman"/>
                <w:sz w:val="21"/>
                <w:szCs w:val="21"/>
              </w:rPr>
            </w:pPr>
            <w:r>
              <w:rPr>
                <w:rFonts w:hint="eastAsia" w:ascii="宋体" w:hAnsi="宋体" w:cs="宋体"/>
                <w:kern w:val="0"/>
                <w:sz w:val="21"/>
                <w:szCs w:val="21"/>
              </w:rPr>
              <w:t>主要建设内容</w:t>
            </w:r>
          </w:p>
        </w:tc>
      </w:tr>
      <w:tr w14:paraId="4EED0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3CAE475A">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1</w:t>
            </w:r>
          </w:p>
        </w:tc>
        <w:tc>
          <w:tcPr>
            <w:tcW w:w="856" w:type="pct"/>
            <w:vAlign w:val="center"/>
          </w:tcPr>
          <w:p w14:paraId="0E455372">
            <w:pPr>
              <w:wordWrap/>
              <w:topLinePunct w:val="0"/>
              <w:adjustRightInd/>
              <w:snapToGrid/>
              <w:spacing w:line="240" w:lineRule="auto"/>
              <w:ind w:firstLine="0" w:firstLineChars="0"/>
              <w:jc w:val="center"/>
              <w:rPr>
                <w:rFonts w:cs="Times New Roman"/>
                <w:sz w:val="21"/>
                <w:szCs w:val="21"/>
              </w:rPr>
            </w:pPr>
            <w:r>
              <w:rPr>
                <w:rFonts w:cs="Times New Roman"/>
                <w:sz w:val="21"/>
                <w:szCs w:val="21"/>
              </w:rPr>
              <w:t>卤井</w:t>
            </w:r>
          </w:p>
        </w:tc>
        <w:tc>
          <w:tcPr>
            <w:tcW w:w="3725" w:type="pct"/>
            <w:vAlign w:val="center"/>
          </w:tcPr>
          <w:p w14:paraId="54FE4759">
            <w:pPr>
              <w:wordWrap/>
              <w:topLinePunct w:val="0"/>
              <w:adjustRightInd/>
              <w:snapToGrid/>
              <w:spacing w:line="240" w:lineRule="auto"/>
              <w:ind w:firstLine="0" w:firstLineChars="0"/>
              <w:jc w:val="center"/>
              <w:rPr>
                <w:rFonts w:cs="Times New Roman"/>
                <w:sz w:val="21"/>
                <w:szCs w:val="21"/>
              </w:rPr>
            </w:pPr>
            <w:r>
              <w:rPr>
                <w:rFonts w:cs="Times New Roman"/>
                <w:sz w:val="21"/>
                <w:szCs w:val="21"/>
              </w:rPr>
              <w:t>本项目新建卤水井4口，2井为一组，井号：CK25-CK26、CK27-CK28</w:t>
            </w:r>
          </w:p>
        </w:tc>
      </w:tr>
      <w:tr w14:paraId="1CF78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0B1C0F68">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2</w:t>
            </w:r>
          </w:p>
        </w:tc>
        <w:tc>
          <w:tcPr>
            <w:tcW w:w="856" w:type="pct"/>
            <w:vAlign w:val="center"/>
          </w:tcPr>
          <w:p w14:paraId="67F054E2">
            <w:pPr>
              <w:wordWrap/>
              <w:topLinePunct w:val="0"/>
              <w:adjustRightInd/>
              <w:snapToGrid/>
              <w:spacing w:line="240" w:lineRule="auto"/>
              <w:ind w:firstLine="0" w:firstLineChars="0"/>
              <w:jc w:val="center"/>
              <w:rPr>
                <w:rFonts w:cs="Times New Roman"/>
                <w:sz w:val="21"/>
                <w:szCs w:val="21"/>
              </w:rPr>
            </w:pPr>
            <w:r>
              <w:rPr>
                <w:rFonts w:cs="Times New Roman"/>
                <w:sz w:val="21"/>
                <w:szCs w:val="21"/>
              </w:rPr>
              <w:t>阀门控制室</w:t>
            </w:r>
          </w:p>
        </w:tc>
        <w:tc>
          <w:tcPr>
            <w:tcW w:w="3725" w:type="pct"/>
            <w:vAlign w:val="center"/>
          </w:tcPr>
          <w:p w14:paraId="1BD6D0DF">
            <w:pPr>
              <w:wordWrap/>
              <w:topLinePunct w:val="0"/>
              <w:adjustRightInd/>
              <w:snapToGrid/>
              <w:spacing w:line="240" w:lineRule="auto"/>
              <w:ind w:firstLine="0" w:firstLineChars="0"/>
              <w:jc w:val="center"/>
              <w:rPr>
                <w:rFonts w:cs="Times New Roman"/>
                <w:sz w:val="21"/>
                <w:szCs w:val="21"/>
              </w:rPr>
            </w:pPr>
            <w:r>
              <w:rPr>
                <w:rFonts w:cs="Times New Roman"/>
                <w:sz w:val="21"/>
                <w:szCs w:val="21"/>
              </w:rPr>
              <w:t>新建</w:t>
            </w:r>
            <w:bookmarkStart w:id="416" w:name="_Hlk88662311"/>
            <w:r>
              <w:rPr>
                <w:rFonts w:cs="Times New Roman"/>
                <w:sz w:val="21"/>
                <w:szCs w:val="21"/>
              </w:rPr>
              <w:t>阀门控制室</w:t>
            </w:r>
            <w:bookmarkEnd w:id="416"/>
            <w:r>
              <w:rPr>
                <w:rFonts w:cs="Times New Roman"/>
                <w:sz w:val="21"/>
                <w:szCs w:val="21"/>
              </w:rPr>
              <w:t>一座，建设地位于</w:t>
            </w:r>
            <w:r>
              <w:rPr>
                <w:rFonts w:hint="eastAsia" w:cs="Times New Roman"/>
                <w:sz w:val="21"/>
                <w:szCs w:val="21"/>
              </w:rPr>
              <w:t>金华路</w:t>
            </w:r>
            <w:r>
              <w:rPr>
                <w:rFonts w:cs="Times New Roman"/>
                <w:sz w:val="21"/>
                <w:szCs w:val="21"/>
              </w:rPr>
              <w:t>西侧，控制室内设置有卤井控制装置三对，可以实现对接井采卤、回卤的互换</w:t>
            </w:r>
          </w:p>
        </w:tc>
      </w:tr>
      <w:tr w14:paraId="29FB9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773B73FE">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3</w:t>
            </w:r>
          </w:p>
        </w:tc>
        <w:tc>
          <w:tcPr>
            <w:tcW w:w="856" w:type="pct"/>
            <w:vAlign w:val="center"/>
          </w:tcPr>
          <w:p w14:paraId="19029F5E">
            <w:pPr>
              <w:wordWrap/>
              <w:topLinePunct w:val="0"/>
              <w:adjustRightInd/>
              <w:snapToGrid/>
              <w:spacing w:line="240" w:lineRule="auto"/>
              <w:ind w:firstLine="0" w:firstLineChars="0"/>
              <w:jc w:val="center"/>
              <w:rPr>
                <w:rFonts w:cs="Times New Roman"/>
                <w:sz w:val="21"/>
                <w:szCs w:val="21"/>
              </w:rPr>
            </w:pPr>
            <w:r>
              <w:rPr>
                <w:rFonts w:cs="Times New Roman"/>
                <w:sz w:val="21"/>
                <w:szCs w:val="21"/>
              </w:rPr>
              <w:t>管线工程</w:t>
            </w:r>
          </w:p>
        </w:tc>
        <w:tc>
          <w:tcPr>
            <w:tcW w:w="3725" w:type="pct"/>
            <w:vAlign w:val="center"/>
          </w:tcPr>
          <w:p w14:paraId="5AF5477C">
            <w:pPr>
              <w:wordWrap/>
              <w:topLinePunct w:val="0"/>
              <w:adjustRightInd/>
              <w:snapToGrid/>
              <w:spacing w:line="240" w:lineRule="auto"/>
              <w:ind w:firstLine="0" w:firstLineChars="0"/>
              <w:jc w:val="center"/>
              <w:rPr>
                <w:rFonts w:cs="Times New Roman"/>
                <w:sz w:val="21"/>
                <w:szCs w:val="21"/>
              </w:rPr>
            </w:pPr>
            <w:r>
              <w:rPr>
                <w:rFonts w:cs="Times New Roman"/>
                <w:sz w:val="21"/>
                <w:szCs w:val="21"/>
              </w:rPr>
              <w:t>管线工程主要包含注水管线和回卤管线两部分，均经主管接入控制室，经控制室以支管接入卤井，主管规格为ø377</w:t>
            </w:r>
            <w:r>
              <w:rPr>
                <w:rFonts w:hint="eastAsia" w:ascii="MS Mincho" w:hAnsi="MS Mincho" w:eastAsia="MS Mincho" w:cs="MS Mincho"/>
                <w:sz w:val="21"/>
                <w:szCs w:val="21"/>
              </w:rPr>
              <w:t>☓</w:t>
            </w:r>
            <w:r>
              <w:rPr>
                <w:rFonts w:cs="Times New Roman"/>
                <w:sz w:val="21"/>
                <w:szCs w:val="21"/>
              </w:rPr>
              <w:t>12.0，支管规格ø159</w:t>
            </w:r>
            <w:r>
              <w:rPr>
                <w:rFonts w:hint="eastAsia" w:ascii="MS Mincho" w:hAnsi="MS Mincho" w:eastAsia="MS Mincho" w:cs="MS Mincho"/>
                <w:sz w:val="21"/>
                <w:szCs w:val="21"/>
              </w:rPr>
              <w:t>☓</w:t>
            </w:r>
            <w:r>
              <w:rPr>
                <w:rFonts w:cs="Times New Roman"/>
                <w:sz w:val="21"/>
                <w:szCs w:val="21"/>
              </w:rPr>
              <w:t>10.0，管线工程主管总长度744m，支管总长度2000m ；</w:t>
            </w:r>
          </w:p>
          <w:p w14:paraId="52CB1434">
            <w:pPr>
              <w:wordWrap/>
              <w:topLinePunct w:val="0"/>
              <w:adjustRightInd/>
              <w:snapToGrid/>
              <w:spacing w:line="240" w:lineRule="auto"/>
              <w:ind w:firstLine="0" w:firstLineChars="0"/>
              <w:jc w:val="center"/>
              <w:rPr>
                <w:rFonts w:cs="Times New Roman"/>
                <w:sz w:val="21"/>
                <w:szCs w:val="21"/>
              </w:rPr>
            </w:pPr>
            <w:r>
              <w:rPr>
                <w:rFonts w:cs="Times New Roman"/>
                <w:sz w:val="21"/>
                <w:szCs w:val="21"/>
              </w:rPr>
              <w:t>管线均为埋地管线，管线内外表面均进行防腐处理，管道内表防腐采用钛纳米重型防腐涂料，管道外表防腐采用改性环氧树脂底漆、环氧沥青涂料面漆涂料。</w:t>
            </w:r>
          </w:p>
        </w:tc>
      </w:tr>
    </w:tbl>
    <w:p w14:paraId="67D1A6A7">
      <w:pPr>
        <w:pStyle w:val="8"/>
        <w:ind w:firstLine="0" w:firstLineChars="0"/>
        <w:rPr>
          <w:rFonts w:cs="Times New Roman"/>
        </w:rPr>
      </w:pPr>
      <w:bookmarkStart w:id="417" w:name="_Hlk88660831"/>
      <w:r>
        <w:rPr>
          <w:rFonts w:cs="Times New Roman"/>
        </w:rPr>
        <w:t>4.4.4.1 卤井</w:t>
      </w:r>
    </w:p>
    <w:bookmarkEnd w:id="417"/>
    <w:p w14:paraId="2B59AB3E">
      <w:pPr>
        <w:pStyle w:val="3"/>
        <w:ind w:firstLine="519"/>
        <w:rPr>
          <w:rFonts w:cs="Times New Roman"/>
        </w:rPr>
      </w:pPr>
      <w:r>
        <w:rPr>
          <w:rFonts w:cs="Times New Roman"/>
        </w:rPr>
        <w:t>本项目新建卤水井4口，井号：CK25-CK26、CK27-CK28，</w:t>
      </w:r>
      <w:bookmarkStart w:id="418" w:name="_Hlk89451199"/>
      <w:r>
        <w:rPr>
          <w:rFonts w:cs="Times New Roman"/>
        </w:rPr>
        <w:t>本项目建成投入使用后，老采区ZK10、ZK12、CK3三口井停采</w:t>
      </w:r>
      <w:bookmarkEnd w:id="418"/>
      <w:r>
        <w:rPr>
          <w:rFonts w:cs="Times New Roman"/>
        </w:rPr>
        <w:t>，矿区总体生产规模维持不变，本项目卤井建设内容见下表。</w:t>
      </w:r>
    </w:p>
    <w:p w14:paraId="27AF4632">
      <w:pPr>
        <w:pStyle w:val="9"/>
      </w:pPr>
      <w:bookmarkStart w:id="419" w:name="_Hlk88585058"/>
      <w:r>
        <w:t>表4.4-3 新建卤井建设内容一览表</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407"/>
        <w:gridCol w:w="2137"/>
        <w:gridCol w:w="4132"/>
      </w:tblGrid>
      <w:tr w14:paraId="560D7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55AE9756">
            <w:pPr>
              <w:wordWrap/>
              <w:topLinePunct w:val="0"/>
              <w:adjustRightInd/>
              <w:snapToGrid/>
              <w:spacing w:line="240" w:lineRule="auto"/>
              <w:ind w:firstLine="0" w:firstLineChars="0"/>
              <w:jc w:val="center"/>
              <w:rPr>
                <w:rFonts w:cs="Times New Roman"/>
                <w:sz w:val="21"/>
                <w:szCs w:val="21"/>
              </w:rPr>
            </w:pPr>
            <w:bookmarkStart w:id="420" w:name="_Hlk88647082"/>
            <w:r>
              <w:rPr>
                <w:rFonts w:cs="Times New Roman"/>
                <w:kern w:val="0"/>
                <w:sz w:val="21"/>
                <w:szCs w:val="21"/>
              </w:rPr>
              <w:t>序</w:t>
            </w:r>
            <w:r>
              <w:rPr>
                <w:rFonts w:hint="eastAsia" w:ascii="宋体" w:hAnsi="宋体" w:cs="宋体"/>
                <w:kern w:val="0"/>
                <w:sz w:val="21"/>
                <w:szCs w:val="21"/>
              </w:rPr>
              <w:t>号</w:t>
            </w:r>
          </w:p>
        </w:tc>
        <w:tc>
          <w:tcPr>
            <w:tcW w:w="1407" w:type="dxa"/>
            <w:vAlign w:val="center"/>
          </w:tcPr>
          <w:p w14:paraId="1CCCAF1C">
            <w:pPr>
              <w:wordWrap/>
              <w:topLinePunct w:val="0"/>
              <w:adjustRightInd/>
              <w:snapToGrid/>
              <w:spacing w:line="240" w:lineRule="auto"/>
              <w:ind w:firstLine="0" w:firstLineChars="0"/>
              <w:jc w:val="center"/>
              <w:rPr>
                <w:rFonts w:cs="Times New Roman"/>
                <w:sz w:val="21"/>
                <w:szCs w:val="21"/>
              </w:rPr>
            </w:pPr>
            <w:r>
              <w:rPr>
                <w:rFonts w:hint="eastAsia" w:ascii="宋体" w:hAnsi="宋体" w:cs="宋体"/>
                <w:kern w:val="0"/>
                <w:sz w:val="21"/>
                <w:szCs w:val="21"/>
              </w:rPr>
              <w:t>卤水井编号</w:t>
            </w:r>
          </w:p>
        </w:tc>
        <w:tc>
          <w:tcPr>
            <w:tcW w:w="2137" w:type="dxa"/>
            <w:vAlign w:val="center"/>
          </w:tcPr>
          <w:p w14:paraId="11339440">
            <w:pPr>
              <w:wordWrap/>
              <w:topLinePunct w:val="0"/>
              <w:adjustRightInd/>
              <w:snapToGrid/>
              <w:spacing w:line="240" w:lineRule="auto"/>
              <w:ind w:firstLine="0" w:firstLineChars="0"/>
              <w:jc w:val="center"/>
              <w:rPr>
                <w:rFonts w:cs="Times New Roman"/>
                <w:sz w:val="21"/>
                <w:szCs w:val="21"/>
              </w:rPr>
            </w:pPr>
            <w:r>
              <w:rPr>
                <w:rFonts w:hint="eastAsia" w:ascii="宋体" w:hAnsi="宋体" w:cs="宋体"/>
                <w:kern w:val="0"/>
                <w:sz w:val="21"/>
                <w:szCs w:val="21"/>
              </w:rPr>
              <w:t>建设位置</w:t>
            </w:r>
          </w:p>
        </w:tc>
        <w:tc>
          <w:tcPr>
            <w:tcW w:w="4132" w:type="dxa"/>
            <w:vAlign w:val="center"/>
          </w:tcPr>
          <w:p w14:paraId="1D02BE61">
            <w:pPr>
              <w:wordWrap/>
              <w:topLinePunct w:val="0"/>
              <w:adjustRightInd/>
              <w:snapToGrid/>
              <w:spacing w:line="240" w:lineRule="auto"/>
              <w:ind w:firstLine="0" w:firstLineChars="0"/>
              <w:jc w:val="center"/>
              <w:rPr>
                <w:rFonts w:cs="Times New Roman"/>
                <w:sz w:val="21"/>
                <w:szCs w:val="21"/>
              </w:rPr>
            </w:pPr>
            <w:r>
              <w:rPr>
                <w:rFonts w:hint="eastAsia" w:ascii="宋体" w:hAnsi="宋体" w:cs="宋体"/>
                <w:kern w:val="0"/>
                <w:sz w:val="21"/>
                <w:szCs w:val="21"/>
              </w:rPr>
              <w:t>主要建设内容</w:t>
            </w:r>
          </w:p>
        </w:tc>
      </w:tr>
      <w:tr w14:paraId="200EA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8B4E2C7">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1</w:t>
            </w:r>
          </w:p>
        </w:tc>
        <w:tc>
          <w:tcPr>
            <w:tcW w:w="1407" w:type="dxa"/>
            <w:vAlign w:val="center"/>
          </w:tcPr>
          <w:p w14:paraId="05D9B9D8">
            <w:pPr>
              <w:wordWrap/>
              <w:topLinePunct w:val="0"/>
              <w:adjustRightInd/>
              <w:snapToGrid/>
              <w:spacing w:line="240" w:lineRule="auto"/>
              <w:ind w:firstLine="0" w:firstLineChars="0"/>
              <w:jc w:val="center"/>
              <w:rPr>
                <w:rFonts w:cs="Times New Roman"/>
                <w:sz w:val="21"/>
                <w:szCs w:val="21"/>
              </w:rPr>
            </w:pPr>
            <w:r>
              <w:rPr>
                <w:rFonts w:cs="Times New Roman"/>
                <w:sz w:val="21"/>
                <w:szCs w:val="21"/>
              </w:rPr>
              <w:t>CK25</w:t>
            </w:r>
          </w:p>
        </w:tc>
        <w:tc>
          <w:tcPr>
            <w:tcW w:w="2137" w:type="dxa"/>
            <w:vAlign w:val="center"/>
          </w:tcPr>
          <w:p w14:paraId="7DE45AFA">
            <w:pPr>
              <w:wordWrap/>
              <w:topLinePunct w:val="0"/>
              <w:adjustRightInd/>
              <w:snapToGrid/>
              <w:spacing w:line="240" w:lineRule="auto"/>
              <w:ind w:firstLine="0" w:firstLineChars="0"/>
              <w:jc w:val="center"/>
              <w:rPr>
                <w:rFonts w:cs="Times New Roman"/>
                <w:sz w:val="21"/>
                <w:szCs w:val="21"/>
              </w:rPr>
            </w:pPr>
            <w:r>
              <w:rPr>
                <w:rFonts w:cs="Times New Roman"/>
                <w:sz w:val="21"/>
                <w:szCs w:val="21"/>
              </w:rPr>
              <w:t>X：2985511.318</w:t>
            </w:r>
          </w:p>
          <w:p w14:paraId="3E1E87D2">
            <w:pPr>
              <w:pStyle w:val="2"/>
              <w:ind w:firstLine="0" w:firstLineChars="0"/>
              <w:rPr>
                <w:rFonts w:cs="Times New Roman"/>
                <w:sz w:val="21"/>
                <w:szCs w:val="21"/>
              </w:rPr>
            </w:pPr>
            <w:r>
              <w:rPr>
                <w:rFonts w:cs="Times New Roman"/>
                <w:sz w:val="21"/>
                <w:szCs w:val="21"/>
              </w:rPr>
              <w:t>Y：38363810.288</w:t>
            </w:r>
          </w:p>
        </w:tc>
        <w:tc>
          <w:tcPr>
            <w:tcW w:w="4132" w:type="dxa"/>
            <w:vAlign w:val="center"/>
          </w:tcPr>
          <w:p w14:paraId="0F31BBC5">
            <w:pPr>
              <w:wordWrap/>
              <w:topLinePunct w:val="0"/>
              <w:adjustRightInd/>
              <w:snapToGrid/>
              <w:spacing w:line="240" w:lineRule="auto"/>
              <w:ind w:firstLine="0" w:firstLineChars="0"/>
              <w:jc w:val="center"/>
              <w:rPr>
                <w:rFonts w:cs="Times New Roman"/>
                <w:sz w:val="21"/>
                <w:szCs w:val="21"/>
              </w:rPr>
            </w:pPr>
            <w:r>
              <w:rPr>
                <w:rFonts w:cs="Times New Roman"/>
                <w:sz w:val="21"/>
                <w:szCs w:val="21"/>
              </w:rPr>
              <w:t>直井、</w:t>
            </w:r>
            <w:r>
              <w:rPr>
                <w:rFonts w:eastAsia="Times New Roman" w:cs="Times New Roman"/>
                <w:kern w:val="0"/>
                <w:sz w:val="21"/>
                <w:szCs w:val="21"/>
              </w:rPr>
              <w:t>φ244.5</w:t>
            </w:r>
            <w:r>
              <w:rPr>
                <w:rFonts w:hint="eastAsia" w:ascii="MS Mincho" w:hAnsi="MS Mincho" w:eastAsia="MS Mincho" w:cs="MS Mincho"/>
                <w:kern w:val="0"/>
                <w:sz w:val="21"/>
                <w:szCs w:val="21"/>
              </w:rPr>
              <w:t>☓</w:t>
            </w:r>
            <w:r>
              <w:rPr>
                <w:rFonts w:eastAsia="Times New Roman" w:cs="Times New Roman"/>
                <w:kern w:val="0"/>
                <w:sz w:val="21"/>
                <w:szCs w:val="21"/>
              </w:rPr>
              <w:t>10.03mm</w:t>
            </w:r>
            <w:r>
              <w:rPr>
                <w:rFonts w:cs="Times New Roman"/>
                <w:kern w:val="0"/>
                <w:sz w:val="21"/>
                <w:szCs w:val="21"/>
              </w:rPr>
              <w:t>套管下深280米</w:t>
            </w:r>
            <w:r>
              <w:rPr>
                <w:rFonts w:eastAsia="Times New Roman" w:cs="Times New Roman"/>
                <w:kern w:val="0"/>
                <w:sz w:val="21"/>
                <w:szCs w:val="21"/>
              </w:rPr>
              <w:t>φ177.8mm</w:t>
            </w:r>
            <w:r>
              <w:rPr>
                <w:rFonts w:hint="eastAsia" w:ascii="MS Mincho" w:hAnsi="MS Mincho" w:eastAsia="MS Mincho" w:cs="MS Mincho"/>
                <w:kern w:val="0"/>
                <w:sz w:val="21"/>
                <w:szCs w:val="21"/>
              </w:rPr>
              <w:t>☓</w:t>
            </w:r>
            <w:r>
              <w:rPr>
                <w:rFonts w:eastAsia="Times New Roman" w:cs="Times New Roman"/>
                <w:kern w:val="0"/>
                <w:sz w:val="21"/>
                <w:szCs w:val="21"/>
              </w:rPr>
              <w:t>10.36mm</w:t>
            </w:r>
            <w:r>
              <w:rPr>
                <w:rFonts w:cs="Times New Roman"/>
                <w:kern w:val="0"/>
                <w:sz w:val="21"/>
                <w:szCs w:val="21"/>
              </w:rPr>
              <w:t>套管下深800米、控制室至卤井的地面安装支管</w:t>
            </w:r>
          </w:p>
        </w:tc>
      </w:tr>
      <w:tr w14:paraId="75B8B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6A59EE0">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2</w:t>
            </w:r>
          </w:p>
        </w:tc>
        <w:tc>
          <w:tcPr>
            <w:tcW w:w="1407" w:type="dxa"/>
            <w:vAlign w:val="center"/>
          </w:tcPr>
          <w:p w14:paraId="4A1A10FC">
            <w:pPr>
              <w:wordWrap/>
              <w:topLinePunct w:val="0"/>
              <w:adjustRightInd/>
              <w:snapToGrid/>
              <w:spacing w:line="240" w:lineRule="auto"/>
              <w:ind w:firstLine="0" w:firstLineChars="0"/>
              <w:jc w:val="center"/>
              <w:rPr>
                <w:rFonts w:cs="Times New Roman"/>
                <w:sz w:val="21"/>
                <w:szCs w:val="21"/>
              </w:rPr>
            </w:pPr>
            <w:r>
              <w:rPr>
                <w:rFonts w:cs="Times New Roman"/>
                <w:sz w:val="21"/>
                <w:szCs w:val="21"/>
              </w:rPr>
              <w:t>CK26</w:t>
            </w:r>
          </w:p>
        </w:tc>
        <w:tc>
          <w:tcPr>
            <w:tcW w:w="2137" w:type="dxa"/>
            <w:vAlign w:val="center"/>
          </w:tcPr>
          <w:p w14:paraId="6A223AB7">
            <w:pPr>
              <w:wordWrap/>
              <w:topLinePunct w:val="0"/>
              <w:adjustRightInd/>
              <w:snapToGrid/>
              <w:spacing w:line="240" w:lineRule="auto"/>
              <w:ind w:firstLine="0" w:firstLineChars="0"/>
              <w:jc w:val="center"/>
              <w:rPr>
                <w:rFonts w:cs="Times New Roman"/>
                <w:sz w:val="21"/>
                <w:szCs w:val="21"/>
              </w:rPr>
            </w:pPr>
            <w:r>
              <w:rPr>
                <w:rFonts w:cs="Times New Roman"/>
                <w:sz w:val="21"/>
                <w:szCs w:val="21"/>
              </w:rPr>
              <w:t>X：2985556.124</w:t>
            </w:r>
          </w:p>
          <w:p w14:paraId="0EA480E4">
            <w:pPr>
              <w:wordWrap/>
              <w:topLinePunct w:val="0"/>
              <w:adjustRightInd/>
              <w:snapToGrid/>
              <w:spacing w:line="240" w:lineRule="auto"/>
              <w:ind w:firstLine="0" w:firstLineChars="0"/>
              <w:jc w:val="center"/>
              <w:rPr>
                <w:rFonts w:cs="Times New Roman"/>
                <w:sz w:val="21"/>
                <w:szCs w:val="21"/>
              </w:rPr>
            </w:pPr>
            <w:r>
              <w:rPr>
                <w:rFonts w:cs="Times New Roman"/>
                <w:sz w:val="21"/>
                <w:szCs w:val="21"/>
              </w:rPr>
              <w:t>Y：38363570.558</w:t>
            </w:r>
          </w:p>
        </w:tc>
        <w:tc>
          <w:tcPr>
            <w:tcW w:w="4132" w:type="dxa"/>
            <w:vAlign w:val="center"/>
          </w:tcPr>
          <w:p w14:paraId="21BA1953">
            <w:pPr>
              <w:wordWrap/>
              <w:topLinePunct w:val="0"/>
              <w:adjustRightInd/>
              <w:snapToGrid/>
              <w:spacing w:line="240" w:lineRule="auto"/>
              <w:ind w:firstLine="0" w:firstLineChars="0"/>
              <w:jc w:val="center"/>
              <w:rPr>
                <w:rFonts w:cs="Times New Roman"/>
                <w:sz w:val="21"/>
                <w:szCs w:val="21"/>
              </w:rPr>
            </w:pPr>
            <w:r>
              <w:rPr>
                <w:rFonts w:cs="Times New Roman"/>
                <w:sz w:val="21"/>
                <w:szCs w:val="21"/>
              </w:rPr>
              <w:t>斜井（与CK25井对接）、</w:t>
            </w:r>
            <w:r>
              <w:rPr>
                <w:rFonts w:eastAsia="Times New Roman" w:cs="Times New Roman"/>
                <w:kern w:val="0"/>
                <w:sz w:val="21"/>
                <w:szCs w:val="21"/>
              </w:rPr>
              <w:t>φ244.5</w:t>
            </w:r>
            <w:r>
              <w:rPr>
                <w:rFonts w:hint="eastAsia" w:ascii="MS Mincho" w:hAnsi="MS Mincho" w:eastAsia="MS Mincho" w:cs="MS Mincho"/>
                <w:kern w:val="0"/>
                <w:sz w:val="21"/>
                <w:szCs w:val="21"/>
              </w:rPr>
              <w:t>☓</w:t>
            </w:r>
            <w:r>
              <w:rPr>
                <w:rFonts w:eastAsia="Times New Roman" w:cs="Times New Roman"/>
                <w:kern w:val="0"/>
                <w:sz w:val="21"/>
                <w:szCs w:val="21"/>
              </w:rPr>
              <w:t>10.03mm</w:t>
            </w:r>
            <w:r>
              <w:rPr>
                <w:rFonts w:cs="Times New Roman"/>
                <w:kern w:val="0"/>
                <w:sz w:val="21"/>
                <w:szCs w:val="21"/>
              </w:rPr>
              <w:t>套管下深280米</w:t>
            </w:r>
            <w:r>
              <w:rPr>
                <w:rFonts w:eastAsia="Times New Roman" w:cs="Times New Roman"/>
                <w:kern w:val="0"/>
                <w:sz w:val="21"/>
                <w:szCs w:val="21"/>
              </w:rPr>
              <w:t>φ177.8mm</w:t>
            </w:r>
            <w:r>
              <w:rPr>
                <w:rFonts w:hint="eastAsia" w:ascii="MS Mincho" w:hAnsi="MS Mincho" w:eastAsia="MS Mincho" w:cs="MS Mincho"/>
                <w:kern w:val="0"/>
                <w:sz w:val="21"/>
                <w:szCs w:val="21"/>
              </w:rPr>
              <w:t>☓</w:t>
            </w:r>
            <w:r>
              <w:rPr>
                <w:rFonts w:eastAsia="Times New Roman" w:cs="Times New Roman"/>
                <w:kern w:val="0"/>
                <w:sz w:val="21"/>
                <w:szCs w:val="21"/>
              </w:rPr>
              <w:t>10.36mm</w:t>
            </w:r>
            <w:r>
              <w:rPr>
                <w:rFonts w:cs="Times New Roman"/>
                <w:kern w:val="0"/>
                <w:sz w:val="21"/>
                <w:szCs w:val="21"/>
              </w:rPr>
              <w:t>套管下深750米、控制室至卤井的地面支管安装</w:t>
            </w:r>
          </w:p>
        </w:tc>
      </w:tr>
      <w:tr w14:paraId="11B3F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9D496D8">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3</w:t>
            </w:r>
          </w:p>
        </w:tc>
        <w:tc>
          <w:tcPr>
            <w:tcW w:w="1407" w:type="dxa"/>
            <w:vAlign w:val="center"/>
          </w:tcPr>
          <w:p w14:paraId="758ED692">
            <w:pPr>
              <w:wordWrap/>
              <w:topLinePunct w:val="0"/>
              <w:adjustRightInd/>
              <w:snapToGrid/>
              <w:spacing w:line="240" w:lineRule="auto"/>
              <w:ind w:firstLine="0" w:firstLineChars="0"/>
              <w:jc w:val="center"/>
              <w:rPr>
                <w:rFonts w:cs="Times New Roman"/>
                <w:sz w:val="21"/>
                <w:szCs w:val="21"/>
              </w:rPr>
            </w:pPr>
            <w:r>
              <w:rPr>
                <w:rFonts w:cs="Times New Roman"/>
                <w:sz w:val="21"/>
                <w:szCs w:val="21"/>
              </w:rPr>
              <w:t>CK27</w:t>
            </w:r>
          </w:p>
        </w:tc>
        <w:tc>
          <w:tcPr>
            <w:tcW w:w="2137" w:type="dxa"/>
            <w:vAlign w:val="center"/>
          </w:tcPr>
          <w:p w14:paraId="37E1A9BB">
            <w:pPr>
              <w:wordWrap/>
              <w:topLinePunct w:val="0"/>
              <w:adjustRightInd/>
              <w:snapToGrid/>
              <w:spacing w:line="240" w:lineRule="auto"/>
              <w:ind w:firstLine="0" w:firstLineChars="0"/>
              <w:jc w:val="center"/>
              <w:rPr>
                <w:rFonts w:cs="Times New Roman"/>
                <w:sz w:val="21"/>
                <w:szCs w:val="21"/>
              </w:rPr>
            </w:pPr>
            <w:r>
              <w:rPr>
                <w:rFonts w:cs="Times New Roman"/>
                <w:sz w:val="21"/>
                <w:szCs w:val="21"/>
              </w:rPr>
              <w:t>X：2985557.701</w:t>
            </w:r>
          </w:p>
          <w:p w14:paraId="1E82E9ED">
            <w:pPr>
              <w:wordWrap/>
              <w:topLinePunct w:val="0"/>
              <w:adjustRightInd/>
              <w:snapToGrid/>
              <w:spacing w:line="240" w:lineRule="auto"/>
              <w:ind w:firstLine="0" w:firstLineChars="0"/>
              <w:jc w:val="center"/>
              <w:rPr>
                <w:rFonts w:cs="Times New Roman"/>
                <w:sz w:val="21"/>
                <w:szCs w:val="21"/>
              </w:rPr>
            </w:pPr>
            <w:r>
              <w:rPr>
                <w:rFonts w:cs="Times New Roman"/>
                <w:sz w:val="21"/>
                <w:szCs w:val="21"/>
              </w:rPr>
              <w:t>Y：38363536.413</w:t>
            </w:r>
          </w:p>
        </w:tc>
        <w:tc>
          <w:tcPr>
            <w:tcW w:w="4132" w:type="dxa"/>
            <w:vAlign w:val="center"/>
          </w:tcPr>
          <w:p w14:paraId="32216234">
            <w:pPr>
              <w:wordWrap/>
              <w:topLinePunct w:val="0"/>
              <w:adjustRightInd/>
              <w:snapToGrid/>
              <w:spacing w:line="240" w:lineRule="auto"/>
              <w:ind w:firstLine="0" w:firstLineChars="0"/>
              <w:jc w:val="center"/>
              <w:rPr>
                <w:rFonts w:cs="Times New Roman"/>
                <w:sz w:val="21"/>
                <w:szCs w:val="21"/>
              </w:rPr>
            </w:pPr>
            <w:r>
              <w:rPr>
                <w:rFonts w:cs="Times New Roman"/>
                <w:sz w:val="21"/>
                <w:szCs w:val="21"/>
              </w:rPr>
              <w:t>直井、</w:t>
            </w:r>
            <w:r>
              <w:rPr>
                <w:rFonts w:eastAsia="Times New Roman" w:cs="Times New Roman"/>
                <w:kern w:val="0"/>
                <w:sz w:val="21"/>
                <w:szCs w:val="21"/>
              </w:rPr>
              <w:t>φ244.5</w:t>
            </w:r>
            <w:r>
              <w:rPr>
                <w:rFonts w:hint="eastAsia" w:ascii="MS Mincho" w:hAnsi="MS Mincho" w:eastAsia="MS Mincho" w:cs="MS Mincho"/>
                <w:kern w:val="0"/>
                <w:sz w:val="21"/>
                <w:szCs w:val="21"/>
              </w:rPr>
              <w:t>☓</w:t>
            </w:r>
            <w:r>
              <w:rPr>
                <w:rFonts w:eastAsia="Times New Roman" w:cs="Times New Roman"/>
                <w:kern w:val="0"/>
                <w:sz w:val="21"/>
                <w:szCs w:val="21"/>
              </w:rPr>
              <w:t>10.03mm</w:t>
            </w:r>
            <w:r>
              <w:rPr>
                <w:rFonts w:cs="Times New Roman"/>
                <w:kern w:val="0"/>
                <w:sz w:val="21"/>
                <w:szCs w:val="21"/>
              </w:rPr>
              <w:t>套管下深280米</w:t>
            </w:r>
            <w:r>
              <w:rPr>
                <w:rFonts w:eastAsia="Times New Roman" w:cs="Times New Roman"/>
                <w:kern w:val="0"/>
                <w:sz w:val="21"/>
                <w:szCs w:val="21"/>
              </w:rPr>
              <w:t>φ177.8mm</w:t>
            </w:r>
            <w:r>
              <w:rPr>
                <w:rFonts w:hint="eastAsia" w:ascii="MS Mincho" w:hAnsi="MS Mincho" w:eastAsia="MS Mincho" w:cs="MS Mincho"/>
                <w:kern w:val="0"/>
                <w:sz w:val="21"/>
                <w:szCs w:val="21"/>
              </w:rPr>
              <w:t>☓</w:t>
            </w:r>
            <w:r>
              <w:rPr>
                <w:rFonts w:eastAsia="Times New Roman" w:cs="Times New Roman"/>
                <w:kern w:val="0"/>
                <w:sz w:val="21"/>
                <w:szCs w:val="21"/>
              </w:rPr>
              <w:t>10.36mm</w:t>
            </w:r>
            <w:r>
              <w:rPr>
                <w:rFonts w:cs="Times New Roman"/>
                <w:kern w:val="0"/>
                <w:sz w:val="21"/>
                <w:szCs w:val="21"/>
              </w:rPr>
              <w:t>套管下深800米、控制室至卤井的地面支管安装</w:t>
            </w:r>
          </w:p>
        </w:tc>
      </w:tr>
      <w:tr w14:paraId="25B3B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569BD711">
            <w:pPr>
              <w:wordWrap/>
              <w:topLinePunct w:val="0"/>
              <w:adjustRightInd/>
              <w:snapToGrid/>
              <w:spacing w:line="240" w:lineRule="auto"/>
              <w:ind w:firstLine="0" w:firstLineChars="0"/>
              <w:jc w:val="center"/>
              <w:rPr>
                <w:rFonts w:cs="Times New Roman"/>
                <w:sz w:val="21"/>
                <w:szCs w:val="21"/>
              </w:rPr>
            </w:pPr>
            <w:r>
              <w:rPr>
                <w:rFonts w:eastAsia="Times New Roman" w:cs="Times New Roman"/>
                <w:kern w:val="0"/>
                <w:sz w:val="21"/>
                <w:szCs w:val="21"/>
              </w:rPr>
              <w:t>4</w:t>
            </w:r>
          </w:p>
        </w:tc>
        <w:tc>
          <w:tcPr>
            <w:tcW w:w="1407" w:type="dxa"/>
            <w:vAlign w:val="center"/>
          </w:tcPr>
          <w:p w14:paraId="24933DE2">
            <w:pPr>
              <w:wordWrap/>
              <w:topLinePunct w:val="0"/>
              <w:adjustRightInd/>
              <w:snapToGrid/>
              <w:spacing w:line="240" w:lineRule="auto"/>
              <w:ind w:firstLine="0" w:firstLineChars="0"/>
              <w:jc w:val="center"/>
              <w:rPr>
                <w:rFonts w:cs="Times New Roman"/>
                <w:sz w:val="21"/>
                <w:szCs w:val="21"/>
              </w:rPr>
            </w:pPr>
            <w:r>
              <w:rPr>
                <w:rFonts w:cs="Times New Roman"/>
                <w:sz w:val="21"/>
                <w:szCs w:val="21"/>
              </w:rPr>
              <w:t>CK28</w:t>
            </w:r>
          </w:p>
        </w:tc>
        <w:tc>
          <w:tcPr>
            <w:tcW w:w="2137" w:type="dxa"/>
            <w:vAlign w:val="center"/>
          </w:tcPr>
          <w:p w14:paraId="4293194D">
            <w:pPr>
              <w:wordWrap/>
              <w:topLinePunct w:val="0"/>
              <w:adjustRightInd/>
              <w:snapToGrid/>
              <w:spacing w:line="240" w:lineRule="auto"/>
              <w:ind w:firstLine="0" w:firstLineChars="0"/>
              <w:jc w:val="center"/>
              <w:rPr>
                <w:rFonts w:cs="Times New Roman"/>
                <w:sz w:val="21"/>
                <w:szCs w:val="21"/>
              </w:rPr>
            </w:pPr>
            <w:r>
              <w:rPr>
                <w:rFonts w:cs="Times New Roman"/>
                <w:sz w:val="21"/>
                <w:szCs w:val="21"/>
              </w:rPr>
              <w:t>X：2985288.220</w:t>
            </w:r>
          </w:p>
          <w:p w14:paraId="5A9555A0">
            <w:pPr>
              <w:wordWrap/>
              <w:topLinePunct w:val="0"/>
              <w:adjustRightInd/>
              <w:snapToGrid/>
              <w:spacing w:line="240" w:lineRule="auto"/>
              <w:ind w:firstLine="0" w:firstLineChars="0"/>
              <w:jc w:val="center"/>
              <w:rPr>
                <w:rFonts w:cs="Times New Roman"/>
                <w:sz w:val="21"/>
                <w:szCs w:val="21"/>
              </w:rPr>
            </w:pPr>
            <w:r>
              <w:rPr>
                <w:rFonts w:cs="Times New Roman"/>
                <w:sz w:val="21"/>
                <w:szCs w:val="21"/>
              </w:rPr>
              <w:t>Y：38363543.424</w:t>
            </w:r>
          </w:p>
        </w:tc>
        <w:tc>
          <w:tcPr>
            <w:tcW w:w="4132" w:type="dxa"/>
            <w:vAlign w:val="center"/>
          </w:tcPr>
          <w:p w14:paraId="64655928">
            <w:pPr>
              <w:wordWrap/>
              <w:topLinePunct w:val="0"/>
              <w:adjustRightInd/>
              <w:snapToGrid/>
              <w:spacing w:line="240" w:lineRule="auto"/>
              <w:ind w:firstLine="0" w:firstLineChars="0"/>
              <w:jc w:val="center"/>
              <w:rPr>
                <w:rFonts w:cs="Times New Roman"/>
                <w:sz w:val="21"/>
                <w:szCs w:val="21"/>
              </w:rPr>
            </w:pPr>
            <w:r>
              <w:rPr>
                <w:rFonts w:cs="Times New Roman"/>
                <w:sz w:val="21"/>
                <w:szCs w:val="21"/>
              </w:rPr>
              <w:t>斜井（与CK27井对接）、</w:t>
            </w:r>
            <w:r>
              <w:rPr>
                <w:rFonts w:eastAsia="Times New Roman" w:cs="Times New Roman"/>
                <w:kern w:val="0"/>
                <w:sz w:val="21"/>
                <w:szCs w:val="21"/>
              </w:rPr>
              <w:t>φ244.5</w:t>
            </w:r>
            <w:r>
              <w:rPr>
                <w:rFonts w:hint="eastAsia" w:ascii="MS Mincho" w:hAnsi="MS Mincho" w:eastAsia="MS Mincho" w:cs="MS Mincho"/>
                <w:kern w:val="0"/>
                <w:sz w:val="21"/>
                <w:szCs w:val="21"/>
              </w:rPr>
              <w:t>☓</w:t>
            </w:r>
            <w:r>
              <w:rPr>
                <w:rFonts w:eastAsia="Times New Roman" w:cs="Times New Roman"/>
                <w:kern w:val="0"/>
                <w:sz w:val="21"/>
                <w:szCs w:val="21"/>
              </w:rPr>
              <w:t>10.03mm</w:t>
            </w:r>
            <w:r>
              <w:rPr>
                <w:rFonts w:cs="Times New Roman"/>
                <w:kern w:val="0"/>
                <w:sz w:val="21"/>
                <w:szCs w:val="21"/>
              </w:rPr>
              <w:t>套管下深280米</w:t>
            </w:r>
            <w:r>
              <w:rPr>
                <w:rFonts w:eastAsia="Times New Roman" w:cs="Times New Roman"/>
                <w:kern w:val="0"/>
                <w:sz w:val="21"/>
                <w:szCs w:val="21"/>
              </w:rPr>
              <w:t>φ177.8mm</w:t>
            </w:r>
            <w:r>
              <w:rPr>
                <w:rFonts w:hint="eastAsia" w:ascii="MS Mincho" w:hAnsi="MS Mincho" w:eastAsia="MS Mincho" w:cs="MS Mincho"/>
                <w:kern w:val="0"/>
                <w:sz w:val="21"/>
                <w:szCs w:val="21"/>
              </w:rPr>
              <w:t>☓</w:t>
            </w:r>
            <w:r>
              <w:rPr>
                <w:rFonts w:eastAsia="Times New Roman" w:cs="Times New Roman"/>
                <w:kern w:val="0"/>
                <w:sz w:val="21"/>
                <w:szCs w:val="21"/>
              </w:rPr>
              <w:t>10.36mm</w:t>
            </w:r>
            <w:r>
              <w:rPr>
                <w:rFonts w:cs="Times New Roman"/>
                <w:kern w:val="0"/>
                <w:sz w:val="21"/>
                <w:szCs w:val="21"/>
              </w:rPr>
              <w:t>套管下深750米、控制室至卤井的地面支管安装</w:t>
            </w:r>
          </w:p>
        </w:tc>
      </w:tr>
      <w:bookmarkEnd w:id="419"/>
      <w:bookmarkEnd w:id="420"/>
    </w:tbl>
    <w:p w14:paraId="47216F8A">
      <w:pPr>
        <w:pStyle w:val="8"/>
        <w:ind w:firstLine="0" w:firstLineChars="0"/>
        <w:rPr>
          <w:rFonts w:cs="Times New Roman"/>
        </w:rPr>
      </w:pPr>
      <w:r>
        <w:rPr>
          <w:rFonts w:cs="Times New Roman"/>
        </w:rPr>
        <w:t>4.4.4.2管道走向</w:t>
      </w:r>
    </w:p>
    <w:p w14:paraId="39FAA8D6">
      <w:pPr>
        <w:ind w:firstLine="519"/>
        <w:rPr>
          <w:rFonts w:cs="Times New Roman"/>
        </w:rPr>
      </w:pPr>
      <w:r>
        <w:rPr>
          <w:rFonts w:cs="Times New Roman"/>
        </w:rPr>
        <w:t>本项目采卤用水经采卤泵房加压经注水主管进入阀门控制室，再经注水支管注入卤井，卤水采出后经回卤支管进入阀门控制室，再经回卤主管进入罐区卤水池。</w:t>
      </w:r>
    </w:p>
    <w:p w14:paraId="7817F414">
      <w:pPr>
        <w:ind w:firstLine="519"/>
        <w:rPr>
          <w:rFonts w:cs="Times New Roman"/>
        </w:rPr>
      </w:pPr>
      <w:r>
        <w:rPr>
          <w:rFonts w:cs="Times New Roman"/>
        </w:rPr>
        <w:t>本项目阀门控制室位于</w:t>
      </w:r>
      <w:r>
        <w:rPr>
          <w:rFonts w:hint="eastAsia" w:cs="Times New Roman"/>
        </w:rPr>
        <w:t>金华路</w:t>
      </w:r>
      <w:r>
        <w:rPr>
          <w:rFonts w:cs="Times New Roman"/>
        </w:rPr>
        <w:t>，CK28卤井以东</w:t>
      </w:r>
      <w:bookmarkStart w:id="421" w:name="_Hlk88662546"/>
      <w:r>
        <w:rPr>
          <w:rFonts w:cs="Times New Roman"/>
        </w:rPr>
        <w:t>敷设管线</w:t>
      </w:r>
      <w:bookmarkEnd w:id="421"/>
      <w:bookmarkStart w:id="422" w:name="_Hlk88662553"/>
      <w:r>
        <w:rPr>
          <w:rFonts w:cs="Times New Roman"/>
        </w:rPr>
        <w:t>引入</w:t>
      </w:r>
      <w:r>
        <w:rPr>
          <w:rFonts w:hint="eastAsia" w:cs="Times New Roman"/>
        </w:rPr>
        <w:t>金华路</w:t>
      </w:r>
      <w:r>
        <w:rPr>
          <w:rFonts w:cs="Times New Roman"/>
        </w:rPr>
        <w:t>西侧控制室</w:t>
      </w:r>
      <w:bookmarkEnd w:id="422"/>
      <w:r>
        <w:rPr>
          <w:rFonts w:cs="Times New Roman"/>
        </w:rPr>
        <w:t>，CK26、CK27以东沿化工路-</w:t>
      </w:r>
      <w:r>
        <w:rPr>
          <w:rFonts w:hint="eastAsia" w:cs="Times New Roman"/>
        </w:rPr>
        <w:t>金华路</w:t>
      </w:r>
      <w:r>
        <w:rPr>
          <w:rFonts w:cs="Times New Roman"/>
        </w:rPr>
        <w:t>敷设管线引入</w:t>
      </w:r>
      <w:r>
        <w:rPr>
          <w:rFonts w:hint="eastAsia" w:cs="Times New Roman"/>
        </w:rPr>
        <w:t>金华路</w:t>
      </w:r>
      <w:r>
        <w:rPr>
          <w:rFonts w:cs="Times New Roman"/>
        </w:rPr>
        <w:t>西侧控制室，本项目新建管线均沿道路绿化带铺设。经控制室引出主管，主管沿</w:t>
      </w:r>
      <w:r>
        <w:rPr>
          <w:rFonts w:hint="eastAsia" w:cs="Times New Roman"/>
        </w:rPr>
        <w:t>金华路</w:t>
      </w:r>
      <w:r>
        <w:rPr>
          <w:rFonts w:cs="Times New Roman"/>
        </w:rPr>
        <w:t>-松枫路-新安路引入采卤泵房。管线走向详见附图。</w:t>
      </w:r>
    </w:p>
    <w:p w14:paraId="302B0F65">
      <w:pPr>
        <w:pStyle w:val="7"/>
      </w:pPr>
      <w:bookmarkStart w:id="423" w:name="_Toc90989247"/>
      <w:bookmarkStart w:id="424" w:name="_Toc89786140"/>
      <w:bookmarkStart w:id="425" w:name="_Toc90318425"/>
      <w:bookmarkStart w:id="426" w:name="_Toc89882465"/>
      <w:bookmarkStart w:id="427" w:name="_Toc90997679"/>
      <w:bookmarkStart w:id="428" w:name="_Toc121420837"/>
      <w:r>
        <w:t>4.4.5开采</w:t>
      </w:r>
      <w:bookmarkEnd w:id="423"/>
      <w:bookmarkEnd w:id="424"/>
      <w:bookmarkEnd w:id="425"/>
      <w:bookmarkEnd w:id="426"/>
      <w:bookmarkEnd w:id="427"/>
      <w:r>
        <w:rPr>
          <w:rFonts w:hint="eastAsia"/>
        </w:rPr>
        <w:t>方案</w:t>
      </w:r>
      <w:bookmarkEnd w:id="428"/>
    </w:p>
    <w:p w14:paraId="0A6C4198">
      <w:pPr>
        <w:pStyle w:val="3"/>
        <w:ind w:firstLine="519"/>
        <w:rPr>
          <w:rFonts w:cs="Times New Roman"/>
        </w:rPr>
      </w:pPr>
      <w:r>
        <w:rPr>
          <w:rFonts w:hint="eastAsia" w:cs="Times New Roman"/>
        </w:rPr>
        <w:t>根据湖南中大设计院有限公司编制的《湖南省衡阳市石鼓区建滔岩盐矿资源开发利用方案（2015.4）》，本项目开采方案如下：</w:t>
      </w:r>
    </w:p>
    <w:p w14:paraId="760E7452">
      <w:pPr>
        <w:ind w:firstLine="519"/>
      </w:pPr>
      <w:r>
        <w:rPr>
          <w:rFonts w:hint="eastAsia"/>
        </w:rPr>
        <w:t>（1）开采范围：采矿权许可证中6个拐点圈定的范围，开采标高-458.26m~-750m。</w:t>
      </w:r>
    </w:p>
    <w:p w14:paraId="4BF7F3F7">
      <w:pPr>
        <w:pStyle w:val="2"/>
        <w:ind w:firstLine="519"/>
      </w:pPr>
      <w:r>
        <w:rPr>
          <w:rFonts w:hint="eastAsia"/>
        </w:rPr>
        <w:t>（2）开采对象：</w:t>
      </w:r>
      <w:r>
        <w:rPr>
          <w:rFonts w:cs="Times New Roman"/>
        </w:rPr>
        <w:t>开采对象为第三系下统霞流市组茶山坳段（E</w:t>
      </w:r>
      <w:r>
        <w:rPr>
          <w:rFonts w:cs="Times New Roman"/>
          <w:vertAlign w:val="subscript"/>
        </w:rPr>
        <w:t>2</w:t>
      </w:r>
      <w:r>
        <w:rPr>
          <w:rFonts w:cs="Times New Roman"/>
        </w:rPr>
        <w:t>x</w:t>
      </w:r>
      <w:r>
        <w:rPr>
          <w:rFonts w:cs="Times New Roman"/>
          <w:vertAlign w:val="superscript"/>
        </w:rPr>
        <w:t>1</w:t>
      </w:r>
      <w:r>
        <w:rPr>
          <w:rFonts w:cs="Times New Roman"/>
        </w:rPr>
        <w:t>）氯化物带（E</w:t>
      </w:r>
      <w:r>
        <w:rPr>
          <w:rFonts w:cs="Times New Roman"/>
          <w:vertAlign w:val="subscript"/>
        </w:rPr>
        <w:t>2</w:t>
      </w:r>
      <w:r>
        <w:rPr>
          <w:rFonts w:cs="Times New Roman"/>
        </w:rPr>
        <w:t>x</w:t>
      </w:r>
      <w:r>
        <w:rPr>
          <w:rFonts w:cs="Times New Roman"/>
          <w:vertAlign w:val="superscript"/>
        </w:rPr>
        <w:t>1-3</w:t>
      </w:r>
      <w:r>
        <w:rPr>
          <w:rFonts w:cs="Times New Roman"/>
        </w:rPr>
        <w:t>）中的岩盐主矿层</w:t>
      </w:r>
      <w:r>
        <w:rPr>
          <w:rFonts w:hint="eastAsia" w:cs="Times New Roman"/>
        </w:rPr>
        <w:t>，根据储量年报中的岩盐矿保有储量进行开采。</w:t>
      </w:r>
    </w:p>
    <w:p w14:paraId="18DD62A4">
      <w:pPr>
        <w:pStyle w:val="3"/>
        <w:ind w:firstLine="519"/>
      </w:pPr>
      <w:r>
        <w:rPr>
          <w:rFonts w:hint="eastAsia"/>
        </w:rPr>
        <w:t>（3）开拓方式：垂直和倾斜混合对接钻孔开拓</w:t>
      </w:r>
    </w:p>
    <w:p w14:paraId="514159EA">
      <w:pPr>
        <w:ind w:firstLine="519"/>
      </w:pPr>
      <w:r>
        <w:rPr>
          <w:rFonts w:hint="eastAsia"/>
        </w:rPr>
        <w:t>（4）开采方式：地下开采</w:t>
      </w:r>
    </w:p>
    <w:p w14:paraId="03E4A223">
      <w:pPr>
        <w:pStyle w:val="2"/>
        <w:ind w:firstLine="519"/>
      </w:pPr>
      <w:r>
        <w:rPr>
          <w:rFonts w:hint="eastAsia"/>
        </w:rPr>
        <w:t>（5）矿山开采总顺序：自东至西、自下而上的开采顺序</w:t>
      </w:r>
    </w:p>
    <w:p w14:paraId="05623D5D">
      <w:pPr>
        <w:pStyle w:val="2"/>
        <w:ind w:firstLine="519"/>
      </w:pPr>
      <w:r>
        <w:rPr>
          <w:rFonts w:hint="eastAsia"/>
        </w:rPr>
        <w:t>（6）井网布置及井网参数：生产井组呈平行布置，</w:t>
      </w:r>
      <w:bookmarkStart w:id="429" w:name="_Hlk116637684"/>
      <w:bookmarkStart w:id="430" w:name="_Hlk116550715"/>
      <w:r>
        <w:rPr>
          <w:rFonts w:hint="eastAsia"/>
        </w:rPr>
        <w:t>井距</w:t>
      </w:r>
      <w:bookmarkEnd w:id="429"/>
      <w:bookmarkStart w:id="431" w:name="_Hlk116640483"/>
      <w:r>
        <w:rPr>
          <w:rFonts w:hint="eastAsia"/>
        </w:rPr>
        <w:t>280m~300m</w:t>
      </w:r>
      <w:bookmarkEnd w:id="430"/>
      <w:bookmarkEnd w:id="431"/>
      <w:r>
        <w:rPr>
          <w:rFonts w:hint="eastAsia"/>
        </w:rPr>
        <w:t>，溶采区之间留设宽度30~40m的连续矿柱，直接顶板以下留设25~35m的护顶矿层。卤井井身结构采用双层套管固井，表层套管采用外径Φ244.5mm钢管，技术套管采用外径Φ177.8mm钢管，中心管采用外径Φ73mm钢管。</w:t>
      </w:r>
    </w:p>
    <w:p w14:paraId="6EC4B029">
      <w:pPr>
        <w:pStyle w:val="2"/>
        <w:ind w:firstLine="519"/>
        <w:rPr>
          <w:rFonts w:cs="Times New Roman"/>
        </w:rPr>
      </w:pPr>
      <w:r>
        <w:rPr>
          <w:rFonts w:hint="eastAsia"/>
        </w:rPr>
        <w:t>（7）采矿方法：</w:t>
      </w:r>
      <w:r>
        <w:rPr>
          <w:rFonts w:cs="Times New Roman"/>
        </w:rPr>
        <w:t>根据前文矿山地质条件分析，矿山工程地质条件中等，水文地质条件中等。本矿山为化工企业矿山，矿层埋藏在地表500m以下，宜采用双井对流水溶法溶采。因此，本项目采用双井对流水溶法开采岩盐。</w:t>
      </w:r>
    </w:p>
    <w:p w14:paraId="46C396BA">
      <w:pPr>
        <w:pStyle w:val="3"/>
        <w:ind w:firstLine="0" w:firstLineChars="0"/>
        <w:rPr>
          <w:rFonts w:cs="Times New Roman"/>
        </w:rPr>
      </w:pPr>
      <w:r>
        <w:rPr>
          <w:rFonts w:cs="Times New Roman"/>
        </w:rPr>
        <w:drawing>
          <wp:inline distT="0" distB="0" distL="0" distR="0">
            <wp:extent cx="5276850" cy="46742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rcRect r="1452" b="1029"/>
                    <a:stretch>
                      <a:fillRect/>
                    </a:stretch>
                  </pic:blipFill>
                  <pic:spPr>
                    <a:xfrm>
                      <a:off x="0" y="0"/>
                      <a:ext cx="5278455" cy="4675759"/>
                    </a:xfrm>
                    <a:prstGeom prst="rect">
                      <a:avLst/>
                    </a:prstGeom>
                    <a:ln>
                      <a:noFill/>
                    </a:ln>
                  </pic:spPr>
                </pic:pic>
              </a:graphicData>
            </a:graphic>
          </wp:inline>
        </w:drawing>
      </w:r>
    </w:p>
    <w:p w14:paraId="47F68B40">
      <w:pPr>
        <w:pStyle w:val="9"/>
      </w:pPr>
      <w:r>
        <w:t>图4.4-1 双井对流水溶采矿方法图</w:t>
      </w:r>
    </w:p>
    <w:p w14:paraId="32C85C44">
      <w:pPr>
        <w:pStyle w:val="2"/>
        <w:ind w:firstLine="519"/>
      </w:pPr>
      <w:r>
        <w:rPr>
          <w:rFonts w:hint="eastAsia"/>
        </w:rPr>
        <w:t>（</w:t>
      </w:r>
      <w:r>
        <w:t>8</w:t>
      </w:r>
      <w:r>
        <w:rPr>
          <w:rFonts w:hint="eastAsia"/>
        </w:rPr>
        <w:t>）提升方式：钻孔泵送</w:t>
      </w:r>
    </w:p>
    <w:p w14:paraId="6ECDD5CD">
      <w:pPr>
        <w:pStyle w:val="3"/>
        <w:ind w:firstLine="519"/>
      </w:pPr>
      <w:r>
        <w:rPr>
          <w:rFonts w:hint="eastAsia"/>
        </w:rPr>
        <w:t>（</w:t>
      </w:r>
      <w:r>
        <w:t>9</w:t>
      </w:r>
      <w:r>
        <w:rPr>
          <w:rFonts w:hint="eastAsia"/>
        </w:rPr>
        <w:t>）地面运输：管道泵送</w:t>
      </w:r>
    </w:p>
    <w:p w14:paraId="2B20D390">
      <w:pPr>
        <w:pStyle w:val="7"/>
      </w:pPr>
      <w:bookmarkStart w:id="432" w:name="_Toc90997681"/>
      <w:bookmarkStart w:id="433" w:name="_Toc89786142"/>
      <w:bookmarkStart w:id="434" w:name="_Toc121420838"/>
      <w:bookmarkStart w:id="435" w:name="_Toc90318427"/>
      <w:bookmarkStart w:id="436" w:name="_Toc90989249"/>
      <w:bookmarkStart w:id="437" w:name="_Toc89882467"/>
      <w:r>
        <w:t>4.4.7生产规模、服务年限及产品方案</w:t>
      </w:r>
      <w:bookmarkEnd w:id="432"/>
      <w:bookmarkEnd w:id="433"/>
      <w:bookmarkEnd w:id="434"/>
      <w:bookmarkEnd w:id="435"/>
      <w:bookmarkEnd w:id="436"/>
      <w:bookmarkEnd w:id="437"/>
    </w:p>
    <w:p w14:paraId="4069B278">
      <w:pPr>
        <w:ind w:firstLine="519"/>
        <w:rPr>
          <w:rFonts w:cs="Times New Roman"/>
        </w:rPr>
      </w:pPr>
      <w:bookmarkStart w:id="438" w:name="_Toc35607802"/>
      <w:bookmarkStart w:id="439" w:name="_Toc35607807"/>
      <w:r>
        <w:rPr>
          <w:rFonts w:cs="Times New Roman"/>
        </w:rPr>
        <w:t>本项目建成后，维持矿山生产规模为150×10</w:t>
      </w:r>
      <w:r>
        <w:rPr>
          <w:rFonts w:cs="Times New Roman"/>
          <w:vertAlign w:val="superscript"/>
        </w:rPr>
        <w:t>4</w:t>
      </w:r>
      <w:r>
        <w:rPr>
          <w:rFonts w:cs="Times New Roman"/>
        </w:rPr>
        <w:t>t/a（原矿）不变，根据前文矿山资源量分析，矿山采矿回收率为20%，控制的基础储量可信度高，100%利用，推断的资源量可信度系数取0.9，经计算后可知，矿山剩余服务年限约为60年。</w:t>
      </w:r>
    </w:p>
    <w:p w14:paraId="4703166D">
      <w:pPr>
        <w:ind w:firstLine="519"/>
        <w:rPr>
          <w:rFonts w:cs="Times New Roman"/>
        </w:rPr>
      </w:pPr>
      <w:r>
        <w:rPr>
          <w:rFonts w:cs="Times New Roman"/>
        </w:rPr>
        <w:t>本次产品方案为</w:t>
      </w:r>
      <w:r>
        <w:rPr>
          <w:rFonts w:hint="eastAsia" w:cs="Times New Roman"/>
        </w:rPr>
        <w:t>原</w:t>
      </w:r>
      <w:r>
        <w:rPr>
          <w:rFonts w:cs="Times New Roman"/>
        </w:rPr>
        <w:t>卤水，新建4口卤水井（</w:t>
      </w:r>
      <w:bookmarkStart w:id="440" w:name="_Hlk88655866"/>
      <w:r>
        <w:rPr>
          <w:rFonts w:cs="Times New Roman"/>
        </w:rPr>
        <w:t>CK25-CK26、</w:t>
      </w:r>
      <w:bookmarkStart w:id="441" w:name="_Hlk88663577"/>
      <w:r>
        <w:rPr>
          <w:rFonts w:cs="Times New Roman"/>
        </w:rPr>
        <w:t>CK27-CK28</w:t>
      </w:r>
      <w:bookmarkEnd w:id="441"/>
      <w:r>
        <w:rPr>
          <w:rFonts w:cs="Times New Roman"/>
        </w:rPr>
        <w:t>）</w:t>
      </w:r>
      <w:bookmarkEnd w:id="440"/>
      <w:r>
        <w:rPr>
          <w:rFonts w:cs="Times New Roman"/>
        </w:rPr>
        <w:t>卤水</w:t>
      </w:r>
      <w:r>
        <w:rPr>
          <w:rFonts w:hint="eastAsia" w:cs="Times New Roman"/>
        </w:rPr>
        <w:t>出卤能力为200m</w:t>
      </w:r>
      <w:r>
        <w:rPr>
          <w:rFonts w:hint="eastAsia" w:cs="Times New Roman"/>
          <w:vertAlign w:val="superscript"/>
        </w:rPr>
        <w:t>3</w:t>
      </w:r>
      <w:r>
        <w:rPr>
          <w:rFonts w:hint="eastAsia" w:cs="Times New Roman"/>
        </w:rPr>
        <w:t>/h</w:t>
      </w:r>
      <w:r>
        <w:rPr>
          <w:rFonts w:cs="Times New Roman"/>
        </w:rPr>
        <w:t>。</w:t>
      </w:r>
      <w:bookmarkStart w:id="442" w:name="_Hlk89441780"/>
      <w:r>
        <w:rPr>
          <w:rFonts w:hint="eastAsia" w:cs="Times New Roman"/>
        </w:rPr>
        <w:t>原</w:t>
      </w:r>
      <w:r>
        <w:rPr>
          <w:rFonts w:cs="Times New Roman"/>
        </w:rPr>
        <w:t>卤水成分含量</w:t>
      </w:r>
      <w:bookmarkEnd w:id="442"/>
      <w:r>
        <w:rPr>
          <w:rFonts w:cs="Times New Roman"/>
        </w:rPr>
        <w:t>：NaCl 270~300 g/L、Na</w:t>
      </w:r>
      <w:r>
        <w:rPr>
          <w:rFonts w:cs="Times New Roman"/>
          <w:vertAlign w:val="subscript"/>
        </w:rPr>
        <w:t>2</w:t>
      </w:r>
      <w:r>
        <w:rPr>
          <w:rFonts w:cs="Times New Roman"/>
        </w:rPr>
        <w:t>SO</w:t>
      </w:r>
      <w:r>
        <w:rPr>
          <w:rFonts w:cs="Times New Roman"/>
          <w:vertAlign w:val="subscript"/>
        </w:rPr>
        <w:t>4</w:t>
      </w:r>
      <w:r>
        <w:rPr>
          <w:rFonts w:cs="Times New Roman"/>
        </w:rPr>
        <w:t xml:space="preserve"> 15~25g/L、MgSO</w:t>
      </w:r>
      <w:r>
        <w:rPr>
          <w:rFonts w:cs="Times New Roman"/>
          <w:vertAlign w:val="subscript"/>
        </w:rPr>
        <w:t>4</w:t>
      </w:r>
      <w:r>
        <w:rPr>
          <w:rFonts w:cs="Times New Roman"/>
        </w:rPr>
        <w:t xml:space="preserve"> 0.4~0.6g/L、CaSO</w:t>
      </w:r>
      <w:r>
        <w:rPr>
          <w:rFonts w:cs="Times New Roman"/>
          <w:vertAlign w:val="subscript"/>
        </w:rPr>
        <w:t>4</w:t>
      </w:r>
      <w:r>
        <w:rPr>
          <w:rFonts w:cs="Times New Roman"/>
        </w:rPr>
        <w:t xml:space="preserve"> 1.5~1.8g/L。</w:t>
      </w:r>
      <w:bookmarkStart w:id="443" w:name="_Hlk88655916"/>
      <w:r>
        <w:rPr>
          <w:rFonts w:cs="Times New Roman"/>
        </w:rPr>
        <w:t>本项目建成投入使用后，老采区ZK10、ZK12、CK3三口井停采，总体生产规模维持不变</w:t>
      </w:r>
      <w:bookmarkEnd w:id="443"/>
      <w:r>
        <w:rPr>
          <w:rFonts w:cs="Times New Roman"/>
        </w:rPr>
        <w:t>，</w:t>
      </w:r>
      <w:bookmarkStart w:id="444" w:name="_Hlk116546827"/>
      <w:r>
        <w:rPr>
          <w:rFonts w:cs="Times New Roman"/>
        </w:rPr>
        <w:t>整个矿区年采原卤220万m</w:t>
      </w:r>
      <w:r>
        <w:rPr>
          <w:rFonts w:cs="Times New Roman"/>
          <w:vertAlign w:val="superscript"/>
        </w:rPr>
        <w:t>3</w:t>
      </w:r>
      <w:bookmarkEnd w:id="444"/>
      <w:r>
        <w:rPr>
          <w:rFonts w:hint="eastAsia" w:cs="Times New Roman"/>
        </w:rPr>
        <w:t>，开采规模与建滔（衡阳）实业有限公司现有42 万t/a 离子膜烧碱项目原卤使用规模匹配。</w:t>
      </w:r>
    </w:p>
    <w:bookmarkEnd w:id="438"/>
    <w:bookmarkEnd w:id="439"/>
    <w:p w14:paraId="6683B7BA">
      <w:pPr>
        <w:pStyle w:val="7"/>
      </w:pPr>
      <w:bookmarkStart w:id="445" w:name="_Toc90318428"/>
      <w:bookmarkStart w:id="446" w:name="_Toc89882468"/>
      <w:bookmarkStart w:id="447" w:name="_Toc90997682"/>
      <w:bookmarkStart w:id="448" w:name="_Toc89786143"/>
      <w:bookmarkStart w:id="449" w:name="_Toc86852304"/>
      <w:bookmarkStart w:id="450" w:name="_Toc121420839"/>
      <w:bookmarkStart w:id="451" w:name="_Toc90989250"/>
      <w:r>
        <w:t>4.4.8 总平面布置</w:t>
      </w:r>
      <w:bookmarkEnd w:id="445"/>
      <w:bookmarkEnd w:id="446"/>
      <w:bookmarkEnd w:id="447"/>
      <w:bookmarkEnd w:id="448"/>
      <w:bookmarkEnd w:id="449"/>
      <w:bookmarkEnd w:id="450"/>
      <w:bookmarkEnd w:id="451"/>
    </w:p>
    <w:p w14:paraId="2103CA02">
      <w:pPr>
        <w:ind w:firstLine="519"/>
        <w:rPr>
          <w:rFonts w:cs="Times New Roman"/>
        </w:rPr>
      </w:pPr>
      <w:bookmarkStart w:id="452" w:name="_Toc35607808"/>
      <w:r>
        <w:rPr>
          <w:rFonts w:cs="Times New Roman"/>
        </w:rPr>
        <w:t>根据设计方案，本项目在</w:t>
      </w:r>
      <w:r>
        <w:rPr>
          <w:rFonts w:hint="eastAsia" w:cs="Times New Roman"/>
        </w:rPr>
        <w:t>金华路</w:t>
      </w:r>
      <w:r>
        <w:rPr>
          <w:rFonts w:cs="Times New Roman"/>
        </w:rPr>
        <w:t>与化工路交叉处设置CK25，于化工路设置CK26、</w:t>
      </w:r>
      <w:bookmarkStart w:id="453" w:name="_Hlk88663530"/>
      <w:r>
        <w:rPr>
          <w:rFonts w:cs="Times New Roman"/>
        </w:rPr>
        <w:t>CK27</w:t>
      </w:r>
      <w:bookmarkEnd w:id="453"/>
      <w:r>
        <w:rPr>
          <w:rFonts w:cs="Times New Roman"/>
        </w:rPr>
        <w:t>，并于CK27南侧设置CK28，其中CK25-CK26为东西向，CK27-CK28为北南向，</w:t>
      </w:r>
      <w:r>
        <w:rPr>
          <w:rFonts w:hint="eastAsia" w:cs="Times New Roman"/>
        </w:rPr>
        <w:t>各井组井距满足开发利用方案中280m~300m要求。</w:t>
      </w:r>
      <w:r>
        <w:rPr>
          <w:rFonts w:cs="Times New Roman"/>
        </w:rPr>
        <w:t>本项目新建卤井整体位于矿区西南部，矿区现有卤井整体位于矿区东部，总体按照设计开发顺序（自东向西）进行开发；采卤管线主要沿道路侧绿化带进行敷设，方便运行期管道维护，本项目新建卤井及管线敷设情况见附图。</w:t>
      </w:r>
    </w:p>
    <w:bookmarkEnd w:id="452"/>
    <w:p w14:paraId="0A0210FE">
      <w:pPr>
        <w:pStyle w:val="7"/>
      </w:pPr>
      <w:bookmarkStart w:id="454" w:name="_Toc89786144"/>
      <w:bookmarkStart w:id="455" w:name="_Toc86852305"/>
      <w:bookmarkStart w:id="456" w:name="_Toc90989251"/>
      <w:bookmarkStart w:id="457" w:name="_Toc90997683"/>
      <w:bookmarkStart w:id="458" w:name="_Toc89882469"/>
      <w:bookmarkStart w:id="459" w:name="_Toc121420840"/>
      <w:bookmarkStart w:id="460" w:name="_Toc90318429"/>
      <w:r>
        <w:t>4.4.9 主要设备</w:t>
      </w:r>
      <w:bookmarkEnd w:id="454"/>
      <w:bookmarkEnd w:id="455"/>
      <w:bookmarkEnd w:id="456"/>
      <w:bookmarkEnd w:id="457"/>
      <w:bookmarkEnd w:id="458"/>
      <w:bookmarkEnd w:id="459"/>
      <w:bookmarkEnd w:id="460"/>
    </w:p>
    <w:p w14:paraId="22A7CDF9">
      <w:pPr>
        <w:ind w:firstLine="519"/>
        <w:rPr>
          <w:rFonts w:cs="Times New Roman"/>
        </w:rPr>
      </w:pPr>
      <w:r>
        <w:rPr>
          <w:rFonts w:cs="Times New Roman"/>
        </w:rPr>
        <w:t>本项目采卤泵房及罐区均依托矿区现有设施，新增设备主要为控制室仪表、流量计及管线设备等，新增主要设备见下表所示。</w:t>
      </w:r>
    </w:p>
    <w:p w14:paraId="73CAA2F4">
      <w:pPr>
        <w:pStyle w:val="9"/>
      </w:pPr>
      <w:r>
        <w:t>表4.4-4  本项目新增主要设备表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815"/>
        <w:gridCol w:w="2190"/>
        <w:gridCol w:w="2625"/>
        <w:gridCol w:w="1022"/>
        <w:gridCol w:w="1098"/>
      </w:tblGrid>
      <w:tr w14:paraId="00FA8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shd w:val="clear" w:color="auto" w:fill="auto"/>
            <w:noWrap/>
            <w:vAlign w:val="center"/>
          </w:tcPr>
          <w:p w14:paraId="195CA63E">
            <w:pPr>
              <w:pStyle w:val="48"/>
            </w:pPr>
            <w:bookmarkStart w:id="461" w:name="_Hlk88669371"/>
            <w:r>
              <w:t>序号</w:t>
            </w:r>
          </w:p>
        </w:tc>
        <w:tc>
          <w:tcPr>
            <w:tcW w:w="478" w:type="pct"/>
            <w:shd w:val="clear" w:color="auto" w:fill="auto"/>
            <w:noWrap/>
            <w:vAlign w:val="center"/>
          </w:tcPr>
          <w:p w14:paraId="79472933">
            <w:pPr>
              <w:pStyle w:val="48"/>
            </w:pPr>
            <w:r>
              <w:t>类型</w:t>
            </w:r>
          </w:p>
        </w:tc>
        <w:tc>
          <w:tcPr>
            <w:tcW w:w="1284" w:type="pct"/>
            <w:shd w:val="clear" w:color="auto" w:fill="auto"/>
            <w:vAlign w:val="center"/>
          </w:tcPr>
          <w:p w14:paraId="055861F1">
            <w:pPr>
              <w:pStyle w:val="48"/>
            </w:pPr>
            <w:r>
              <w:t>名称</w:t>
            </w:r>
          </w:p>
        </w:tc>
        <w:tc>
          <w:tcPr>
            <w:tcW w:w="1539" w:type="pct"/>
            <w:shd w:val="clear" w:color="auto" w:fill="auto"/>
            <w:noWrap/>
            <w:vAlign w:val="center"/>
          </w:tcPr>
          <w:p w14:paraId="1FC6A668">
            <w:pPr>
              <w:pStyle w:val="48"/>
            </w:pPr>
            <w:r>
              <w:t>型号及主要参数</w:t>
            </w:r>
          </w:p>
        </w:tc>
        <w:tc>
          <w:tcPr>
            <w:tcW w:w="599" w:type="pct"/>
            <w:shd w:val="clear" w:color="auto" w:fill="auto"/>
            <w:noWrap/>
            <w:vAlign w:val="center"/>
          </w:tcPr>
          <w:p w14:paraId="3444A281">
            <w:pPr>
              <w:pStyle w:val="48"/>
            </w:pPr>
            <w:r>
              <w:t>单位</w:t>
            </w:r>
          </w:p>
        </w:tc>
        <w:tc>
          <w:tcPr>
            <w:tcW w:w="644" w:type="pct"/>
            <w:shd w:val="clear" w:color="auto" w:fill="auto"/>
            <w:noWrap/>
            <w:vAlign w:val="center"/>
          </w:tcPr>
          <w:p w14:paraId="1382195A">
            <w:pPr>
              <w:pStyle w:val="48"/>
            </w:pPr>
            <w:r>
              <w:t>数量</w:t>
            </w:r>
          </w:p>
        </w:tc>
      </w:tr>
      <w:tr w14:paraId="0474F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vMerge w:val="restart"/>
            <w:shd w:val="clear" w:color="auto" w:fill="auto"/>
            <w:noWrap/>
            <w:vAlign w:val="center"/>
          </w:tcPr>
          <w:p w14:paraId="1CDBC317">
            <w:pPr>
              <w:pStyle w:val="48"/>
            </w:pPr>
            <w:r>
              <w:t>1</w:t>
            </w:r>
          </w:p>
        </w:tc>
        <w:tc>
          <w:tcPr>
            <w:tcW w:w="478" w:type="pct"/>
            <w:vMerge w:val="restart"/>
            <w:shd w:val="clear" w:color="auto" w:fill="auto"/>
            <w:noWrap/>
            <w:vAlign w:val="center"/>
          </w:tcPr>
          <w:p w14:paraId="4629F51B">
            <w:pPr>
              <w:pStyle w:val="48"/>
            </w:pPr>
            <w:r>
              <w:t>管道</w:t>
            </w:r>
          </w:p>
        </w:tc>
        <w:tc>
          <w:tcPr>
            <w:tcW w:w="1284" w:type="pct"/>
            <w:shd w:val="clear" w:color="000000" w:fill="FFFFFF"/>
            <w:vAlign w:val="center"/>
          </w:tcPr>
          <w:p w14:paraId="413E90B5">
            <w:pPr>
              <w:pStyle w:val="48"/>
            </w:pPr>
            <w:r>
              <w:t>无缝钢管</w:t>
            </w:r>
          </w:p>
        </w:tc>
        <w:tc>
          <w:tcPr>
            <w:tcW w:w="1539" w:type="pct"/>
            <w:shd w:val="clear" w:color="auto" w:fill="auto"/>
            <w:vAlign w:val="center"/>
          </w:tcPr>
          <w:p w14:paraId="66F1A533">
            <w:pPr>
              <w:pStyle w:val="48"/>
            </w:pPr>
            <w:r>
              <w:t>ø377</w:t>
            </w:r>
            <w:r>
              <w:rPr>
                <w:rFonts w:hint="eastAsia" w:ascii="MS Mincho" w:hAnsi="MS Mincho" w:eastAsia="MS Mincho" w:cs="MS Mincho"/>
              </w:rPr>
              <w:t>☓</w:t>
            </w:r>
            <w:r>
              <w:t>12.0</w:t>
            </w:r>
          </w:p>
        </w:tc>
        <w:tc>
          <w:tcPr>
            <w:tcW w:w="599" w:type="pct"/>
            <w:shd w:val="clear" w:color="auto" w:fill="auto"/>
            <w:noWrap/>
            <w:vAlign w:val="center"/>
          </w:tcPr>
          <w:p w14:paraId="1F653F5D">
            <w:pPr>
              <w:pStyle w:val="48"/>
            </w:pPr>
            <w:r>
              <w:t>米</w:t>
            </w:r>
          </w:p>
        </w:tc>
        <w:tc>
          <w:tcPr>
            <w:tcW w:w="644" w:type="pct"/>
            <w:shd w:val="clear" w:color="auto" w:fill="auto"/>
            <w:vAlign w:val="center"/>
          </w:tcPr>
          <w:p w14:paraId="14F076FD">
            <w:pPr>
              <w:pStyle w:val="48"/>
            </w:pPr>
            <w:r>
              <w:t>744</w:t>
            </w:r>
          </w:p>
        </w:tc>
      </w:tr>
      <w:tr w14:paraId="7E857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vMerge w:val="continue"/>
            <w:vAlign w:val="center"/>
          </w:tcPr>
          <w:p w14:paraId="66F08271">
            <w:pPr>
              <w:pStyle w:val="48"/>
            </w:pPr>
          </w:p>
        </w:tc>
        <w:tc>
          <w:tcPr>
            <w:tcW w:w="478" w:type="pct"/>
            <w:vMerge w:val="continue"/>
            <w:vAlign w:val="center"/>
          </w:tcPr>
          <w:p w14:paraId="73B1B941">
            <w:pPr>
              <w:pStyle w:val="48"/>
            </w:pPr>
          </w:p>
        </w:tc>
        <w:tc>
          <w:tcPr>
            <w:tcW w:w="1284" w:type="pct"/>
            <w:shd w:val="clear" w:color="000000" w:fill="FFFFFF"/>
            <w:vAlign w:val="center"/>
          </w:tcPr>
          <w:p w14:paraId="2E25A0A9">
            <w:pPr>
              <w:pStyle w:val="48"/>
            </w:pPr>
            <w:r>
              <w:t>无缝钢管</w:t>
            </w:r>
          </w:p>
        </w:tc>
        <w:tc>
          <w:tcPr>
            <w:tcW w:w="1539" w:type="pct"/>
            <w:shd w:val="clear" w:color="auto" w:fill="auto"/>
            <w:vAlign w:val="center"/>
          </w:tcPr>
          <w:p w14:paraId="70CB0F8C">
            <w:pPr>
              <w:pStyle w:val="48"/>
            </w:pPr>
            <w:r>
              <w:t>ø159</w:t>
            </w:r>
            <w:r>
              <w:rPr>
                <w:rFonts w:hint="eastAsia" w:ascii="MS Mincho" w:hAnsi="MS Mincho" w:eastAsia="MS Mincho" w:cs="MS Mincho"/>
              </w:rPr>
              <w:t>☓</w:t>
            </w:r>
            <w:r>
              <w:t>10.0</w:t>
            </w:r>
          </w:p>
        </w:tc>
        <w:tc>
          <w:tcPr>
            <w:tcW w:w="599" w:type="pct"/>
            <w:shd w:val="clear" w:color="auto" w:fill="auto"/>
            <w:noWrap/>
            <w:vAlign w:val="center"/>
          </w:tcPr>
          <w:p w14:paraId="7B911951">
            <w:pPr>
              <w:pStyle w:val="48"/>
            </w:pPr>
            <w:r>
              <w:t>米</w:t>
            </w:r>
          </w:p>
        </w:tc>
        <w:tc>
          <w:tcPr>
            <w:tcW w:w="644" w:type="pct"/>
            <w:shd w:val="clear" w:color="auto" w:fill="auto"/>
            <w:vAlign w:val="center"/>
          </w:tcPr>
          <w:p w14:paraId="2A12DAB2">
            <w:pPr>
              <w:pStyle w:val="48"/>
            </w:pPr>
            <w:r>
              <w:t>2000</w:t>
            </w:r>
          </w:p>
        </w:tc>
      </w:tr>
      <w:tr w14:paraId="37753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vMerge w:val="restart"/>
            <w:shd w:val="clear" w:color="auto" w:fill="auto"/>
            <w:noWrap/>
            <w:vAlign w:val="center"/>
          </w:tcPr>
          <w:p w14:paraId="04DB2DB2">
            <w:pPr>
              <w:pStyle w:val="48"/>
            </w:pPr>
            <w:r>
              <w:t>2</w:t>
            </w:r>
          </w:p>
        </w:tc>
        <w:tc>
          <w:tcPr>
            <w:tcW w:w="478" w:type="pct"/>
            <w:vMerge w:val="restart"/>
            <w:shd w:val="clear" w:color="auto" w:fill="auto"/>
            <w:noWrap/>
            <w:vAlign w:val="center"/>
          </w:tcPr>
          <w:p w14:paraId="770F1080">
            <w:pPr>
              <w:pStyle w:val="48"/>
            </w:pPr>
            <w:r>
              <w:t>管件</w:t>
            </w:r>
          </w:p>
        </w:tc>
        <w:tc>
          <w:tcPr>
            <w:tcW w:w="1284" w:type="pct"/>
            <w:shd w:val="clear" w:color="000000" w:fill="FFFFFF"/>
            <w:vAlign w:val="center"/>
          </w:tcPr>
          <w:p w14:paraId="637DA2D9">
            <w:pPr>
              <w:pStyle w:val="48"/>
            </w:pPr>
            <w:r>
              <w:t>90°弯头</w:t>
            </w:r>
          </w:p>
        </w:tc>
        <w:tc>
          <w:tcPr>
            <w:tcW w:w="1539" w:type="pct"/>
            <w:shd w:val="clear" w:color="auto" w:fill="auto"/>
            <w:vAlign w:val="center"/>
          </w:tcPr>
          <w:p w14:paraId="1ADD5071">
            <w:pPr>
              <w:pStyle w:val="48"/>
            </w:pPr>
            <w:r>
              <w:t>外径159</w:t>
            </w:r>
          </w:p>
          <w:p w14:paraId="1298344D">
            <w:pPr>
              <w:pStyle w:val="48"/>
            </w:pPr>
            <w:r>
              <w:t>90E（L）150</w:t>
            </w:r>
            <w:r>
              <w:rPr>
                <w:rFonts w:hint="eastAsia" w:ascii="宋体" w:hAnsi="宋体" w:cs="宋体"/>
              </w:rPr>
              <w:t>Ⅱ</w:t>
            </w:r>
            <w:r>
              <w:t>-Sch80</w:t>
            </w:r>
          </w:p>
        </w:tc>
        <w:tc>
          <w:tcPr>
            <w:tcW w:w="599" w:type="pct"/>
            <w:shd w:val="clear" w:color="auto" w:fill="auto"/>
            <w:noWrap/>
            <w:vAlign w:val="center"/>
          </w:tcPr>
          <w:p w14:paraId="333C4668">
            <w:pPr>
              <w:pStyle w:val="48"/>
            </w:pPr>
            <w:r>
              <w:t>个</w:t>
            </w:r>
          </w:p>
        </w:tc>
        <w:tc>
          <w:tcPr>
            <w:tcW w:w="644" w:type="pct"/>
            <w:shd w:val="clear" w:color="auto" w:fill="auto"/>
            <w:vAlign w:val="center"/>
          </w:tcPr>
          <w:p w14:paraId="5272B03A">
            <w:pPr>
              <w:pStyle w:val="48"/>
            </w:pPr>
            <w:r>
              <w:t>62</w:t>
            </w:r>
          </w:p>
        </w:tc>
      </w:tr>
      <w:tr w14:paraId="6EB3E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vMerge w:val="continue"/>
            <w:shd w:val="clear" w:color="auto" w:fill="auto"/>
            <w:noWrap/>
            <w:vAlign w:val="center"/>
          </w:tcPr>
          <w:p w14:paraId="7F1271EC">
            <w:pPr>
              <w:pStyle w:val="48"/>
            </w:pPr>
          </w:p>
        </w:tc>
        <w:tc>
          <w:tcPr>
            <w:tcW w:w="478" w:type="pct"/>
            <w:vMerge w:val="continue"/>
            <w:shd w:val="clear" w:color="auto" w:fill="auto"/>
            <w:noWrap/>
            <w:vAlign w:val="center"/>
          </w:tcPr>
          <w:p w14:paraId="738B8EE4">
            <w:pPr>
              <w:pStyle w:val="48"/>
            </w:pPr>
          </w:p>
        </w:tc>
        <w:tc>
          <w:tcPr>
            <w:tcW w:w="1284" w:type="pct"/>
            <w:shd w:val="clear" w:color="000000" w:fill="FFFFFF"/>
            <w:vAlign w:val="center"/>
          </w:tcPr>
          <w:p w14:paraId="748AC079">
            <w:pPr>
              <w:pStyle w:val="48"/>
            </w:pPr>
            <w:r>
              <w:t>90°弯头</w:t>
            </w:r>
          </w:p>
        </w:tc>
        <w:tc>
          <w:tcPr>
            <w:tcW w:w="1539" w:type="pct"/>
            <w:shd w:val="clear" w:color="auto" w:fill="auto"/>
            <w:vAlign w:val="center"/>
          </w:tcPr>
          <w:p w14:paraId="7C7ECA27">
            <w:pPr>
              <w:pStyle w:val="48"/>
            </w:pPr>
            <w:r>
              <w:t>外径377</w:t>
            </w:r>
          </w:p>
          <w:p w14:paraId="3771C67D">
            <w:pPr>
              <w:pStyle w:val="48"/>
            </w:pPr>
            <w:r>
              <w:t>90E（L）150</w:t>
            </w:r>
            <w:r>
              <w:rPr>
                <w:rFonts w:hint="eastAsia" w:ascii="宋体" w:hAnsi="宋体" w:cs="宋体"/>
              </w:rPr>
              <w:t>Ⅱ</w:t>
            </w:r>
            <w:r>
              <w:t>-Sch40</w:t>
            </w:r>
          </w:p>
        </w:tc>
        <w:tc>
          <w:tcPr>
            <w:tcW w:w="599" w:type="pct"/>
            <w:shd w:val="clear" w:color="auto" w:fill="auto"/>
            <w:noWrap/>
            <w:vAlign w:val="center"/>
          </w:tcPr>
          <w:p w14:paraId="7D6ACC8F">
            <w:pPr>
              <w:pStyle w:val="48"/>
            </w:pPr>
            <w:r>
              <w:t>个</w:t>
            </w:r>
          </w:p>
        </w:tc>
        <w:tc>
          <w:tcPr>
            <w:tcW w:w="644" w:type="pct"/>
            <w:shd w:val="clear" w:color="auto" w:fill="auto"/>
            <w:vAlign w:val="center"/>
          </w:tcPr>
          <w:p w14:paraId="00D979AF">
            <w:pPr>
              <w:pStyle w:val="48"/>
            </w:pPr>
            <w:r>
              <w:t>8</w:t>
            </w:r>
          </w:p>
        </w:tc>
      </w:tr>
      <w:tr w14:paraId="3FF26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vMerge w:val="restart"/>
            <w:shd w:val="clear" w:color="auto" w:fill="auto"/>
            <w:noWrap/>
            <w:vAlign w:val="center"/>
          </w:tcPr>
          <w:p w14:paraId="54497B6A">
            <w:pPr>
              <w:pStyle w:val="48"/>
            </w:pPr>
            <w:r>
              <w:t>3</w:t>
            </w:r>
          </w:p>
        </w:tc>
        <w:tc>
          <w:tcPr>
            <w:tcW w:w="478" w:type="pct"/>
            <w:vMerge w:val="restart"/>
            <w:shd w:val="clear" w:color="auto" w:fill="auto"/>
            <w:noWrap/>
            <w:vAlign w:val="center"/>
          </w:tcPr>
          <w:p w14:paraId="1D7188C0">
            <w:pPr>
              <w:pStyle w:val="48"/>
            </w:pPr>
            <w:r>
              <w:t>闸阀</w:t>
            </w:r>
          </w:p>
        </w:tc>
        <w:tc>
          <w:tcPr>
            <w:tcW w:w="1284" w:type="pct"/>
            <w:shd w:val="clear" w:color="000000" w:fill="FFFFFF"/>
            <w:vAlign w:val="center"/>
          </w:tcPr>
          <w:p w14:paraId="4CEB2CE2">
            <w:pPr>
              <w:pStyle w:val="48"/>
            </w:pPr>
            <w:r>
              <w:t>闸阀</w:t>
            </w:r>
          </w:p>
        </w:tc>
        <w:tc>
          <w:tcPr>
            <w:tcW w:w="1539" w:type="pct"/>
            <w:shd w:val="clear" w:color="auto" w:fill="auto"/>
            <w:vAlign w:val="center"/>
          </w:tcPr>
          <w:p w14:paraId="7AD1C52F">
            <w:pPr>
              <w:pStyle w:val="48"/>
            </w:pPr>
            <w:r>
              <w:t>DN150 Z41H-16</w:t>
            </w:r>
          </w:p>
        </w:tc>
        <w:tc>
          <w:tcPr>
            <w:tcW w:w="599" w:type="pct"/>
            <w:shd w:val="clear" w:color="auto" w:fill="auto"/>
            <w:noWrap/>
            <w:vAlign w:val="center"/>
          </w:tcPr>
          <w:p w14:paraId="4DF932CA">
            <w:pPr>
              <w:pStyle w:val="48"/>
            </w:pPr>
            <w:r>
              <w:t>个</w:t>
            </w:r>
          </w:p>
        </w:tc>
        <w:tc>
          <w:tcPr>
            <w:tcW w:w="644" w:type="pct"/>
            <w:shd w:val="clear" w:color="auto" w:fill="auto"/>
            <w:vAlign w:val="center"/>
          </w:tcPr>
          <w:p w14:paraId="65F98740">
            <w:pPr>
              <w:pStyle w:val="48"/>
            </w:pPr>
            <w:r>
              <w:t>1</w:t>
            </w:r>
          </w:p>
        </w:tc>
      </w:tr>
      <w:tr w14:paraId="7E35A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vMerge w:val="continue"/>
            <w:shd w:val="clear" w:color="auto" w:fill="auto"/>
            <w:noWrap/>
            <w:vAlign w:val="center"/>
          </w:tcPr>
          <w:p w14:paraId="1B292E81">
            <w:pPr>
              <w:pStyle w:val="48"/>
            </w:pPr>
          </w:p>
        </w:tc>
        <w:tc>
          <w:tcPr>
            <w:tcW w:w="478" w:type="pct"/>
            <w:vMerge w:val="continue"/>
            <w:shd w:val="clear" w:color="auto" w:fill="auto"/>
            <w:noWrap/>
            <w:vAlign w:val="center"/>
          </w:tcPr>
          <w:p w14:paraId="699B25B0">
            <w:pPr>
              <w:pStyle w:val="48"/>
            </w:pPr>
          </w:p>
        </w:tc>
        <w:tc>
          <w:tcPr>
            <w:tcW w:w="1284" w:type="pct"/>
            <w:shd w:val="clear" w:color="000000" w:fill="FFFFFF"/>
            <w:vAlign w:val="center"/>
          </w:tcPr>
          <w:p w14:paraId="0B0C7FD4">
            <w:pPr>
              <w:pStyle w:val="48"/>
            </w:pPr>
            <w:r>
              <w:t>闸阀</w:t>
            </w:r>
          </w:p>
        </w:tc>
        <w:tc>
          <w:tcPr>
            <w:tcW w:w="1539" w:type="pct"/>
            <w:shd w:val="clear" w:color="auto" w:fill="auto"/>
            <w:vAlign w:val="center"/>
          </w:tcPr>
          <w:p w14:paraId="731AF8E0">
            <w:pPr>
              <w:pStyle w:val="48"/>
            </w:pPr>
            <w:r>
              <w:t>DN150 Z41H-40</w:t>
            </w:r>
          </w:p>
        </w:tc>
        <w:tc>
          <w:tcPr>
            <w:tcW w:w="599" w:type="pct"/>
            <w:shd w:val="clear" w:color="auto" w:fill="auto"/>
            <w:noWrap/>
            <w:vAlign w:val="center"/>
          </w:tcPr>
          <w:p w14:paraId="6CE9A7D7">
            <w:pPr>
              <w:pStyle w:val="48"/>
            </w:pPr>
            <w:r>
              <w:t>个</w:t>
            </w:r>
          </w:p>
        </w:tc>
        <w:tc>
          <w:tcPr>
            <w:tcW w:w="644" w:type="pct"/>
            <w:shd w:val="clear" w:color="auto" w:fill="auto"/>
            <w:vAlign w:val="center"/>
          </w:tcPr>
          <w:p w14:paraId="242862BB">
            <w:pPr>
              <w:pStyle w:val="48"/>
            </w:pPr>
            <w:r>
              <w:t>25</w:t>
            </w:r>
          </w:p>
        </w:tc>
      </w:tr>
      <w:tr w14:paraId="50680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vMerge w:val="continue"/>
            <w:shd w:val="clear" w:color="auto" w:fill="auto"/>
            <w:noWrap/>
            <w:vAlign w:val="center"/>
          </w:tcPr>
          <w:p w14:paraId="0376BEC3">
            <w:pPr>
              <w:pStyle w:val="48"/>
            </w:pPr>
          </w:p>
        </w:tc>
        <w:tc>
          <w:tcPr>
            <w:tcW w:w="478" w:type="pct"/>
            <w:vMerge w:val="continue"/>
            <w:shd w:val="clear" w:color="auto" w:fill="auto"/>
            <w:noWrap/>
            <w:vAlign w:val="center"/>
          </w:tcPr>
          <w:p w14:paraId="34131063">
            <w:pPr>
              <w:pStyle w:val="48"/>
            </w:pPr>
          </w:p>
        </w:tc>
        <w:tc>
          <w:tcPr>
            <w:tcW w:w="1284" w:type="pct"/>
            <w:shd w:val="clear" w:color="000000" w:fill="FFFFFF"/>
            <w:vAlign w:val="center"/>
          </w:tcPr>
          <w:p w14:paraId="61112FE8">
            <w:pPr>
              <w:pStyle w:val="48"/>
            </w:pPr>
            <w:r>
              <w:t>闸阀</w:t>
            </w:r>
          </w:p>
        </w:tc>
        <w:tc>
          <w:tcPr>
            <w:tcW w:w="1539" w:type="pct"/>
            <w:shd w:val="clear" w:color="auto" w:fill="auto"/>
            <w:vAlign w:val="center"/>
          </w:tcPr>
          <w:p w14:paraId="7A20C681">
            <w:pPr>
              <w:pStyle w:val="48"/>
            </w:pPr>
            <w:r>
              <w:t>DN350 Z41H-40</w:t>
            </w:r>
          </w:p>
        </w:tc>
        <w:tc>
          <w:tcPr>
            <w:tcW w:w="599" w:type="pct"/>
            <w:shd w:val="clear" w:color="auto" w:fill="auto"/>
            <w:noWrap/>
            <w:vAlign w:val="center"/>
          </w:tcPr>
          <w:p w14:paraId="57989AE2">
            <w:pPr>
              <w:pStyle w:val="48"/>
            </w:pPr>
            <w:r>
              <w:t>个</w:t>
            </w:r>
          </w:p>
        </w:tc>
        <w:tc>
          <w:tcPr>
            <w:tcW w:w="644" w:type="pct"/>
            <w:shd w:val="clear" w:color="auto" w:fill="auto"/>
            <w:vAlign w:val="center"/>
          </w:tcPr>
          <w:p w14:paraId="4B17961D">
            <w:pPr>
              <w:pStyle w:val="48"/>
            </w:pPr>
            <w:r>
              <w:t>2</w:t>
            </w:r>
          </w:p>
        </w:tc>
      </w:tr>
      <w:tr w14:paraId="697CB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vMerge w:val="restart"/>
            <w:shd w:val="clear" w:color="auto" w:fill="auto"/>
            <w:noWrap/>
            <w:vAlign w:val="center"/>
          </w:tcPr>
          <w:p w14:paraId="06761FA3">
            <w:pPr>
              <w:pStyle w:val="48"/>
            </w:pPr>
            <w:r>
              <w:t>4</w:t>
            </w:r>
          </w:p>
        </w:tc>
        <w:tc>
          <w:tcPr>
            <w:tcW w:w="478" w:type="pct"/>
            <w:vMerge w:val="restart"/>
            <w:shd w:val="clear" w:color="auto" w:fill="auto"/>
            <w:noWrap/>
            <w:vAlign w:val="center"/>
          </w:tcPr>
          <w:p w14:paraId="27E9CEBF">
            <w:pPr>
              <w:pStyle w:val="48"/>
            </w:pPr>
            <w:r>
              <w:t>仪表</w:t>
            </w:r>
          </w:p>
        </w:tc>
        <w:tc>
          <w:tcPr>
            <w:tcW w:w="1284" w:type="pct"/>
            <w:shd w:val="clear" w:color="000000" w:fill="FFFFFF"/>
            <w:vAlign w:val="center"/>
          </w:tcPr>
          <w:p w14:paraId="406079CB">
            <w:pPr>
              <w:pStyle w:val="48"/>
            </w:pPr>
            <w:r>
              <w:t>隔膜式耐震压力表</w:t>
            </w:r>
          </w:p>
        </w:tc>
        <w:tc>
          <w:tcPr>
            <w:tcW w:w="1539" w:type="pct"/>
            <w:shd w:val="clear" w:color="auto" w:fill="auto"/>
            <w:noWrap/>
            <w:vAlign w:val="center"/>
          </w:tcPr>
          <w:p w14:paraId="1861FEAD">
            <w:pPr>
              <w:pStyle w:val="48"/>
            </w:pPr>
            <w:r>
              <w:t>YNMF-150</w:t>
            </w:r>
          </w:p>
        </w:tc>
        <w:tc>
          <w:tcPr>
            <w:tcW w:w="599" w:type="pct"/>
            <w:shd w:val="clear" w:color="auto" w:fill="auto"/>
            <w:noWrap/>
            <w:vAlign w:val="center"/>
          </w:tcPr>
          <w:p w14:paraId="1876826F">
            <w:pPr>
              <w:pStyle w:val="48"/>
            </w:pPr>
            <w:r>
              <w:t>个</w:t>
            </w:r>
          </w:p>
        </w:tc>
        <w:tc>
          <w:tcPr>
            <w:tcW w:w="644" w:type="pct"/>
            <w:shd w:val="clear" w:color="auto" w:fill="auto"/>
            <w:vAlign w:val="center"/>
          </w:tcPr>
          <w:p w14:paraId="42B8D836">
            <w:pPr>
              <w:pStyle w:val="48"/>
            </w:pPr>
            <w:r>
              <w:t>6</w:t>
            </w:r>
          </w:p>
        </w:tc>
      </w:tr>
      <w:tr w14:paraId="3EB8E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vMerge w:val="continue"/>
            <w:shd w:val="clear" w:color="auto" w:fill="auto"/>
            <w:noWrap/>
            <w:vAlign w:val="center"/>
          </w:tcPr>
          <w:p w14:paraId="3CE6A4A4">
            <w:pPr>
              <w:pStyle w:val="48"/>
            </w:pPr>
          </w:p>
        </w:tc>
        <w:tc>
          <w:tcPr>
            <w:tcW w:w="478" w:type="pct"/>
            <w:vMerge w:val="continue"/>
            <w:shd w:val="clear" w:color="auto" w:fill="auto"/>
            <w:noWrap/>
            <w:vAlign w:val="center"/>
          </w:tcPr>
          <w:p w14:paraId="59DE0DCA">
            <w:pPr>
              <w:pStyle w:val="48"/>
            </w:pPr>
          </w:p>
        </w:tc>
        <w:tc>
          <w:tcPr>
            <w:tcW w:w="1284" w:type="pct"/>
            <w:shd w:val="clear" w:color="000000" w:fill="FFFFFF"/>
            <w:vAlign w:val="center"/>
          </w:tcPr>
          <w:p w14:paraId="2495CD46">
            <w:pPr>
              <w:pStyle w:val="48"/>
            </w:pPr>
            <w:r>
              <w:t>电磁流量计</w:t>
            </w:r>
          </w:p>
        </w:tc>
        <w:tc>
          <w:tcPr>
            <w:tcW w:w="1539" w:type="pct"/>
            <w:shd w:val="clear" w:color="auto" w:fill="auto"/>
            <w:noWrap/>
            <w:vAlign w:val="center"/>
          </w:tcPr>
          <w:p w14:paraId="674D8139">
            <w:pPr>
              <w:pStyle w:val="48"/>
            </w:pPr>
            <w:r>
              <w:t>WTG-DC11503255110</w:t>
            </w:r>
          </w:p>
        </w:tc>
        <w:tc>
          <w:tcPr>
            <w:tcW w:w="599" w:type="pct"/>
            <w:shd w:val="clear" w:color="auto" w:fill="auto"/>
            <w:noWrap/>
            <w:vAlign w:val="center"/>
          </w:tcPr>
          <w:p w14:paraId="79C968F5">
            <w:pPr>
              <w:pStyle w:val="48"/>
            </w:pPr>
            <w:r>
              <w:t>个</w:t>
            </w:r>
          </w:p>
        </w:tc>
        <w:tc>
          <w:tcPr>
            <w:tcW w:w="644" w:type="pct"/>
            <w:shd w:val="clear" w:color="auto" w:fill="auto"/>
            <w:vAlign w:val="center"/>
          </w:tcPr>
          <w:p w14:paraId="1CF15934">
            <w:pPr>
              <w:pStyle w:val="48"/>
            </w:pPr>
            <w:r>
              <w:t>3</w:t>
            </w:r>
          </w:p>
        </w:tc>
      </w:tr>
      <w:tr w14:paraId="38018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56" w:type="pct"/>
            <w:vMerge w:val="continue"/>
            <w:shd w:val="clear" w:color="auto" w:fill="auto"/>
            <w:noWrap/>
            <w:vAlign w:val="center"/>
          </w:tcPr>
          <w:p w14:paraId="1358C988">
            <w:pPr>
              <w:pStyle w:val="48"/>
            </w:pPr>
          </w:p>
        </w:tc>
        <w:tc>
          <w:tcPr>
            <w:tcW w:w="478" w:type="pct"/>
            <w:vMerge w:val="continue"/>
            <w:shd w:val="clear" w:color="auto" w:fill="auto"/>
            <w:noWrap/>
            <w:vAlign w:val="center"/>
          </w:tcPr>
          <w:p w14:paraId="27E06A88">
            <w:pPr>
              <w:pStyle w:val="48"/>
            </w:pPr>
          </w:p>
        </w:tc>
        <w:tc>
          <w:tcPr>
            <w:tcW w:w="1284" w:type="pct"/>
            <w:shd w:val="clear" w:color="000000" w:fill="FFFFFF"/>
            <w:vAlign w:val="center"/>
          </w:tcPr>
          <w:p w14:paraId="32DE5F17">
            <w:pPr>
              <w:pStyle w:val="48"/>
            </w:pPr>
            <w:r>
              <w:t>高压电磁流量计</w:t>
            </w:r>
          </w:p>
        </w:tc>
        <w:tc>
          <w:tcPr>
            <w:tcW w:w="1539" w:type="pct"/>
            <w:shd w:val="clear" w:color="auto" w:fill="auto"/>
            <w:noWrap/>
            <w:vAlign w:val="center"/>
          </w:tcPr>
          <w:p w14:paraId="6B1E8D14">
            <w:pPr>
              <w:pStyle w:val="48"/>
            </w:pPr>
            <w:r>
              <w:t>WTG-DC11506255110</w:t>
            </w:r>
          </w:p>
        </w:tc>
        <w:tc>
          <w:tcPr>
            <w:tcW w:w="599" w:type="pct"/>
            <w:shd w:val="clear" w:color="auto" w:fill="auto"/>
            <w:noWrap/>
            <w:vAlign w:val="center"/>
          </w:tcPr>
          <w:p w14:paraId="73BD0745">
            <w:pPr>
              <w:pStyle w:val="48"/>
            </w:pPr>
            <w:r>
              <w:t>个</w:t>
            </w:r>
          </w:p>
        </w:tc>
        <w:tc>
          <w:tcPr>
            <w:tcW w:w="644" w:type="pct"/>
            <w:shd w:val="clear" w:color="auto" w:fill="auto"/>
            <w:vAlign w:val="center"/>
          </w:tcPr>
          <w:p w14:paraId="42FEB494">
            <w:pPr>
              <w:pStyle w:val="48"/>
            </w:pPr>
            <w:r>
              <w:t>3</w:t>
            </w:r>
          </w:p>
        </w:tc>
      </w:tr>
      <w:bookmarkEnd w:id="461"/>
    </w:tbl>
    <w:p w14:paraId="5D9FDC5E">
      <w:pPr>
        <w:pStyle w:val="7"/>
      </w:pPr>
      <w:bookmarkStart w:id="462" w:name="_Toc86852306"/>
      <w:bookmarkStart w:id="463" w:name="_Toc90997684"/>
      <w:bookmarkStart w:id="464" w:name="_Toc90989252"/>
      <w:bookmarkStart w:id="465" w:name="_Toc90318430"/>
      <w:bookmarkStart w:id="466" w:name="_Toc89786145"/>
      <w:bookmarkStart w:id="467" w:name="_Toc89882470"/>
      <w:bookmarkStart w:id="468" w:name="_Toc121420841"/>
      <w:r>
        <w:t xml:space="preserve">4.4.10 </w:t>
      </w:r>
      <w:bookmarkEnd w:id="462"/>
      <w:bookmarkStart w:id="469" w:name="_Toc86852307"/>
      <w:r>
        <w:t>公用工程</w:t>
      </w:r>
      <w:bookmarkEnd w:id="463"/>
      <w:bookmarkEnd w:id="464"/>
      <w:bookmarkEnd w:id="465"/>
      <w:bookmarkEnd w:id="466"/>
      <w:bookmarkEnd w:id="467"/>
      <w:bookmarkEnd w:id="468"/>
      <w:bookmarkEnd w:id="469"/>
    </w:p>
    <w:p w14:paraId="5EF3CCB3">
      <w:pPr>
        <w:pStyle w:val="8"/>
        <w:ind w:firstLine="0" w:firstLineChars="0"/>
        <w:rPr>
          <w:rFonts w:cs="Times New Roman"/>
        </w:rPr>
      </w:pPr>
      <w:bookmarkStart w:id="470" w:name="_Hlk88658895"/>
      <w:r>
        <w:rPr>
          <w:rFonts w:cs="Times New Roman"/>
        </w:rPr>
        <w:t>4.4.10.1 供水</w:t>
      </w:r>
    </w:p>
    <w:bookmarkEnd w:id="470"/>
    <w:p w14:paraId="43E43EA8">
      <w:pPr>
        <w:ind w:firstLine="519"/>
        <w:rPr>
          <w:rFonts w:cs="Times New Roman"/>
        </w:rPr>
      </w:pPr>
      <w:r>
        <w:rPr>
          <w:rFonts w:cs="Times New Roman"/>
        </w:rPr>
        <w:t>本项目建成后，矿山总体生产规模不变，采卤用水量保持不变，按注水量/卤水量=1.1的参数计算，矿山总用水量为</w:t>
      </w:r>
      <w:bookmarkStart w:id="471" w:name="_Hlk88751342"/>
      <w:r>
        <w:rPr>
          <w:rFonts w:cs="Times New Roman"/>
        </w:rPr>
        <w:t>242</w:t>
      </w:r>
      <w:bookmarkEnd w:id="471"/>
      <w:r>
        <w:rPr>
          <w:rFonts w:hint="eastAsia" w:cs="Times New Roman"/>
        </w:rPr>
        <w:t>万</w:t>
      </w:r>
      <w:r>
        <w:rPr>
          <w:rFonts w:cs="Times New Roman"/>
        </w:rPr>
        <w:t>m</w:t>
      </w:r>
      <w:r>
        <w:rPr>
          <w:rFonts w:cs="Times New Roman"/>
          <w:vertAlign w:val="superscript"/>
        </w:rPr>
        <w:t>3</w:t>
      </w:r>
      <w:r>
        <w:rPr>
          <w:rFonts w:cs="Times New Roman"/>
        </w:rPr>
        <w:t>/a，均为建滔（衡阳）实业有限公司</w:t>
      </w:r>
      <w:bookmarkStart w:id="472" w:name="_Hlk88724947"/>
      <w:r>
        <w:rPr>
          <w:rFonts w:cs="Times New Roman"/>
        </w:rPr>
        <w:t>生产系统回用水</w:t>
      </w:r>
      <w:bookmarkEnd w:id="472"/>
      <w:r>
        <w:rPr>
          <w:rFonts w:cs="Times New Roman"/>
        </w:rPr>
        <w:t>。其中，本项目新</w:t>
      </w:r>
      <w:r>
        <w:rPr>
          <w:rFonts w:hint="eastAsia" w:cs="Times New Roman"/>
        </w:rPr>
        <w:t>建</w:t>
      </w:r>
      <w:r>
        <w:rPr>
          <w:rFonts w:cs="Times New Roman"/>
        </w:rPr>
        <w:t>卤井用水量为220 m</w:t>
      </w:r>
      <w:r>
        <w:rPr>
          <w:rFonts w:cs="Times New Roman"/>
          <w:vertAlign w:val="superscript"/>
        </w:rPr>
        <w:t>3</w:t>
      </w:r>
      <w:r>
        <w:rPr>
          <w:rFonts w:cs="Times New Roman"/>
        </w:rPr>
        <w:t>/h。</w:t>
      </w:r>
    </w:p>
    <w:p w14:paraId="7E643394">
      <w:pPr>
        <w:pStyle w:val="8"/>
        <w:ind w:firstLine="0" w:firstLineChars="0"/>
        <w:rPr>
          <w:rFonts w:cs="Times New Roman"/>
        </w:rPr>
      </w:pPr>
      <w:r>
        <w:rPr>
          <w:rFonts w:cs="Times New Roman"/>
        </w:rPr>
        <w:t>4.4.10.2 排水</w:t>
      </w:r>
    </w:p>
    <w:p w14:paraId="7283F14B">
      <w:pPr>
        <w:ind w:firstLine="519"/>
        <w:rPr>
          <w:rFonts w:cs="Times New Roman"/>
        </w:rPr>
      </w:pPr>
      <w:r>
        <w:rPr>
          <w:rFonts w:cs="Times New Roman"/>
        </w:rPr>
        <w:t>本项目无废水产生。</w:t>
      </w:r>
    </w:p>
    <w:p w14:paraId="63CB389C">
      <w:pPr>
        <w:pStyle w:val="8"/>
        <w:ind w:firstLine="0" w:firstLineChars="0"/>
        <w:rPr>
          <w:rFonts w:cs="Times New Roman"/>
        </w:rPr>
      </w:pPr>
      <w:r>
        <w:rPr>
          <w:rFonts w:cs="Times New Roman"/>
        </w:rPr>
        <w:t>4.4.10.3内、外部运输</w:t>
      </w:r>
    </w:p>
    <w:p w14:paraId="006DB6B1">
      <w:pPr>
        <w:ind w:firstLine="519"/>
        <w:rPr>
          <w:rFonts w:cs="Times New Roman"/>
        </w:rPr>
      </w:pPr>
      <w:r>
        <w:rPr>
          <w:rFonts w:cs="Times New Roman"/>
        </w:rPr>
        <w:t>（1）外部运输</w:t>
      </w:r>
    </w:p>
    <w:p w14:paraId="08E73AF5">
      <w:pPr>
        <w:ind w:firstLine="519"/>
        <w:rPr>
          <w:rFonts w:cs="Times New Roman"/>
        </w:rPr>
      </w:pPr>
      <w:r>
        <w:rPr>
          <w:rFonts w:cs="Times New Roman"/>
        </w:rPr>
        <w:t>原卤经地下管道输送至建滔（衡阳）实业有限公司选矿。</w:t>
      </w:r>
    </w:p>
    <w:p w14:paraId="3DD95649">
      <w:pPr>
        <w:ind w:firstLine="519"/>
        <w:rPr>
          <w:rFonts w:cs="Times New Roman"/>
        </w:rPr>
      </w:pPr>
      <w:r>
        <w:rPr>
          <w:rFonts w:cs="Times New Roman"/>
        </w:rPr>
        <w:t>（2）内部运输</w:t>
      </w:r>
    </w:p>
    <w:p w14:paraId="02092043">
      <w:pPr>
        <w:ind w:firstLine="519"/>
        <w:rPr>
          <w:rFonts w:cs="Times New Roman"/>
        </w:rPr>
      </w:pPr>
      <w:r>
        <w:rPr>
          <w:rFonts w:cs="Times New Roman"/>
        </w:rPr>
        <w:t>1）生产用水经淡卤池从泵房经地下管道输送至各卤井用水点；</w:t>
      </w:r>
    </w:p>
    <w:p w14:paraId="6E7B7701">
      <w:pPr>
        <w:ind w:firstLine="519"/>
        <w:rPr>
          <w:rFonts w:cs="Times New Roman"/>
        </w:rPr>
      </w:pPr>
      <w:r>
        <w:rPr>
          <w:rFonts w:cs="Times New Roman"/>
        </w:rPr>
        <w:t>2）原卤经地下管道输送至采卤泵房，后进入卤水池。</w:t>
      </w:r>
    </w:p>
    <w:p w14:paraId="11B13B13">
      <w:pPr>
        <w:pStyle w:val="7"/>
      </w:pPr>
      <w:bookmarkStart w:id="473" w:name="_Toc121420842"/>
      <w:bookmarkStart w:id="474" w:name="_Toc89786146"/>
      <w:bookmarkStart w:id="475" w:name="_Toc90989253"/>
      <w:bookmarkStart w:id="476" w:name="_Toc90997685"/>
      <w:bookmarkStart w:id="477" w:name="_Toc89882471"/>
      <w:bookmarkStart w:id="478" w:name="_Toc90318431"/>
      <w:r>
        <w:t xml:space="preserve">4.4.11 </w:t>
      </w:r>
      <w:bookmarkStart w:id="479" w:name="_Hlk89451282"/>
      <w:r>
        <w:t>钻孔</w:t>
      </w:r>
      <w:bookmarkStart w:id="480" w:name="_Hlk89451522"/>
      <w:r>
        <w:t>封堵工程</w:t>
      </w:r>
      <w:bookmarkEnd w:id="473"/>
      <w:bookmarkEnd w:id="474"/>
      <w:bookmarkEnd w:id="475"/>
      <w:bookmarkEnd w:id="476"/>
      <w:bookmarkEnd w:id="477"/>
      <w:bookmarkEnd w:id="478"/>
      <w:bookmarkEnd w:id="479"/>
      <w:bookmarkEnd w:id="480"/>
    </w:p>
    <w:p w14:paraId="6D40D9F8">
      <w:pPr>
        <w:pStyle w:val="2"/>
        <w:ind w:firstLine="519"/>
        <w:rPr>
          <w:rFonts w:cs="Times New Roman"/>
        </w:rPr>
      </w:pPr>
      <w:r>
        <w:rPr>
          <w:rFonts w:cs="Times New Roman"/>
        </w:rPr>
        <w:t>本项目建成投入使用后，老采区ZK10、ZK12、CK3三口井停采，需要对停采井进行封堵。</w:t>
      </w:r>
    </w:p>
    <w:p w14:paraId="3C5F2570">
      <w:pPr>
        <w:pStyle w:val="2"/>
        <w:ind w:firstLine="519"/>
        <w:rPr>
          <w:rFonts w:cs="Times New Roman"/>
        </w:rPr>
      </w:pPr>
      <w:r>
        <w:rPr>
          <w:rFonts w:cs="Times New Roman"/>
        </w:rPr>
        <w:t>矿山卤水井采用注浆封闭，砂浆强度等级规格为 M7.5，水泥砂浆的用量按公式 Q=0.785D2×K×L×γ 计算。</w:t>
      </w:r>
    </w:p>
    <w:p w14:paraId="02C53F44">
      <w:pPr>
        <w:pStyle w:val="2"/>
        <w:ind w:firstLine="519"/>
        <w:rPr>
          <w:rFonts w:cs="Times New Roman"/>
        </w:rPr>
      </w:pPr>
      <w:r>
        <w:rPr>
          <w:rFonts w:cs="Times New Roman"/>
        </w:rPr>
        <w:t>式中：D 为孔径（按平均 0.27m 计算）；K为超径系数0.8-1.5，本次取1.2L 为封闭段长度（按平均400m计算）；γ为水泥砂浆相对密度，取1.94t/m</w:t>
      </w:r>
      <w:r>
        <w:rPr>
          <w:rFonts w:cs="Times New Roman"/>
          <w:vertAlign w:val="superscript"/>
        </w:rPr>
        <w:t>3</w:t>
      </w:r>
      <w:r>
        <w:rPr>
          <w:rFonts w:cs="Times New Roman"/>
        </w:rPr>
        <w:t>；Q 为水泥砂浆用量m</w:t>
      </w:r>
      <w:r>
        <w:rPr>
          <w:rFonts w:cs="Times New Roman"/>
          <w:vertAlign w:val="superscript"/>
        </w:rPr>
        <w:t>3</w:t>
      </w:r>
      <w:r>
        <w:rPr>
          <w:rFonts w:cs="Times New Roman"/>
        </w:rPr>
        <w:t>。</w:t>
      </w:r>
    </w:p>
    <w:p w14:paraId="276C0CF8">
      <w:pPr>
        <w:pStyle w:val="2"/>
        <w:ind w:firstLine="519"/>
        <w:rPr>
          <w:rFonts w:cs="Times New Roman"/>
        </w:rPr>
      </w:pPr>
      <w:r>
        <w:rPr>
          <w:rFonts w:cs="Times New Roman"/>
        </w:rPr>
        <w:t>经计算，每孔水泥砂浆用量为53.3m</w:t>
      </w:r>
      <w:r>
        <w:rPr>
          <w:rFonts w:cs="Times New Roman"/>
          <w:vertAlign w:val="superscript"/>
        </w:rPr>
        <w:t>3</w:t>
      </w:r>
      <w:r>
        <w:rPr>
          <w:rFonts w:cs="Times New Roman"/>
        </w:rPr>
        <w:t>。</w:t>
      </w:r>
    </w:p>
    <w:p w14:paraId="2187589F">
      <w:pPr>
        <w:pStyle w:val="2"/>
        <w:ind w:firstLine="519"/>
        <w:rPr>
          <w:rFonts w:cs="Times New Roman"/>
        </w:rPr>
      </w:pPr>
      <w:r>
        <w:rPr>
          <w:rFonts w:cs="Times New Roman"/>
        </w:rPr>
        <w:t>本项目建成投入使用后，老采区ZK10、ZK12、CK3三口井钻孔封堵工程累计现浇水泥砂浆 159.9m</w:t>
      </w:r>
      <w:r>
        <w:rPr>
          <w:rFonts w:cs="Times New Roman"/>
          <w:vertAlign w:val="superscript"/>
        </w:rPr>
        <w:t>3</w:t>
      </w:r>
      <w:r>
        <w:rPr>
          <w:rFonts w:cs="Times New Roman"/>
        </w:rPr>
        <w:t xml:space="preserve">。本评价要求，封堵工程需委托有资质单位进行。 </w:t>
      </w:r>
    </w:p>
    <w:bookmarkEnd w:id="325"/>
    <w:bookmarkEnd w:id="326"/>
    <w:bookmarkEnd w:id="327"/>
    <w:p w14:paraId="3FC54541">
      <w:pPr>
        <w:pStyle w:val="6"/>
        <w:spacing w:before="170" w:after="170"/>
        <w:rPr>
          <w:rFonts w:cs="Times New Roman"/>
        </w:rPr>
      </w:pPr>
      <w:bookmarkStart w:id="481" w:name="_Toc40596859"/>
      <w:bookmarkStart w:id="482" w:name="_Toc121420843"/>
      <w:bookmarkStart w:id="483" w:name="_Toc32410914"/>
      <w:bookmarkStart w:id="484" w:name="_Toc505697525"/>
      <w:r>
        <w:rPr>
          <w:rFonts w:cs="Times New Roman"/>
        </w:rPr>
        <w:t>4.5 拟建项目工程分析</w:t>
      </w:r>
      <w:bookmarkEnd w:id="481"/>
      <w:bookmarkEnd w:id="482"/>
      <w:bookmarkEnd w:id="483"/>
      <w:bookmarkEnd w:id="484"/>
    </w:p>
    <w:p w14:paraId="5A149BD1">
      <w:pPr>
        <w:pStyle w:val="7"/>
        <w:ind w:firstLine="149" w:firstLineChars="50"/>
      </w:pPr>
      <w:bookmarkStart w:id="485" w:name="_Toc89882473"/>
      <w:bookmarkStart w:id="486" w:name="_Toc121420844"/>
      <w:bookmarkStart w:id="487" w:name="_Toc90997687"/>
      <w:bookmarkStart w:id="488" w:name="_Toc89786148"/>
      <w:bookmarkStart w:id="489" w:name="_Toc90318433"/>
      <w:bookmarkStart w:id="490" w:name="_Toc86852309"/>
      <w:bookmarkStart w:id="491" w:name="_Toc90989255"/>
      <w:r>
        <w:t>4.5.1 生产工艺</w:t>
      </w:r>
      <w:bookmarkEnd w:id="485"/>
      <w:bookmarkEnd w:id="486"/>
      <w:bookmarkEnd w:id="487"/>
      <w:bookmarkEnd w:id="488"/>
      <w:bookmarkEnd w:id="489"/>
      <w:bookmarkEnd w:id="490"/>
      <w:bookmarkEnd w:id="491"/>
    </w:p>
    <w:p w14:paraId="6BB2DBB5">
      <w:pPr>
        <w:ind w:firstLine="0" w:firstLineChars="0"/>
        <w:jc w:val="center"/>
        <w:rPr>
          <w:rFonts w:cs="Times New Roman"/>
        </w:rPr>
      </w:pPr>
      <w:r>
        <w:rPr>
          <w:rFonts w:cs="Times New Roman"/>
        </w:rPr>
        <w:drawing>
          <wp:inline distT="0" distB="0" distL="0" distR="0">
            <wp:extent cx="4627245" cy="2077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654168" cy="2090129"/>
                    </a:xfrm>
                    <a:prstGeom prst="rect">
                      <a:avLst/>
                    </a:prstGeom>
                    <a:noFill/>
                  </pic:spPr>
                </pic:pic>
              </a:graphicData>
            </a:graphic>
          </wp:inline>
        </w:drawing>
      </w:r>
    </w:p>
    <w:p w14:paraId="262BFC6D">
      <w:pPr>
        <w:pStyle w:val="9"/>
      </w:pPr>
      <w:r>
        <w:t>图4.5-1 采卤工艺流程图</w:t>
      </w:r>
    </w:p>
    <w:p w14:paraId="145443CE">
      <w:pPr>
        <w:ind w:firstLine="519"/>
        <w:rPr>
          <w:rFonts w:cs="Times New Roman"/>
        </w:rPr>
      </w:pPr>
      <w:r>
        <w:rPr>
          <w:rFonts w:cs="Times New Roman"/>
        </w:rPr>
        <w:t>采卤过程中，</w:t>
      </w:r>
      <w:bookmarkStart w:id="492" w:name="_Hlk88725705"/>
      <w:r>
        <w:rPr>
          <w:rFonts w:cs="Times New Roman"/>
        </w:rPr>
        <w:t>建滔（衡阳）实业有限公司</w:t>
      </w:r>
      <w:bookmarkEnd w:id="492"/>
      <w:r>
        <w:rPr>
          <w:rFonts w:cs="Times New Roman"/>
        </w:rPr>
        <w:t>生产系统回用水经给水管道输送至淡卤池，淡卤水经采卤泵加压至3~3.6MPa后送至阀门控制室，通过阀门控制室送至注水井进口位置，沿注水通道达井底，进入盐槽溶盐形成卤水，卤水沿着回卤通道上升至地表，经过阀门控制室经回卤管道输送至卤水池，卤水再经输卤泵输送至建滔（衡阳）实业有限公司使用。设计单组井出卤量100m</w:t>
      </w:r>
      <w:r>
        <w:rPr>
          <w:rFonts w:cs="Times New Roman"/>
          <w:vertAlign w:val="superscript"/>
        </w:rPr>
        <w:t>3</w:t>
      </w:r>
      <w:r>
        <w:rPr>
          <w:rFonts w:cs="Times New Roman"/>
        </w:rPr>
        <w:t>/h，本项目新建卤井出卤量为200 m</w:t>
      </w:r>
      <w:r>
        <w:rPr>
          <w:rFonts w:cs="Times New Roman"/>
          <w:vertAlign w:val="superscript"/>
        </w:rPr>
        <w:t>3</w:t>
      </w:r>
      <w:r>
        <w:rPr>
          <w:rFonts w:cs="Times New Roman"/>
        </w:rPr>
        <w:t>/h。</w:t>
      </w:r>
    </w:p>
    <w:p w14:paraId="7139F5C9">
      <w:pPr>
        <w:pStyle w:val="2"/>
        <w:ind w:firstLine="519"/>
        <w:rPr>
          <w:rFonts w:cs="Times New Roman"/>
        </w:rPr>
      </w:pPr>
      <w:r>
        <w:rPr>
          <w:rFonts w:cs="Times New Roman"/>
        </w:rPr>
        <w:t>本项目采用双井对流水溶法开采卤水，卤水回采分为建槽期、生产期和衰老期三部分。</w:t>
      </w:r>
    </w:p>
    <w:p w14:paraId="2B639274">
      <w:pPr>
        <w:pStyle w:val="3"/>
        <w:ind w:firstLine="519"/>
        <w:rPr>
          <w:rFonts w:cs="Times New Roman"/>
        </w:rPr>
      </w:pPr>
      <w:r>
        <w:rPr>
          <w:rFonts w:cs="Times New Roman"/>
        </w:rPr>
        <w:t>建槽期：建槽是为了上溶生产卤水和堆存不溶物。先采用单井（垂直）对流法，从底部注入淡水将溶腔冲刷扩大后，再从回卤井底钻倾斜孔至溶腔形成溶蚀通道。</w:t>
      </w:r>
    </w:p>
    <w:p w14:paraId="1E8B0563">
      <w:pPr>
        <w:pStyle w:val="3"/>
        <w:ind w:firstLine="519"/>
        <w:rPr>
          <w:rFonts w:cs="Times New Roman"/>
        </w:rPr>
      </w:pPr>
      <w:r>
        <w:rPr>
          <w:rFonts w:cs="Times New Roman"/>
        </w:rPr>
        <w:t>生产期：建槽后，一般采用垂直井注水，倾斜井回卤，生产饱和卤水。当出现不溶物堵管时，采用倾斜孔注水，垂直井回卤方式排渣。</w:t>
      </w:r>
    </w:p>
    <w:p w14:paraId="5BEEBA4B">
      <w:pPr>
        <w:pStyle w:val="3"/>
        <w:ind w:firstLine="519"/>
        <w:rPr>
          <w:rFonts w:cs="Times New Roman"/>
        </w:rPr>
      </w:pPr>
      <w:r>
        <w:rPr>
          <w:rFonts w:cs="Times New Roman"/>
        </w:rPr>
        <w:t>衰老期：溶腔扩大，卤水浓度变小，产量大减，不能正常生产，溶蚀角减至一定限度，充填过饱和卤水，溶蚀作用逐渐停止，生产中断。</w:t>
      </w:r>
    </w:p>
    <w:p w14:paraId="2E480F09">
      <w:pPr>
        <w:pStyle w:val="7"/>
      </w:pPr>
      <w:bookmarkStart w:id="493" w:name="_Toc90989256"/>
      <w:bookmarkStart w:id="494" w:name="_Toc89882474"/>
      <w:bookmarkStart w:id="495" w:name="_Toc121420845"/>
      <w:bookmarkStart w:id="496" w:name="_Toc90997688"/>
      <w:bookmarkStart w:id="497" w:name="_Toc89786149"/>
      <w:bookmarkStart w:id="498" w:name="_Toc90318434"/>
      <w:bookmarkStart w:id="499" w:name="_Toc86852310"/>
      <w:r>
        <w:t>4.5.2 水平衡</w:t>
      </w:r>
      <w:bookmarkEnd w:id="493"/>
      <w:bookmarkEnd w:id="494"/>
      <w:bookmarkEnd w:id="495"/>
      <w:bookmarkEnd w:id="496"/>
      <w:bookmarkEnd w:id="497"/>
      <w:bookmarkEnd w:id="498"/>
      <w:bookmarkEnd w:id="499"/>
    </w:p>
    <w:p w14:paraId="43848959">
      <w:pPr>
        <w:ind w:firstLine="519"/>
        <w:rPr>
          <w:rFonts w:cs="Times New Roman"/>
        </w:rPr>
      </w:pPr>
      <w:r>
        <w:rPr>
          <w:rFonts w:cs="Times New Roman"/>
        </w:rPr>
        <w:t>（1）生产用水</w:t>
      </w:r>
    </w:p>
    <w:p w14:paraId="32691FB9">
      <w:pPr>
        <w:ind w:firstLine="519"/>
        <w:rPr>
          <w:rFonts w:cs="Times New Roman"/>
        </w:rPr>
      </w:pPr>
      <w:r>
        <w:rPr>
          <w:rFonts w:hint="eastAsia" w:cs="Times New Roman"/>
        </w:rPr>
        <w:t>岩盐矿床水溶开采时，注水溶解岩盐矿石，其中的 NaCl 形成卤水被采出， 而水不溶残渣沉淀于溶腔底部；余下的岩盐矿石大多以安全矿柱的形式留在地下，溶腔及其底部残渣的孔隙需要卤水充填，矿层与夹矸及其孔隙亦要吸附和充填卤水，故注水量大于采卤量。</w:t>
      </w:r>
    </w:p>
    <w:p w14:paraId="4162BF56">
      <w:pPr>
        <w:ind w:firstLine="519"/>
        <w:rPr>
          <w:rFonts w:cs="Times New Roman"/>
        </w:rPr>
      </w:pPr>
      <w:r>
        <w:rPr>
          <w:rFonts w:cs="Times New Roman"/>
        </w:rPr>
        <w:t>本项目</w:t>
      </w:r>
      <w:bookmarkStart w:id="500" w:name="_Hlk88751610"/>
      <w:r>
        <w:rPr>
          <w:rFonts w:cs="Times New Roman"/>
        </w:rPr>
        <w:t>生产用水</w:t>
      </w:r>
      <w:bookmarkEnd w:id="500"/>
      <w:r>
        <w:rPr>
          <w:rFonts w:cs="Times New Roman"/>
        </w:rPr>
        <w:t>主要为井下采矿用水，</w:t>
      </w:r>
      <w:r>
        <w:rPr>
          <w:rFonts w:hint="eastAsia" w:cs="Times New Roman"/>
        </w:rPr>
        <w:t>根据前文分析，按注水量/卤水量=1.1的参数计算，</w:t>
      </w:r>
      <w:r>
        <w:rPr>
          <w:rFonts w:cs="Times New Roman"/>
        </w:rPr>
        <w:t>本项目新增卤水井</w:t>
      </w:r>
      <w:r>
        <w:rPr>
          <w:rFonts w:hint="eastAsia" w:cs="Times New Roman"/>
        </w:rPr>
        <w:t>卤水产量为2</w:t>
      </w:r>
      <w:r>
        <w:rPr>
          <w:rFonts w:cs="Times New Roman"/>
        </w:rPr>
        <w:t>00 m</w:t>
      </w:r>
      <w:r>
        <w:rPr>
          <w:rFonts w:cs="Times New Roman"/>
          <w:vertAlign w:val="superscript"/>
        </w:rPr>
        <w:t>3</w:t>
      </w:r>
      <w:r>
        <w:rPr>
          <w:rFonts w:cs="Times New Roman"/>
        </w:rPr>
        <w:t>/h</w:t>
      </w:r>
      <w:r>
        <w:rPr>
          <w:rFonts w:hint="eastAsia" w:cs="Times New Roman"/>
        </w:rPr>
        <w:t>，采卤</w:t>
      </w:r>
      <w:r>
        <w:rPr>
          <w:rFonts w:cs="Times New Roman"/>
        </w:rPr>
        <w:t>用水量为220m</w:t>
      </w:r>
      <w:r>
        <w:rPr>
          <w:rFonts w:cs="Times New Roman"/>
          <w:vertAlign w:val="superscript"/>
        </w:rPr>
        <w:t>3</w:t>
      </w:r>
      <w:r>
        <w:rPr>
          <w:rFonts w:cs="Times New Roman"/>
        </w:rPr>
        <w:t>/h，损耗水量20m</w:t>
      </w:r>
      <w:r>
        <w:rPr>
          <w:rFonts w:cs="Times New Roman"/>
          <w:vertAlign w:val="superscript"/>
        </w:rPr>
        <w:t>3</w:t>
      </w:r>
      <w:r>
        <w:rPr>
          <w:rFonts w:cs="Times New Roman"/>
        </w:rPr>
        <w:t>/h，剩余200m</w:t>
      </w:r>
      <w:r>
        <w:rPr>
          <w:rFonts w:cs="Times New Roman"/>
          <w:vertAlign w:val="superscript"/>
        </w:rPr>
        <w:t>3</w:t>
      </w:r>
      <w:r>
        <w:rPr>
          <w:rFonts w:cs="Times New Roman"/>
        </w:rPr>
        <w:t>/h随卤水进入建滔（衡阳）实业有限公司离子膜烧碱生产系统.</w:t>
      </w:r>
    </w:p>
    <w:p w14:paraId="21B04A00">
      <w:pPr>
        <w:ind w:firstLine="519"/>
        <w:rPr>
          <w:rFonts w:cs="Times New Roman"/>
        </w:rPr>
      </w:pPr>
      <w:r>
        <w:rPr>
          <w:rFonts w:cs="Times New Roman"/>
        </w:rPr>
        <w:t>矿区采矿</w:t>
      </w:r>
      <w:r>
        <w:rPr>
          <w:rFonts w:hint="eastAsia" w:cs="Times New Roman"/>
        </w:rPr>
        <w:t>总体生产规模不变，采卤总用水量不变，</w:t>
      </w:r>
      <w:r>
        <w:rPr>
          <w:rFonts w:cs="Times New Roman"/>
        </w:rPr>
        <w:t>为242</w:t>
      </w:r>
      <w:r>
        <w:rPr>
          <w:rFonts w:hint="eastAsia" w:cs="Times New Roman"/>
        </w:rPr>
        <w:t>万</w:t>
      </w:r>
      <w:r>
        <w:rPr>
          <w:rFonts w:cs="Times New Roman"/>
        </w:rPr>
        <w:t>m</w:t>
      </w:r>
      <w:bookmarkStart w:id="501" w:name="_Hlk88752690"/>
      <w:r>
        <w:rPr>
          <w:rFonts w:cs="Times New Roman"/>
          <w:vertAlign w:val="superscript"/>
        </w:rPr>
        <w:t>3</w:t>
      </w:r>
      <w:r>
        <w:rPr>
          <w:rFonts w:cs="Times New Roman"/>
        </w:rPr>
        <w:t>/a</w:t>
      </w:r>
      <w:bookmarkEnd w:id="501"/>
      <w:r>
        <w:rPr>
          <w:rFonts w:cs="Times New Roman"/>
        </w:rPr>
        <w:t>，损耗水量为22</w:t>
      </w:r>
      <w:r>
        <w:rPr>
          <w:rFonts w:hint="eastAsia" w:cs="Times New Roman"/>
        </w:rPr>
        <w:t>万</w:t>
      </w:r>
      <w:r>
        <w:rPr>
          <w:rFonts w:cs="Times New Roman"/>
        </w:rPr>
        <w:t>m</w:t>
      </w:r>
      <w:r>
        <w:rPr>
          <w:rFonts w:cs="Times New Roman"/>
          <w:vertAlign w:val="superscript"/>
        </w:rPr>
        <w:t>3</w:t>
      </w:r>
      <w:r>
        <w:rPr>
          <w:rFonts w:cs="Times New Roman"/>
        </w:rPr>
        <w:t>/a，</w:t>
      </w:r>
      <w:bookmarkStart w:id="502" w:name="_Hlk88752722"/>
      <w:r>
        <w:rPr>
          <w:rFonts w:cs="Times New Roman"/>
        </w:rPr>
        <w:t>剩余220</w:t>
      </w:r>
      <w:r>
        <w:rPr>
          <w:rFonts w:hint="eastAsia" w:cs="Times New Roman"/>
        </w:rPr>
        <w:t>万</w:t>
      </w:r>
      <w:r>
        <w:rPr>
          <w:rFonts w:cs="Times New Roman"/>
        </w:rPr>
        <w:t>m</w:t>
      </w:r>
      <w:r>
        <w:rPr>
          <w:rFonts w:cs="Times New Roman"/>
          <w:vertAlign w:val="superscript"/>
        </w:rPr>
        <w:t>3</w:t>
      </w:r>
      <w:r>
        <w:rPr>
          <w:rFonts w:cs="Times New Roman"/>
        </w:rPr>
        <w:t>/a随卤水进入</w:t>
      </w:r>
      <w:bookmarkStart w:id="503" w:name="_Hlk88751641"/>
      <w:r>
        <w:rPr>
          <w:rFonts w:cs="Times New Roman"/>
        </w:rPr>
        <w:t>建滔（衡阳）实业有限公司</w:t>
      </w:r>
      <w:bookmarkEnd w:id="503"/>
      <w:r>
        <w:rPr>
          <w:rFonts w:cs="Times New Roman"/>
        </w:rPr>
        <w:t>离子膜烧碱生产系统</w:t>
      </w:r>
      <w:bookmarkEnd w:id="502"/>
      <w:r>
        <w:rPr>
          <w:rFonts w:cs="Times New Roman"/>
        </w:rPr>
        <w:t>。</w:t>
      </w:r>
    </w:p>
    <w:p w14:paraId="74EA1A0B">
      <w:pPr>
        <w:ind w:firstLine="519"/>
        <w:rPr>
          <w:rFonts w:cs="Times New Roman"/>
        </w:rPr>
      </w:pPr>
      <w:r>
        <w:rPr>
          <w:rFonts w:cs="Times New Roman"/>
        </w:rPr>
        <w:t>（5）生活用水</w:t>
      </w:r>
    </w:p>
    <w:p w14:paraId="192F974F">
      <w:pPr>
        <w:ind w:firstLine="519"/>
        <w:rPr>
          <w:rFonts w:cs="Times New Roman"/>
        </w:rPr>
      </w:pPr>
      <w:r>
        <w:rPr>
          <w:rFonts w:cs="Times New Roman"/>
        </w:rPr>
        <w:t>本项目不额外新增劳动定员，矿山主要依托建滔（衡阳）实业有限公司员工及办公生活设施，本项目不涉及生活废水排放。</w:t>
      </w:r>
    </w:p>
    <w:p w14:paraId="57514DC6">
      <w:pPr>
        <w:pStyle w:val="2"/>
        <w:ind w:firstLine="0" w:firstLineChars="0"/>
        <w:jc w:val="center"/>
        <w:rPr>
          <w:rFonts w:cs="Times New Roman"/>
        </w:rPr>
      </w:pPr>
      <w:r>
        <w:rPr>
          <w:rFonts w:cs="Times New Roman"/>
        </w:rPr>
        <w:drawing>
          <wp:inline distT="0" distB="0" distL="0" distR="0">
            <wp:extent cx="5058410" cy="1287780"/>
            <wp:effectExtent l="0" t="0" r="889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096850" cy="1297685"/>
                    </a:xfrm>
                    <a:prstGeom prst="rect">
                      <a:avLst/>
                    </a:prstGeom>
                    <a:noFill/>
                  </pic:spPr>
                </pic:pic>
              </a:graphicData>
            </a:graphic>
          </wp:inline>
        </w:drawing>
      </w:r>
    </w:p>
    <w:p w14:paraId="15D8EC1E">
      <w:pPr>
        <w:pStyle w:val="9"/>
      </w:pPr>
      <w:r>
        <w:t>图4.5-2 本项目生产用水水平衡图（m</w:t>
      </w:r>
      <w:r>
        <w:rPr>
          <w:vertAlign w:val="superscript"/>
        </w:rPr>
        <w:t>3</w:t>
      </w:r>
      <w:r>
        <w:t>/h）</w:t>
      </w:r>
      <w:r>
        <w:rPr>
          <w:rFonts w:hint="eastAsia"/>
        </w:rPr>
        <w:t>（设计流量下）</w:t>
      </w:r>
    </w:p>
    <w:p w14:paraId="62B63E1C">
      <w:pPr>
        <w:pStyle w:val="3"/>
        <w:ind w:firstLine="519"/>
        <w:rPr>
          <w:rFonts w:cs="Times New Roman"/>
        </w:rPr>
      </w:pPr>
    </w:p>
    <w:p w14:paraId="4462EED0">
      <w:pPr>
        <w:ind w:firstLine="0" w:firstLineChars="0"/>
        <w:jc w:val="center"/>
        <w:rPr>
          <w:rFonts w:cs="Times New Roman"/>
        </w:rPr>
      </w:pPr>
      <w:r>
        <w:rPr>
          <w:rFonts w:cs="Times New Roman"/>
        </w:rPr>
        <w:drawing>
          <wp:inline distT="0" distB="0" distL="0" distR="0">
            <wp:extent cx="4975225" cy="12668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97960" cy="1272506"/>
                    </a:xfrm>
                    <a:prstGeom prst="rect">
                      <a:avLst/>
                    </a:prstGeom>
                    <a:noFill/>
                  </pic:spPr>
                </pic:pic>
              </a:graphicData>
            </a:graphic>
          </wp:inline>
        </w:drawing>
      </w:r>
    </w:p>
    <w:p w14:paraId="06E505C3">
      <w:pPr>
        <w:pStyle w:val="9"/>
      </w:pPr>
      <w:bookmarkStart w:id="504" w:name="_Hlk88752842"/>
      <w:r>
        <w:t>图4.5-3 本项目实施后整个矿区生产用水水平衡图（万m</w:t>
      </w:r>
      <w:r>
        <w:rPr>
          <w:vertAlign w:val="superscript"/>
        </w:rPr>
        <w:t>3</w:t>
      </w:r>
      <w:r>
        <w:t>/a）</w:t>
      </w:r>
    </w:p>
    <w:bookmarkEnd w:id="504"/>
    <w:p w14:paraId="1D86B807">
      <w:pPr>
        <w:ind w:firstLine="519"/>
        <w:rPr>
          <w:rFonts w:cs="Times New Roman"/>
        </w:rPr>
      </w:pPr>
    </w:p>
    <w:p w14:paraId="4405249C">
      <w:pPr>
        <w:ind w:firstLine="519"/>
        <w:rPr>
          <w:rFonts w:cs="Times New Roman"/>
        </w:rPr>
        <w:sectPr>
          <w:pgSz w:w="11906" w:h="16838"/>
          <w:pgMar w:top="1440" w:right="1797" w:bottom="1440" w:left="1797" w:header="851" w:footer="992" w:gutter="0"/>
          <w:cols w:space="425" w:num="1"/>
          <w:docGrid w:type="linesAndChars" w:linePitch="340" w:charSpace="4044"/>
        </w:sectPr>
      </w:pPr>
    </w:p>
    <w:p w14:paraId="262DD49F">
      <w:pPr>
        <w:pStyle w:val="6"/>
        <w:spacing w:before="170" w:after="170"/>
        <w:rPr>
          <w:rFonts w:cs="Times New Roman"/>
        </w:rPr>
      </w:pPr>
      <w:bookmarkStart w:id="505" w:name="_Toc121420846"/>
      <w:bookmarkStart w:id="506" w:name="_Toc32410915"/>
      <w:bookmarkStart w:id="507" w:name="_Toc40596860"/>
      <w:r>
        <w:rPr>
          <w:rFonts w:cs="Times New Roman"/>
        </w:rPr>
        <w:t>4.6 工程污染源分析</w:t>
      </w:r>
      <w:bookmarkEnd w:id="505"/>
      <w:bookmarkEnd w:id="506"/>
      <w:bookmarkEnd w:id="507"/>
    </w:p>
    <w:p w14:paraId="534ED440">
      <w:pPr>
        <w:pStyle w:val="7"/>
      </w:pPr>
      <w:bookmarkStart w:id="508" w:name="_Toc86852312"/>
      <w:bookmarkStart w:id="509" w:name="_Toc89882476"/>
      <w:bookmarkStart w:id="510" w:name="_Toc89786151"/>
      <w:bookmarkStart w:id="511" w:name="_Toc121420847"/>
      <w:bookmarkStart w:id="512" w:name="_Toc90989258"/>
      <w:bookmarkStart w:id="513" w:name="_Toc90318436"/>
      <w:bookmarkStart w:id="514" w:name="_Toc90997690"/>
      <w:r>
        <w:t>4.6.1 施工期污染源分析</w:t>
      </w:r>
      <w:bookmarkEnd w:id="508"/>
      <w:bookmarkEnd w:id="509"/>
      <w:bookmarkEnd w:id="510"/>
      <w:bookmarkEnd w:id="511"/>
      <w:bookmarkEnd w:id="512"/>
      <w:bookmarkEnd w:id="513"/>
      <w:bookmarkEnd w:id="514"/>
    </w:p>
    <w:p w14:paraId="45BCA6CC">
      <w:pPr>
        <w:ind w:firstLine="519"/>
      </w:pPr>
      <w:r>
        <w:rPr>
          <w:rFonts w:hint="eastAsia"/>
        </w:rPr>
        <w:t>本项目施工期主要包含井场及采卤井施工、管道敷设两部分，施工期为6个月。项目施工期环境影响因素分析详见下表。</w:t>
      </w:r>
    </w:p>
    <w:p w14:paraId="620B6076">
      <w:pPr>
        <w:pStyle w:val="9"/>
      </w:pPr>
      <w:r>
        <w:rPr>
          <w:rFonts w:hint="eastAsia"/>
        </w:rPr>
        <w:t>表</w:t>
      </w:r>
      <w:r>
        <w:t>4.6</w:t>
      </w:r>
      <w:r>
        <w:rPr>
          <w:rFonts w:hint="eastAsia"/>
        </w:rPr>
        <w:t>-1</w:t>
      </w:r>
      <w:r>
        <w:rPr>
          <w:rFonts w:hint="eastAsia"/>
        </w:rPr>
        <w:tab/>
      </w:r>
      <w:r>
        <w:rPr>
          <w:rFonts w:hint="eastAsia"/>
        </w:rPr>
        <w:t>项目施工期环境影响因素分析</w:t>
      </w:r>
    </w:p>
    <w:tbl>
      <w:tblPr>
        <w:tblStyle w:val="29"/>
        <w:tblW w:w="7750" w:type="dxa"/>
        <w:tblInd w:w="125"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453"/>
        <w:gridCol w:w="713"/>
        <w:gridCol w:w="3544"/>
        <w:gridCol w:w="3040"/>
      </w:tblGrid>
      <w:tr w14:paraId="2AB986A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66" w:type="dxa"/>
            <w:gridSpan w:val="2"/>
            <w:vAlign w:val="center"/>
          </w:tcPr>
          <w:p w14:paraId="761403B3">
            <w:pPr>
              <w:kinsoku w:val="0"/>
              <w:wordWrap/>
              <w:overflowPunct w:val="0"/>
              <w:topLinePunct w:val="0"/>
              <w:autoSpaceDE w:val="0"/>
              <w:autoSpaceDN w:val="0"/>
              <w:adjustRightInd/>
              <w:snapToGrid/>
              <w:spacing w:line="261" w:lineRule="exact"/>
              <w:ind w:firstLine="0" w:firstLineChars="0"/>
              <w:jc w:val="center"/>
              <w:rPr>
                <w:rFonts w:cs="Times New Roman"/>
                <w:b/>
                <w:bCs/>
                <w:sz w:val="21"/>
                <w:szCs w:val="21"/>
              </w:rPr>
            </w:pPr>
            <w:r>
              <w:rPr>
                <w:rFonts w:cs="Times New Roman"/>
                <w:b/>
                <w:bCs/>
                <w:sz w:val="21"/>
                <w:szCs w:val="21"/>
              </w:rPr>
              <w:t>项目</w:t>
            </w:r>
          </w:p>
        </w:tc>
        <w:tc>
          <w:tcPr>
            <w:tcW w:w="3544" w:type="dxa"/>
            <w:vAlign w:val="center"/>
          </w:tcPr>
          <w:p w14:paraId="577621E7">
            <w:pPr>
              <w:kinsoku w:val="0"/>
              <w:wordWrap/>
              <w:overflowPunct w:val="0"/>
              <w:topLinePunct w:val="0"/>
              <w:autoSpaceDE w:val="0"/>
              <w:autoSpaceDN w:val="0"/>
              <w:adjustRightInd/>
              <w:snapToGrid/>
              <w:spacing w:line="261" w:lineRule="exact"/>
              <w:ind w:firstLine="0" w:firstLineChars="0"/>
              <w:jc w:val="center"/>
              <w:rPr>
                <w:rFonts w:cs="Times New Roman"/>
                <w:b/>
                <w:bCs/>
                <w:sz w:val="21"/>
                <w:szCs w:val="21"/>
              </w:rPr>
            </w:pPr>
            <w:r>
              <w:rPr>
                <w:rFonts w:cs="Times New Roman"/>
                <w:b/>
                <w:bCs/>
                <w:sz w:val="21"/>
                <w:szCs w:val="21"/>
              </w:rPr>
              <w:t>井场及采卤井施工</w:t>
            </w:r>
          </w:p>
        </w:tc>
        <w:tc>
          <w:tcPr>
            <w:tcW w:w="3040" w:type="dxa"/>
            <w:vAlign w:val="center"/>
          </w:tcPr>
          <w:p w14:paraId="199621E7">
            <w:pPr>
              <w:kinsoku w:val="0"/>
              <w:wordWrap/>
              <w:overflowPunct w:val="0"/>
              <w:topLinePunct w:val="0"/>
              <w:autoSpaceDE w:val="0"/>
              <w:autoSpaceDN w:val="0"/>
              <w:adjustRightInd/>
              <w:snapToGrid/>
              <w:spacing w:line="261" w:lineRule="exact"/>
              <w:ind w:firstLine="0" w:firstLineChars="0"/>
              <w:jc w:val="center"/>
              <w:rPr>
                <w:rFonts w:cs="Times New Roman"/>
                <w:b/>
                <w:bCs/>
                <w:sz w:val="21"/>
                <w:szCs w:val="21"/>
              </w:rPr>
            </w:pPr>
            <w:r>
              <w:rPr>
                <w:rFonts w:cs="Times New Roman"/>
                <w:b/>
                <w:bCs/>
                <w:sz w:val="21"/>
                <w:szCs w:val="21"/>
              </w:rPr>
              <w:t>采集卤管道敷设</w:t>
            </w:r>
          </w:p>
        </w:tc>
      </w:tr>
      <w:tr w14:paraId="5DFA0E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1166" w:type="dxa"/>
            <w:gridSpan w:val="2"/>
            <w:vAlign w:val="center"/>
          </w:tcPr>
          <w:p w14:paraId="6C075D2E">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施工内容</w:t>
            </w:r>
          </w:p>
        </w:tc>
        <w:tc>
          <w:tcPr>
            <w:tcW w:w="3544" w:type="dxa"/>
            <w:vAlign w:val="center"/>
          </w:tcPr>
          <w:p w14:paraId="78C0626C">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4个井场及4口卤井</w:t>
            </w:r>
          </w:p>
        </w:tc>
        <w:tc>
          <w:tcPr>
            <w:tcW w:w="3040" w:type="dxa"/>
            <w:vAlign w:val="center"/>
          </w:tcPr>
          <w:p w14:paraId="7C536076">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2744m 管线敷设</w:t>
            </w:r>
          </w:p>
        </w:tc>
      </w:tr>
      <w:tr w14:paraId="40C3F4B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166" w:type="dxa"/>
            <w:gridSpan w:val="2"/>
            <w:vAlign w:val="center"/>
          </w:tcPr>
          <w:p w14:paraId="1540BB3E">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施工工艺</w:t>
            </w:r>
          </w:p>
        </w:tc>
        <w:tc>
          <w:tcPr>
            <w:tcW w:w="3544" w:type="dxa"/>
            <w:vAlign w:val="center"/>
          </w:tcPr>
          <w:p w14:paraId="0AAFD3CB">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pacing w:val="-10"/>
                <w:sz w:val="21"/>
                <w:szCs w:val="21"/>
              </w:rPr>
              <w:t>井场</w:t>
            </w:r>
            <w:r>
              <w:rPr>
                <w:rFonts w:cs="Times New Roman"/>
                <w:spacing w:val="-12"/>
                <w:sz w:val="21"/>
                <w:szCs w:val="21"/>
              </w:rPr>
              <w:t>“</w:t>
            </w:r>
            <w:r>
              <w:rPr>
                <w:rFonts w:cs="Times New Roman"/>
                <w:spacing w:val="-11"/>
                <w:sz w:val="21"/>
                <w:szCs w:val="21"/>
              </w:rPr>
              <w:t>三通一平”→</w:t>
            </w:r>
            <w:r>
              <w:rPr>
                <w:rFonts w:cs="Times New Roman"/>
                <w:spacing w:val="-8"/>
                <w:sz w:val="21"/>
                <w:szCs w:val="21"/>
              </w:rPr>
              <w:t>钻井设备的</w:t>
            </w:r>
            <w:r>
              <w:rPr>
                <w:rFonts w:cs="Times New Roman"/>
                <w:sz w:val="21"/>
                <w:szCs w:val="21"/>
              </w:rPr>
              <w:t>搬迁和安装</w:t>
            </w:r>
            <w:r>
              <w:rPr>
                <w:rFonts w:cs="Times New Roman"/>
                <w:spacing w:val="2"/>
                <w:sz w:val="21"/>
                <w:szCs w:val="21"/>
              </w:rPr>
              <w:t>→</w:t>
            </w:r>
            <w:r>
              <w:rPr>
                <w:rFonts w:cs="Times New Roman"/>
                <w:sz w:val="21"/>
                <w:szCs w:val="21"/>
              </w:rPr>
              <w:t>一次开钻→下表层套管</w:t>
            </w:r>
            <w:r>
              <w:rPr>
                <w:rFonts w:cs="Times New Roman"/>
                <w:spacing w:val="2"/>
                <w:sz w:val="21"/>
                <w:szCs w:val="21"/>
              </w:rPr>
              <w:t>→</w:t>
            </w:r>
            <w:r>
              <w:rPr>
                <w:rFonts w:cs="Times New Roman"/>
                <w:sz w:val="21"/>
                <w:szCs w:val="21"/>
              </w:rPr>
              <w:t>表层套管固井</w:t>
            </w:r>
            <w:r>
              <w:rPr>
                <w:rFonts w:cs="Times New Roman"/>
                <w:spacing w:val="2"/>
                <w:sz w:val="21"/>
                <w:szCs w:val="21"/>
              </w:rPr>
              <w:t>→</w:t>
            </w:r>
            <w:r>
              <w:rPr>
                <w:rFonts w:cs="Times New Roman"/>
                <w:sz w:val="21"/>
                <w:szCs w:val="21"/>
              </w:rPr>
              <w:t>二次开钻</w:t>
            </w:r>
            <w:r>
              <w:rPr>
                <w:rFonts w:cs="Times New Roman"/>
                <w:spacing w:val="2"/>
                <w:sz w:val="21"/>
                <w:szCs w:val="21"/>
              </w:rPr>
              <w:t>→</w:t>
            </w:r>
            <w:r>
              <w:rPr>
                <w:rFonts w:cs="Times New Roman"/>
                <w:sz w:val="21"/>
                <w:szCs w:val="21"/>
              </w:rPr>
              <w:t>测井</w:t>
            </w:r>
            <w:r>
              <w:rPr>
                <w:rFonts w:cs="Times New Roman"/>
                <w:spacing w:val="2"/>
                <w:sz w:val="21"/>
                <w:szCs w:val="21"/>
              </w:rPr>
              <w:t>→</w:t>
            </w:r>
            <w:r>
              <w:rPr>
                <w:rFonts w:cs="Times New Roman"/>
                <w:sz w:val="21"/>
                <w:szCs w:val="21"/>
              </w:rPr>
              <w:t>下技术套管→ 技术套管固井→三次开钻→钻达目的层→完井→洗井→安装井口装置→试采→井场复垦</w:t>
            </w:r>
          </w:p>
        </w:tc>
        <w:tc>
          <w:tcPr>
            <w:tcW w:w="3040" w:type="dxa"/>
            <w:vAlign w:val="center"/>
          </w:tcPr>
          <w:p w14:paraId="1A0AD36C">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管沟开挖→管沟砌筑→管道安装→盖板→覆土复垦</w:t>
            </w:r>
          </w:p>
        </w:tc>
      </w:tr>
      <w:tr w14:paraId="52E6DFD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453" w:type="dxa"/>
            <w:vMerge w:val="restart"/>
            <w:vAlign w:val="center"/>
          </w:tcPr>
          <w:p w14:paraId="723CC0E6">
            <w:pPr>
              <w:kinsoku w:val="0"/>
              <w:wordWrap/>
              <w:overflowPunct w:val="0"/>
              <w:topLinePunct w:val="0"/>
              <w:autoSpaceDE w:val="0"/>
              <w:autoSpaceDN w:val="0"/>
              <w:adjustRightInd/>
              <w:snapToGrid/>
              <w:spacing w:line="319" w:lineRule="auto"/>
              <w:ind w:firstLine="0" w:firstLineChars="0"/>
              <w:jc w:val="center"/>
              <w:rPr>
                <w:rFonts w:cs="Times New Roman"/>
                <w:w w:val="95"/>
                <w:sz w:val="21"/>
                <w:szCs w:val="21"/>
              </w:rPr>
            </w:pPr>
            <w:r>
              <w:rPr>
                <w:rFonts w:cs="Times New Roman"/>
                <w:sz w:val="21"/>
                <w:szCs w:val="21"/>
              </w:rPr>
              <w:t>环境影响因素分析</w:t>
            </w:r>
          </w:p>
        </w:tc>
        <w:tc>
          <w:tcPr>
            <w:tcW w:w="713" w:type="dxa"/>
            <w:vAlign w:val="center"/>
          </w:tcPr>
          <w:p w14:paraId="5B708B13">
            <w:pPr>
              <w:kinsoku w:val="0"/>
              <w:wordWrap/>
              <w:overflowPunct w:val="0"/>
              <w:topLinePunct w:val="0"/>
              <w:autoSpaceDE w:val="0"/>
              <w:autoSpaceDN w:val="0"/>
              <w:adjustRightInd/>
              <w:snapToGrid/>
              <w:spacing w:line="319" w:lineRule="auto"/>
              <w:ind w:firstLine="0" w:firstLineChars="0"/>
              <w:jc w:val="center"/>
              <w:rPr>
                <w:rFonts w:cs="Times New Roman"/>
                <w:sz w:val="21"/>
                <w:szCs w:val="21"/>
              </w:rPr>
            </w:pPr>
            <w:r>
              <w:rPr>
                <w:rFonts w:cs="Times New Roman"/>
                <w:sz w:val="21"/>
                <w:szCs w:val="21"/>
              </w:rPr>
              <w:t>大气</w:t>
            </w:r>
          </w:p>
        </w:tc>
        <w:tc>
          <w:tcPr>
            <w:tcW w:w="3544" w:type="dxa"/>
            <w:vAlign w:val="center"/>
          </w:tcPr>
          <w:p w14:paraId="475F0D02">
            <w:pPr>
              <w:kinsoku w:val="0"/>
              <w:wordWrap/>
              <w:overflowPunct w:val="0"/>
              <w:topLinePunct w:val="0"/>
              <w:autoSpaceDE w:val="0"/>
              <w:autoSpaceDN w:val="0"/>
              <w:adjustRightInd/>
              <w:snapToGrid/>
              <w:spacing w:line="240" w:lineRule="auto"/>
              <w:ind w:firstLine="0" w:firstLineChars="0"/>
              <w:jc w:val="center"/>
              <w:rPr>
                <w:rFonts w:cs="Times New Roman"/>
                <w:w w:val="95"/>
                <w:sz w:val="21"/>
                <w:szCs w:val="21"/>
              </w:rPr>
            </w:pPr>
            <w:r>
              <w:rPr>
                <w:rFonts w:cs="Times New Roman"/>
                <w:sz w:val="21"/>
                <w:szCs w:val="21"/>
              </w:rPr>
              <w:t>场地平整施工扬尘；建筑材料运输、装卸中的扬尘；临时物料堆场产生的风蚀扬尘</w:t>
            </w:r>
            <w:r>
              <w:rPr>
                <w:rFonts w:hint="eastAsia" w:cs="Times New Roman"/>
                <w:sz w:val="21"/>
                <w:szCs w:val="21"/>
              </w:rPr>
              <w:t>；燃油动力机械尾气及汽车尾气</w:t>
            </w:r>
          </w:p>
        </w:tc>
        <w:tc>
          <w:tcPr>
            <w:tcW w:w="3040" w:type="dxa"/>
            <w:vAlign w:val="center"/>
          </w:tcPr>
          <w:p w14:paraId="172FE937">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建筑材料运输、装卸中的扬尘</w:t>
            </w:r>
            <w:r>
              <w:rPr>
                <w:rFonts w:hint="eastAsia" w:cs="Times New Roman"/>
                <w:sz w:val="21"/>
                <w:szCs w:val="21"/>
              </w:rPr>
              <w:t>、汽车尾气</w:t>
            </w:r>
            <w:r>
              <w:rPr>
                <w:rFonts w:cs="Times New Roman"/>
                <w:sz w:val="21"/>
                <w:szCs w:val="21"/>
              </w:rPr>
              <w:t>；土方挖、填、运产生的扬尘；临时物料堆场产生的风蚀扬尘</w:t>
            </w:r>
            <w:r>
              <w:rPr>
                <w:rFonts w:hint="eastAsia" w:cs="Times New Roman"/>
                <w:sz w:val="21"/>
                <w:szCs w:val="21"/>
              </w:rPr>
              <w:t>；管道焊接过程产生的废气</w:t>
            </w:r>
          </w:p>
        </w:tc>
      </w:tr>
      <w:tr w14:paraId="2F9718B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453" w:type="dxa"/>
            <w:vMerge w:val="continue"/>
            <w:vAlign w:val="center"/>
          </w:tcPr>
          <w:p w14:paraId="2D5FD75C">
            <w:pPr>
              <w:widowControl/>
              <w:wordWrap/>
              <w:topLinePunct w:val="0"/>
              <w:adjustRightInd/>
              <w:snapToGrid/>
              <w:spacing w:line="240" w:lineRule="auto"/>
              <w:ind w:firstLine="0" w:firstLineChars="0"/>
              <w:jc w:val="center"/>
              <w:rPr>
                <w:rFonts w:cs="Times New Roman"/>
                <w:w w:val="95"/>
                <w:sz w:val="21"/>
                <w:szCs w:val="21"/>
              </w:rPr>
            </w:pPr>
          </w:p>
        </w:tc>
        <w:tc>
          <w:tcPr>
            <w:tcW w:w="713" w:type="dxa"/>
            <w:vAlign w:val="center"/>
          </w:tcPr>
          <w:p w14:paraId="23E8746D">
            <w:pPr>
              <w:kinsoku w:val="0"/>
              <w:wordWrap/>
              <w:overflowPunct w:val="0"/>
              <w:topLinePunct w:val="0"/>
              <w:autoSpaceDE w:val="0"/>
              <w:autoSpaceDN w:val="0"/>
              <w:adjustRightInd/>
              <w:snapToGrid/>
              <w:spacing w:line="360" w:lineRule="exact"/>
              <w:ind w:firstLine="0" w:firstLineChars="0"/>
              <w:jc w:val="center"/>
              <w:rPr>
                <w:rFonts w:cs="Times New Roman"/>
                <w:sz w:val="21"/>
                <w:szCs w:val="21"/>
              </w:rPr>
            </w:pPr>
            <w:r>
              <w:rPr>
                <w:rFonts w:cs="Times New Roman"/>
                <w:sz w:val="21"/>
                <w:szCs w:val="21"/>
              </w:rPr>
              <w:t>水环境</w:t>
            </w:r>
          </w:p>
        </w:tc>
        <w:tc>
          <w:tcPr>
            <w:tcW w:w="3544" w:type="dxa"/>
            <w:vAlign w:val="center"/>
          </w:tcPr>
          <w:p w14:paraId="58B237CE">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hint="eastAsia" w:cs="Times New Roman"/>
                <w:sz w:val="21"/>
                <w:szCs w:val="21"/>
              </w:rPr>
              <w:t>钻井</w:t>
            </w:r>
            <w:r>
              <w:rPr>
                <w:rFonts w:cs="Times New Roman"/>
                <w:sz w:val="21"/>
                <w:szCs w:val="21"/>
              </w:rPr>
              <w:t>施工废水（SS 等）</w:t>
            </w:r>
          </w:p>
        </w:tc>
        <w:tc>
          <w:tcPr>
            <w:tcW w:w="3040" w:type="dxa"/>
            <w:vAlign w:val="center"/>
          </w:tcPr>
          <w:p w14:paraId="4B4131C0">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hint="eastAsia" w:cs="Times New Roman"/>
                <w:sz w:val="21"/>
                <w:szCs w:val="21"/>
              </w:rPr>
              <w:t>管道</w:t>
            </w:r>
            <w:r>
              <w:rPr>
                <w:rFonts w:cs="Times New Roman"/>
                <w:sz w:val="21"/>
                <w:szCs w:val="21"/>
              </w:rPr>
              <w:t>施工废水（SS 等）</w:t>
            </w:r>
          </w:p>
        </w:tc>
      </w:tr>
      <w:tr w14:paraId="7EE4958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453" w:type="dxa"/>
            <w:vMerge w:val="continue"/>
            <w:vAlign w:val="center"/>
          </w:tcPr>
          <w:p w14:paraId="7E5B4D64">
            <w:pPr>
              <w:widowControl/>
              <w:wordWrap/>
              <w:topLinePunct w:val="0"/>
              <w:adjustRightInd/>
              <w:snapToGrid/>
              <w:spacing w:line="240" w:lineRule="auto"/>
              <w:ind w:firstLine="0" w:firstLineChars="0"/>
              <w:jc w:val="center"/>
              <w:rPr>
                <w:rFonts w:cs="Times New Roman"/>
                <w:w w:val="95"/>
                <w:sz w:val="21"/>
                <w:szCs w:val="21"/>
              </w:rPr>
            </w:pPr>
          </w:p>
        </w:tc>
        <w:tc>
          <w:tcPr>
            <w:tcW w:w="713" w:type="dxa"/>
            <w:vAlign w:val="center"/>
          </w:tcPr>
          <w:p w14:paraId="0F4F3EA4">
            <w:pPr>
              <w:kinsoku w:val="0"/>
              <w:wordWrap/>
              <w:overflowPunct w:val="0"/>
              <w:topLinePunct w:val="0"/>
              <w:autoSpaceDE w:val="0"/>
              <w:autoSpaceDN w:val="0"/>
              <w:adjustRightInd/>
              <w:snapToGrid/>
              <w:spacing w:line="319" w:lineRule="auto"/>
              <w:ind w:firstLine="0" w:firstLineChars="0"/>
              <w:jc w:val="center"/>
              <w:rPr>
                <w:rFonts w:cs="Times New Roman"/>
                <w:sz w:val="21"/>
                <w:szCs w:val="21"/>
              </w:rPr>
            </w:pPr>
            <w:r>
              <w:rPr>
                <w:rFonts w:cs="Times New Roman"/>
                <w:sz w:val="21"/>
                <w:szCs w:val="21"/>
              </w:rPr>
              <w:t>声环境</w:t>
            </w:r>
          </w:p>
        </w:tc>
        <w:tc>
          <w:tcPr>
            <w:tcW w:w="3544" w:type="dxa"/>
            <w:vAlign w:val="center"/>
          </w:tcPr>
          <w:p w14:paraId="5872A539">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cs="Times New Roman"/>
                <w:sz w:val="21"/>
                <w:szCs w:val="21"/>
              </w:rPr>
              <w:t>运输噪声：材料运输车辆产生；施工噪声：</w:t>
            </w:r>
            <w:r>
              <w:rPr>
                <w:rFonts w:hint="eastAsia" w:cs="Times New Roman"/>
                <w:sz w:val="21"/>
                <w:szCs w:val="21"/>
              </w:rPr>
              <w:t>钻井设备、柴油发电机、泥浆泵</w:t>
            </w:r>
            <w:r>
              <w:rPr>
                <w:rFonts w:cs="Times New Roman"/>
                <w:spacing w:val="-6"/>
                <w:sz w:val="21"/>
                <w:szCs w:val="21"/>
              </w:rPr>
              <w:t>等</w:t>
            </w:r>
            <w:r>
              <w:rPr>
                <w:rFonts w:hint="eastAsia" w:cs="Times New Roman"/>
                <w:spacing w:val="-6"/>
                <w:sz w:val="21"/>
                <w:szCs w:val="21"/>
              </w:rPr>
              <w:t>施工机械</w:t>
            </w:r>
            <w:r>
              <w:rPr>
                <w:rFonts w:cs="Times New Roman"/>
                <w:spacing w:val="-6"/>
                <w:sz w:val="21"/>
                <w:szCs w:val="21"/>
              </w:rPr>
              <w:t>产生。</w:t>
            </w:r>
          </w:p>
        </w:tc>
        <w:tc>
          <w:tcPr>
            <w:tcW w:w="3040" w:type="dxa"/>
            <w:vAlign w:val="center"/>
          </w:tcPr>
          <w:p w14:paraId="4772F227">
            <w:pPr>
              <w:kinsoku w:val="0"/>
              <w:wordWrap/>
              <w:overflowPunct w:val="0"/>
              <w:topLinePunct w:val="0"/>
              <w:autoSpaceDE w:val="0"/>
              <w:autoSpaceDN w:val="0"/>
              <w:adjustRightInd/>
              <w:snapToGrid/>
              <w:spacing w:line="240" w:lineRule="auto"/>
              <w:ind w:firstLine="0" w:firstLineChars="0"/>
              <w:jc w:val="center"/>
              <w:rPr>
                <w:rFonts w:cs="Times New Roman"/>
                <w:spacing w:val="-14"/>
                <w:sz w:val="21"/>
                <w:szCs w:val="21"/>
              </w:rPr>
            </w:pPr>
            <w:r>
              <w:rPr>
                <w:rFonts w:cs="Times New Roman"/>
                <w:spacing w:val="-14"/>
                <w:sz w:val="21"/>
                <w:szCs w:val="21"/>
              </w:rPr>
              <w:t>运输噪声：材料运输车辆产生；施工噪声：</w:t>
            </w:r>
            <w:r>
              <w:rPr>
                <w:rFonts w:hint="eastAsia" w:cs="Times New Roman"/>
                <w:spacing w:val="-14"/>
                <w:sz w:val="21"/>
                <w:szCs w:val="21"/>
              </w:rPr>
              <w:t>挖掘机、起重机、推土机、电焊机、切割机等</w:t>
            </w:r>
            <w:r>
              <w:rPr>
                <w:rFonts w:cs="Times New Roman"/>
                <w:spacing w:val="-14"/>
                <w:sz w:val="21"/>
                <w:szCs w:val="21"/>
              </w:rPr>
              <w:t>施工机械产生的噪</w:t>
            </w:r>
            <w:r>
              <w:rPr>
                <w:rFonts w:cs="Times New Roman"/>
                <w:sz w:val="21"/>
                <w:szCs w:val="21"/>
              </w:rPr>
              <w:t>声。</w:t>
            </w:r>
          </w:p>
        </w:tc>
      </w:tr>
      <w:tr w14:paraId="211713D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453" w:type="dxa"/>
            <w:vMerge w:val="continue"/>
            <w:vAlign w:val="center"/>
          </w:tcPr>
          <w:p w14:paraId="3D7C9799">
            <w:pPr>
              <w:widowControl/>
              <w:wordWrap/>
              <w:topLinePunct w:val="0"/>
              <w:adjustRightInd/>
              <w:snapToGrid/>
              <w:spacing w:line="240" w:lineRule="auto"/>
              <w:ind w:firstLine="0" w:firstLineChars="0"/>
              <w:jc w:val="center"/>
              <w:rPr>
                <w:rFonts w:cs="Times New Roman"/>
                <w:w w:val="95"/>
                <w:sz w:val="21"/>
                <w:szCs w:val="21"/>
              </w:rPr>
            </w:pPr>
          </w:p>
        </w:tc>
        <w:tc>
          <w:tcPr>
            <w:tcW w:w="713" w:type="dxa"/>
            <w:vAlign w:val="center"/>
          </w:tcPr>
          <w:p w14:paraId="34038541">
            <w:pPr>
              <w:kinsoku w:val="0"/>
              <w:wordWrap/>
              <w:overflowPunct w:val="0"/>
              <w:topLinePunct w:val="0"/>
              <w:autoSpaceDE w:val="0"/>
              <w:autoSpaceDN w:val="0"/>
              <w:adjustRightInd/>
              <w:snapToGrid/>
              <w:spacing w:line="319" w:lineRule="auto"/>
              <w:ind w:firstLine="0" w:firstLineChars="0"/>
              <w:jc w:val="center"/>
              <w:rPr>
                <w:rFonts w:cs="Times New Roman"/>
                <w:sz w:val="21"/>
                <w:szCs w:val="21"/>
              </w:rPr>
            </w:pPr>
            <w:r>
              <w:rPr>
                <w:rFonts w:cs="Times New Roman"/>
                <w:sz w:val="21"/>
                <w:szCs w:val="21"/>
              </w:rPr>
              <w:t>生态</w:t>
            </w:r>
          </w:p>
        </w:tc>
        <w:tc>
          <w:tcPr>
            <w:tcW w:w="6584" w:type="dxa"/>
            <w:gridSpan w:val="2"/>
            <w:vAlign w:val="center"/>
          </w:tcPr>
          <w:p w14:paraId="1B0AF3F3">
            <w:pPr>
              <w:kinsoku w:val="0"/>
              <w:wordWrap/>
              <w:overflowPunct w:val="0"/>
              <w:topLinePunct w:val="0"/>
              <w:autoSpaceDE w:val="0"/>
              <w:autoSpaceDN w:val="0"/>
              <w:adjustRightInd/>
              <w:snapToGrid/>
              <w:spacing w:line="319" w:lineRule="auto"/>
              <w:ind w:firstLine="0" w:firstLineChars="0"/>
              <w:jc w:val="center"/>
              <w:rPr>
                <w:rFonts w:cs="Times New Roman"/>
                <w:w w:val="95"/>
                <w:sz w:val="21"/>
                <w:szCs w:val="21"/>
              </w:rPr>
            </w:pPr>
            <w:r>
              <w:rPr>
                <w:rFonts w:hint="eastAsia" w:cs="Times New Roman"/>
                <w:spacing w:val="-14"/>
                <w:sz w:val="21"/>
                <w:szCs w:val="21"/>
              </w:rPr>
              <w:t>施工活动和施工临时占地对原生地貌、植被造成影响</w:t>
            </w:r>
          </w:p>
        </w:tc>
      </w:tr>
      <w:tr w14:paraId="3BE2BD3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53" w:type="dxa"/>
            <w:vMerge w:val="continue"/>
            <w:vAlign w:val="center"/>
          </w:tcPr>
          <w:p w14:paraId="106A43B0">
            <w:pPr>
              <w:widowControl/>
              <w:wordWrap/>
              <w:topLinePunct w:val="0"/>
              <w:adjustRightInd/>
              <w:snapToGrid/>
              <w:spacing w:line="240" w:lineRule="auto"/>
              <w:ind w:firstLine="0" w:firstLineChars="0"/>
              <w:jc w:val="center"/>
              <w:rPr>
                <w:rFonts w:cs="Times New Roman"/>
                <w:w w:val="95"/>
                <w:sz w:val="21"/>
                <w:szCs w:val="21"/>
              </w:rPr>
            </w:pPr>
          </w:p>
        </w:tc>
        <w:tc>
          <w:tcPr>
            <w:tcW w:w="713" w:type="dxa"/>
            <w:vAlign w:val="center"/>
          </w:tcPr>
          <w:p w14:paraId="55D034C0">
            <w:pPr>
              <w:kinsoku w:val="0"/>
              <w:wordWrap/>
              <w:overflowPunct w:val="0"/>
              <w:topLinePunct w:val="0"/>
              <w:autoSpaceDE w:val="0"/>
              <w:autoSpaceDN w:val="0"/>
              <w:adjustRightInd/>
              <w:snapToGrid/>
              <w:spacing w:line="319" w:lineRule="auto"/>
              <w:ind w:firstLine="0" w:firstLineChars="0"/>
              <w:jc w:val="center"/>
              <w:rPr>
                <w:rFonts w:cs="Times New Roman"/>
                <w:sz w:val="21"/>
                <w:szCs w:val="21"/>
              </w:rPr>
            </w:pPr>
            <w:r>
              <w:rPr>
                <w:rFonts w:cs="Times New Roman"/>
                <w:sz w:val="21"/>
                <w:szCs w:val="21"/>
              </w:rPr>
              <w:t>固废</w:t>
            </w:r>
          </w:p>
        </w:tc>
        <w:tc>
          <w:tcPr>
            <w:tcW w:w="3544" w:type="dxa"/>
            <w:vAlign w:val="center"/>
          </w:tcPr>
          <w:p w14:paraId="40577968">
            <w:pPr>
              <w:kinsoku w:val="0"/>
              <w:wordWrap/>
              <w:overflowPunct w:val="0"/>
              <w:topLinePunct w:val="0"/>
              <w:autoSpaceDE w:val="0"/>
              <w:autoSpaceDN w:val="0"/>
              <w:adjustRightInd/>
              <w:snapToGrid/>
              <w:spacing w:line="240" w:lineRule="auto"/>
              <w:ind w:firstLine="0" w:firstLineChars="0"/>
              <w:jc w:val="center"/>
              <w:rPr>
                <w:rFonts w:cs="Times New Roman"/>
                <w:sz w:val="21"/>
                <w:szCs w:val="21"/>
              </w:rPr>
            </w:pPr>
            <w:r>
              <w:rPr>
                <w:rFonts w:hint="eastAsia" w:cs="Times New Roman"/>
                <w:sz w:val="21"/>
                <w:szCs w:val="21"/>
              </w:rPr>
              <w:t>钻井岩屑、废泥浆、生活垃圾</w:t>
            </w:r>
          </w:p>
        </w:tc>
        <w:tc>
          <w:tcPr>
            <w:tcW w:w="3040" w:type="dxa"/>
            <w:vAlign w:val="center"/>
          </w:tcPr>
          <w:p w14:paraId="7B4585EC">
            <w:pPr>
              <w:kinsoku w:val="0"/>
              <w:wordWrap/>
              <w:overflowPunct w:val="0"/>
              <w:topLinePunct w:val="0"/>
              <w:autoSpaceDE w:val="0"/>
              <w:autoSpaceDN w:val="0"/>
              <w:adjustRightInd/>
              <w:snapToGrid/>
              <w:spacing w:line="240" w:lineRule="auto"/>
              <w:ind w:firstLine="0" w:firstLineChars="0"/>
              <w:jc w:val="center"/>
              <w:rPr>
                <w:rFonts w:cs="Times New Roman"/>
                <w:w w:val="95"/>
                <w:sz w:val="21"/>
                <w:szCs w:val="21"/>
              </w:rPr>
            </w:pPr>
            <w:r>
              <w:rPr>
                <w:rFonts w:hint="eastAsia" w:cs="Times New Roman"/>
                <w:sz w:val="21"/>
                <w:szCs w:val="21"/>
              </w:rPr>
              <w:t>土石方、焊接废料、生活垃圾</w:t>
            </w:r>
          </w:p>
        </w:tc>
      </w:tr>
    </w:tbl>
    <w:p w14:paraId="35EFC094">
      <w:pPr>
        <w:pStyle w:val="3"/>
        <w:ind w:firstLine="519"/>
      </w:pPr>
    </w:p>
    <w:p w14:paraId="21C04C50">
      <w:pPr>
        <w:pStyle w:val="8"/>
        <w:ind w:firstLine="0" w:firstLineChars="0"/>
        <w:rPr>
          <w:rFonts w:cs="Times New Roman"/>
        </w:rPr>
      </w:pPr>
      <w:r>
        <w:rPr>
          <w:rFonts w:cs="Times New Roman"/>
        </w:rPr>
        <w:t>4.6.1.1 废气</w:t>
      </w:r>
    </w:p>
    <w:p w14:paraId="2F21F7B3">
      <w:pPr>
        <w:ind w:firstLine="519"/>
        <w:rPr>
          <w:rFonts w:cs="Times New Roman"/>
        </w:rPr>
      </w:pPr>
      <w:r>
        <w:rPr>
          <w:rFonts w:cs="Times New Roman"/>
        </w:rPr>
        <w:t>项目施工期废气主要为</w:t>
      </w:r>
      <w:bookmarkStart w:id="515" w:name="_Hlk89184550"/>
      <w:r>
        <w:rPr>
          <w:rFonts w:cs="Times New Roman"/>
        </w:rPr>
        <w:t>施工粉尘、扬尘、燃油机械设备产生的废气、运输车辆产生的汽车尾气和道路扬尘以及管道焊接废气等</w:t>
      </w:r>
      <w:bookmarkEnd w:id="515"/>
      <w:r>
        <w:rPr>
          <w:rFonts w:cs="Times New Roman"/>
        </w:rPr>
        <w:t>。</w:t>
      </w:r>
    </w:p>
    <w:p w14:paraId="10F89AE0">
      <w:pPr>
        <w:ind w:firstLine="519"/>
        <w:rPr>
          <w:rFonts w:cs="Times New Roman"/>
        </w:rPr>
      </w:pPr>
      <w:r>
        <w:rPr>
          <w:rFonts w:cs="Times New Roman"/>
        </w:rPr>
        <w:t>（1）施工扬尘</w:t>
      </w:r>
    </w:p>
    <w:p w14:paraId="76182D2B">
      <w:pPr>
        <w:ind w:firstLine="519"/>
        <w:rPr>
          <w:rFonts w:cs="Times New Roman"/>
        </w:rPr>
      </w:pPr>
      <w:r>
        <w:rPr>
          <w:rFonts w:cs="Times New Roman"/>
        </w:rPr>
        <w:t>项目管道开挖、钻井施工过程中会产生施工扬尘散逸到周围环境空气中。同时，临时土方堆放期间由于风速将引起扬尘污染，尤其是在风速较大或汽车行驶速度较快的情况下，影响范围较大，其中尤以粒径较小的降尘（10～20μm）污染最为严重。</w:t>
      </w:r>
    </w:p>
    <w:p w14:paraId="1D579958">
      <w:pPr>
        <w:ind w:firstLine="519"/>
        <w:rPr>
          <w:rFonts w:cs="Times New Roman"/>
        </w:rPr>
      </w:pPr>
      <w:r>
        <w:rPr>
          <w:rFonts w:cs="Times New Roman"/>
        </w:rPr>
        <w:t>根据类比调查，施工现场上风向50m范围内TSP浓度约0.3mg/m</w:t>
      </w:r>
      <w:r>
        <w:rPr>
          <w:rFonts w:cs="Times New Roman"/>
          <w:vertAlign w:val="superscript"/>
        </w:rPr>
        <w:t>3</w:t>
      </w:r>
      <w:r>
        <w:rPr>
          <w:rFonts w:cs="Times New Roman"/>
        </w:rPr>
        <w:t>，施工工地内TSP浓度约为0.6～0.8mg/m</w:t>
      </w:r>
      <w:r>
        <w:rPr>
          <w:rFonts w:cs="Times New Roman"/>
          <w:vertAlign w:val="superscript"/>
        </w:rPr>
        <w:t>3</w:t>
      </w:r>
      <w:r>
        <w:rPr>
          <w:rFonts w:cs="Times New Roman"/>
        </w:rPr>
        <w:t>。下风向50m处TSP浓度约为0.45～0.5mg/m</w:t>
      </w:r>
      <w:r>
        <w:rPr>
          <w:rFonts w:cs="Times New Roman"/>
          <w:vertAlign w:val="superscript"/>
        </w:rPr>
        <w:t>3</w:t>
      </w:r>
      <w:r>
        <w:rPr>
          <w:rFonts w:cs="Times New Roman"/>
        </w:rPr>
        <w:t>，100m处TSP浓度约为0.35～0.38mg/m</w:t>
      </w:r>
      <w:r>
        <w:rPr>
          <w:rFonts w:cs="Times New Roman"/>
          <w:vertAlign w:val="superscript"/>
        </w:rPr>
        <w:t>3</w:t>
      </w:r>
      <w:r>
        <w:rPr>
          <w:rFonts w:cs="Times New Roman"/>
        </w:rPr>
        <w:t>，150m处TSP浓度约为0.25～0.28mg/m</w:t>
      </w:r>
      <w:r>
        <w:rPr>
          <w:rFonts w:cs="Times New Roman"/>
          <w:vertAlign w:val="superscript"/>
        </w:rPr>
        <w:t>3</w:t>
      </w:r>
      <w:r>
        <w:rPr>
          <w:rFonts w:cs="Times New Roman"/>
        </w:rPr>
        <w:t>，一般至150m处能够符合环境空气质量标准二级标准。</w:t>
      </w:r>
    </w:p>
    <w:p w14:paraId="4B786688">
      <w:pPr>
        <w:ind w:firstLine="519"/>
        <w:rPr>
          <w:rFonts w:cs="Times New Roman"/>
        </w:rPr>
      </w:pPr>
      <w:r>
        <w:rPr>
          <w:rFonts w:cs="Times New Roman"/>
        </w:rPr>
        <w:t>（2）动力机械尾气和汽车尾气</w:t>
      </w:r>
    </w:p>
    <w:p w14:paraId="1FE4B396">
      <w:pPr>
        <w:ind w:firstLine="519"/>
        <w:rPr>
          <w:rFonts w:cs="Times New Roman"/>
        </w:rPr>
      </w:pPr>
      <w:r>
        <w:rPr>
          <w:rFonts w:cs="Times New Roman"/>
        </w:rPr>
        <w:t>工程钻井施工中会使用一些燃油动力机械，燃油动力机械使用过程中会无组织排放燃油废气，车辆运输过程中也会产生汽车尾气，这些废气中的主要污染物有NO</w:t>
      </w:r>
      <w:r>
        <w:rPr>
          <w:rFonts w:cs="Times New Roman"/>
          <w:vertAlign w:val="subscript"/>
        </w:rPr>
        <w:t>2</w:t>
      </w:r>
      <w:r>
        <w:rPr>
          <w:rFonts w:cs="Times New Roman"/>
        </w:rPr>
        <w:t>、CO、SO</w:t>
      </w:r>
      <w:r>
        <w:rPr>
          <w:rFonts w:cs="Times New Roman"/>
          <w:vertAlign w:val="subscript"/>
        </w:rPr>
        <w:t>2</w:t>
      </w:r>
      <w:r>
        <w:rPr>
          <w:rFonts w:cs="Times New Roman"/>
        </w:rPr>
        <w:t>和THC等。</w:t>
      </w:r>
    </w:p>
    <w:p w14:paraId="7DF45F64">
      <w:pPr>
        <w:ind w:firstLine="519"/>
        <w:rPr>
          <w:rFonts w:cs="Times New Roman"/>
        </w:rPr>
      </w:pPr>
      <w:r>
        <w:rPr>
          <w:rFonts w:cs="Times New Roman"/>
        </w:rPr>
        <w:t>（3）道路扬尘</w:t>
      </w:r>
    </w:p>
    <w:p w14:paraId="7748145A">
      <w:pPr>
        <w:ind w:firstLine="519"/>
        <w:rPr>
          <w:rFonts w:cs="Times New Roman"/>
        </w:rPr>
      </w:pPr>
      <w:r>
        <w:rPr>
          <w:rFonts w:cs="Times New Roman"/>
        </w:rPr>
        <w:t>施工期施工运输车辆的往来将产生道路二次扬尘污染，根据类似施工现场汽车运输引起的扬尘现场监测结果，运输车辆下风向50m处TSP的浓度为11.625mg/m</w:t>
      </w:r>
      <w:r>
        <w:rPr>
          <w:rFonts w:cs="Times New Roman"/>
          <w:vertAlign w:val="superscript"/>
        </w:rPr>
        <w:t>3</w:t>
      </w:r>
      <w:r>
        <w:rPr>
          <w:rFonts w:cs="Times New Roman"/>
        </w:rPr>
        <w:t>；下风向100m处TSP的浓度为9.694mg/m</w:t>
      </w:r>
      <w:r>
        <w:rPr>
          <w:rFonts w:cs="Times New Roman"/>
          <w:vertAlign w:val="superscript"/>
        </w:rPr>
        <w:t>3</w:t>
      </w:r>
      <w:r>
        <w:rPr>
          <w:rFonts w:cs="Times New Roman"/>
        </w:rPr>
        <w:t>；下风向150m处TSP的浓度为5.093mg/m</w:t>
      </w:r>
      <w:r>
        <w:rPr>
          <w:rFonts w:cs="Times New Roman"/>
          <w:vertAlign w:val="superscript"/>
        </w:rPr>
        <w:t>3</w:t>
      </w:r>
      <w:r>
        <w:rPr>
          <w:rFonts w:cs="Times New Roman"/>
        </w:rPr>
        <w:t>，超过环境空气质量二级标准。但扬尘浓度随距离的增加而快速下降，下风向200m以外影响大大减小。</w:t>
      </w:r>
      <w:bookmarkStart w:id="516" w:name="_Hlk11243449"/>
      <w:r>
        <w:rPr>
          <w:rFonts w:cs="Times New Roman"/>
        </w:rPr>
        <w:t>施工期采取道路洒水降尘，车辆进出施工区对车辆进行冲洗等措施，可使施工期道路扬尘大大减少。</w:t>
      </w:r>
      <w:bookmarkEnd w:id="516"/>
    </w:p>
    <w:p w14:paraId="2B6914BC">
      <w:pPr>
        <w:pStyle w:val="2"/>
        <w:ind w:firstLine="519"/>
        <w:rPr>
          <w:rFonts w:cs="Times New Roman"/>
        </w:rPr>
      </w:pPr>
      <w:r>
        <w:rPr>
          <w:rFonts w:cs="Times New Roman"/>
        </w:rPr>
        <w:t>（4）管道焊接废气</w:t>
      </w:r>
    </w:p>
    <w:p w14:paraId="76499E79">
      <w:pPr>
        <w:pStyle w:val="3"/>
        <w:ind w:firstLine="519"/>
        <w:rPr>
          <w:rFonts w:cs="Times New Roman"/>
        </w:rPr>
      </w:pPr>
      <w:r>
        <w:rPr>
          <w:rFonts w:cs="Times New Roman"/>
        </w:rPr>
        <w:t>本项目外购成型无缝钢管，管道防腐采用厂内预制和现场焊接后补口的施工流程，埋地敷设后需进行焊接组装。管道焊接过程中会产生焊接烟尘及少量有机废气，呈无组织排放。</w:t>
      </w:r>
    </w:p>
    <w:p w14:paraId="4AB6B68A">
      <w:pPr>
        <w:pStyle w:val="8"/>
        <w:keepNext w:val="0"/>
        <w:keepLines w:val="0"/>
        <w:tabs>
          <w:tab w:val="left" w:pos="0"/>
          <w:tab w:val="left" w:pos="578"/>
          <w:tab w:val="left" w:pos="624"/>
        </w:tabs>
        <w:overflowPunct w:val="0"/>
        <w:autoSpaceDE w:val="0"/>
        <w:autoSpaceDN w:val="0"/>
        <w:adjustRightInd/>
        <w:snapToGrid/>
        <w:spacing w:before="31" w:after="31" w:line="336" w:lineRule="auto"/>
        <w:ind w:left="521" w:firstLine="0" w:firstLineChars="0"/>
        <w:textAlignment w:val="baseline"/>
        <w:rPr>
          <w:rFonts w:cs="Times New Roman"/>
          <w:szCs w:val="24"/>
        </w:rPr>
      </w:pPr>
      <w:r>
        <w:rPr>
          <w:rFonts w:cs="Times New Roman"/>
        </w:rPr>
        <w:t xml:space="preserve">4.6.1.2 </w:t>
      </w:r>
      <w:r>
        <w:rPr>
          <w:rFonts w:cs="Times New Roman"/>
          <w:szCs w:val="24"/>
        </w:rPr>
        <w:t>废水</w:t>
      </w:r>
    </w:p>
    <w:p w14:paraId="38A85B0C">
      <w:pPr>
        <w:ind w:firstLine="519"/>
        <w:rPr>
          <w:rFonts w:cs="Times New Roman"/>
        </w:rPr>
      </w:pPr>
      <w:r>
        <w:rPr>
          <w:rFonts w:cs="Times New Roman"/>
        </w:rPr>
        <w:t>本项目施工期废水主要为施工废水和施工人员生活污水。</w:t>
      </w:r>
    </w:p>
    <w:p w14:paraId="25636ACF">
      <w:pPr>
        <w:ind w:firstLine="519"/>
        <w:rPr>
          <w:rFonts w:cs="Times New Roman"/>
        </w:rPr>
      </w:pPr>
      <w:r>
        <w:rPr>
          <w:rFonts w:cs="Times New Roman"/>
        </w:rPr>
        <w:t>（1）施工废水</w:t>
      </w:r>
    </w:p>
    <w:p w14:paraId="5E9E42E3">
      <w:pPr>
        <w:ind w:firstLine="519"/>
        <w:rPr>
          <w:rFonts w:cs="Times New Roman"/>
        </w:rPr>
      </w:pPr>
      <w:r>
        <w:rPr>
          <w:rFonts w:cs="Times New Roman"/>
        </w:rPr>
        <w:t>本项目施工废水包含两部分，分别为卤井、管道施工过程产生</w:t>
      </w:r>
      <w:r>
        <w:rPr>
          <w:rFonts w:hint="eastAsia" w:cs="Times New Roman"/>
        </w:rPr>
        <w:t>。</w:t>
      </w:r>
      <w:r>
        <w:rPr>
          <w:rFonts w:cs="Times New Roman"/>
        </w:rPr>
        <w:t>其中</w:t>
      </w:r>
      <w:bookmarkStart w:id="517" w:name="_Hlk89187866"/>
      <w:r>
        <w:rPr>
          <w:rFonts w:cs="Times New Roman"/>
        </w:rPr>
        <w:t>卤井施工过程中钻井、固井、洗井等工序</w:t>
      </w:r>
      <w:bookmarkEnd w:id="517"/>
      <w:r>
        <w:rPr>
          <w:rFonts w:cs="Times New Roman"/>
        </w:rPr>
        <w:t>均会产生泥浆，</w:t>
      </w:r>
      <w:bookmarkStart w:id="518" w:name="_Hlk89187884"/>
      <w:r>
        <w:rPr>
          <w:rFonts w:cs="Times New Roman"/>
        </w:rPr>
        <w:t>管道施工过程中会产生</w:t>
      </w:r>
      <w:bookmarkStart w:id="519" w:name="_Hlk90306192"/>
      <w:bookmarkStart w:id="520" w:name="_Hlk88813599"/>
      <w:r>
        <w:rPr>
          <w:rFonts w:cs="Times New Roman"/>
        </w:rPr>
        <w:t>管道清扫和试压</w:t>
      </w:r>
      <w:bookmarkEnd w:id="519"/>
      <w:r>
        <w:rPr>
          <w:rFonts w:cs="Times New Roman"/>
        </w:rPr>
        <w:t>废水</w:t>
      </w:r>
      <w:bookmarkEnd w:id="520"/>
      <w:r>
        <w:rPr>
          <w:rFonts w:cs="Times New Roman"/>
        </w:rPr>
        <w:t>。</w:t>
      </w:r>
    </w:p>
    <w:p w14:paraId="677AF6AA">
      <w:pPr>
        <w:ind w:firstLine="519"/>
        <w:rPr>
          <w:rFonts w:cs="Times New Roman"/>
        </w:rPr>
      </w:pPr>
      <w:r>
        <w:rPr>
          <w:rFonts w:hint="eastAsia" w:cs="Times New Roman"/>
        </w:rPr>
        <w:t>根据类比分析，每钻进1m平均产生钻井废水约为0.3m</w:t>
      </w:r>
      <w:r>
        <w:rPr>
          <w:rFonts w:hint="eastAsia" w:cs="Times New Roman"/>
          <w:vertAlign w:val="superscript"/>
        </w:rPr>
        <w:t>3</w:t>
      </w:r>
      <w:r>
        <w:rPr>
          <w:rFonts w:hint="eastAsia" w:cs="Times New Roman"/>
        </w:rPr>
        <w:t>；根据建设单位提供的资料，项目钻井总进尺约3</w:t>
      </w:r>
      <w:r>
        <w:rPr>
          <w:rFonts w:cs="Times New Roman"/>
        </w:rPr>
        <w:t>917.5</w:t>
      </w:r>
      <w:r>
        <w:rPr>
          <w:rFonts w:hint="eastAsia" w:cs="Times New Roman"/>
        </w:rPr>
        <w:t>m，则钻井废水产生量为</w:t>
      </w:r>
      <w:r>
        <w:rPr>
          <w:rFonts w:cs="Times New Roman"/>
        </w:rPr>
        <w:t>1175.25</w:t>
      </w:r>
      <w:r>
        <w:rPr>
          <w:rFonts w:hint="eastAsia" w:cs="Times New Roman"/>
        </w:rPr>
        <w:t>m</w:t>
      </w:r>
      <w:r>
        <w:rPr>
          <w:rFonts w:hint="eastAsia" w:cs="Times New Roman"/>
          <w:vertAlign w:val="superscript"/>
        </w:rPr>
        <w:t>3</w:t>
      </w:r>
      <w:r>
        <w:rPr>
          <w:rFonts w:hint="eastAsia" w:cs="Times New Roman"/>
        </w:rPr>
        <w:t>。</w:t>
      </w:r>
      <w:bookmarkEnd w:id="518"/>
      <w:r>
        <w:rPr>
          <w:rFonts w:hint="eastAsia" w:cs="Times New Roman"/>
        </w:rPr>
        <w:t>根据类比资料，每次洗井产生废水量约为110m</w:t>
      </w:r>
      <w:r>
        <w:rPr>
          <w:rFonts w:hint="eastAsia" w:cs="Times New Roman"/>
          <w:vertAlign w:val="superscript"/>
        </w:rPr>
        <w:t>3</w:t>
      </w:r>
      <w:r>
        <w:rPr>
          <w:rFonts w:hint="eastAsia" w:cs="Times New Roman"/>
        </w:rPr>
        <w:t>/口，本项目共有4口井，则洗井废水产生量为440m</w:t>
      </w:r>
      <w:r>
        <w:rPr>
          <w:rFonts w:hint="eastAsia" w:cs="Times New Roman"/>
          <w:vertAlign w:val="superscript"/>
        </w:rPr>
        <w:t>3</w:t>
      </w:r>
      <w:r>
        <w:rPr>
          <w:rFonts w:hint="eastAsia" w:cs="Times New Roman"/>
        </w:rPr>
        <w:t>。卤井固井采用水泥固井，水泥浆按要求返至地面，固井过程产生废水仅为套管外壁与井壁之间钻井液，产生量较少，水质与钻井废水类似。</w:t>
      </w:r>
      <w:bookmarkStart w:id="521" w:name="_Hlk90307699"/>
      <w:r>
        <w:rPr>
          <w:rFonts w:hint="eastAsia" w:cs="Times New Roman"/>
        </w:rPr>
        <w:t>管道清扫、试压</w:t>
      </w:r>
      <w:bookmarkEnd w:id="521"/>
      <w:r>
        <w:rPr>
          <w:rFonts w:hint="eastAsia" w:cs="Times New Roman"/>
        </w:rPr>
        <w:t>分段进行，用水量一般为整个管道容积的1</w:t>
      </w:r>
      <w:r>
        <w:rPr>
          <w:rFonts w:cs="Times New Roman"/>
        </w:rPr>
        <w:t>.2</w:t>
      </w:r>
      <w:r>
        <w:rPr>
          <w:rFonts w:hint="eastAsia" w:cs="Times New Roman"/>
        </w:rPr>
        <w:t>倍，本项目新建管线总容积约为</w:t>
      </w:r>
      <w:bookmarkStart w:id="522" w:name="_Hlk90979347"/>
      <w:r>
        <w:rPr>
          <w:rFonts w:hint="eastAsia" w:cs="Times New Roman"/>
        </w:rPr>
        <w:t>1</w:t>
      </w:r>
      <w:r>
        <w:rPr>
          <w:rFonts w:cs="Times New Roman"/>
        </w:rPr>
        <w:t>03.1</w:t>
      </w:r>
      <w:bookmarkStart w:id="523" w:name="_Hlk90307682"/>
      <w:r>
        <w:rPr>
          <w:rFonts w:cs="Times New Roman"/>
        </w:rPr>
        <w:t>m</w:t>
      </w:r>
      <w:r>
        <w:rPr>
          <w:rFonts w:cs="Times New Roman"/>
          <w:vertAlign w:val="superscript"/>
        </w:rPr>
        <w:t>3</w:t>
      </w:r>
      <w:bookmarkEnd w:id="522"/>
      <w:bookmarkEnd w:id="523"/>
      <w:r>
        <w:rPr>
          <w:rFonts w:hint="eastAsia" w:cs="Times New Roman"/>
        </w:rPr>
        <w:t>，管道清扫、试压废水产生量约为1</w:t>
      </w:r>
      <w:r>
        <w:rPr>
          <w:rFonts w:cs="Times New Roman"/>
        </w:rPr>
        <w:t>23.7m</w:t>
      </w:r>
      <w:r>
        <w:rPr>
          <w:rFonts w:cs="Times New Roman"/>
          <w:vertAlign w:val="superscript"/>
        </w:rPr>
        <w:t>3</w:t>
      </w:r>
      <w:r>
        <w:rPr>
          <w:rFonts w:hint="eastAsia" w:cs="Times New Roman"/>
        </w:rPr>
        <w:t>，废水中除含有少量泥沙外，无其他污染物。</w:t>
      </w:r>
    </w:p>
    <w:p w14:paraId="57AC9384">
      <w:pPr>
        <w:ind w:firstLine="519"/>
        <w:rPr>
          <w:rFonts w:cs="Times New Roman"/>
        </w:rPr>
      </w:pPr>
      <w:r>
        <w:rPr>
          <w:rFonts w:cs="Times New Roman"/>
        </w:rPr>
        <w:t>卤井施工场地修建有防污沟，卤井及管道施工现场设有循环水池，施工过程中泥浆</w:t>
      </w:r>
      <w:r>
        <w:rPr>
          <w:rFonts w:hint="eastAsia" w:cs="Times New Roman"/>
        </w:rPr>
        <w:t>废水</w:t>
      </w:r>
      <w:r>
        <w:rPr>
          <w:rFonts w:cs="Times New Roman"/>
        </w:rPr>
        <w:t>及管道清扫和试压废水经沉淀处理后回用于施工生产，不外排。施工完成后，废水上清液回流井内。</w:t>
      </w:r>
    </w:p>
    <w:p w14:paraId="0309418D">
      <w:pPr>
        <w:ind w:firstLine="519"/>
        <w:rPr>
          <w:rFonts w:cs="Times New Roman"/>
        </w:rPr>
      </w:pPr>
      <w:r>
        <w:rPr>
          <w:rFonts w:cs="Times New Roman"/>
        </w:rPr>
        <w:t>（2）施工人员生活污水</w:t>
      </w:r>
    </w:p>
    <w:p w14:paraId="2715B9EC">
      <w:pPr>
        <w:ind w:firstLine="519"/>
        <w:rPr>
          <w:rFonts w:cs="Times New Roman"/>
        </w:rPr>
      </w:pPr>
      <w:r>
        <w:rPr>
          <w:rFonts w:cs="Times New Roman"/>
        </w:rPr>
        <w:t>本项目施工高峰期施工人员数量约50人，按人均日用水量100L，产污系数80%计，则日产生活污水量为4m</w:t>
      </w:r>
      <w:r>
        <w:rPr>
          <w:rFonts w:cs="Times New Roman"/>
          <w:vertAlign w:val="superscript"/>
        </w:rPr>
        <w:t>3</w:t>
      </w:r>
      <w:r>
        <w:rPr>
          <w:rFonts w:cs="Times New Roman"/>
        </w:rPr>
        <w:t>/d。生活污水主要污染物为COD、SS、NH</w:t>
      </w:r>
      <w:r>
        <w:rPr>
          <w:rFonts w:cs="Times New Roman"/>
          <w:vertAlign w:val="subscript"/>
        </w:rPr>
        <w:t>3</w:t>
      </w:r>
      <w:r>
        <w:rPr>
          <w:rFonts w:cs="Times New Roman"/>
        </w:rPr>
        <w:t>-N。施工人员生活废水依托周边</w:t>
      </w:r>
      <w:bookmarkStart w:id="524" w:name="_Hlk89188237"/>
      <w:r>
        <w:rPr>
          <w:rFonts w:cs="Times New Roman"/>
        </w:rPr>
        <w:t>化粪池处理</w:t>
      </w:r>
      <w:bookmarkEnd w:id="524"/>
      <w:r>
        <w:rPr>
          <w:rFonts w:cs="Times New Roman"/>
        </w:rPr>
        <w:t>。</w:t>
      </w:r>
    </w:p>
    <w:p w14:paraId="7B2C64D4">
      <w:pPr>
        <w:pStyle w:val="8"/>
        <w:keepNext w:val="0"/>
        <w:keepLines w:val="0"/>
        <w:tabs>
          <w:tab w:val="left" w:pos="0"/>
          <w:tab w:val="left" w:pos="578"/>
          <w:tab w:val="left" w:pos="624"/>
        </w:tabs>
        <w:overflowPunct w:val="0"/>
        <w:autoSpaceDE w:val="0"/>
        <w:autoSpaceDN w:val="0"/>
        <w:adjustRightInd/>
        <w:snapToGrid/>
        <w:spacing w:before="31" w:after="31" w:line="336" w:lineRule="auto"/>
        <w:ind w:left="521" w:firstLine="0" w:firstLineChars="0"/>
        <w:textAlignment w:val="baseline"/>
        <w:rPr>
          <w:rFonts w:cs="Times New Roman"/>
          <w:szCs w:val="24"/>
        </w:rPr>
      </w:pPr>
      <w:r>
        <w:rPr>
          <w:rFonts w:cs="Times New Roman"/>
        </w:rPr>
        <w:t xml:space="preserve">4.6.1.3 </w:t>
      </w:r>
      <w:r>
        <w:rPr>
          <w:rFonts w:cs="Times New Roman"/>
          <w:szCs w:val="24"/>
        </w:rPr>
        <w:t>噪声</w:t>
      </w:r>
    </w:p>
    <w:p w14:paraId="417D4C09">
      <w:pPr>
        <w:ind w:firstLine="519"/>
        <w:rPr>
          <w:rFonts w:cs="Times New Roman"/>
        </w:rPr>
      </w:pPr>
      <w:r>
        <w:rPr>
          <w:rFonts w:cs="Times New Roman"/>
        </w:rPr>
        <w:t>施工机械噪声主要来源于井场施工、管道敷设等过程。井场施工中主要噪声源为钻井设备、柴油发电机、泥浆泵等，管道敷设中主要噪声源为挖掘机、起重机、推土机、电焊机、切割机等，建筑施工的机械作业一般属于露天作业，其噪声传播距离远，影响范围大，是重要的临时性声源。根据类比资料，施工期主要噪声源源强见下表：</w:t>
      </w:r>
    </w:p>
    <w:p w14:paraId="5FF6B130">
      <w:pPr>
        <w:pStyle w:val="9"/>
        <w:rPr>
          <w:sz w:val="7"/>
        </w:rPr>
      </w:pPr>
      <w:r>
        <w:t>表4.6-2  施工期主要噪声设备噪声强度</w:t>
      </w:r>
    </w:p>
    <w:tbl>
      <w:tblPr>
        <w:tblStyle w:val="29"/>
        <w:tblW w:w="852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50"/>
        <w:gridCol w:w="2535"/>
        <w:gridCol w:w="1918"/>
        <w:gridCol w:w="3222"/>
      </w:tblGrid>
      <w:tr w14:paraId="00AE84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50" w:type="dxa"/>
            <w:shd w:val="clear" w:color="auto" w:fill="auto"/>
            <w:vAlign w:val="center"/>
          </w:tcPr>
          <w:p w14:paraId="1DC96165">
            <w:pPr>
              <w:pStyle w:val="48"/>
            </w:pPr>
            <w:r>
              <w:t>序号</w:t>
            </w:r>
          </w:p>
        </w:tc>
        <w:tc>
          <w:tcPr>
            <w:tcW w:w="2535" w:type="dxa"/>
            <w:shd w:val="clear" w:color="auto" w:fill="auto"/>
            <w:vAlign w:val="center"/>
          </w:tcPr>
          <w:p w14:paraId="5C418340">
            <w:pPr>
              <w:pStyle w:val="48"/>
            </w:pPr>
            <w:r>
              <w:t>名称</w:t>
            </w:r>
          </w:p>
        </w:tc>
        <w:tc>
          <w:tcPr>
            <w:tcW w:w="1918" w:type="dxa"/>
            <w:shd w:val="clear" w:color="auto" w:fill="auto"/>
            <w:vAlign w:val="center"/>
          </w:tcPr>
          <w:p w14:paraId="059AD1AE">
            <w:pPr>
              <w:pStyle w:val="48"/>
            </w:pPr>
            <w:r>
              <w:t>噪声级 dB（A）</w:t>
            </w:r>
          </w:p>
        </w:tc>
        <w:tc>
          <w:tcPr>
            <w:tcW w:w="3222" w:type="dxa"/>
            <w:shd w:val="clear" w:color="auto" w:fill="auto"/>
            <w:vAlign w:val="center"/>
          </w:tcPr>
          <w:p w14:paraId="4376943F">
            <w:pPr>
              <w:pStyle w:val="48"/>
            </w:pPr>
            <w:r>
              <w:t>测点距施工机械距离（m）</w:t>
            </w:r>
          </w:p>
        </w:tc>
      </w:tr>
      <w:tr w14:paraId="2B77F9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50" w:type="dxa"/>
            <w:shd w:val="clear" w:color="auto" w:fill="auto"/>
            <w:vAlign w:val="center"/>
          </w:tcPr>
          <w:p w14:paraId="22B04E9F">
            <w:pPr>
              <w:pStyle w:val="48"/>
            </w:pPr>
            <w:r>
              <w:t>1</w:t>
            </w:r>
          </w:p>
        </w:tc>
        <w:tc>
          <w:tcPr>
            <w:tcW w:w="2535" w:type="dxa"/>
            <w:shd w:val="clear" w:color="auto" w:fill="auto"/>
            <w:vAlign w:val="center"/>
          </w:tcPr>
          <w:p w14:paraId="551DC25A">
            <w:pPr>
              <w:pStyle w:val="48"/>
            </w:pPr>
            <w:r>
              <w:t>推土机</w:t>
            </w:r>
          </w:p>
        </w:tc>
        <w:tc>
          <w:tcPr>
            <w:tcW w:w="1918" w:type="dxa"/>
            <w:shd w:val="clear" w:color="auto" w:fill="auto"/>
            <w:vAlign w:val="center"/>
          </w:tcPr>
          <w:p w14:paraId="56D8FDFE">
            <w:pPr>
              <w:pStyle w:val="48"/>
            </w:pPr>
            <w:r>
              <w:t>86</w:t>
            </w:r>
          </w:p>
        </w:tc>
        <w:tc>
          <w:tcPr>
            <w:tcW w:w="3222" w:type="dxa"/>
            <w:shd w:val="clear" w:color="auto" w:fill="auto"/>
            <w:vAlign w:val="center"/>
          </w:tcPr>
          <w:p w14:paraId="4CA8BCD6">
            <w:pPr>
              <w:pStyle w:val="48"/>
            </w:pPr>
            <w:r>
              <w:t>5</w:t>
            </w:r>
          </w:p>
        </w:tc>
      </w:tr>
      <w:tr w14:paraId="17C390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50" w:type="dxa"/>
            <w:shd w:val="clear" w:color="auto" w:fill="auto"/>
            <w:vAlign w:val="center"/>
          </w:tcPr>
          <w:p w14:paraId="39A462AC">
            <w:pPr>
              <w:pStyle w:val="48"/>
            </w:pPr>
            <w:r>
              <w:t>2</w:t>
            </w:r>
          </w:p>
        </w:tc>
        <w:tc>
          <w:tcPr>
            <w:tcW w:w="2535" w:type="dxa"/>
            <w:shd w:val="clear" w:color="auto" w:fill="auto"/>
            <w:vAlign w:val="center"/>
          </w:tcPr>
          <w:p w14:paraId="0692C7BD">
            <w:pPr>
              <w:pStyle w:val="48"/>
            </w:pPr>
            <w:r>
              <w:t>挖掘机</w:t>
            </w:r>
          </w:p>
        </w:tc>
        <w:tc>
          <w:tcPr>
            <w:tcW w:w="1918" w:type="dxa"/>
            <w:shd w:val="clear" w:color="auto" w:fill="auto"/>
            <w:vAlign w:val="center"/>
          </w:tcPr>
          <w:p w14:paraId="66E17316">
            <w:pPr>
              <w:pStyle w:val="48"/>
            </w:pPr>
            <w:r>
              <w:t>84</w:t>
            </w:r>
          </w:p>
        </w:tc>
        <w:tc>
          <w:tcPr>
            <w:tcW w:w="3222" w:type="dxa"/>
            <w:shd w:val="clear" w:color="auto" w:fill="auto"/>
            <w:vAlign w:val="center"/>
          </w:tcPr>
          <w:p w14:paraId="32C8A22B">
            <w:pPr>
              <w:pStyle w:val="48"/>
            </w:pPr>
            <w:r>
              <w:t>5</w:t>
            </w:r>
          </w:p>
        </w:tc>
      </w:tr>
      <w:tr w14:paraId="456148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50" w:type="dxa"/>
            <w:shd w:val="clear" w:color="auto" w:fill="auto"/>
            <w:vAlign w:val="center"/>
          </w:tcPr>
          <w:p w14:paraId="45466126">
            <w:pPr>
              <w:pStyle w:val="48"/>
            </w:pPr>
            <w:r>
              <w:t>3</w:t>
            </w:r>
          </w:p>
        </w:tc>
        <w:tc>
          <w:tcPr>
            <w:tcW w:w="2535" w:type="dxa"/>
            <w:shd w:val="clear" w:color="auto" w:fill="auto"/>
            <w:vAlign w:val="center"/>
          </w:tcPr>
          <w:p w14:paraId="0078EC3A">
            <w:pPr>
              <w:pStyle w:val="48"/>
            </w:pPr>
            <w:r>
              <w:t>起重机</w:t>
            </w:r>
          </w:p>
        </w:tc>
        <w:tc>
          <w:tcPr>
            <w:tcW w:w="1918" w:type="dxa"/>
            <w:shd w:val="clear" w:color="auto" w:fill="auto"/>
            <w:vAlign w:val="center"/>
          </w:tcPr>
          <w:p w14:paraId="3E4AA101">
            <w:pPr>
              <w:pStyle w:val="48"/>
            </w:pPr>
            <w:r>
              <w:t>75</w:t>
            </w:r>
          </w:p>
        </w:tc>
        <w:tc>
          <w:tcPr>
            <w:tcW w:w="3222" w:type="dxa"/>
            <w:shd w:val="clear" w:color="auto" w:fill="auto"/>
            <w:vAlign w:val="center"/>
          </w:tcPr>
          <w:p w14:paraId="78AB11DD">
            <w:pPr>
              <w:pStyle w:val="48"/>
            </w:pPr>
            <w:r>
              <w:t>5</w:t>
            </w:r>
          </w:p>
        </w:tc>
      </w:tr>
      <w:tr w14:paraId="518B73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50" w:type="dxa"/>
            <w:shd w:val="clear" w:color="auto" w:fill="auto"/>
            <w:vAlign w:val="center"/>
          </w:tcPr>
          <w:p w14:paraId="472FC7C6">
            <w:pPr>
              <w:pStyle w:val="48"/>
            </w:pPr>
            <w:r>
              <w:t>4</w:t>
            </w:r>
          </w:p>
        </w:tc>
        <w:tc>
          <w:tcPr>
            <w:tcW w:w="2535" w:type="dxa"/>
            <w:shd w:val="clear" w:color="auto" w:fill="auto"/>
            <w:vAlign w:val="center"/>
          </w:tcPr>
          <w:p w14:paraId="5180FF6B">
            <w:pPr>
              <w:pStyle w:val="48"/>
            </w:pPr>
            <w:r>
              <w:t>电焊机</w:t>
            </w:r>
          </w:p>
        </w:tc>
        <w:tc>
          <w:tcPr>
            <w:tcW w:w="1918" w:type="dxa"/>
            <w:shd w:val="clear" w:color="auto" w:fill="auto"/>
            <w:vAlign w:val="center"/>
          </w:tcPr>
          <w:p w14:paraId="330DA55F">
            <w:pPr>
              <w:pStyle w:val="48"/>
            </w:pPr>
            <w:r>
              <w:t>87</w:t>
            </w:r>
          </w:p>
        </w:tc>
        <w:tc>
          <w:tcPr>
            <w:tcW w:w="3222" w:type="dxa"/>
            <w:shd w:val="clear" w:color="auto" w:fill="auto"/>
            <w:vAlign w:val="center"/>
          </w:tcPr>
          <w:p w14:paraId="689671D5">
            <w:pPr>
              <w:pStyle w:val="48"/>
            </w:pPr>
            <w:r>
              <w:t>1</w:t>
            </w:r>
          </w:p>
        </w:tc>
      </w:tr>
      <w:tr w14:paraId="3AC3D6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50" w:type="dxa"/>
            <w:shd w:val="clear" w:color="auto" w:fill="auto"/>
            <w:vAlign w:val="center"/>
          </w:tcPr>
          <w:p w14:paraId="63E394AA">
            <w:pPr>
              <w:pStyle w:val="48"/>
            </w:pPr>
            <w:r>
              <w:t>5</w:t>
            </w:r>
          </w:p>
        </w:tc>
        <w:tc>
          <w:tcPr>
            <w:tcW w:w="2535" w:type="dxa"/>
            <w:shd w:val="clear" w:color="auto" w:fill="auto"/>
            <w:vAlign w:val="center"/>
          </w:tcPr>
          <w:p w14:paraId="6D264781">
            <w:pPr>
              <w:pStyle w:val="48"/>
            </w:pPr>
            <w:r>
              <w:t>切割机</w:t>
            </w:r>
          </w:p>
        </w:tc>
        <w:tc>
          <w:tcPr>
            <w:tcW w:w="1918" w:type="dxa"/>
            <w:shd w:val="clear" w:color="auto" w:fill="auto"/>
            <w:vAlign w:val="center"/>
          </w:tcPr>
          <w:p w14:paraId="69C116A1">
            <w:pPr>
              <w:pStyle w:val="48"/>
            </w:pPr>
            <w:r>
              <w:t>89</w:t>
            </w:r>
          </w:p>
        </w:tc>
        <w:tc>
          <w:tcPr>
            <w:tcW w:w="3222" w:type="dxa"/>
            <w:shd w:val="clear" w:color="auto" w:fill="auto"/>
            <w:vAlign w:val="center"/>
          </w:tcPr>
          <w:p w14:paraId="1E21D5F8">
            <w:pPr>
              <w:pStyle w:val="48"/>
            </w:pPr>
            <w:r>
              <w:t>1</w:t>
            </w:r>
          </w:p>
        </w:tc>
      </w:tr>
      <w:tr w14:paraId="555001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50" w:type="dxa"/>
            <w:shd w:val="clear" w:color="auto" w:fill="auto"/>
            <w:vAlign w:val="center"/>
          </w:tcPr>
          <w:p w14:paraId="026AA567">
            <w:pPr>
              <w:pStyle w:val="48"/>
            </w:pPr>
            <w:r>
              <w:t>6</w:t>
            </w:r>
          </w:p>
        </w:tc>
        <w:tc>
          <w:tcPr>
            <w:tcW w:w="2535" w:type="dxa"/>
            <w:shd w:val="clear" w:color="auto" w:fill="auto"/>
            <w:vAlign w:val="center"/>
          </w:tcPr>
          <w:p w14:paraId="4F355776">
            <w:pPr>
              <w:pStyle w:val="48"/>
            </w:pPr>
            <w:r>
              <w:t>钻井设备</w:t>
            </w:r>
          </w:p>
        </w:tc>
        <w:tc>
          <w:tcPr>
            <w:tcW w:w="1918" w:type="dxa"/>
            <w:shd w:val="clear" w:color="auto" w:fill="auto"/>
            <w:vAlign w:val="center"/>
          </w:tcPr>
          <w:p w14:paraId="00BBACD4">
            <w:pPr>
              <w:pStyle w:val="48"/>
            </w:pPr>
            <w:r>
              <w:t>79</w:t>
            </w:r>
          </w:p>
        </w:tc>
        <w:tc>
          <w:tcPr>
            <w:tcW w:w="3222" w:type="dxa"/>
            <w:shd w:val="clear" w:color="auto" w:fill="auto"/>
            <w:vAlign w:val="center"/>
          </w:tcPr>
          <w:p w14:paraId="532BB6BC">
            <w:pPr>
              <w:pStyle w:val="48"/>
            </w:pPr>
            <w:r>
              <w:t>3</w:t>
            </w:r>
          </w:p>
        </w:tc>
      </w:tr>
      <w:tr w14:paraId="734C74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50" w:type="dxa"/>
            <w:shd w:val="clear" w:color="auto" w:fill="auto"/>
            <w:vAlign w:val="center"/>
          </w:tcPr>
          <w:p w14:paraId="157B301D">
            <w:pPr>
              <w:pStyle w:val="48"/>
            </w:pPr>
            <w:r>
              <w:t>7</w:t>
            </w:r>
          </w:p>
        </w:tc>
        <w:tc>
          <w:tcPr>
            <w:tcW w:w="2535" w:type="dxa"/>
            <w:shd w:val="clear" w:color="auto" w:fill="auto"/>
            <w:vAlign w:val="center"/>
          </w:tcPr>
          <w:p w14:paraId="32B52CDA">
            <w:pPr>
              <w:pStyle w:val="48"/>
            </w:pPr>
            <w:r>
              <w:t>柴油发电机</w:t>
            </w:r>
          </w:p>
        </w:tc>
        <w:tc>
          <w:tcPr>
            <w:tcW w:w="1918" w:type="dxa"/>
            <w:shd w:val="clear" w:color="auto" w:fill="auto"/>
            <w:vAlign w:val="center"/>
          </w:tcPr>
          <w:p w14:paraId="5113FC30">
            <w:pPr>
              <w:pStyle w:val="48"/>
            </w:pPr>
            <w:r>
              <w:t>98</w:t>
            </w:r>
          </w:p>
        </w:tc>
        <w:tc>
          <w:tcPr>
            <w:tcW w:w="3222" w:type="dxa"/>
            <w:shd w:val="clear" w:color="auto" w:fill="auto"/>
            <w:vAlign w:val="center"/>
          </w:tcPr>
          <w:p w14:paraId="2796CC7E">
            <w:pPr>
              <w:pStyle w:val="48"/>
            </w:pPr>
            <w:r>
              <w:t>1</w:t>
            </w:r>
          </w:p>
        </w:tc>
      </w:tr>
      <w:tr w14:paraId="71718D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50" w:type="dxa"/>
            <w:shd w:val="clear" w:color="auto" w:fill="auto"/>
            <w:vAlign w:val="center"/>
          </w:tcPr>
          <w:p w14:paraId="6D3A0FEC">
            <w:pPr>
              <w:pStyle w:val="48"/>
            </w:pPr>
            <w:r>
              <w:t>8</w:t>
            </w:r>
          </w:p>
        </w:tc>
        <w:tc>
          <w:tcPr>
            <w:tcW w:w="2535" w:type="dxa"/>
            <w:shd w:val="clear" w:color="auto" w:fill="auto"/>
            <w:vAlign w:val="center"/>
          </w:tcPr>
          <w:p w14:paraId="5918A647">
            <w:pPr>
              <w:pStyle w:val="48"/>
            </w:pPr>
            <w:r>
              <w:t>泥浆泵</w:t>
            </w:r>
          </w:p>
        </w:tc>
        <w:tc>
          <w:tcPr>
            <w:tcW w:w="1918" w:type="dxa"/>
            <w:shd w:val="clear" w:color="auto" w:fill="auto"/>
            <w:vAlign w:val="center"/>
          </w:tcPr>
          <w:p w14:paraId="0AE5F1E6">
            <w:pPr>
              <w:pStyle w:val="48"/>
            </w:pPr>
            <w:r>
              <w:t>87</w:t>
            </w:r>
          </w:p>
        </w:tc>
        <w:tc>
          <w:tcPr>
            <w:tcW w:w="3222" w:type="dxa"/>
            <w:shd w:val="clear" w:color="auto" w:fill="auto"/>
            <w:vAlign w:val="center"/>
          </w:tcPr>
          <w:p w14:paraId="74613097">
            <w:pPr>
              <w:pStyle w:val="48"/>
            </w:pPr>
            <w:r>
              <w:t>1</w:t>
            </w:r>
          </w:p>
        </w:tc>
      </w:tr>
    </w:tbl>
    <w:p w14:paraId="64BA9752">
      <w:pPr>
        <w:pStyle w:val="8"/>
        <w:keepNext w:val="0"/>
        <w:keepLines w:val="0"/>
        <w:tabs>
          <w:tab w:val="left" w:pos="0"/>
          <w:tab w:val="left" w:pos="578"/>
          <w:tab w:val="left" w:pos="624"/>
        </w:tabs>
        <w:overflowPunct w:val="0"/>
        <w:autoSpaceDE w:val="0"/>
        <w:autoSpaceDN w:val="0"/>
        <w:adjustRightInd/>
        <w:snapToGrid/>
        <w:spacing w:before="31" w:after="31" w:line="336" w:lineRule="auto"/>
        <w:ind w:left="521" w:firstLine="0" w:firstLineChars="0"/>
        <w:textAlignment w:val="baseline"/>
        <w:rPr>
          <w:rFonts w:cs="Times New Roman"/>
          <w:szCs w:val="24"/>
        </w:rPr>
      </w:pPr>
      <w:r>
        <w:rPr>
          <w:rFonts w:cs="Times New Roman"/>
        </w:rPr>
        <w:t xml:space="preserve">4.6.1.4 </w:t>
      </w:r>
      <w:r>
        <w:rPr>
          <w:rFonts w:cs="Times New Roman"/>
          <w:szCs w:val="24"/>
        </w:rPr>
        <w:t>固体废弃物</w:t>
      </w:r>
    </w:p>
    <w:p w14:paraId="24EED60B">
      <w:pPr>
        <w:ind w:firstLine="519"/>
        <w:rPr>
          <w:rFonts w:cs="Times New Roman"/>
        </w:rPr>
      </w:pPr>
      <w:r>
        <w:rPr>
          <w:rFonts w:cs="Times New Roman"/>
        </w:rPr>
        <w:t>施工期产生的固体废弃物主要为钻井时产生的钻井</w:t>
      </w:r>
      <w:bookmarkStart w:id="525" w:name="_Hlk89072231"/>
      <w:r>
        <w:rPr>
          <w:rFonts w:cs="Times New Roman"/>
        </w:rPr>
        <w:t>岩屑</w:t>
      </w:r>
      <w:bookmarkEnd w:id="525"/>
      <w:r>
        <w:rPr>
          <w:rFonts w:cs="Times New Roman"/>
        </w:rPr>
        <w:t>、废泥浆、管道开挖等产生的废石和废弃土石方、管道施工过程产生的焊接废料以及施工工人的生活垃圾等。</w:t>
      </w:r>
    </w:p>
    <w:p w14:paraId="08C9052A">
      <w:pPr>
        <w:ind w:firstLine="519"/>
        <w:rPr>
          <w:rFonts w:cs="Times New Roman"/>
        </w:rPr>
      </w:pPr>
      <w:r>
        <w:rPr>
          <w:rFonts w:cs="Times New Roman"/>
        </w:rPr>
        <w:t>（1）钻井岩屑</w:t>
      </w:r>
    </w:p>
    <w:p w14:paraId="01B15E3C">
      <w:pPr>
        <w:pStyle w:val="2"/>
        <w:ind w:firstLine="519"/>
        <w:rPr>
          <w:rFonts w:cs="Times New Roman"/>
        </w:rPr>
      </w:pPr>
      <w:r>
        <w:rPr>
          <w:rFonts w:cs="Times New Roman"/>
        </w:rPr>
        <w:t>钻井过程中，会有少量岩盐岩芯随泥浆带出，经井场循环水池处理后用于井场填垫处理。按钻井井孔直径0.4m，井深800m计，本项目钻井岩屑产生量为100.48m</w:t>
      </w:r>
      <w:r>
        <w:rPr>
          <w:rFonts w:cs="Times New Roman"/>
          <w:vertAlign w:val="superscript"/>
        </w:rPr>
        <w:t>3</w:t>
      </w:r>
      <w:r>
        <w:rPr>
          <w:rFonts w:cs="Times New Roman"/>
        </w:rPr>
        <w:t>/井。</w:t>
      </w:r>
    </w:p>
    <w:p w14:paraId="1866BCD6">
      <w:pPr>
        <w:ind w:firstLine="519"/>
        <w:rPr>
          <w:rFonts w:cs="Times New Roman"/>
        </w:rPr>
      </w:pPr>
      <w:r>
        <w:rPr>
          <w:rFonts w:cs="Times New Roman"/>
        </w:rPr>
        <w:t>（2）废泥浆</w:t>
      </w:r>
    </w:p>
    <w:p w14:paraId="19F76C9F">
      <w:pPr>
        <w:pStyle w:val="2"/>
        <w:ind w:firstLine="519"/>
        <w:rPr>
          <w:rFonts w:cs="Times New Roman"/>
        </w:rPr>
      </w:pPr>
      <w:bookmarkStart w:id="526" w:name="_Hlk89193542"/>
      <w:r>
        <w:rPr>
          <w:rFonts w:cs="Times New Roman"/>
        </w:rPr>
        <w:t>钻井过程中泥浆经沉淀处理后回用于施工生产，</w:t>
      </w:r>
      <w:bookmarkEnd w:id="526"/>
      <w:r>
        <w:rPr>
          <w:rFonts w:cs="Times New Roman"/>
        </w:rPr>
        <w:t>钻井结束后会有少部分废泥浆产生，本项目钻井过程仅采用</w:t>
      </w:r>
      <w:bookmarkStart w:id="527" w:name="_Hlk89183224"/>
      <w:r>
        <w:rPr>
          <w:rFonts w:cs="Times New Roman"/>
        </w:rPr>
        <w:t>膨润土</w:t>
      </w:r>
      <w:bookmarkEnd w:id="527"/>
      <w:r>
        <w:rPr>
          <w:rFonts w:cs="Times New Roman"/>
        </w:rPr>
        <w:t>配置钻井液，废泥浆主要成分为无机盐、絮凝剂、粘土及岩屑等，属于一般工业固体废物，不能循环利用的废泥浆经固化后覆土进行植被恢复。</w:t>
      </w:r>
    </w:p>
    <w:p w14:paraId="31EA2797">
      <w:pPr>
        <w:ind w:firstLine="519"/>
        <w:rPr>
          <w:rFonts w:cs="Times New Roman"/>
        </w:rPr>
      </w:pPr>
      <w:r>
        <w:rPr>
          <w:rFonts w:cs="Times New Roman"/>
        </w:rPr>
        <w:t>（3）废弃土石方</w:t>
      </w:r>
    </w:p>
    <w:p w14:paraId="5CC74364">
      <w:pPr>
        <w:ind w:firstLine="519"/>
        <w:rPr>
          <w:rFonts w:cs="Times New Roman"/>
        </w:rPr>
      </w:pPr>
      <w:bookmarkStart w:id="528" w:name="_Hlk3476270"/>
      <w:bookmarkStart w:id="529" w:name="_Hlk11252953"/>
      <w:r>
        <w:rPr>
          <w:rFonts w:hint="eastAsia" w:cs="Times New Roman"/>
        </w:rPr>
        <w:t>本项目在建设过程中土石方量主要考虑管道敷设过程开挖，土方开挖量为管线的体积，经计算开挖量约为103.1m</w:t>
      </w:r>
      <w:r>
        <w:rPr>
          <w:rFonts w:hint="eastAsia" w:cs="Times New Roman"/>
          <w:vertAlign w:val="superscript"/>
        </w:rPr>
        <w:t>3</w:t>
      </w:r>
      <w:r>
        <w:rPr>
          <w:rFonts w:hint="eastAsia" w:cs="Times New Roman"/>
        </w:rPr>
        <w:t>，管沟回填后上方留有自然沉降余量（0.3~0.5m），可基本实现管道的土石方挖填平衡。</w:t>
      </w:r>
    </w:p>
    <w:bookmarkEnd w:id="528"/>
    <w:bookmarkEnd w:id="529"/>
    <w:p w14:paraId="26F65820">
      <w:pPr>
        <w:ind w:firstLine="519"/>
        <w:rPr>
          <w:rFonts w:cs="Times New Roman"/>
        </w:rPr>
      </w:pPr>
      <w:r>
        <w:rPr>
          <w:rFonts w:cs="Times New Roman"/>
        </w:rPr>
        <w:t>（4）焊接废料</w:t>
      </w:r>
    </w:p>
    <w:p w14:paraId="10F2922E">
      <w:pPr>
        <w:pStyle w:val="2"/>
        <w:ind w:firstLine="519"/>
        <w:rPr>
          <w:rFonts w:cs="Times New Roman"/>
        </w:rPr>
      </w:pPr>
      <w:r>
        <w:rPr>
          <w:rFonts w:cs="Times New Roman"/>
        </w:rPr>
        <w:t>项目管道施工过程中需对埋地管道进行焊接，焊接过程会产生废焊条、废防腐材料等，类比</w:t>
      </w:r>
      <w:bookmarkStart w:id="530" w:name="_Hlk89092711"/>
      <w:r>
        <w:rPr>
          <w:rFonts w:cs="Times New Roman"/>
        </w:rPr>
        <w:t>《淮安市富源采卤有限公司采输卤项目管线工程环境影响报告书》</w:t>
      </w:r>
      <w:bookmarkEnd w:id="530"/>
      <w:r>
        <w:rPr>
          <w:rFonts w:cs="Times New Roman"/>
        </w:rPr>
        <w:t>，产生量按0.2t/km计，本项目管线工程总长度2744m，焊接废料产生量为0.55t，依托园区环卫部门处理处置。</w:t>
      </w:r>
    </w:p>
    <w:p w14:paraId="453158E7">
      <w:pPr>
        <w:ind w:firstLine="519"/>
        <w:rPr>
          <w:rFonts w:cs="Times New Roman"/>
        </w:rPr>
      </w:pPr>
      <w:r>
        <w:rPr>
          <w:rFonts w:cs="Times New Roman"/>
        </w:rPr>
        <w:t>（5）生活垃圾</w:t>
      </w:r>
    </w:p>
    <w:p w14:paraId="3AD27876">
      <w:pPr>
        <w:ind w:firstLine="519"/>
        <w:rPr>
          <w:rFonts w:cs="Times New Roman"/>
        </w:rPr>
      </w:pPr>
      <w:r>
        <w:rPr>
          <w:rFonts w:cs="Times New Roman"/>
        </w:rPr>
        <w:t>本项目施工高峰期施工人员约50人，生活垃圾产生量按每人每天0.5kg计，则施工期生活垃圾产生量为25kg/d。生活垃圾定点收集后，集中收集后定期运往垃圾处理站处理。</w:t>
      </w:r>
    </w:p>
    <w:p w14:paraId="1BA7F675">
      <w:pPr>
        <w:pStyle w:val="8"/>
        <w:keepNext w:val="0"/>
        <w:keepLines w:val="0"/>
        <w:tabs>
          <w:tab w:val="left" w:pos="0"/>
          <w:tab w:val="left" w:pos="578"/>
          <w:tab w:val="left" w:pos="624"/>
        </w:tabs>
        <w:overflowPunct w:val="0"/>
        <w:autoSpaceDE w:val="0"/>
        <w:autoSpaceDN w:val="0"/>
        <w:adjustRightInd/>
        <w:snapToGrid/>
        <w:spacing w:before="31" w:after="31" w:line="336" w:lineRule="auto"/>
        <w:ind w:left="521" w:firstLine="0" w:firstLineChars="0"/>
        <w:textAlignment w:val="baseline"/>
        <w:rPr>
          <w:rFonts w:cs="Times New Roman"/>
          <w:szCs w:val="24"/>
        </w:rPr>
      </w:pPr>
      <w:r>
        <w:rPr>
          <w:rFonts w:cs="Times New Roman"/>
        </w:rPr>
        <w:t xml:space="preserve">4.6.1.5 </w:t>
      </w:r>
      <w:bookmarkStart w:id="531" w:name="_Hlk89193767"/>
      <w:r>
        <w:rPr>
          <w:rFonts w:cs="Times New Roman"/>
          <w:szCs w:val="24"/>
        </w:rPr>
        <w:t>施工期生态环境影响</w:t>
      </w:r>
    </w:p>
    <w:p w14:paraId="746E20C7">
      <w:pPr>
        <w:ind w:firstLine="519"/>
        <w:rPr>
          <w:rFonts w:cs="Times New Roman"/>
        </w:rPr>
      </w:pPr>
      <w:r>
        <w:rPr>
          <w:rFonts w:cs="Times New Roman"/>
        </w:rPr>
        <w:t>本工程新增的卤井及管线均位于衡阳建滔化工有限公司岩盐矿矿山范围内，矿山用地范围土地</w:t>
      </w:r>
      <w:r>
        <w:rPr>
          <w:rFonts w:hint="eastAsia" w:cs="Times New Roman"/>
        </w:rPr>
        <w:t>利用</w:t>
      </w:r>
      <w:r>
        <w:rPr>
          <w:rFonts w:cs="Times New Roman"/>
        </w:rPr>
        <w:t>类型现</w:t>
      </w:r>
      <w:r>
        <w:rPr>
          <w:rFonts w:hint="eastAsia" w:cs="Times New Roman"/>
        </w:rPr>
        <w:t>主要</w:t>
      </w:r>
      <w:r>
        <w:rPr>
          <w:rFonts w:cs="Times New Roman"/>
        </w:rPr>
        <w:t>为</w:t>
      </w:r>
      <w:r>
        <w:rPr>
          <w:rFonts w:hint="eastAsia" w:cs="Times New Roman"/>
        </w:rPr>
        <w:t>工业</w:t>
      </w:r>
      <w:r>
        <w:rPr>
          <w:rFonts w:cs="Times New Roman"/>
        </w:rPr>
        <w:t>用地，占地的类型为</w:t>
      </w:r>
      <w:r>
        <w:rPr>
          <w:rFonts w:hint="eastAsia" w:cs="Times New Roman"/>
        </w:rPr>
        <w:t>建设用地，本项目施工所在地地块暂未开发，地块表面现状为灌木丛及道路绿化带</w:t>
      </w:r>
      <w:r>
        <w:rPr>
          <w:rFonts w:cs="Times New Roman"/>
        </w:rPr>
        <w:t>。根据钻井施工组成，每个卤水井的施工场地的占地面积约为150~200m</w:t>
      </w:r>
      <w:r>
        <w:rPr>
          <w:rFonts w:cs="Times New Roman"/>
          <w:vertAlign w:val="superscript"/>
        </w:rPr>
        <w:t>2</w:t>
      </w:r>
      <w:r>
        <w:rPr>
          <w:rFonts w:cs="Times New Roman"/>
        </w:rPr>
        <w:t>，施工过程中首先要对地表植被进行清除，并对周边地表进行平整硬化处理，场地周边设置防污沟，开挖循环水池等。地表植被的铲除或压占将会改变局部区域内的生态景观类型与格局；同时区域植被覆盖面积减少，引起生物量短期内减少。施工活动中施工机械、车辆、人员践踏及施工临时占地（挖填、取弃土等）对原生地貌、植被产生破坏造成水土流失以及工程占地对土地利用类型及局部生态环境的产生影响。</w:t>
      </w:r>
    </w:p>
    <w:bookmarkEnd w:id="531"/>
    <w:p w14:paraId="336A1232">
      <w:pPr>
        <w:pStyle w:val="7"/>
      </w:pPr>
      <w:bookmarkStart w:id="532" w:name="_Toc86852313"/>
      <w:bookmarkStart w:id="533" w:name="_Toc89786152"/>
      <w:bookmarkStart w:id="534" w:name="_Toc121420848"/>
      <w:bookmarkStart w:id="535" w:name="_Toc89882477"/>
      <w:bookmarkStart w:id="536" w:name="_Toc90989259"/>
      <w:bookmarkStart w:id="537" w:name="_Toc90318437"/>
      <w:bookmarkStart w:id="538" w:name="_Toc90997691"/>
      <w:r>
        <w:t>4.6.2 运营期污染源分析</w:t>
      </w:r>
      <w:bookmarkEnd w:id="532"/>
      <w:bookmarkEnd w:id="533"/>
      <w:bookmarkEnd w:id="534"/>
      <w:bookmarkEnd w:id="535"/>
      <w:bookmarkEnd w:id="536"/>
      <w:bookmarkEnd w:id="537"/>
      <w:bookmarkEnd w:id="538"/>
    </w:p>
    <w:p w14:paraId="16398FD5">
      <w:pPr>
        <w:pStyle w:val="8"/>
        <w:ind w:firstLine="521"/>
        <w:rPr>
          <w:rFonts w:cs="Times New Roman"/>
        </w:rPr>
      </w:pPr>
      <w:r>
        <w:rPr>
          <w:rFonts w:cs="Times New Roman"/>
        </w:rPr>
        <w:t>4.6.2.1 废气</w:t>
      </w:r>
    </w:p>
    <w:p w14:paraId="6069CF40">
      <w:pPr>
        <w:ind w:firstLine="519"/>
        <w:rPr>
          <w:rFonts w:cs="Times New Roman"/>
        </w:rPr>
      </w:pPr>
      <w:r>
        <w:rPr>
          <w:rFonts w:cs="Times New Roman"/>
        </w:rPr>
        <w:t>本项目</w:t>
      </w:r>
      <w:bookmarkStart w:id="539" w:name="_Hlk116205726"/>
      <w:r>
        <w:rPr>
          <w:rFonts w:cs="Times New Roman"/>
        </w:rPr>
        <w:t>运营期无废气产生</w:t>
      </w:r>
      <w:bookmarkEnd w:id="539"/>
      <w:r>
        <w:rPr>
          <w:rFonts w:cs="Times New Roman"/>
        </w:rPr>
        <w:t>。</w:t>
      </w:r>
    </w:p>
    <w:p w14:paraId="615584CA">
      <w:pPr>
        <w:pStyle w:val="8"/>
        <w:ind w:firstLine="521"/>
        <w:rPr>
          <w:rFonts w:cs="Times New Roman"/>
        </w:rPr>
      </w:pPr>
      <w:r>
        <w:rPr>
          <w:rFonts w:cs="Times New Roman"/>
        </w:rPr>
        <w:t>4.6.2.2 废水</w:t>
      </w:r>
    </w:p>
    <w:p w14:paraId="711BC399">
      <w:pPr>
        <w:ind w:firstLine="519"/>
        <w:rPr>
          <w:rFonts w:cs="Times New Roman"/>
        </w:rPr>
      </w:pPr>
      <w:r>
        <w:rPr>
          <w:rFonts w:cs="Times New Roman"/>
        </w:rPr>
        <w:t>本项目不涉及新增员工，正常工况下运营期无废水产生。</w:t>
      </w:r>
    </w:p>
    <w:p w14:paraId="4AE0EE85">
      <w:pPr>
        <w:pStyle w:val="8"/>
        <w:ind w:firstLine="521"/>
        <w:rPr>
          <w:rFonts w:cs="Times New Roman"/>
        </w:rPr>
      </w:pPr>
      <w:r>
        <w:rPr>
          <w:rFonts w:cs="Times New Roman"/>
        </w:rPr>
        <w:t>4.6.2.3 噪声</w:t>
      </w:r>
    </w:p>
    <w:p w14:paraId="1192FD0B">
      <w:pPr>
        <w:ind w:firstLine="519"/>
        <w:rPr>
          <w:rFonts w:cs="Times New Roman"/>
        </w:rPr>
      </w:pPr>
      <w:r>
        <w:rPr>
          <w:rFonts w:cs="Times New Roman"/>
        </w:rPr>
        <w:t>本项目利用采卤场现有厂房及设备进行作业，噪声源未发生变化，主要为采卤泵、输卤泵、废卤泵等，</w:t>
      </w:r>
      <w:bookmarkStart w:id="540" w:name="_Hlk89363325"/>
      <w:r>
        <w:rPr>
          <w:rFonts w:cs="Times New Roman"/>
        </w:rPr>
        <w:t>主要集中在采卤车间内</w:t>
      </w:r>
      <w:bookmarkEnd w:id="540"/>
      <w:r>
        <w:rPr>
          <w:rFonts w:cs="Times New Roman"/>
        </w:rPr>
        <w:t>，利用基础减震和建筑物隔声控制噪声。工程设备噪声强度见下表。</w:t>
      </w:r>
    </w:p>
    <w:p w14:paraId="798C32F5">
      <w:pPr>
        <w:pStyle w:val="9"/>
      </w:pPr>
      <w:r>
        <w:t>表4.6-3  本工程主要设备噪声强度</w:t>
      </w: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1" w:type="dxa"/>
          <w:bottom w:w="0" w:type="dxa"/>
          <w:right w:w="11" w:type="dxa"/>
        </w:tblCellMar>
      </w:tblPr>
      <w:tblGrid>
        <w:gridCol w:w="931"/>
        <w:gridCol w:w="1053"/>
        <w:gridCol w:w="714"/>
        <w:gridCol w:w="1714"/>
        <w:gridCol w:w="1427"/>
        <w:gridCol w:w="1428"/>
        <w:gridCol w:w="1075"/>
      </w:tblGrid>
      <w:tr w14:paraId="6AD03B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397" w:hRule="atLeast"/>
        </w:trPr>
        <w:tc>
          <w:tcPr>
            <w:tcW w:w="558" w:type="pct"/>
            <w:vAlign w:val="center"/>
          </w:tcPr>
          <w:p w14:paraId="5D2B7783">
            <w:pPr>
              <w:pStyle w:val="48"/>
            </w:pPr>
            <w:bookmarkStart w:id="541" w:name="_Hlk8140566"/>
            <w:r>
              <w:t>噪声源</w:t>
            </w:r>
          </w:p>
        </w:tc>
        <w:tc>
          <w:tcPr>
            <w:tcW w:w="631" w:type="pct"/>
            <w:vAlign w:val="center"/>
          </w:tcPr>
          <w:p w14:paraId="74E89A71">
            <w:pPr>
              <w:pStyle w:val="48"/>
            </w:pPr>
            <w:r>
              <w:t>位置</w:t>
            </w:r>
          </w:p>
        </w:tc>
        <w:tc>
          <w:tcPr>
            <w:tcW w:w="428" w:type="pct"/>
            <w:vAlign w:val="center"/>
          </w:tcPr>
          <w:p w14:paraId="0F9C9444">
            <w:pPr>
              <w:pStyle w:val="48"/>
            </w:pPr>
            <w:r>
              <w:t>设备数量</w:t>
            </w:r>
          </w:p>
        </w:tc>
        <w:tc>
          <w:tcPr>
            <w:tcW w:w="1027" w:type="pct"/>
            <w:vAlign w:val="center"/>
          </w:tcPr>
          <w:p w14:paraId="57B9E45F">
            <w:pPr>
              <w:pStyle w:val="48"/>
            </w:pPr>
            <w:r>
              <w:t>采取措施前声压级dB（A）</w:t>
            </w:r>
          </w:p>
        </w:tc>
        <w:tc>
          <w:tcPr>
            <w:tcW w:w="855" w:type="pct"/>
            <w:vAlign w:val="center"/>
          </w:tcPr>
          <w:p w14:paraId="4D353A51">
            <w:pPr>
              <w:pStyle w:val="48"/>
            </w:pPr>
            <w:r>
              <w:t>工作状态</w:t>
            </w:r>
          </w:p>
        </w:tc>
        <w:tc>
          <w:tcPr>
            <w:tcW w:w="856" w:type="pct"/>
            <w:vAlign w:val="center"/>
          </w:tcPr>
          <w:p w14:paraId="08BE079D">
            <w:pPr>
              <w:pStyle w:val="48"/>
            </w:pPr>
            <w:r>
              <w:t>防治措施</w:t>
            </w:r>
          </w:p>
        </w:tc>
        <w:tc>
          <w:tcPr>
            <w:tcW w:w="644" w:type="pct"/>
            <w:vAlign w:val="center"/>
          </w:tcPr>
          <w:p w14:paraId="73A42E5A">
            <w:pPr>
              <w:pStyle w:val="48"/>
            </w:pPr>
            <w:r>
              <w:t>采取措施后声压级</w:t>
            </w:r>
          </w:p>
        </w:tc>
      </w:tr>
      <w:tr w14:paraId="67C53B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397" w:hRule="atLeast"/>
        </w:trPr>
        <w:tc>
          <w:tcPr>
            <w:tcW w:w="558" w:type="pct"/>
            <w:vAlign w:val="center"/>
          </w:tcPr>
          <w:p w14:paraId="3F59E4D4">
            <w:pPr>
              <w:pStyle w:val="48"/>
            </w:pPr>
            <w:r>
              <w:t>采卤泵</w:t>
            </w:r>
          </w:p>
        </w:tc>
        <w:tc>
          <w:tcPr>
            <w:tcW w:w="631" w:type="pct"/>
            <w:vMerge w:val="restart"/>
            <w:vAlign w:val="center"/>
          </w:tcPr>
          <w:p w14:paraId="5043EC16">
            <w:pPr>
              <w:pStyle w:val="48"/>
            </w:pPr>
            <w:r>
              <w:t>采卤车间</w:t>
            </w:r>
          </w:p>
        </w:tc>
        <w:tc>
          <w:tcPr>
            <w:tcW w:w="428" w:type="pct"/>
            <w:vAlign w:val="center"/>
          </w:tcPr>
          <w:p w14:paraId="752F09F3">
            <w:pPr>
              <w:pStyle w:val="48"/>
            </w:pPr>
            <w:r>
              <w:t>4</w:t>
            </w:r>
          </w:p>
        </w:tc>
        <w:tc>
          <w:tcPr>
            <w:tcW w:w="1027" w:type="pct"/>
            <w:vAlign w:val="center"/>
          </w:tcPr>
          <w:p w14:paraId="7822704B">
            <w:pPr>
              <w:pStyle w:val="48"/>
            </w:pPr>
            <w:r>
              <w:t>75～85</w:t>
            </w:r>
          </w:p>
        </w:tc>
        <w:tc>
          <w:tcPr>
            <w:tcW w:w="855" w:type="pct"/>
            <w:vAlign w:val="center"/>
          </w:tcPr>
          <w:p w14:paraId="08370AA7">
            <w:pPr>
              <w:pStyle w:val="48"/>
            </w:pPr>
            <w:r>
              <w:t>连续</w:t>
            </w:r>
          </w:p>
        </w:tc>
        <w:tc>
          <w:tcPr>
            <w:tcW w:w="856" w:type="pct"/>
            <w:vMerge w:val="restart"/>
            <w:vAlign w:val="center"/>
          </w:tcPr>
          <w:p w14:paraId="2426879F">
            <w:pPr>
              <w:pStyle w:val="48"/>
            </w:pPr>
            <w:r>
              <w:t>基础减震，厂房隔声</w:t>
            </w:r>
          </w:p>
        </w:tc>
        <w:tc>
          <w:tcPr>
            <w:tcW w:w="644" w:type="pct"/>
            <w:vAlign w:val="center"/>
          </w:tcPr>
          <w:p w14:paraId="674BD99E">
            <w:pPr>
              <w:pStyle w:val="48"/>
            </w:pPr>
            <w:r>
              <w:t>-</w:t>
            </w:r>
          </w:p>
        </w:tc>
      </w:tr>
      <w:tr w14:paraId="1FB65A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397" w:hRule="atLeast"/>
        </w:trPr>
        <w:tc>
          <w:tcPr>
            <w:tcW w:w="558" w:type="pct"/>
            <w:vAlign w:val="center"/>
          </w:tcPr>
          <w:p w14:paraId="4ECB3540">
            <w:pPr>
              <w:pStyle w:val="48"/>
            </w:pPr>
            <w:r>
              <w:t>输卤泵</w:t>
            </w:r>
          </w:p>
        </w:tc>
        <w:tc>
          <w:tcPr>
            <w:tcW w:w="631" w:type="pct"/>
            <w:vMerge w:val="continue"/>
            <w:vAlign w:val="center"/>
          </w:tcPr>
          <w:p w14:paraId="407BECC6">
            <w:pPr>
              <w:pStyle w:val="48"/>
            </w:pPr>
          </w:p>
        </w:tc>
        <w:tc>
          <w:tcPr>
            <w:tcW w:w="428" w:type="pct"/>
            <w:vAlign w:val="center"/>
          </w:tcPr>
          <w:p w14:paraId="3B7D5F76">
            <w:pPr>
              <w:pStyle w:val="48"/>
            </w:pPr>
            <w:r>
              <w:t>4</w:t>
            </w:r>
          </w:p>
        </w:tc>
        <w:tc>
          <w:tcPr>
            <w:tcW w:w="1027" w:type="pct"/>
            <w:vAlign w:val="center"/>
          </w:tcPr>
          <w:p w14:paraId="0C9B0781">
            <w:pPr>
              <w:pStyle w:val="48"/>
            </w:pPr>
            <w:r>
              <w:t>75～85</w:t>
            </w:r>
          </w:p>
        </w:tc>
        <w:tc>
          <w:tcPr>
            <w:tcW w:w="855" w:type="pct"/>
            <w:vAlign w:val="center"/>
          </w:tcPr>
          <w:p w14:paraId="5D0E7923">
            <w:pPr>
              <w:pStyle w:val="48"/>
            </w:pPr>
            <w:r>
              <w:t>连续</w:t>
            </w:r>
          </w:p>
        </w:tc>
        <w:tc>
          <w:tcPr>
            <w:tcW w:w="856" w:type="pct"/>
            <w:vMerge w:val="continue"/>
            <w:vAlign w:val="center"/>
          </w:tcPr>
          <w:p w14:paraId="703E323C">
            <w:pPr>
              <w:pStyle w:val="48"/>
            </w:pPr>
          </w:p>
        </w:tc>
        <w:tc>
          <w:tcPr>
            <w:tcW w:w="644" w:type="pct"/>
            <w:vAlign w:val="center"/>
          </w:tcPr>
          <w:p w14:paraId="286EDF95">
            <w:pPr>
              <w:pStyle w:val="48"/>
            </w:pPr>
            <w:r>
              <w:t>-</w:t>
            </w:r>
          </w:p>
        </w:tc>
      </w:tr>
      <w:tr w14:paraId="48F531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397" w:hRule="atLeast"/>
        </w:trPr>
        <w:tc>
          <w:tcPr>
            <w:tcW w:w="558" w:type="pct"/>
            <w:vAlign w:val="center"/>
          </w:tcPr>
          <w:p w14:paraId="7D41EF0E">
            <w:pPr>
              <w:pStyle w:val="48"/>
            </w:pPr>
            <w:r>
              <w:t>废卤泵</w:t>
            </w:r>
          </w:p>
        </w:tc>
        <w:tc>
          <w:tcPr>
            <w:tcW w:w="631" w:type="pct"/>
            <w:vMerge w:val="continue"/>
            <w:vAlign w:val="center"/>
          </w:tcPr>
          <w:p w14:paraId="65762F9B">
            <w:pPr>
              <w:pStyle w:val="48"/>
            </w:pPr>
          </w:p>
        </w:tc>
        <w:tc>
          <w:tcPr>
            <w:tcW w:w="428" w:type="pct"/>
            <w:vAlign w:val="center"/>
          </w:tcPr>
          <w:p w14:paraId="79D9A024">
            <w:pPr>
              <w:pStyle w:val="48"/>
            </w:pPr>
            <w:r>
              <w:t>1</w:t>
            </w:r>
          </w:p>
        </w:tc>
        <w:tc>
          <w:tcPr>
            <w:tcW w:w="1027" w:type="pct"/>
            <w:vAlign w:val="center"/>
          </w:tcPr>
          <w:p w14:paraId="72CC3D61">
            <w:pPr>
              <w:pStyle w:val="48"/>
            </w:pPr>
            <w:r>
              <w:t>75～85</w:t>
            </w:r>
          </w:p>
        </w:tc>
        <w:tc>
          <w:tcPr>
            <w:tcW w:w="855" w:type="pct"/>
            <w:vAlign w:val="center"/>
          </w:tcPr>
          <w:p w14:paraId="7E232248">
            <w:pPr>
              <w:pStyle w:val="48"/>
            </w:pPr>
            <w:r>
              <w:t>间断</w:t>
            </w:r>
          </w:p>
        </w:tc>
        <w:tc>
          <w:tcPr>
            <w:tcW w:w="856" w:type="pct"/>
            <w:vMerge w:val="continue"/>
            <w:vAlign w:val="center"/>
          </w:tcPr>
          <w:p w14:paraId="711FA262">
            <w:pPr>
              <w:pStyle w:val="48"/>
            </w:pPr>
          </w:p>
        </w:tc>
        <w:tc>
          <w:tcPr>
            <w:tcW w:w="644" w:type="pct"/>
            <w:vAlign w:val="center"/>
          </w:tcPr>
          <w:p w14:paraId="7AF6CC60">
            <w:pPr>
              <w:pStyle w:val="48"/>
            </w:pPr>
            <w:r>
              <w:t>-</w:t>
            </w:r>
          </w:p>
        </w:tc>
      </w:tr>
      <w:bookmarkEnd w:id="541"/>
    </w:tbl>
    <w:p w14:paraId="3BBB106C">
      <w:pPr>
        <w:pStyle w:val="8"/>
        <w:ind w:firstLine="521"/>
        <w:rPr>
          <w:rFonts w:cs="Times New Roman"/>
        </w:rPr>
      </w:pPr>
      <w:r>
        <w:rPr>
          <w:rFonts w:cs="Times New Roman"/>
        </w:rPr>
        <w:t>4.6.2.4 固体废弃物</w:t>
      </w:r>
    </w:p>
    <w:p w14:paraId="467496F4">
      <w:pPr>
        <w:ind w:firstLine="519"/>
        <w:rPr>
          <w:rFonts w:cs="Times New Roman"/>
        </w:rPr>
      </w:pPr>
      <w:bookmarkStart w:id="542" w:name="_Hlk89363801"/>
      <w:r>
        <w:rPr>
          <w:rFonts w:cs="Times New Roman"/>
        </w:rPr>
        <w:t>本项目产生的固废包括</w:t>
      </w:r>
      <w:bookmarkStart w:id="543" w:name="_Hlk89092333"/>
      <w:r>
        <w:rPr>
          <w:rFonts w:cs="Times New Roman"/>
        </w:rPr>
        <w:t>卤水池残渣</w:t>
      </w:r>
      <w:bookmarkEnd w:id="543"/>
      <w:r>
        <w:rPr>
          <w:rFonts w:cs="Times New Roman"/>
        </w:rPr>
        <w:t>和废机油等。</w:t>
      </w:r>
    </w:p>
    <w:bookmarkEnd w:id="542"/>
    <w:p w14:paraId="56F260D7">
      <w:pPr>
        <w:ind w:firstLine="519"/>
        <w:rPr>
          <w:rFonts w:cs="Times New Roman"/>
        </w:rPr>
      </w:pPr>
      <w:r>
        <w:rPr>
          <w:rFonts w:cs="Times New Roman"/>
        </w:rPr>
        <w:t>（1）卤水池残渣</w:t>
      </w:r>
    </w:p>
    <w:p w14:paraId="6AD504CD">
      <w:pPr>
        <w:ind w:firstLine="519"/>
        <w:rPr>
          <w:rFonts w:cs="Times New Roman"/>
        </w:rPr>
      </w:pPr>
      <w:bookmarkStart w:id="544" w:name="_Hlk18651515"/>
      <w:r>
        <w:rPr>
          <w:rFonts w:cs="Times New Roman"/>
        </w:rPr>
        <w:t>根据建设单位提供的资料，开采溶盐过程中，部分矿渣在采卤过程中被卤水带至地面，部分沉淀于采卤车间卤水池底部。本项目卤水池残渣来源于采卤车间卤水池底部沉淀产生，</w:t>
      </w:r>
      <w:r>
        <w:rPr>
          <w:rFonts w:hint="eastAsia" w:cs="Times New Roman"/>
        </w:rPr>
        <w:t>矿区</w:t>
      </w:r>
      <w:r>
        <w:rPr>
          <w:rFonts w:cs="Times New Roman"/>
        </w:rPr>
        <w:t>产生量为21.15m</w:t>
      </w:r>
      <w:r>
        <w:rPr>
          <w:rFonts w:cs="Times New Roman"/>
          <w:vertAlign w:val="superscript"/>
        </w:rPr>
        <w:t>3</w:t>
      </w:r>
      <w:r>
        <w:rPr>
          <w:rFonts w:cs="Times New Roman"/>
        </w:rPr>
        <w:t>/a，残渣</w:t>
      </w:r>
      <w:bookmarkStart w:id="545" w:name="_Hlk89416851"/>
      <w:r>
        <w:rPr>
          <w:rFonts w:cs="Times New Roman"/>
        </w:rPr>
        <w:t>成分主要为钙镁泥浆</w:t>
      </w:r>
      <w:bookmarkEnd w:id="545"/>
      <w:r>
        <w:rPr>
          <w:rFonts w:cs="Times New Roman"/>
        </w:rPr>
        <w:t>，未列入《国家危险废物名录（2021版）》，不属于危险废物，</w:t>
      </w:r>
      <w:bookmarkStart w:id="546" w:name="_Hlk89422189"/>
      <w:r>
        <w:rPr>
          <w:rFonts w:cs="Times New Roman"/>
        </w:rPr>
        <w:t>属于一般工业固废，依托建滔（衡阳）实业有限公司</w:t>
      </w:r>
      <w:bookmarkStart w:id="547" w:name="_Hlk89422117"/>
      <w:r>
        <w:rPr>
          <w:rFonts w:cs="Times New Roman"/>
        </w:rPr>
        <w:t>烧碱生产部盐泥</w:t>
      </w:r>
      <w:bookmarkEnd w:id="547"/>
      <w:r>
        <w:rPr>
          <w:rFonts w:cs="Times New Roman"/>
        </w:rPr>
        <w:t>压滤机压干处理后与烧碱生产部盐泥一并收集后外售</w:t>
      </w:r>
      <w:bookmarkEnd w:id="544"/>
      <w:r>
        <w:rPr>
          <w:rFonts w:cs="Times New Roman"/>
        </w:rPr>
        <w:t>。</w:t>
      </w:r>
      <w:bookmarkEnd w:id="546"/>
    </w:p>
    <w:p w14:paraId="60264CC7">
      <w:pPr>
        <w:ind w:firstLine="519"/>
        <w:rPr>
          <w:rFonts w:cs="Times New Roman"/>
        </w:rPr>
      </w:pPr>
      <w:r>
        <w:rPr>
          <w:rFonts w:cs="Times New Roman"/>
        </w:rPr>
        <w:t>（2）废机油</w:t>
      </w:r>
    </w:p>
    <w:p w14:paraId="43708E74">
      <w:pPr>
        <w:ind w:firstLine="519"/>
        <w:rPr>
          <w:rFonts w:cs="Times New Roman"/>
        </w:rPr>
      </w:pPr>
      <w:r>
        <w:rPr>
          <w:rFonts w:cs="Times New Roman"/>
        </w:rPr>
        <w:t>项目依托矿山原有机修车间，采卤设备的使用过程中需要进行设备维修及日常维护，根据建设单位提供资料，项目机油每年更换一次，废机油产生量为0.05t/a。</w:t>
      </w:r>
    </w:p>
    <w:p w14:paraId="6E259955">
      <w:pPr>
        <w:ind w:firstLine="519"/>
        <w:rPr>
          <w:rFonts w:cs="Times New Roman"/>
        </w:rPr>
      </w:pPr>
      <w:r>
        <w:rPr>
          <w:rFonts w:cs="Times New Roman"/>
        </w:rPr>
        <w:t>根据</w:t>
      </w:r>
      <w:r>
        <w:rPr>
          <w:rFonts w:hint="eastAsia" w:cs="Times New Roman"/>
          <w:lang w:eastAsia="zh-CN"/>
        </w:rPr>
        <w:t>生态环境部</w:t>
      </w:r>
      <w:r>
        <w:rPr>
          <w:rFonts w:cs="Times New Roman"/>
        </w:rPr>
        <w:t>令第15号《国家危险废物名录》（2021年1月1日实施），废机油属于“HW08废矿物油与含矿物油废物”，企业经</w:t>
      </w:r>
      <w:bookmarkStart w:id="548" w:name="_Hlk90370545"/>
      <w:r>
        <w:rPr>
          <w:rFonts w:cs="Times New Roman"/>
        </w:rPr>
        <w:t>机修车间统一收集后依托建滔（衡阳）实业有限公司危废暂存间暂存后</w:t>
      </w:r>
      <w:bookmarkEnd w:id="548"/>
      <w:r>
        <w:rPr>
          <w:rFonts w:cs="Times New Roman"/>
        </w:rPr>
        <w:t>委托有资质单位处理。</w:t>
      </w:r>
    </w:p>
    <w:p w14:paraId="4AA3BB62">
      <w:pPr>
        <w:pStyle w:val="7"/>
      </w:pPr>
      <w:bookmarkStart w:id="549" w:name="_Toc89786153"/>
      <w:bookmarkStart w:id="550" w:name="_Toc89882478"/>
      <w:bookmarkStart w:id="551" w:name="_Toc86852314"/>
      <w:bookmarkStart w:id="552" w:name="_Toc90318438"/>
      <w:bookmarkStart w:id="553" w:name="_Toc90997692"/>
      <w:bookmarkStart w:id="554" w:name="_Toc90989260"/>
      <w:bookmarkStart w:id="555" w:name="_Toc121420849"/>
      <w:r>
        <w:t>4.6.3 封井污染源分析</w:t>
      </w:r>
      <w:bookmarkEnd w:id="549"/>
      <w:bookmarkEnd w:id="550"/>
      <w:bookmarkEnd w:id="551"/>
      <w:bookmarkEnd w:id="552"/>
      <w:bookmarkEnd w:id="553"/>
      <w:bookmarkEnd w:id="554"/>
      <w:bookmarkEnd w:id="555"/>
    </w:p>
    <w:p w14:paraId="4F24262D">
      <w:pPr>
        <w:ind w:firstLine="519"/>
        <w:rPr>
          <w:rFonts w:cs="Times New Roman"/>
        </w:rPr>
      </w:pPr>
      <w:r>
        <w:rPr>
          <w:rFonts w:cs="Times New Roman"/>
        </w:rPr>
        <w:t>本项目建设完成正式运行后，对ZK10、ZK12、CK3等三口井进行</w:t>
      </w:r>
      <w:bookmarkStart w:id="556" w:name="_Hlk89094789"/>
      <w:r>
        <w:rPr>
          <w:rFonts w:cs="Times New Roman"/>
        </w:rPr>
        <w:t>封堵施工</w:t>
      </w:r>
      <w:bookmarkEnd w:id="556"/>
      <w:r>
        <w:rPr>
          <w:rFonts w:cs="Times New Roman"/>
        </w:rPr>
        <w:t>，根据</w:t>
      </w:r>
      <w:r>
        <w:rPr>
          <w:rFonts w:hint="eastAsia" w:cs="Times New Roman"/>
        </w:rPr>
        <w:t>松木经济开发区</w:t>
      </w:r>
      <w:r>
        <w:rPr>
          <w:rFonts w:cs="Times New Roman"/>
        </w:rPr>
        <w:t>管理委员会与矿山协商意见：未来矿山终采闭坑后，矿山土地将来交付</w:t>
      </w:r>
      <w:r>
        <w:rPr>
          <w:rFonts w:hint="eastAsia" w:cs="Times New Roman"/>
        </w:rPr>
        <w:t>松木经济开发区</w:t>
      </w:r>
      <w:r>
        <w:rPr>
          <w:rFonts w:cs="Times New Roman"/>
        </w:rPr>
        <w:t>作为建设用地使用。且ZK10、ZK12、CK3等三口井位于新安路以东，根据“</w:t>
      </w:r>
      <w:bookmarkStart w:id="557" w:name="_Hlk89094633"/>
      <w:r>
        <w:rPr>
          <w:rFonts w:cs="Times New Roman"/>
        </w:rPr>
        <w:t>建滔（衡阳）电子材料有限公司</w:t>
      </w:r>
      <w:bookmarkEnd w:id="557"/>
      <w:r>
        <w:rPr>
          <w:rFonts w:cs="Times New Roman"/>
        </w:rPr>
        <w:t>年产10万吨电子级基础树脂、10万吨电子级溴化系列树脂、1万吨四溴双酚A项目”建设用地规划许可证可知，矿区新安路以东区域闭坑后作为建滔（衡阳）电子材料有限公司建设用地。评价要求，建设单位应委托有资质的单位进行矿井封堵施工，并切实做好矿区生态环境恢复治理工作。</w:t>
      </w:r>
    </w:p>
    <w:p w14:paraId="3FBA9429">
      <w:pPr>
        <w:pStyle w:val="7"/>
      </w:pPr>
      <w:bookmarkStart w:id="558" w:name="_Toc89882479"/>
      <w:bookmarkStart w:id="559" w:name="_Toc90997693"/>
      <w:bookmarkStart w:id="560" w:name="_Toc86852316"/>
      <w:bookmarkStart w:id="561" w:name="_Toc89786154"/>
      <w:bookmarkStart w:id="562" w:name="_Toc121420850"/>
      <w:bookmarkStart w:id="563" w:name="_Toc90989261"/>
      <w:bookmarkStart w:id="564" w:name="_Toc90318439"/>
      <w:r>
        <w:t>4.6.4本项目污染物排放汇总</w:t>
      </w:r>
      <w:bookmarkEnd w:id="558"/>
      <w:bookmarkEnd w:id="559"/>
      <w:bookmarkEnd w:id="560"/>
      <w:bookmarkEnd w:id="561"/>
      <w:bookmarkEnd w:id="562"/>
      <w:bookmarkEnd w:id="563"/>
      <w:bookmarkEnd w:id="564"/>
    </w:p>
    <w:p w14:paraId="74CD42B3">
      <w:pPr>
        <w:ind w:firstLine="519"/>
        <w:rPr>
          <w:rFonts w:cs="Times New Roman"/>
        </w:rPr>
      </w:pPr>
      <w:r>
        <w:rPr>
          <w:rFonts w:cs="Times New Roman"/>
        </w:rPr>
        <w:t>本项目污染物汇总见下表所示。</w:t>
      </w:r>
    </w:p>
    <w:p w14:paraId="75B3FC66">
      <w:pPr>
        <w:ind w:firstLine="519"/>
        <w:rPr>
          <w:rFonts w:cs="Times New Roman"/>
        </w:rPr>
      </w:pPr>
    </w:p>
    <w:p w14:paraId="51DC3F13">
      <w:pPr>
        <w:pStyle w:val="2"/>
        <w:ind w:firstLine="519"/>
        <w:rPr>
          <w:rFonts w:cs="Times New Roman"/>
        </w:rPr>
      </w:pPr>
    </w:p>
    <w:p w14:paraId="30145BAD">
      <w:pPr>
        <w:pStyle w:val="3"/>
        <w:ind w:firstLine="519"/>
        <w:rPr>
          <w:rFonts w:cs="Times New Roman"/>
        </w:rPr>
      </w:pPr>
    </w:p>
    <w:p w14:paraId="44DD87B5">
      <w:pPr>
        <w:pStyle w:val="3"/>
        <w:ind w:firstLine="0" w:firstLineChars="0"/>
        <w:rPr>
          <w:rFonts w:cs="Times New Roman"/>
        </w:rPr>
      </w:pPr>
    </w:p>
    <w:p w14:paraId="5E1C55FC">
      <w:pPr>
        <w:ind w:firstLine="519"/>
        <w:rPr>
          <w:rFonts w:cs="Times New Roman"/>
        </w:rPr>
        <w:sectPr>
          <w:pgSz w:w="11906" w:h="16838"/>
          <w:pgMar w:top="1440" w:right="1797" w:bottom="1440" w:left="1797" w:header="851" w:footer="992" w:gutter="0"/>
          <w:cols w:space="425" w:num="1"/>
          <w:docGrid w:type="linesAndChars" w:linePitch="340" w:charSpace="4044"/>
        </w:sectPr>
      </w:pPr>
    </w:p>
    <w:p w14:paraId="17078227">
      <w:pPr>
        <w:pStyle w:val="9"/>
      </w:pPr>
      <w:bookmarkStart w:id="565" w:name="_Hlk89097571"/>
      <w:r>
        <w:t>表4.6-4  本项目排污汇总表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61"/>
        <w:gridCol w:w="456"/>
        <w:gridCol w:w="2069"/>
        <w:gridCol w:w="2254"/>
        <w:gridCol w:w="1463"/>
        <w:gridCol w:w="1432"/>
        <w:gridCol w:w="1230"/>
        <w:gridCol w:w="1134"/>
        <w:gridCol w:w="3575"/>
      </w:tblGrid>
      <w:tr w14:paraId="1ABFD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1088" w:type="pct"/>
            <w:gridSpan w:val="3"/>
            <w:tcBorders>
              <w:top w:val="single" w:color="auto" w:sz="12" w:space="0"/>
              <w:left w:val="single" w:color="auto" w:sz="12" w:space="0"/>
            </w:tcBorders>
            <w:vAlign w:val="center"/>
          </w:tcPr>
          <w:p w14:paraId="798245C7">
            <w:pPr>
              <w:pStyle w:val="48"/>
            </w:pPr>
            <w:bookmarkStart w:id="566" w:name="_Hlk89095109"/>
            <w:r>
              <w:t>污染源</w:t>
            </w:r>
          </w:p>
        </w:tc>
        <w:tc>
          <w:tcPr>
            <w:tcW w:w="795" w:type="pct"/>
            <w:tcBorders>
              <w:top w:val="single" w:color="auto" w:sz="12" w:space="0"/>
            </w:tcBorders>
            <w:vAlign w:val="center"/>
          </w:tcPr>
          <w:p w14:paraId="34B43520">
            <w:pPr>
              <w:pStyle w:val="48"/>
            </w:pPr>
            <w:r>
              <w:t>污染物</w:t>
            </w:r>
          </w:p>
        </w:tc>
        <w:tc>
          <w:tcPr>
            <w:tcW w:w="516" w:type="pct"/>
            <w:tcBorders>
              <w:top w:val="single" w:color="auto" w:sz="12" w:space="0"/>
            </w:tcBorders>
            <w:vAlign w:val="center"/>
          </w:tcPr>
          <w:p w14:paraId="3E9FC8B1">
            <w:pPr>
              <w:pStyle w:val="48"/>
            </w:pPr>
            <w:r>
              <w:t>产生浓度</w:t>
            </w:r>
          </w:p>
          <w:p w14:paraId="05D321AA">
            <w:pPr>
              <w:pStyle w:val="48"/>
            </w:pPr>
            <w:r>
              <w:t>mg/L</w:t>
            </w:r>
          </w:p>
        </w:tc>
        <w:tc>
          <w:tcPr>
            <w:tcW w:w="505" w:type="pct"/>
            <w:tcBorders>
              <w:top w:val="single" w:color="auto" w:sz="12" w:space="0"/>
            </w:tcBorders>
            <w:vAlign w:val="center"/>
          </w:tcPr>
          <w:p w14:paraId="4618BB93">
            <w:pPr>
              <w:pStyle w:val="48"/>
            </w:pPr>
            <w:r>
              <w:t>产生量</w:t>
            </w:r>
          </w:p>
          <w:p w14:paraId="6464B5BD">
            <w:pPr>
              <w:pStyle w:val="48"/>
            </w:pPr>
            <w:r>
              <w:t>（t/a）</w:t>
            </w:r>
          </w:p>
        </w:tc>
        <w:tc>
          <w:tcPr>
            <w:tcW w:w="434" w:type="pct"/>
            <w:tcBorders>
              <w:top w:val="single" w:color="auto" w:sz="12" w:space="0"/>
            </w:tcBorders>
            <w:vAlign w:val="center"/>
          </w:tcPr>
          <w:p w14:paraId="4D1A9EB1">
            <w:pPr>
              <w:pStyle w:val="48"/>
            </w:pPr>
            <w:r>
              <w:t>排放浓度</w:t>
            </w:r>
          </w:p>
          <w:p w14:paraId="6BCEFC3B">
            <w:pPr>
              <w:pStyle w:val="48"/>
            </w:pPr>
            <w:r>
              <w:t>mg/L</w:t>
            </w:r>
          </w:p>
        </w:tc>
        <w:tc>
          <w:tcPr>
            <w:tcW w:w="400" w:type="pct"/>
            <w:tcBorders>
              <w:top w:val="single" w:color="auto" w:sz="12" w:space="0"/>
            </w:tcBorders>
            <w:vAlign w:val="center"/>
          </w:tcPr>
          <w:p w14:paraId="0F4881F5">
            <w:pPr>
              <w:pStyle w:val="48"/>
            </w:pPr>
            <w:r>
              <w:t>排放量</w:t>
            </w:r>
          </w:p>
          <w:p w14:paraId="41C51429">
            <w:pPr>
              <w:pStyle w:val="48"/>
            </w:pPr>
            <w:r>
              <w:t>（t/a）</w:t>
            </w:r>
          </w:p>
        </w:tc>
        <w:tc>
          <w:tcPr>
            <w:tcW w:w="1261" w:type="pct"/>
            <w:tcBorders>
              <w:top w:val="single" w:color="auto" w:sz="12" w:space="0"/>
              <w:right w:val="single" w:color="auto" w:sz="12" w:space="0"/>
            </w:tcBorders>
            <w:vAlign w:val="center"/>
          </w:tcPr>
          <w:p w14:paraId="6AC5D62B">
            <w:pPr>
              <w:pStyle w:val="48"/>
            </w:pPr>
            <w:r>
              <w:t>处理措施</w:t>
            </w:r>
          </w:p>
        </w:tc>
      </w:tr>
      <w:tr w14:paraId="33FE6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restart"/>
            <w:tcBorders>
              <w:left w:val="single" w:color="auto" w:sz="12" w:space="0"/>
            </w:tcBorders>
            <w:vAlign w:val="center"/>
          </w:tcPr>
          <w:p w14:paraId="506777B5">
            <w:pPr>
              <w:pStyle w:val="48"/>
              <w:rPr>
                <w:spacing w:val="4"/>
              </w:rPr>
            </w:pPr>
            <w:r>
              <w:rPr>
                <w:spacing w:val="4"/>
              </w:rPr>
              <w:t>废气</w:t>
            </w:r>
          </w:p>
        </w:tc>
        <w:tc>
          <w:tcPr>
            <w:tcW w:w="161" w:type="pct"/>
            <w:vMerge w:val="restart"/>
            <w:vAlign w:val="center"/>
          </w:tcPr>
          <w:p w14:paraId="1A535EFD">
            <w:pPr>
              <w:pStyle w:val="48"/>
              <w:rPr>
                <w:spacing w:val="4"/>
              </w:rPr>
            </w:pPr>
            <w:r>
              <w:rPr>
                <w:spacing w:val="4"/>
              </w:rPr>
              <w:t>施工期</w:t>
            </w:r>
          </w:p>
        </w:tc>
        <w:tc>
          <w:tcPr>
            <w:tcW w:w="730" w:type="pct"/>
            <w:vAlign w:val="center"/>
          </w:tcPr>
          <w:p w14:paraId="2097456D">
            <w:pPr>
              <w:pStyle w:val="48"/>
              <w:rPr>
                <w:spacing w:val="4"/>
              </w:rPr>
            </w:pPr>
            <w:r>
              <w:rPr>
                <w:spacing w:val="4"/>
              </w:rPr>
              <w:t>施工扬尘</w:t>
            </w:r>
          </w:p>
        </w:tc>
        <w:tc>
          <w:tcPr>
            <w:tcW w:w="795" w:type="pct"/>
            <w:vAlign w:val="center"/>
          </w:tcPr>
          <w:p w14:paraId="655113AE">
            <w:pPr>
              <w:pStyle w:val="48"/>
              <w:rPr>
                <w:spacing w:val="4"/>
              </w:rPr>
            </w:pPr>
            <w:r>
              <w:rPr>
                <w:spacing w:val="4"/>
              </w:rPr>
              <w:t>粉尘</w:t>
            </w:r>
          </w:p>
        </w:tc>
        <w:tc>
          <w:tcPr>
            <w:tcW w:w="516" w:type="pct"/>
            <w:vAlign w:val="center"/>
          </w:tcPr>
          <w:p w14:paraId="49431266">
            <w:pPr>
              <w:pStyle w:val="48"/>
            </w:pPr>
            <w:r>
              <w:rPr>
                <w:spacing w:val="4"/>
              </w:rPr>
              <w:t>少量</w:t>
            </w:r>
          </w:p>
        </w:tc>
        <w:tc>
          <w:tcPr>
            <w:tcW w:w="505" w:type="pct"/>
            <w:vAlign w:val="center"/>
          </w:tcPr>
          <w:p w14:paraId="121EF5C7">
            <w:pPr>
              <w:pStyle w:val="48"/>
            </w:pPr>
            <w:r>
              <w:rPr>
                <w:spacing w:val="4"/>
              </w:rPr>
              <w:t>少量</w:t>
            </w:r>
          </w:p>
        </w:tc>
        <w:tc>
          <w:tcPr>
            <w:tcW w:w="434" w:type="pct"/>
            <w:vAlign w:val="center"/>
          </w:tcPr>
          <w:p w14:paraId="1AE57E34">
            <w:pPr>
              <w:pStyle w:val="48"/>
            </w:pPr>
            <w:r>
              <w:rPr>
                <w:spacing w:val="4"/>
              </w:rPr>
              <w:t>少量</w:t>
            </w:r>
          </w:p>
        </w:tc>
        <w:tc>
          <w:tcPr>
            <w:tcW w:w="400" w:type="pct"/>
            <w:vAlign w:val="center"/>
          </w:tcPr>
          <w:p w14:paraId="170B90A7">
            <w:pPr>
              <w:pStyle w:val="48"/>
            </w:pPr>
            <w:r>
              <w:rPr>
                <w:spacing w:val="4"/>
              </w:rPr>
              <w:t>少量</w:t>
            </w:r>
          </w:p>
        </w:tc>
        <w:tc>
          <w:tcPr>
            <w:tcW w:w="1261" w:type="pct"/>
            <w:tcBorders>
              <w:right w:val="single" w:color="auto" w:sz="12" w:space="0"/>
            </w:tcBorders>
            <w:vAlign w:val="center"/>
          </w:tcPr>
          <w:p w14:paraId="6952C424">
            <w:pPr>
              <w:pStyle w:val="48"/>
            </w:pPr>
            <w:r>
              <w:t>洒水、喷雾降尘</w:t>
            </w:r>
          </w:p>
        </w:tc>
      </w:tr>
      <w:tr w14:paraId="1CDE1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continue"/>
            <w:tcBorders>
              <w:left w:val="single" w:color="auto" w:sz="12" w:space="0"/>
            </w:tcBorders>
            <w:vAlign w:val="center"/>
          </w:tcPr>
          <w:p w14:paraId="5C18DA36">
            <w:pPr>
              <w:pStyle w:val="48"/>
              <w:rPr>
                <w:spacing w:val="4"/>
              </w:rPr>
            </w:pPr>
          </w:p>
        </w:tc>
        <w:tc>
          <w:tcPr>
            <w:tcW w:w="161" w:type="pct"/>
            <w:vMerge w:val="continue"/>
            <w:vAlign w:val="center"/>
          </w:tcPr>
          <w:p w14:paraId="21792BF9">
            <w:pPr>
              <w:pStyle w:val="48"/>
              <w:rPr>
                <w:spacing w:val="4"/>
              </w:rPr>
            </w:pPr>
          </w:p>
        </w:tc>
        <w:tc>
          <w:tcPr>
            <w:tcW w:w="730" w:type="pct"/>
            <w:vAlign w:val="center"/>
          </w:tcPr>
          <w:p w14:paraId="02E9389C">
            <w:pPr>
              <w:pStyle w:val="48"/>
              <w:rPr>
                <w:spacing w:val="4"/>
              </w:rPr>
            </w:pPr>
            <w:r>
              <w:rPr>
                <w:spacing w:val="4"/>
              </w:rPr>
              <w:t>动力机械尾气和汽车尾气</w:t>
            </w:r>
          </w:p>
        </w:tc>
        <w:tc>
          <w:tcPr>
            <w:tcW w:w="795" w:type="pct"/>
            <w:vAlign w:val="center"/>
          </w:tcPr>
          <w:p w14:paraId="3A81E810">
            <w:pPr>
              <w:pStyle w:val="48"/>
              <w:rPr>
                <w:spacing w:val="4"/>
              </w:rPr>
            </w:pPr>
            <w:r>
              <w:rPr>
                <w:spacing w:val="4"/>
              </w:rPr>
              <w:t>NO</w:t>
            </w:r>
            <w:r>
              <w:rPr>
                <w:spacing w:val="4"/>
                <w:vertAlign w:val="subscript"/>
              </w:rPr>
              <w:t>2</w:t>
            </w:r>
            <w:r>
              <w:rPr>
                <w:spacing w:val="4"/>
              </w:rPr>
              <w:t>、CO、SO</w:t>
            </w:r>
            <w:r>
              <w:rPr>
                <w:spacing w:val="4"/>
                <w:vertAlign w:val="subscript"/>
              </w:rPr>
              <w:t>2</w:t>
            </w:r>
            <w:r>
              <w:rPr>
                <w:spacing w:val="4"/>
              </w:rPr>
              <w:t>和THC等</w:t>
            </w:r>
          </w:p>
        </w:tc>
        <w:tc>
          <w:tcPr>
            <w:tcW w:w="516" w:type="pct"/>
            <w:vAlign w:val="center"/>
          </w:tcPr>
          <w:p w14:paraId="7F2CC725">
            <w:pPr>
              <w:pStyle w:val="48"/>
            </w:pPr>
            <w:r>
              <w:rPr>
                <w:spacing w:val="4"/>
              </w:rPr>
              <w:t>少量</w:t>
            </w:r>
          </w:p>
        </w:tc>
        <w:tc>
          <w:tcPr>
            <w:tcW w:w="505" w:type="pct"/>
            <w:vAlign w:val="center"/>
          </w:tcPr>
          <w:p w14:paraId="4252DA2E">
            <w:pPr>
              <w:pStyle w:val="48"/>
            </w:pPr>
            <w:r>
              <w:rPr>
                <w:spacing w:val="4"/>
              </w:rPr>
              <w:t>少量</w:t>
            </w:r>
          </w:p>
        </w:tc>
        <w:tc>
          <w:tcPr>
            <w:tcW w:w="434" w:type="pct"/>
            <w:vAlign w:val="center"/>
          </w:tcPr>
          <w:p w14:paraId="6B2F257A">
            <w:pPr>
              <w:pStyle w:val="48"/>
            </w:pPr>
            <w:r>
              <w:rPr>
                <w:spacing w:val="4"/>
              </w:rPr>
              <w:t>少量</w:t>
            </w:r>
          </w:p>
        </w:tc>
        <w:tc>
          <w:tcPr>
            <w:tcW w:w="400" w:type="pct"/>
            <w:vAlign w:val="center"/>
          </w:tcPr>
          <w:p w14:paraId="619F5C33">
            <w:pPr>
              <w:pStyle w:val="48"/>
            </w:pPr>
            <w:r>
              <w:rPr>
                <w:spacing w:val="4"/>
              </w:rPr>
              <w:t>少量</w:t>
            </w:r>
          </w:p>
        </w:tc>
        <w:tc>
          <w:tcPr>
            <w:tcW w:w="1261" w:type="pct"/>
            <w:tcBorders>
              <w:right w:val="single" w:color="auto" w:sz="12" w:space="0"/>
            </w:tcBorders>
            <w:vAlign w:val="center"/>
          </w:tcPr>
          <w:p w14:paraId="1DD1C864">
            <w:pPr>
              <w:pStyle w:val="48"/>
            </w:pPr>
            <w:r>
              <w:t>/</w:t>
            </w:r>
          </w:p>
        </w:tc>
      </w:tr>
      <w:tr w14:paraId="6D919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continue"/>
            <w:tcBorders>
              <w:left w:val="single" w:color="auto" w:sz="12" w:space="0"/>
            </w:tcBorders>
            <w:vAlign w:val="center"/>
          </w:tcPr>
          <w:p w14:paraId="63D83720">
            <w:pPr>
              <w:pStyle w:val="48"/>
              <w:rPr>
                <w:spacing w:val="4"/>
              </w:rPr>
            </w:pPr>
          </w:p>
        </w:tc>
        <w:tc>
          <w:tcPr>
            <w:tcW w:w="161" w:type="pct"/>
            <w:vMerge w:val="continue"/>
            <w:vAlign w:val="center"/>
          </w:tcPr>
          <w:p w14:paraId="60838A98">
            <w:pPr>
              <w:pStyle w:val="48"/>
              <w:rPr>
                <w:spacing w:val="4"/>
              </w:rPr>
            </w:pPr>
          </w:p>
        </w:tc>
        <w:tc>
          <w:tcPr>
            <w:tcW w:w="730" w:type="pct"/>
            <w:vAlign w:val="center"/>
          </w:tcPr>
          <w:p w14:paraId="2FA391E7">
            <w:pPr>
              <w:pStyle w:val="48"/>
              <w:rPr>
                <w:spacing w:val="4"/>
              </w:rPr>
            </w:pPr>
            <w:r>
              <w:rPr>
                <w:spacing w:val="4"/>
              </w:rPr>
              <w:t>道路扬尘</w:t>
            </w:r>
          </w:p>
        </w:tc>
        <w:tc>
          <w:tcPr>
            <w:tcW w:w="795" w:type="pct"/>
            <w:vAlign w:val="center"/>
          </w:tcPr>
          <w:p w14:paraId="1156141C">
            <w:pPr>
              <w:pStyle w:val="48"/>
              <w:rPr>
                <w:spacing w:val="4"/>
              </w:rPr>
            </w:pPr>
            <w:r>
              <w:rPr>
                <w:spacing w:val="4"/>
              </w:rPr>
              <w:t>粉尘</w:t>
            </w:r>
          </w:p>
        </w:tc>
        <w:tc>
          <w:tcPr>
            <w:tcW w:w="516" w:type="pct"/>
            <w:vAlign w:val="center"/>
          </w:tcPr>
          <w:p w14:paraId="71D04A39">
            <w:pPr>
              <w:pStyle w:val="48"/>
              <w:rPr>
                <w:spacing w:val="4"/>
              </w:rPr>
            </w:pPr>
            <w:r>
              <w:rPr>
                <w:spacing w:val="4"/>
              </w:rPr>
              <w:t>少量</w:t>
            </w:r>
          </w:p>
        </w:tc>
        <w:tc>
          <w:tcPr>
            <w:tcW w:w="505" w:type="pct"/>
            <w:vAlign w:val="center"/>
          </w:tcPr>
          <w:p w14:paraId="1A53F080">
            <w:pPr>
              <w:pStyle w:val="48"/>
              <w:rPr>
                <w:spacing w:val="4"/>
              </w:rPr>
            </w:pPr>
            <w:r>
              <w:rPr>
                <w:spacing w:val="4"/>
              </w:rPr>
              <w:t>少量</w:t>
            </w:r>
          </w:p>
        </w:tc>
        <w:tc>
          <w:tcPr>
            <w:tcW w:w="434" w:type="pct"/>
            <w:vAlign w:val="center"/>
          </w:tcPr>
          <w:p w14:paraId="33DB0067">
            <w:pPr>
              <w:pStyle w:val="48"/>
              <w:rPr>
                <w:spacing w:val="4"/>
              </w:rPr>
            </w:pPr>
            <w:r>
              <w:rPr>
                <w:spacing w:val="4"/>
              </w:rPr>
              <w:t>少量</w:t>
            </w:r>
          </w:p>
        </w:tc>
        <w:tc>
          <w:tcPr>
            <w:tcW w:w="400" w:type="pct"/>
            <w:vAlign w:val="center"/>
          </w:tcPr>
          <w:p w14:paraId="00A5D6E2">
            <w:pPr>
              <w:pStyle w:val="48"/>
              <w:rPr>
                <w:spacing w:val="4"/>
              </w:rPr>
            </w:pPr>
            <w:r>
              <w:rPr>
                <w:spacing w:val="4"/>
              </w:rPr>
              <w:t>少量</w:t>
            </w:r>
          </w:p>
        </w:tc>
        <w:tc>
          <w:tcPr>
            <w:tcW w:w="1261" w:type="pct"/>
            <w:tcBorders>
              <w:right w:val="single" w:color="auto" w:sz="12" w:space="0"/>
            </w:tcBorders>
            <w:vAlign w:val="center"/>
          </w:tcPr>
          <w:p w14:paraId="7D97DE6D">
            <w:pPr>
              <w:pStyle w:val="48"/>
            </w:pPr>
            <w:r>
              <w:t>洒水降尘、车辆进行冲洗等措施</w:t>
            </w:r>
          </w:p>
        </w:tc>
      </w:tr>
      <w:tr w14:paraId="5D697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continue"/>
            <w:tcBorders>
              <w:left w:val="single" w:color="auto" w:sz="12" w:space="0"/>
            </w:tcBorders>
            <w:vAlign w:val="center"/>
          </w:tcPr>
          <w:p w14:paraId="33BBD7D5">
            <w:pPr>
              <w:pStyle w:val="48"/>
              <w:rPr>
                <w:spacing w:val="4"/>
              </w:rPr>
            </w:pPr>
          </w:p>
        </w:tc>
        <w:tc>
          <w:tcPr>
            <w:tcW w:w="161" w:type="pct"/>
            <w:vMerge w:val="continue"/>
            <w:vAlign w:val="center"/>
          </w:tcPr>
          <w:p w14:paraId="5A665294">
            <w:pPr>
              <w:pStyle w:val="48"/>
              <w:rPr>
                <w:spacing w:val="4"/>
              </w:rPr>
            </w:pPr>
          </w:p>
        </w:tc>
        <w:tc>
          <w:tcPr>
            <w:tcW w:w="730" w:type="pct"/>
            <w:vAlign w:val="center"/>
          </w:tcPr>
          <w:p w14:paraId="125EE624">
            <w:pPr>
              <w:pStyle w:val="48"/>
              <w:rPr>
                <w:spacing w:val="4"/>
              </w:rPr>
            </w:pPr>
            <w:r>
              <w:rPr>
                <w:spacing w:val="4"/>
              </w:rPr>
              <w:t>管道焊接废气</w:t>
            </w:r>
          </w:p>
        </w:tc>
        <w:tc>
          <w:tcPr>
            <w:tcW w:w="795" w:type="pct"/>
            <w:vAlign w:val="center"/>
          </w:tcPr>
          <w:p w14:paraId="706F6D41">
            <w:pPr>
              <w:pStyle w:val="48"/>
              <w:rPr>
                <w:spacing w:val="4"/>
              </w:rPr>
            </w:pPr>
            <w:r>
              <w:rPr>
                <w:spacing w:val="4"/>
              </w:rPr>
              <w:t>焊接烟尘及少量有机废气</w:t>
            </w:r>
          </w:p>
        </w:tc>
        <w:tc>
          <w:tcPr>
            <w:tcW w:w="516" w:type="pct"/>
            <w:vAlign w:val="center"/>
          </w:tcPr>
          <w:p w14:paraId="4ED0FC43">
            <w:pPr>
              <w:pStyle w:val="48"/>
            </w:pPr>
            <w:r>
              <w:rPr>
                <w:spacing w:val="4"/>
              </w:rPr>
              <w:t>少量</w:t>
            </w:r>
          </w:p>
        </w:tc>
        <w:tc>
          <w:tcPr>
            <w:tcW w:w="505" w:type="pct"/>
            <w:vAlign w:val="center"/>
          </w:tcPr>
          <w:p w14:paraId="2A1F2723">
            <w:pPr>
              <w:pStyle w:val="48"/>
            </w:pPr>
            <w:r>
              <w:rPr>
                <w:spacing w:val="4"/>
              </w:rPr>
              <w:t>少量</w:t>
            </w:r>
          </w:p>
        </w:tc>
        <w:tc>
          <w:tcPr>
            <w:tcW w:w="434" w:type="pct"/>
            <w:vAlign w:val="center"/>
          </w:tcPr>
          <w:p w14:paraId="1E5093FD">
            <w:pPr>
              <w:pStyle w:val="48"/>
            </w:pPr>
            <w:r>
              <w:rPr>
                <w:spacing w:val="4"/>
              </w:rPr>
              <w:t>少量</w:t>
            </w:r>
          </w:p>
        </w:tc>
        <w:tc>
          <w:tcPr>
            <w:tcW w:w="400" w:type="pct"/>
            <w:vAlign w:val="center"/>
          </w:tcPr>
          <w:p w14:paraId="6AFB558E">
            <w:pPr>
              <w:pStyle w:val="48"/>
            </w:pPr>
            <w:r>
              <w:rPr>
                <w:spacing w:val="4"/>
              </w:rPr>
              <w:t>少量</w:t>
            </w:r>
          </w:p>
        </w:tc>
        <w:tc>
          <w:tcPr>
            <w:tcW w:w="1261" w:type="pct"/>
            <w:tcBorders>
              <w:right w:val="single" w:color="auto" w:sz="12" w:space="0"/>
            </w:tcBorders>
            <w:vAlign w:val="center"/>
          </w:tcPr>
          <w:p w14:paraId="0D9DB16A">
            <w:pPr>
              <w:pStyle w:val="48"/>
            </w:pPr>
            <w:r>
              <w:t>/</w:t>
            </w:r>
          </w:p>
        </w:tc>
      </w:tr>
      <w:tr w14:paraId="3B0C3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restart"/>
            <w:tcBorders>
              <w:left w:val="single" w:color="auto" w:sz="12" w:space="0"/>
            </w:tcBorders>
            <w:vAlign w:val="center"/>
          </w:tcPr>
          <w:p w14:paraId="05476C7C">
            <w:pPr>
              <w:pStyle w:val="48"/>
              <w:rPr>
                <w:spacing w:val="4"/>
              </w:rPr>
            </w:pPr>
            <w:r>
              <w:rPr>
                <w:spacing w:val="4"/>
              </w:rPr>
              <w:t>废水</w:t>
            </w:r>
          </w:p>
        </w:tc>
        <w:tc>
          <w:tcPr>
            <w:tcW w:w="161" w:type="pct"/>
            <w:vMerge w:val="restart"/>
            <w:vAlign w:val="center"/>
          </w:tcPr>
          <w:p w14:paraId="55834EA7">
            <w:pPr>
              <w:pStyle w:val="48"/>
            </w:pPr>
            <w:r>
              <w:rPr>
                <w:spacing w:val="4"/>
              </w:rPr>
              <w:t>施工期</w:t>
            </w:r>
          </w:p>
        </w:tc>
        <w:tc>
          <w:tcPr>
            <w:tcW w:w="730" w:type="pct"/>
            <w:vAlign w:val="center"/>
          </w:tcPr>
          <w:p w14:paraId="1337EC0F">
            <w:pPr>
              <w:pStyle w:val="48"/>
            </w:pPr>
            <w:r>
              <w:t>施工废水</w:t>
            </w:r>
          </w:p>
        </w:tc>
        <w:tc>
          <w:tcPr>
            <w:tcW w:w="795" w:type="pct"/>
            <w:vAlign w:val="center"/>
          </w:tcPr>
          <w:p w14:paraId="58925C74">
            <w:pPr>
              <w:pStyle w:val="48"/>
            </w:pPr>
            <w:r>
              <w:t>SS、石油类</w:t>
            </w:r>
          </w:p>
        </w:tc>
        <w:tc>
          <w:tcPr>
            <w:tcW w:w="516" w:type="pct"/>
            <w:vAlign w:val="center"/>
          </w:tcPr>
          <w:p w14:paraId="3C8B4F75">
            <w:pPr>
              <w:pStyle w:val="48"/>
            </w:pPr>
            <w:r>
              <w:rPr>
                <w:spacing w:val="4"/>
              </w:rPr>
              <w:t>少量</w:t>
            </w:r>
          </w:p>
        </w:tc>
        <w:tc>
          <w:tcPr>
            <w:tcW w:w="505" w:type="pct"/>
            <w:vAlign w:val="center"/>
          </w:tcPr>
          <w:p w14:paraId="76798F6E">
            <w:pPr>
              <w:pStyle w:val="48"/>
            </w:pPr>
            <w:r>
              <w:rPr>
                <w:spacing w:val="4"/>
              </w:rPr>
              <w:t>少量</w:t>
            </w:r>
          </w:p>
        </w:tc>
        <w:tc>
          <w:tcPr>
            <w:tcW w:w="434" w:type="pct"/>
            <w:vAlign w:val="center"/>
          </w:tcPr>
          <w:p w14:paraId="61501D6C">
            <w:pPr>
              <w:pStyle w:val="48"/>
            </w:pPr>
            <w:r>
              <w:t>/</w:t>
            </w:r>
          </w:p>
        </w:tc>
        <w:tc>
          <w:tcPr>
            <w:tcW w:w="400" w:type="pct"/>
            <w:vAlign w:val="center"/>
          </w:tcPr>
          <w:p w14:paraId="36A078D6">
            <w:pPr>
              <w:pStyle w:val="48"/>
            </w:pPr>
            <w:r>
              <w:t>/</w:t>
            </w:r>
          </w:p>
        </w:tc>
        <w:tc>
          <w:tcPr>
            <w:tcW w:w="1261" w:type="pct"/>
            <w:tcBorders>
              <w:right w:val="single" w:color="auto" w:sz="12" w:space="0"/>
            </w:tcBorders>
            <w:vAlign w:val="center"/>
          </w:tcPr>
          <w:p w14:paraId="50C0915A">
            <w:pPr>
              <w:pStyle w:val="48"/>
              <w:rPr>
                <w:kern w:val="0"/>
              </w:rPr>
            </w:pPr>
            <w:r>
              <w:rPr>
                <w:kern w:val="0"/>
              </w:rPr>
              <w:t>经防污沟和循环水池处理后回用于施工生产，生产废水不外排</w:t>
            </w:r>
          </w:p>
        </w:tc>
      </w:tr>
      <w:tr w14:paraId="57B86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continue"/>
            <w:tcBorders>
              <w:left w:val="single" w:color="auto" w:sz="12" w:space="0"/>
            </w:tcBorders>
            <w:vAlign w:val="center"/>
          </w:tcPr>
          <w:p w14:paraId="1C2B0595">
            <w:pPr>
              <w:pStyle w:val="48"/>
              <w:rPr>
                <w:spacing w:val="4"/>
              </w:rPr>
            </w:pPr>
          </w:p>
        </w:tc>
        <w:tc>
          <w:tcPr>
            <w:tcW w:w="161" w:type="pct"/>
            <w:vMerge w:val="continue"/>
            <w:vAlign w:val="center"/>
          </w:tcPr>
          <w:p w14:paraId="695E86A1">
            <w:pPr>
              <w:pStyle w:val="48"/>
            </w:pPr>
          </w:p>
        </w:tc>
        <w:tc>
          <w:tcPr>
            <w:tcW w:w="730" w:type="pct"/>
            <w:vAlign w:val="center"/>
          </w:tcPr>
          <w:p w14:paraId="135530A8">
            <w:pPr>
              <w:pStyle w:val="48"/>
            </w:pPr>
            <w:r>
              <w:t>生活污水</w:t>
            </w:r>
          </w:p>
        </w:tc>
        <w:tc>
          <w:tcPr>
            <w:tcW w:w="795" w:type="pct"/>
            <w:vAlign w:val="center"/>
          </w:tcPr>
          <w:p w14:paraId="09234BC3">
            <w:pPr>
              <w:pStyle w:val="48"/>
            </w:pPr>
            <w:r>
              <w:t>COD、SS、NH</w:t>
            </w:r>
            <w:r>
              <w:rPr>
                <w:vertAlign w:val="subscript"/>
              </w:rPr>
              <w:t>3</w:t>
            </w:r>
            <w:r>
              <w:t>-N</w:t>
            </w:r>
          </w:p>
        </w:tc>
        <w:tc>
          <w:tcPr>
            <w:tcW w:w="516" w:type="pct"/>
            <w:vAlign w:val="center"/>
          </w:tcPr>
          <w:p w14:paraId="30823601">
            <w:pPr>
              <w:pStyle w:val="48"/>
            </w:pPr>
            <w:r>
              <w:rPr>
                <w:spacing w:val="4"/>
              </w:rPr>
              <w:t>少量</w:t>
            </w:r>
          </w:p>
        </w:tc>
        <w:tc>
          <w:tcPr>
            <w:tcW w:w="505" w:type="pct"/>
            <w:vAlign w:val="center"/>
          </w:tcPr>
          <w:p w14:paraId="7105E22F">
            <w:pPr>
              <w:pStyle w:val="48"/>
            </w:pPr>
            <w:r>
              <w:rPr>
                <w:spacing w:val="4"/>
              </w:rPr>
              <w:t>少量</w:t>
            </w:r>
          </w:p>
        </w:tc>
        <w:tc>
          <w:tcPr>
            <w:tcW w:w="434" w:type="pct"/>
            <w:vAlign w:val="center"/>
          </w:tcPr>
          <w:p w14:paraId="4BE7B779">
            <w:pPr>
              <w:pStyle w:val="48"/>
            </w:pPr>
            <w:r>
              <w:t>/</w:t>
            </w:r>
          </w:p>
        </w:tc>
        <w:tc>
          <w:tcPr>
            <w:tcW w:w="400" w:type="pct"/>
            <w:vAlign w:val="center"/>
          </w:tcPr>
          <w:p w14:paraId="7F363D5F">
            <w:pPr>
              <w:pStyle w:val="48"/>
            </w:pPr>
            <w:r>
              <w:t>/</w:t>
            </w:r>
          </w:p>
        </w:tc>
        <w:tc>
          <w:tcPr>
            <w:tcW w:w="1261" w:type="pct"/>
            <w:tcBorders>
              <w:right w:val="single" w:color="auto" w:sz="12" w:space="0"/>
            </w:tcBorders>
            <w:vAlign w:val="center"/>
          </w:tcPr>
          <w:p w14:paraId="0E0A2078">
            <w:pPr>
              <w:pStyle w:val="48"/>
              <w:rPr>
                <w:kern w:val="0"/>
              </w:rPr>
            </w:pPr>
            <w:r>
              <w:rPr>
                <w:kern w:val="0"/>
              </w:rPr>
              <w:t>依托周边化粪池处理</w:t>
            </w:r>
          </w:p>
        </w:tc>
      </w:tr>
      <w:tr w14:paraId="2E14D0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restart"/>
            <w:tcBorders>
              <w:left w:val="single" w:color="auto" w:sz="12" w:space="0"/>
            </w:tcBorders>
            <w:vAlign w:val="center"/>
          </w:tcPr>
          <w:p w14:paraId="3C9DED9B">
            <w:pPr>
              <w:pStyle w:val="48"/>
              <w:rPr>
                <w:spacing w:val="4"/>
              </w:rPr>
            </w:pPr>
            <w:r>
              <w:rPr>
                <w:spacing w:val="4"/>
              </w:rPr>
              <w:t>固体</w:t>
            </w:r>
          </w:p>
          <w:p w14:paraId="32AA693C">
            <w:pPr>
              <w:pStyle w:val="48"/>
              <w:rPr>
                <w:spacing w:val="4"/>
              </w:rPr>
            </w:pPr>
            <w:r>
              <w:rPr>
                <w:spacing w:val="4"/>
              </w:rPr>
              <w:t>废物</w:t>
            </w:r>
          </w:p>
        </w:tc>
        <w:tc>
          <w:tcPr>
            <w:tcW w:w="161" w:type="pct"/>
            <w:vMerge w:val="restart"/>
            <w:vAlign w:val="center"/>
          </w:tcPr>
          <w:p w14:paraId="3DAE9ABE">
            <w:pPr>
              <w:pStyle w:val="48"/>
            </w:pPr>
            <w:r>
              <w:rPr>
                <w:spacing w:val="4"/>
              </w:rPr>
              <w:t>施工期</w:t>
            </w:r>
          </w:p>
        </w:tc>
        <w:tc>
          <w:tcPr>
            <w:tcW w:w="730" w:type="pct"/>
            <w:vAlign w:val="center"/>
          </w:tcPr>
          <w:p w14:paraId="7FA5F5C6">
            <w:pPr>
              <w:pStyle w:val="48"/>
            </w:pPr>
            <w:r>
              <w:t>钻井岩屑</w:t>
            </w:r>
          </w:p>
        </w:tc>
        <w:tc>
          <w:tcPr>
            <w:tcW w:w="795" w:type="pct"/>
            <w:vAlign w:val="center"/>
          </w:tcPr>
          <w:p w14:paraId="71BCEB75">
            <w:pPr>
              <w:pStyle w:val="48"/>
            </w:pPr>
            <w:r>
              <w:rPr>
                <w:spacing w:val="4"/>
              </w:rPr>
              <w:t>/</w:t>
            </w:r>
          </w:p>
        </w:tc>
        <w:tc>
          <w:tcPr>
            <w:tcW w:w="516" w:type="pct"/>
            <w:vAlign w:val="center"/>
          </w:tcPr>
          <w:p w14:paraId="63ADEC25">
            <w:pPr>
              <w:pStyle w:val="48"/>
            </w:pPr>
            <w:r>
              <w:rPr>
                <w:spacing w:val="4"/>
              </w:rPr>
              <w:t>/</w:t>
            </w:r>
          </w:p>
        </w:tc>
        <w:tc>
          <w:tcPr>
            <w:tcW w:w="505" w:type="pct"/>
            <w:vAlign w:val="center"/>
          </w:tcPr>
          <w:p w14:paraId="1213EB94">
            <w:pPr>
              <w:pStyle w:val="48"/>
            </w:pPr>
            <w:r>
              <w:rPr>
                <w:spacing w:val="4"/>
              </w:rPr>
              <w:t>/</w:t>
            </w:r>
          </w:p>
        </w:tc>
        <w:tc>
          <w:tcPr>
            <w:tcW w:w="434" w:type="pct"/>
            <w:vAlign w:val="center"/>
          </w:tcPr>
          <w:p w14:paraId="76CDA7BC">
            <w:pPr>
              <w:pStyle w:val="48"/>
            </w:pPr>
            <w:r>
              <w:rPr>
                <w:spacing w:val="4"/>
              </w:rPr>
              <w:t>/</w:t>
            </w:r>
          </w:p>
        </w:tc>
        <w:tc>
          <w:tcPr>
            <w:tcW w:w="400" w:type="pct"/>
            <w:vAlign w:val="center"/>
          </w:tcPr>
          <w:p w14:paraId="20D431C8">
            <w:pPr>
              <w:pStyle w:val="48"/>
            </w:pPr>
            <w:r>
              <w:rPr>
                <w:spacing w:val="4"/>
              </w:rPr>
              <w:t>/</w:t>
            </w:r>
          </w:p>
        </w:tc>
        <w:tc>
          <w:tcPr>
            <w:tcW w:w="1261" w:type="pct"/>
            <w:tcBorders>
              <w:right w:val="single" w:color="auto" w:sz="12" w:space="0"/>
            </w:tcBorders>
            <w:vAlign w:val="center"/>
          </w:tcPr>
          <w:p w14:paraId="37AB8098">
            <w:pPr>
              <w:pStyle w:val="48"/>
            </w:pPr>
            <w:r>
              <w:t>井场循环水池处理后用于井场填垫处理</w:t>
            </w:r>
          </w:p>
        </w:tc>
      </w:tr>
      <w:tr w14:paraId="580C1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continue"/>
            <w:tcBorders>
              <w:left w:val="single" w:color="auto" w:sz="12" w:space="0"/>
            </w:tcBorders>
            <w:vAlign w:val="center"/>
          </w:tcPr>
          <w:p w14:paraId="5E602CE9">
            <w:pPr>
              <w:pStyle w:val="48"/>
              <w:rPr>
                <w:spacing w:val="4"/>
              </w:rPr>
            </w:pPr>
          </w:p>
        </w:tc>
        <w:tc>
          <w:tcPr>
            <w:tcW w:w="161" w:type="pct"/>
            <w:vMerge w:val="continue"/>
            <w:vAlign w:val="center"/>
          </w:tcPr>
          <w:p w14:paraId="0EFA08AA">
            <w:pPr>
              <w:pStyle w:val="48"/>
              <w:rPr>
                <w:spacing w:val="4"/>
              </w:rPr>
            </w:pPr>
          </w:p>
        </w:tc>
        <w:tc>
          <w:tcPr>
            <w:tcW w:w="730" w:type="pct"/>
            <w:vAlign w:val="center"/>
          </w:tcPr>
          <w:p w14:paraId="0E7DA583">
            <w:pPr>
              <w:pStyle w:val="48"/>
            </w:pPr>
            <w:r>
              <w:t>废泥浆</w:t>
            </w:r>
          </w:p>
        </w:tc>
        <w:tc>
          <w:tcPr>
            <w:tcW w:w="795" w:type="pct"/>
            <w:vAlign w:val="center"/>
          </w:tcPr>
          <w:p w14:paraId="2BA48518">
            <w:pPr>
              <w:pStyle w:val="48"/>
              <w:rPr>
                <w:spacing w:val="4"/>
              </w:rPr>
            </w:pPr>
            <w:r>
              <w:rPr>
                <w:spacing w:val="4"/>
              </w:rPr>
              <w:t>/</w:t>
            </w:r>
          </w:p>
        </w:tc>
        <w:tc>
          <w:tcPr>
            <w:tcW w:w="516" w:type="pct"/>
            <w:vAlign w:val="center"/>
          </w:tcPr>
          <w:p w14:paraId="71C49A59">
            <w:pPr>
              <w:pStyle w:val="48"/>
              <w:rPr>
                <w:spacing w:val="4"/>
              </w:rPr>
            </w:pPr>
            <w:r>
              <w:rPr>
                <w:spacing w:val="4"/>
              </w:rPr>
              <w:t>/</w:t>
            </w:r>
          </w:p>
        </w:tc>
        <w:tc>
          <w:tcPr>
            <w:tcW w:w="505" w:type="pct"/>
            <w:vAlign w:val="center"/>
          </w:tcPr>
          <w:p w14:paraId="5D69E014">
            <w:pPr>
              <w:pStyle w:val="48"/>
              <w:rPr>
                <w:spacing w:val="4"/>
              </w:rPr>
            </w:pPr>
            <w:r>
              <w:t>100.48m</w:t>
            </w:r>
            <w:r>
              <w:rPr>
                <w:vertAlign w:val="superscript"/>
              </w:rPr>
              <w:t>3</w:t>
            </w:r>
            <w:r>
              <w:t>/井</w:t>
            </w:r>
          </w:p>
        </w:tc>
        <w:tc>
          <w:tcPr>
            <w:tcW w:w="434" w:type="pct"/>
            <w:vAlign w:val="center"/>
          </w:tcPr>
          <w:p w14:paraId="53890046">
            <w:pPr>
              <w:pStyle w:val="48"/>
              <w:rPr>
                <w:spacing w:val="4"/>
              </w:rPr>
            </w:pPr>
            <w:r>
              <w:rPr>
                <w:spacing w:val="4"/>
              </w:rPr>
              <w:t>/</w:t>
            </w:r>
          </w:p>
        </w:tc>
        <w:tc>
          <w:tcPr>
            <w:tcW w:w="400" w:type="pct"/>
            <w:vAlign w:val="center"/>
          </w:tcPr>
          <w:p w14:paraId="3705E99F">
            <w:pPr>
              <w:pStyle w:val="48"/>
              <w:rPr>
                <w:spacing w:val="4"/>
              </w:rPr>
            </w:pPr>
            <w:r>
              <w:rPr>
                <w:spacing w:val="4"/>
              </w:rPr>
              <w:t>/</w:t>
            </w:r>
          </w:p>
        </w:tc>
        <w:tc>
          <w:tcPr>
            <w:tcW w:w="1261" w:type="pct"/>
            <w:tcBorders>
              <w:right w:val="single" w:color="auto" w:sz="12" w:space="0"/>
            </w:tcBorders>
            <w:vAlign w:val="center"/>
          </w:tcPr>
          <w:p w14:paraId="607A87D4">
            <w:pPr>
              <w:pStyle w:val="48"/>
            </w:pPr>
            <w:r>
              <w:t>不能循环利用的废泥浆经固化后覆土进行植被恢复</w:t>
            </w:r>
          </w:p>
        </w:tc>
      </w:tr>
      <w:tr w14:paraId="7E120A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continue"/>
            <w:tcBorders>
              <w:left w:val="single" w:color="auto" w:sz="12" w:space="0"/>
            </w:tcBorders>
            <w:vAlign w:val="center"/>
          </w:tcPr>
          <w:p w14:paraId="1F1D3164">
            <w:pPr>
              <w:pStyle w:val="48"/>
              <w:rPr>
                <w:spacing w:val="4"/>
              </w:rPr>
            </w:pPr>
          </w:p>
        </w:tc>
        <w:tc>
          <w:tcPr>
            <w:tcW w:w="161" w:type="pct"/>
            <w:vMerge w:val="continue"/>
            <w:vAlign w:val="center"/>
          </w:tcPr>
          <w:p w14:paraId="5043CB71">
            <w:pPr>
              <w:pStyle w:val="48"/>
              <w:rPr>
                <w:spacing w:val="4"/>
              </w:rPr>
            </w:pPr>
          </w:p>
        </w:tc>
        <w:tc>
          <w:tcPr>
            <w:tcW w:w="730" w:type="pct"/>
            <w:vAlign w:val="center"/>
          </w:tcPr>
          <w:p w14:paraId="3CA63A3D">
            <w:pPr>
              <w:pStyle w:val="48"/>
            </w:pPr>
            <w:r>
              <w:t>废弃土石方</w:t>
            </w:r>
          </w:p>
        </w:tc>
        <w:tc>
          <w:tcPr>
            <w:tcW w:w="795" w:type="pct"/>
            <w:vAlign w:val="center"/>
          </w:tcPr>
          <w:p w14:paraId="42EB17CB">
            <w:pPr>
              <w:pStyle w:val="48"/>
              <w:rPr>
                <w:spacing w:val="4"/>
              </w:rPr>
            </w:pPr>
            <w:r>
              <w:rPr>
                <w:spacing w:val="4"/>
              </w:rPr>
              <w:t>/</w:t>
            </w:r>
          </w:p>
        </w:tc>
        <w:tc>
          <w:tcPr>
            <w:tcW w:w="516" w:type="pct"/>
            <w:vAlign w:val="center"/>
          </w:tcPr>
          <w:p w14:paraId="31AFC867">
            <w:pPr>
              <w:pStyle w:val="48"/>
              <w:rPr>
                <w:spacing w:val="4"/>
              </w:rPr>
            </w:pPr>
            <w:r>
              <w:rPr>
                <w:spacing w:val="4"/>
              </w:rPr>
              <w:t>/</w:t>
            </w:r>
          </w:p>
        </w:tc>
        <w:tc>
          <w:tcPr>
            <w:tcW w:w="505" w:type="pct"/>
            <w:vAlign w:val="center"/>
          </w:tcPr>
          <w:p w14:paraId="73560B6F">
            <w:pPr>
              <w:pStyle w:val="48"/>
              <w:rPr>
                <w:spacing w:val="4"/>
              </w:rPr>
            </w:pPr>
            <w:r>
              <w:rPr>
                <w:spacing w:val="4"/>
              </w:rPr>
              <w:t>/</w:t>
            </w:r>
          </w:p>
        </w:tc>
        <w:tc>
          <w:tcPr>
            <w:tcW w:w="434" w:type="pct"/>
            <w:vAlign w:val="center"/>
          </w:tcPr>
          <w:p w14:paraId="498FAE75">
            <w:pPr>
              <w:pStyle w:val="48"/>
              <w:rPr>
                <w:spacing w:val="4"/>
              </w:rPr>
            </w:pPr>
            <w:r>
              <w:rPr>
                <w:spacing w:val="4"/>
              </w:rPr>
              <w:t>/</w:t>
            </w:r>
          </w:p>
        </w:tc>
        <w:tc>
          <w:tcPr>
            <w:tcW w:w="400" w:type="pct"/>
            <w:vAlign w:val="center"/>
          </w:tcPr>
          <w:p w14:paraId="6074894D">
            <w:pPr>
              <w:pStyle w:val="48"/>
              <w:rPr>
                <w:spacing w:val="4"/>
              </w:rPr>
            </w:pPr>
            <w:r>
              <w:rPr>
                <w:spacing w:val="4"/>
              </w:rPr>
              <w:t>/</w:t>
            </w:r>
          </w:p>
        </w:tc>
        <w:tc>
          <w:tcPr>
            <w:tcW w:w="1261" w:type="pct"/>
            <w:tcBorders>
              <w:right w:val="single" w:color="auto" w:sz="12" w:space="0"/>
            </w:tcBorders>
            <w:vAlign w:val="center"/>
          </w:tcPr>
          <w:p w14:paraId="15BA7F42">
            <w:pPr>
              <w:pStyle w:val="48"/>
            </w:pPr>
            <w:r>
              <w:t>/</w:t>
            </w:r>
          </w:p>
        </w:tc>
      </w:tr>
      <w:tr w14:paraId="232C9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continue"/>
            <w:tcBorders>
              <w:left w:val="single" w:color="auto" w:sz="12" w:space="0"/>
            </w:tcBorders>
            <w:vAlign w:val="center"/>
          </w:tcPr>
          <w:p w14:paraId="34E69DDC">
            <w:pPr>
              <w:pStyle w:val="48"/>
              <w:rPr>
                <w:spacing w:val="4"/>
              </w:rPr>
            </w:pPr>
          </w:p>
        </w:tc>
        <w:tc>
          <w:tcPr>
            <w:tcW w:w="161" w:type="pct"/>
            <w:vMerge w:val="continue"/>
            <w:vAlign w:val="center"/>
          </w:tcPr>
          <w:p w14:paraId="0DFFE960">
            <w:pPr>
              <w:pStyle w:val="48"/>
              <w:rPr>
                <w:spacing w:val="4"/>
              </w:rPr>
            </w:pPr>
          </w:p>
        </w:tc>
        <w:tc>
          <w:tcPr>
            <w:tcW w:w="730" w:type="pct"/>
            <w:vAlign w:val="center"/>
          </w:tcPr>
          <w:p w14:paraId="4EC29F4F">
            <w:pPr>
              <w:pStyle w:val="48"/>
            </w:pPr>
            <w:r>
              <w:t>焊接废料</w:t>
            </w:r>
          </w:p>
        </w:tc>
        <w:tc>
          <w:tcPr>
            <w:tcW w:w="795" w:type="pct"/>
            <w:vAlign w:val="center"/>
          </w:tcPr>
          <w:p w14:paraId="1EBA5D7D">
            <w:pPr>
              <w:pStyle w:val="48"/>
              <w:rPr>
                <w:spacing w:val="4"/>
              </w:rPr>
            </w:pPr>
            <w:r>
              <w:rPr>
                <w:spacing w:val="4"/>
              </w:rPr>
              <w:t>/</w:t>
            </w:r>
          </w:p>
        </w:tc>
        <w:tc>
          <w:tcPr>
            <w:tcW w:w="516" w:type="pct"/>
            <w:vAlign w:val="center"/>
          </w:tcPr>
          <w:p w14:paraId="1701E093">
            <w:pPr>
              <w:pStyle w:val="48"/>
              <w:rPr>
                <w:spacing w:val="4"/>
              </w:rPr>
            </w:pPr>
            <w:r>
              <w:rPr>
                <w:spacing w:val="4"/>
              </w:rPr>
              <w:t>/</w:t>
            </w:r>
          </w:p>
        </w:tc>
        <w:tc>
          <w:tcPr>
            <w:tcW w:w="505" w:type="pct"/>
            <w:vAlign w:val="center"/>
          </w:tcPr>
          <w:p w14:paraId="080F4729">
            <w:pPr>
              <w:pStyle w:val="48"/>
              <w:rPr>
                <w:spacing w:val="4"/>
              </w:rPr>
            </w:pPr>
            <w:r>
              <w:rPr>
                <w:spacing w:val="4"/>
              </w:rPr>
              <w:t>0.55</w:t>
            </w:r>
          </w:p>
        </w:tc>
        <w:tc>
          <w:tcPr>
            <w:tcW w:w="434" w:type="pct"/>
            <w:vAlign w:val="center"/>
          </w:tcPr>
          <w:p w14:paraId="41290ADC">
            <w:pPr>
              <w:pStyle w:val="48"/>
              <w:rPr>
                <w:spacing w:val="4"/>
              </w:rPr>
            </w:pPr>
            <w:r>
              <w:rPr>
                <w:spacing w:val="4"/>
              </w:rPr>
              <w:t>/</w:t>
            </w:r>
          </w:p>
        </w:tc>
        <w:tc>
          <w:tcPr>
            <w:tcW w:w="400" w:type="pct"/>
            <w:vAlign w:val="center"/>
          </w:tcPr>
          <w:p w14:paraId="6A80EB74">
            <w:pPr>
              <w:pStyle w:val="48"/>
              <w:rPr>
                <w:spacing w:val="4"/>
              </w:rPr>
            </w:pPr>
            <w:r>
              <w:rPr>
                <w:spacing w:val="4"/>
              </w:rPr>
              <w:t>/</w:t>
            </w:r>
          </w:p>
        </w:tc>
        <w:tc>
          <w:tcPr>
            <w:tcW w:w="1261" w:type="pct"/>
            <w:tcBorders>
              <w:right w:val="single" w:color="auto" w:sz="12" w:space="0"/>
            </w:tcBorders>
            <w:vAlign w:val="center"/>
          </w:tcPr>
          <w:p w14:paraId="6F88EFF9">
            <w:pPr>
              <w:pStyle w:val="48"/>
            </w:pPr>
            <w:r>
              <w:t>依托园区环卫部门处理处置</w:t>
            </w:r>
          </w:p>
        </w:tc>
      </w:tr>
      <w:tr w14:paraId="1EC04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continue"/>
            <w:tcBorders>
              <w:left w:val="single" w:color="auto" w:sz="12" w:space="0"/>
            </w:tcBorders>
            <w:vAlign w:val="center"/>
          </w:tcPr>
          <w:p w14:paraId="094F3D2A">
            <w:pPr>
              <w:pStyle w:val="48"/>
              <w:rPr>
                <w:spacing w:val="4"/>
              </w:rPr>
            </w:pPr>
          </w:p>
        </w:tc>
        <w:tc>
          <w:tcPr>
            <w:tcW w:w="161" w:type="pct"/>
            <w:vMerge w:val="continue"/>
            <w:vAlign w:val="center"/>
          </w:tcPr>
          <w:p w14:paraId="0FF61B85">
            <w:pPr>
              <w:pStyle w:val="48"/>
            </w:pPr>
          </w:p>
        </w:tc>
        <w:tc>
          <w:tcPr>
            <w:tcW w:w="730" w:type="pct"/>
            <w:vAlign w:val="center"/>
          </w:tcPr>
          <w:p w14:paraId="2EEB8F56">
            <w:pPr>
              <w:pStyle w:val="48"/>
            </w:pPr>
            <w:r>
              <w:t>生活垃圾</w:t>
            </w:r>
          </w:p>
        </w:tc>
        <w:tc>
          <w:tcPr>
            <w:tcW w:w="795" w:type="pct"/>
            <w:vAlign w:val="center"/>
          </w:tcPr>
          <w:p w14:paraId="6F87C59D">
            <w:pPr>
              <w:pStyle w:val="48"/>
            </w:pPr>
            <w:r>
              <w:rPr>
                <w:spacing w:val="4"/>
              </w:rPr>
              <w:t>/</w:t>
            </w:r>
          </w:p>
        </w:tc>
        <w:tc>
          <w:tcPr>
            <w:tcW w:w="516" w:type="pct"/>
            <w:vAlign w:val="center"/>
          </w:tcPr>
          <w:p w14:paraId="2CCE0519">
            <w:pPr>
              <w:pStyle w:val="48"/>
            </w:pPr>
            <w:r>
              <w:rPr>
                <w:spacing w:val="4"/>
              </w:rPr>
              <w:t>/</w:t>
            </w:r>
          </w:p>
        </w:tc>
        <w:tc>
          <w:tcPr>
            <w:tcW w:w="505" w:type="pct"/>
            <w:vAlign w:val="center"/>
          </w:tcPr>
          <w:p w14:paraId="6429891E">
            <w:pPr>
              <w:pStyle w:val="48"/>
            </w:pPr>
            <w:r>
              <w:t>25kg/d</w:t>
            </w:r>
          </w:p>
        </w:tc>
        <w:tc>
          <w:tcPr>
            <w:tcW w:w="434" w:type="pct"/>
            <w:vAlign w:val="center"/>
          </w:tcPr>
          <w:p w14:paraId="029F5F19">
            <w:pPr>
              <w:pStyle w:val="48"/>
            </w:pPr>
            <w:r>
              <w:rPr>
                <w:spacing w:val="4"/>
              </w:rPr>
              <w:t>/</w:t>
            </w:r>
          </w:p>
        </w:tc>
        <w:tc>
          <w:tcPr>
            <w:tcW w:w="400" w:type="pct"/>
            <w:vAlign w:val="center"/>
          </w:tcPr>
          <w:p w14:paraId="3C23B5D5">
            <w:pPr>
              <w:pStyle w:val="48"/>
            </w:pPr>
            <w:r>
              <w:t>25kg/d</w:t>
            </w:r>
          </w:p>
        </w:tc>
        <w:tc>
          <w:tcPr>
            <w:tcW w:w="1261" w:type="pct"/>
            <w:tcBorders>
              <w:right w:val="single" w:color="auto" w:sz="12" w:space="0"/>
            </w:tcBorders>
            <w:vAlign w:val="center"/>
          </w:tcPr>
          <w:p w14:paraId="6028FB3D">
            <w:pPr>
              <w:pStyle w:val="48"/>
            </w:pPr>
            <w:r>
              <w:t>集中收集后定期运往垃圾处理站处理</w:t>
            </w:r>
          </w:p>
        </w:tc>
      </w:tr>
      <w:tr w14:paraId="412A8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continue"/>
            <w:tcBorders>
              <w:left w:val="single" w:color="auto" w:sz="12" w:space="0"/>
            </w:tcBorders>
            <w:vAlign w:val="center"/>
          </w:tcPr>
          <w:p w14:paraId="3A0875C4">
            <w:pPr>
              <w:pStyle w:val="48"/>
              <w:rPr>
                <w:spacing w:val="4"/>
              </w:rPr>
            </w:pPr>
          </w:p>
        </w:tc>
        <w:tc>
          <w:tcPr>
            <w:tcW w:w="161" w:type="pct"/>
            <w:vMerge w:val="restart"/>
            <w:vAlign w:val="center"/>
          </w:tcPr>
          <w:p w14:paraId="2503BFB1">
            <w:pPr>
              <w:pStyle w:val="48"/>
            </w:pPr>
            <w:r>
              <w:rPr>
                <w:spacing w:val="4"/>
              </w:rPr>
              <w:t>运营期</w:t>
            </w:r>
          </w:p>
        </w:tc>
        <w:tc>
          <w:tcPr>
            <w:tcW w:w="730" w:type="pct"/>
            <w:vAlign w:val="center"/>
          </w:tcPr>
          <w:p w14:paraId="22640888">
            <w:pPr>
              <w:pStyle w:val="48"/>
            </w:pPr>
            <w:r>
              <w:t>卤水池</w:t>
            </w:r>
          </w:p>
        </w:tc>
        <w:tc>
          <w:tcPr>
            <w:tcW w:w="795" w:type="pct"/>
            <w:vAlign w:val="center"/>
          </w:tcPr>
          <w:p w14:paraId="6A11FA6F">
            <w:pPr>
              <w:pStyle w:val="48"/>
            </w:pPr>
            <w:r>
              <w:t>卤水池残渣</w:t>
            </w:r>
          </w:p>
        </w:tc>
        <w:tc>
          <w:tcPr>
            <w:tcW w:w="516" w:type="pct"/>
            <w:vAlign w:val="center"/>
          </w:tcPr>
          <w:p w14:paraId="088C2722">
            <w:pPr>
              <w:pStyle w:val="48"/>
              <w:rPr>
                <w:spacing w:val="4"/>
              </w:rPr>
            </w:pPr>
            <w:r>
              <w:t>/</w:t>
            </w:r>
          </w:p>
        </w:tc>
        <w:tc>
          <w:tcPr>
            <w:tcW w:w="505" w:type="pct"/>
            <w:vAlign w:val="center"/>
          </w:tcPr>
          <w:p w14:paraId="3189CFFB">
            <w:pPr>
              <w:pStyle w:val="48"/>
            </w:pPr>
            <w:r>
              <w:t>21.15m</w:t>
            </w:r>
            <w:r>
              <w:rPr>
                <w:vertAlign w:val="superscript"/>
              </w:rPr>
              <w:t>3</w:t>
            </w:r>
            <w:r>
              <w:t>/a</w:t>
            </w:r>
          </w:p>
        </w:tc>
        <w:tc>
          <w:tcPr>
            <w:tcW w:w="434" w:type="pct"/>
            <w:vAlign w:val="center"/>
          </w:tcPr>
          <w:p w14:paraId="66B8193D">
            <w:pPr>
              <w:pStyle w:val="48"/>
            </w:pPr>
            <w:r>
              <w:t>/</w:t>
            </w:r>
          </w:p>
        </w:tc>
        <w:tc>
          <w:tcPr>
            <w:tcW w:w="400" w:type="pct"/>
            <w:vAlign w:val="center"/>
          </w:tcPr>
          <w:p w14:paraId="0DA5218F">
            <w:pPr>
              <w:pStyle w:val="48"/>
            </w:pPr>
            <w:r>
              <w:t>/</w:t>
            </w:r>
          </w:p>
        </w:tc>
        <w:tc>
          <w:tcPr>
            <w:tcW w:w="1261" w:type="pct"/>
            <w:tcBorders>
              <w:right w:val="single" w:color="auto" w:sz="12" w:space="0"/>
            </w:tcBorders>
            <w:vAlign w:val="center"/>
          </w:tcPr>
          <w:p w14:paraId="5EDB9CC8">
            <w:pPr>
              <w:pStyle w:val="48"/>
              <w:rPr>
                <w:spacing w:val="4"/>
              </w:rPr>
            </w:pPr>
            <w:r>
              <w:rPr>
                <w:rFonts w:hint="eastAsia"/>
              </w:rPr>
              <w:t>依托建滔（衡阳）实业有限公司烧碱生产部盐泥压滤机压干处理后外售</w:t>
            </w:r>
          </w:p>
        </w:tc>
      </w:tr>
      <w:tr w14:paraId="07B1A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98" w:type="pct"/>
            <w:vMerge w:val="continue"/>
            <w:tcBorders>
              <w:left w:val="single" w:color="auto" w:sz="12" w:space="0"/>
            </w:tcBorders>
            <w:vAlign w:val="center"/>
          </w:tcPr>
          <w:p w14:paraId="5ACB5752">
            <w:pPr>
              <w:pStyle w:val="48"/>
              <w:rPr>
                <w:spacing w:val="4"/>
              </w:rPr>
            </w:pPr>
          </w:p>
        </w:tc>
        <w:tc>
          <w:tcPr>
            <w:tcW w:w="161" w:type="pct"/>
            <w:vMerge w:val="continue"/>
            <w:vAlign w:val="center"/>
          </w:tcPr>
          <w:p w14:paraId="1B42D752">
            <w:pPr>
              <w:pStyle w:val="48"/>
            </w:pPr>
          </w:p>
        </w:tc>
        <w:tc>
          <w:tcPr>
            <w:tcW w:w="730" w:type="pct"/>
            <w:vAlign w:val="center"/>
          </w:tcPr>
          <w:p w14:paraId="4B5B60C3">
            <w:pPr>
              <w:pStyle w:val="48"/>
            </w:pPr>
            <w:r>
              <w:t>设备维修及维护</w:t>
            </w:r>
          </w:p>
        </w:tc>
        <w:tc>
          <w:tcPr>
            <w:tcW w:w="795" w:type="pct"/>
            <w:vAlign w:val="center"/>
          </w:tcPr>
          <w:p w14:paraId="51ADBDA1">
            <w:pPr>
              <w:pStyle w:val="48"/>
            </w:pPr>
            <w:r>
              <w:t>废机油</w:t>
            </w:r>
          </w:p>
        </w:tc>
        <w:tc>
          <w:tcPr>
            <w:tcW w:w="516" w:type="pct"/>
            <w:vAlign w:val="center"/>
          </w:tcPr>
          <w:p w14:paraId="4596493B">
            <w:pPr>
              <w:pStyle w:val="48"/>
            </w:pPr>
            <w:r>
              <w:rPr>
                <w:spacing w:val="4"/>
              </w:rPr>
              <w:t>/</w:t>
            </w:r>
          </w:p>
        </w:tc>
        <w:tc>
          <w:tcPr>
            <w:tcW w:w="505" w:type="pct"/>
            <w:vAlign w:val="center"/>
          </w:tcPr>
          <w:p w14:paraId="75F131C1">
            <w:pPr>
              <w:pStyle w:val="48"/>
            </w:pPr>
            <w:r>
              <w:t>0.05</w:t>
            </w:r>
          </w:p>
        </w:tc>
        <w:tc>
          <w:tcPr>
            <w:tcW w:w="434" w:type="pct"/>
            <w:vAlign w:val="center"/>
          </w:tcPr>
          <w:p w14:paraId="2ABB6F85">
            <w:pPr>
              <w:pStyle w:val="48"/>
              <w:rPr>
                <w:spacing w:val="4"/>
              </w:rPr>
            </w:pPr>
            <w:r>
              <w:rPr>
                <w:spacing w:val="4"/>
              </w:rPr>
              <w:t>/</w:t>
            </w:r>
          </w:p>
        </w:tc>
        <w:tc>
          <w:tcPr>
            <w:tcW w:w="400" w:type="pct"/>
            <w:vAlign w:val="center"/>
          </w:tcPr>
          <w:p w14:paraId="54B19D8B">
            <w:pPr>
              <w:pStyle w:val="48"/>
            </w:pPr>
            <w:r>
              <w:t>0.05</w:t>
            </w:r>
          </w:p>
        </w:tc>
        <w:tc>
          <w:tcPr>
            <w:tcW w:w="1261" w:type="pct"/>
            <w:tcBorders>
              <w:right w:val="single" w:color="auto" w:sz="12" w:space="0"/>
            </w:tcBorders>
            <w:vAlign w:val="center"/>
          </w:tcPr>
          <w:p w14:paraId="0097A3CA">
            <w:pPr>
              <w:pStyle w:val="48"/>
            </w:pPr>
            <w:r>
              <w:rPr>
                <w:rFonts w:hint="eastAsia"/>
              </w:rPr>
              <w:t>依托建滔（衡阳）实业有限公司危废暂存间暂存</w:t>
            </w:r>
            <w:r>
              <w:t>，后交由有资质的单位进行处理</w:t>
            </w:r>
          </w:p>
        </w:tc>
      </w:tr>
      <w:bookmarkEnd w:id="565"/>
      <w:bookmarkEnd w:id="566"/>
    </w:tbl>
    <w:p w14:paraId="01F6CCCE">
      <w:pPr>
        <w:pStyle w:val="9"/>
        <w:sectPr>
          <w:pgSz w:w="16838" w:h="11906" w:orient="landscape"/>
          <w:pgMar w:top="1797" w:right="1440" w:bottom="1797" w:left="1440" w:header="851" w:footer="992" w:gutter="0"/>
          <w:cols w:space="425" w:num="1"/>
          <w:docGrid w:type="linesAndChars" w:linePitch="340" w:charSpace="4044"/>
        </w:sectPr>
      </w:pPr>
    </w:p>
    <w:p w14:paraId="044CBCBF">
      <w:pPr>
        <w:pStyle w:val="9"/>
      </w:pPr>
      <w:r>
        <w:t>表4.6-5  扩建项目前后“三本账”情况</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7"/>
        <w:gridCol w:w="1821"/>
        <w:gridCol w:w="1264"/>
        <w:gridCol w:w="1131"/>
        <w:gridCol w:w="1107"/>
        <w:gridCol w:w="1109"/>
        <w:gridCol w:w="1109"/>
      </w:tblGrid>
      <w:tr w14:paraId="34032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1647" w:type="pct"/>
            <w:gridSpan w:val="2"/>
            <w:tcBorders>
              <w:top w:val="single" w:color="auto" w:sz="12" w:space="0"/>
              <w:left w:val="single" w:color="auto" w:sz="12" w:space="0"/>
            </w:tcBorders>
            <w:vAlign w:val="center"/>
          </w:tcPr>
          <w:p w14:paraId="3C33D857">
            <w:pPr>
              <w:pStyle w:val="48"/>
            </w:pPr>
            <w:r>
              <w:t>污染物</w:t>
            </w:r>
          </w:p>
        </w:tc>
        <w:tc>
          <w:tcPr>
            <w:tcW w:w="741" w:type="pct"/>
            <w:tcBorders>
              <w:top w:val="single" w:color="auto" w:sz="12" w:space="0"/>
            </w:tcBorders>
            <w:vAlign w:val="center"/>
          </w:tcPr>
          <w:p w14:paraId="5EC503D6">
            <w:pPr>
              <w:pStyle w:val="48"/>
            </w:pPr>
            <w:r>
              <w:t>现有项目排放量（t/a）</w:t>
            </w:r>
          </w:p>
        </w:tc>
        <w:tc>
          <w:tcPr>
            <w:tcW w:w="663" w:type="pct"/>
            <w:tcBorders>
              <w:top w:val="single" w:color="auto" w:sz="12" w:space="0"/>
            </w:tcBorders>
            <w:vAlign w:val="center"/>
          </w:tcPr>
          <w:p w14:paraId="5DFAC14D">
            <w:pPr>
              <w:pStyle w:val="48"/>
            </w:pPr>
            <w:r>
              <w:t>本项目排放量（t/a）</w:t>
            </w:r>
          </w:p>
        </w:tc>
        <w:tc>
          <w:tcPr>
            <w:tcW w:w="649" w:type="pct"/>
            <w:tcBorders>
              <w:top w:val="single" w:color="auto" w:sz="12" w:space="0"/>
            </w:tcBorders>
            <w:vAlign w:val="center"/>
          </w:tcPr>
          <w:p w14:paraId="37B0B142">
            <w:pPr>
              <w:pStyle w:val="48"/>
            </w:pPr>
            <w:r>
              <w:t>以新带老削减量</w:t>
            </w:r>
          </w:p>
          <w:p w14:paraId="68F5D817">
            <w:pPr>
              <w:pStyle w:val="48"/>
            </w:pPr>
            <w:r>
              <w:t>（t/a）</w:t>
            </w:r>
          </w:p>
        </w:tc>
        <w:tc>
          <w:tcPr>
            <w:tcW w:w="650" w:type="pct"/>
            <w:tcBorders>
              <w:top w:val="single" w:color="auto" w:sz="12" w:space="0"/>
            </w:tcBorders>
            <w:vAlign w:val="center"/>
          </w:tcPr>
          <w:p w14:paraId="3195A9F5">
            <w:pPr>
              <w:pStyle w:val="48"/>
            </w:pPr>
            <w:r>
              <w:t>排放总量（t/a）</w:t>
            </w:r>
          </w:p>
        </w:tc>
        <w:tc>
          <w:tcPr>
            <w:tcW w:w="650" w:type="pct"/>
            <w:tcBorders>
              <w:top w:val="single" w:color="auto" w:sz="12" w:space="0"/>
            </w:tcBorders>
            <w:vAlign w:val="center"/>
          </w:tcPr>
          <w:p w14:paraId="5651B69C">
            <w:pPr>
              <w:pStyle w:val="48"/>
            </w:pPr>
            <w:r>
              <w:t>排放增减量</w:t>
            </w:r>
          </w:p>
          <w:p w14:paraId="5314AEFE">
            <w:pPr>
              <w:pStyle w:val="48"/>
            </w:pPr>
            <w:r>
              <w:t>（t/a）</w:t>
            </w:r>
          </w:p>
        </w:tc>
      </w:tr>
      <w:tr w14:paraId="5DC13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79" w:type="pct"/>
            <w:vMerge w:val="restart"/>
            <w:tcBorders>
              <w:left w:val="single" w:color="auto" w:sz="12" w:space="0"/>
            </w:tcBorders>
            <w:vAlign w:val="center"/>
          </w:tcPr>
          <w:p w14:paraId="50EEC389">
            <w:pPr>
              <w:pStyle w:val="48"/>
              <w:rPr>
                <w:spacing w:val="4"/>
              </w:rPr>
            </w:pPr>
            <w:r>
              <w:rPr>
                <w:spacing w:val="4"/>
              </w:rPr>
              <w:t>固体</w:t>
            </w:r>
          </w:p>
          <w:p w14:paraId="7F5CBC34">
            <w:pPr>
              <w:pStyle w:val="48"/>
            </w:pPr>
            <w:r>
              <w:rPr>
                <w:spacing w:val="4"/>
              </w:rPr>
              <w:t>废物</w:t>
            </w:r>
          </w:p>
        </w:tc>
        <w:tc>
          <w:tcPr>
            <w:tcW w:w="1068" w:type="pct"/>
            <w:vAlign w:val="center"/>
          </w:tcPr>
          <w:p w14:paraId="507880F3">
            <w:pPr>
              <w:pStyle w:val="48"/>
            </w:pPr>
            <w:r>
              <w:t>生活垃圾</w:t>
            </w:r>
          </w:p>
        </w:tc>
        <w:tc>
          <w:tcPr>
            <w:tcW w:w="741" w:type="pct"/>
            <w:vAlign w:val="center"/>
          </w:tcPr>
          <w:p w14:paraId="1B800652">
            <w:pPr>
              <w:pStyle w:val="48"/>
            </w:pPr>
            <w:r>
              <w:t>/</w:t>
            </w:r>
          </w:p>
        </w:tc>
        <w:tc>
          <w:tcPr>
            <w:tcW w:w="663" w:type="pct"/>
            <w:vAlign w:val="center"/>
          </w:tcPr>
          <w:p w14:paraId="7D3A1AE8">
            <w:pPr>
              <w:pStyle w:val="48"/>
            </w:pPr>
            <w:r>
              <w:rPr>
                <w:spacing w:val="4"/>
              </w:rPr>
              <w:t>/</w:t>
            </w:r>
          </w:p>
        </w:tc>
        <w:tc>
          <w:tcPr>
            <w:tcW w:w="649" w:type="pct"/>
            <w:vAlign w:val="center"/>
          </w:tcPr>
          <w:p w14:paraId="76A9F259">
            <w:pPr>
              <w:pStyle w:val="48"/>
            </w:pPr>
            <w:r>
              <w:t>/</w:t>
            </w:r>
          </w:p>
        </w:tc>
        <w:tc>
          <w:tcPr>
            <w:tcW w:w="650" w:type="pct"/>
            <w:vAlign w:val="center"/>
          </w:tcPr>
          <w:p w14:paraId="240C079C">
            <w:pPr>
              <w:pStyle w:val="48"/>
            </w:pPr>
            <w:r>
              <w:rPr>
                <w:spacing w:val="4"/>
              </w:rPr>
              <w:t>/</w:t>
            </w:r>
          </w:p>
        </w:tc>
        <w:tc>
          <w:tcPr>
            <w:tcW w:w="650" w:type="pct"/>
            <w:vAlign w:val="center"/>
          </w:tcPr>
          <w:p w14:paraId="2A345BAF">
            <w:pPr>
              <w:pStyle w:val="48"/>
            </w:pPr>
            <w:r>
              <w:t>/</w:t>
            </w:r>
          </w:p>
        </w:tc>
      </w:tr>
      <w:tr w14:paraId="00E6E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79" w:type="pct"/>
            <w:vMerge w:val="continue"/>
            <w:tcBorders>
              <w:left w:val="single" w:color="auto" w:sz="12" w:space="0"/>
            </w:tcBorders>
            <w:vAlign w:val="center"/>
          </w:tcPr>
          <w:p w14:paraId="780C7752">
            <w:pPr>
              <w:pStyle w:val="48"/>
              <w:rPr>
                <w:spacing w:val="4"/>
              </w:rPr>
            </w:pPr>
          </w:p>
        </w:tc>
        <w:tc>
          <w:tcPr>
            <w:tcW w:w="1068" w:type="pct"/>
            <w:vAlign w:val="center"/>
          </w:tcPr>
          <w:p w14:paraId="4889B799">
            <w:pPr>
              <w:pStyle w:val="48"/>
            </w:pPr>
            <w:r>
              <w:t>卤水池残渣</w:t>
            </w:r>
          </w:p>
        </w:tc>
        <w:tc>
          <w:tcPr>
            <w:tcW w:w="741" w:type="pct"/>
            <w:vAlign w:val="center"/>
          </w:tcPr>
          <w:p w14:paraId="704D1E84">
            <w:pPr>
              <w:pStyle w:val="48"/>
              <w:rPr>
                <w:spacing w:val="4"/>
              </w:rPr>
            </w:pPr>
            <w:r>
              <w:rPr>
                <w:spacing w:val="4"/>
              </w:rPr>
              <w:t>/</w:t>
            </w:r>
          </w:p>
        </w:tc>
        <w:tc>
          <w:tcPr>
            <w:tcW w:w="663" w:type="pct"/>
            <w:vAlign w:val="center"/>
          </w:tcPr>
          <w:p w14:paraId="14FE7D80">
            <w:pPr>
              <w:pStyle w:val="48"/>
              <w:rPr>
                <w:spacing w:val="4"/>
              </w:rPr>
            </w:pPr>
            <w:r>
              <w:t>/</w:t>
            </w:r>
          </w:p>
        </w:tc>
        <w:tc>
          <w:tcPr>
            <w:tcW w:w="649" w:type="pct"/>
            <w:vAlign w:val="center"/>
          </w:tcPr>
          <w:p w14:paraId="24FA6A3B">
            <w:pPr>
              <w:pStyle w:val="48"/>
              <w:rPr>
                <w:spacing w:val="4"/>
              </w:rPr>
            </w:pPr>
            <w:r>
              <w:rPr>
                <w:spacing w:val="4"/>
              </w:rPr>
              <w:t>/</w:t>
            </w:r>
          </w:p>
        </w:tc>
        <w:tc>
          <w:tcPr>
            <w:tcW w:w="650" w:type="pct"/>
            <w:vAlign w:val="center"/>
          </w:tcPr>
          <w:p w14:paraId="0A78B9EA">
            <w:pPr>
              <w:pStyle w:val="48"/>
              <w:rPr>
                <w:spacing w:val="4"/>
              </w:rPr>
            </w:pPr>
            <w:r>
              <w:rPr>
                <w:spacing w:val="4"/>
              </w:rPr>
              <w:t>/</w:t>
            </w:r>
          </w:p>
        </w:tc>
        <w:tc>
          <w:tcPr>
            <w:tcW w:w="650" w:type="pct"/>
            <w:vAlign w:val="center"/>
          </w:tcPr>
          <w:p w14:paraId="1A508F59">
            <w:pPr>
              <w:pStyle w:val="48"/>
              <w:rPr>
                <w:spacing w:val="4"/>
              </w:rPr>
            </w:pPr>
            <w:r>
              <w:rPr>
                <w:spacing w:val="4"/>
              </w:rPr>
              <w:t>/</w:t>
            </w:r>
          </w:p>
        </w:tc>
      </w:tr>
      <w:tr w14:paraId="465B7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79" w:type="pct"/>
            <w:vMerge w:val="continue"/>
            <w:tcBorders>
              <w:left w:val="single" w:color="auto" w:sz="12" w:space="0"/>
            </w:tcBorders>
            <w:vAlign w:val="center"/>
          </w:tcPr>
          <w:p w14:paraId="2D647A1D">
            <w:pPr>
              <w:pStyle w:val="48"/>
              <w:rPr>
                <w:spacing w:val="4"/>
              </w:rPr>
            </w:pPr>
          </w:p>
        </w:tc>
        <w:tc>
          <w:tcPr>
            <w:tcW w:w="1068" w:type="pct"/>
            <w:vAlign w:val="center"/>
          </w:tcPr>
          <w:p w14:paraId="67DC240B">
            <w:pPr>
              <w:pStyle w:val="48"/>
            </w:pPr>
            <w:r>
              <w:t>废机油</w:t>
            </w:r>
          </w:p>
        </w:tc>
        <w:tc>
          <w:tcPr>
            <w:tcW w:w="741" w:type="pct"/>
            <w:vAlign w:val="center"/>
          </w:tcPr>
          <w:p w14:paraId="5E818DEF">
            <w:pPr>
              <w:pStyle w:val="48"/>
              <w:rPr>
                <w:spacing w:val="4"/>
              </w:rPr>
            </w:pPr>
            <w:r>
              <w:rPr>
                <w:spacing w:val="4"/>
              </w:rPr>
              <w:t>/</w:t>
            </w:r>
          </w:p>
        </w:tc>
        <w:tc>
          <w:tcPr>
            <w:tcW w:w="663" w:type="pct"/>
            <w:vAlign w:val="center"/>
          </w:tcPr>
          <w:p w14:paraId="26E27A8D">
            <w:pPr>
              <w:pStyle w:val="48"/>
              <w:rPr>
                <w:spacing w:val="4"/>
              </w:rPr>
            </w:pPr>
            <w:r>
              <w:rPr>
                <w:spacing w:val="4"/>
              </w:rPr>
              <w:t>/</w:t>
            </w:r>
          </w:p>
        </w:tc>
        <w:tc>
          <w:tcPr>
            <w:tcW w:w="649" w:type="pct"/>
            <w:vAlign w:val="center"/>
          </w:tcPr>
          <w:p w14:paraId="46B27551">
            <w:pPr>
              <w:pStyle w:val="48"/>
              <w:rPr>
                <w:spacing w:val="4"/>
              </w:rPr>
            </w:pPr>
            <w:r>
              <w:rPr>
                <w:spacing w:val="4"/>
              </w:rPr>
              <w:t>/</w:t>
            </w:r>
          </w:p>
        </w:tc>
        <w:tc>
          <w:tcPr>
            <w:tcW w:w="650" w:type="pct"/>
            <w:vAlign w:val="center"/>
          </w:tcPr>
          <w:p w14:paraId="37E299CD">
            <w:pPr>
              <w:pStyle w:val="48"/>
              <w:rPr>
                <w:spacing w:val="4"/>
              </w:rPr>
            </w:pPr>
            <w:r>
              <w:rPr>
                <w:spacing w:val="4"/>
              </w:rPr>
              <w:t>/</w:t>
            </w:r>
          </w:p>
        </w:tc>
        <w:tc>
          <w:tcPr>
            <w:tcW w:w="650" w:type="pct"/>
            <w:vAlign w:val="center"/>
          </w:tcPr>
          <w:p w14:paraId="7FA291D1">
            <w:pPr>
              <w:pStyle w:val="48"/>
              <w:rPr>
                <w:spacing w:val="4"/>
              </w:rPr>
            </w:pPr>
            <w:r>
              <w:rPr>
                <w:spacing w:val="4"/>
              </w:rPr>
              <w:t>/</w:t>
            </w:r>
          </w:p>
        </w:tc>
      </w:tr>
    </w:tbl>
    <w:p w14:paraId="3B7C57E6">
      <w:pPr>
        <w:pStyle w:val="3"/>
        <w:ind w:firstLine="519"/>
        <w:rPr>
          <w:rFonts w:cs="Times New Roman"/>
        </w:rPr>
        <w:sectPr>
          <w:pgSz w:w="11906" w:h="16838"/>
          <w:pgMar w:top="1440" w:right="1797" w:bottom="1440" w:left="1797" w:header="851" w:footer="992" w:gutter="0"/>
          <w:cols w:space="425" w:num="1"/>
          <w:docGrid w:type="linesAndChars" w:linePitch="340" w:charSpace="4044"/>
        </w:sectPr>
      </w:pPr>
    </w:p>
    <w:p w14:paraId="47132651">
      <w:pPr>
        <w:pStyle w:val="5"/>
        <w:spacing w:before="170" w:after="170"/>
        <w:rPr>
          <w:rFonts w:ascii="Times New Roman" w:hAnsi="Times New Roman"/>
        </w:rPr>
      </w:pPr>
      <w:bookmarkStart w:id="567" w:name="_Toc121420851"/>
      <w:bookmarkStart w:id="568" w:name="_Toc63257189"/>
      <w:r>
        <w:rPr>
          <w:rFonts w:ascii="Times New Roman" w:hAnsi="Times New Roman"/>
        </w:rPr>
        <w:t>第5章 环境影响预测与评价</w:t>
      </w:r>
      <w:bookmarkEnd w:id="567"/>
    </w:p>
    <w:p w14:paraId="1DB42C1F">
      <w:pPr>
        <w:pStyle w:val="6"/>
        <w:spacing w:before="170" w:after="170"/>
        <w:rPr>
          <w:rFonts w:cs="Times New Roman"/>
        </w:rPr>
      </w:pPr>
      <w:bookmarkStart w:id="569" w:name="_Toc121420852"/>
      <w:bookmarkStart w:id="570" w:name="_Toc63257160"/>
      <w:r>
        <w:rPr>
          <w:rFonts w:cs="Times New Roman"/>
        </w:rPr>
        <w:t>5.1 施工期环境影响分析</w:t>
      </w:r>
      <w:bookmarkEnd w:id="569"/>
    </w:p>
    <w:p w14:paraId="40C74D39">
      <w:pPr>
        <w:pStyle w:val="7"/>
      </w:pPr>
      <w:bookmarkStart w:id="571" w:name="_Toc86852335"/>
      <w:bookmarkStart w:id="572" w:name="_Toc89786172"/>
      <w:bookmarkStart w:id="573" w:name="_Toc90989281"/>
      <w:bookmarkStart w:id="574" w:name="_Toc90997696"/>
      <w:bookmarkStart w:id="575" w:name="_Toc90318457"/>
      <w:bookmarkStart w:id="576" w:name="_Toc121420853"/>
      <w:bookmarkStart w:id="577" w:name="_Toc89882496"/>
      <w:bookmarkStart w:id="578" w:name="_Hlk89193889"/>
      <w:r>
        <w:t>5.1.1 施工期</w:t>
      </w:r>
      <w:bookmarkEnd w:id="571"/>
      <w:r>
        <w:t>工程量</w:t>
      </w:r>
      <w:bookmarkEnd w:id="572"/>
      <w:bookmarkEnd w:id="573"/>
      <w:bookmarkEnd w:id="574"/>
      <w:bookmarkEnd w:id="575"/>
      <w:bookmarkEnd w:id="576"/>
      <w:bookmarkEnd w:id="577"/>
    </w:p>
    <w:bookmarkEnd w:id="578"/>
    <w:p w14:paraId="49001831">
      <w:pPr>
        <w:ind w:firstLine="519"/>
        <w:rPr>
          <w:rFonts w:cs="Times New Roman"/>
        </w:rPr>
      </w:pPr>
      <w:r>
        <w:rPr>
          <w:rFonts w:cs="Times New Roman"/>
        </w:rPr>
        <w:t>本工程施工期的工程内容主要有井场准备、钻井作业、管道铺设。其中井场准备时间1个月，钻井作业时间4个月，管道敷设时间1个月，总工期6个月。本项目共设井场工业场地4块，每个井场的实际钻井作业时间为1~1.5个月。井场准备的主要工作内容有场地平整、防污沟及循环池开挖等，单个井场的占地面积约为150~200m</w:t>
      </w:r>
      <w:r>
        <w:rPr>
          <w:rFonts w:cs="Times New Roman"/>
          <w:vertAlign w:val="superscript"/>
        </w:rPr>
        <w:t>2</w:t>
      </w:r>
      <w:r>
        <w:rPr>
          <w:rFonts w:cs="Times New Roman"/>
        </w:rPr>
        <w:t>，主要布置钻井平台、施工材料堆放场地、防污沟及循环水池等，使用的材料有碎石、水泥等。</w:t>
      </w:r>
    </w:p>
    <w:p w14:paraId="536C6590">
      <w:pPr>
        <w:pStyle w:val="2"/>
        <w:ind w:firstLine="519"/>
        <w:rPr>
          <w:rFonts w:cs="Times New Roman"/>
        </w:rPr>
      </w:pPr>
      <w:r>
        <w:rPr>
          <w:rFonts w:cs="Times New Roman"/>
        </w:rPr>
        <w:t>钻井作业主要工作内容包含搭建钻井平台、钻井、施工维护等，钻井作业时采用水、膨润土等配置钻井液，钻井设备将钻井液从泥浆罐中吸入，经钻井设备加压后的钻井液，经高压管道通过钻具进入井底，从钻头的水眼喷出，经井眼和钻具之间的环形空间携带岩屑返回地面，从井底返回的泥浆经沉淀处理后重复使用，钻井过程中，制备柴油发电机提供动力。钻井作业必须由专业钻井队伍负责。</w:t>
      </w:r>
    </w:p>
    <w:p w14:paraId="64315D4C">
      <w:pPr>
        <w:pStyle w:val="3"/>
        <w:ind w:firstLine="519"/>
        <w:rPr>
          <w:rFonts w:cs="Times New Roman"/>
        </w:rPr>
      </w:pPr>
      <w:r>
        <w:rPr>
          <w:rFonts w:cs="Times New Roman"/>
        </w:rPr>
        <w:t>管道敷设主要工作内容包含管道联接、检查等，本项目不涉及管道防腐工作，管道进场前均已完成涂漆工作。本项目管道管材均采用成型无缝钢管，管道的耐压等级应满足使用压力要求，管道进场敷设后进行焊接组装，组装完成后进行耐压试验，经注水检验无漏点后方可投入使用。</w:t>
      </w:r>
    </w:p>
    <w:p w14:paraId="579460C6">
      <w:pPr>
        <w:pStyle w:val="7"/>
      </w:pPr>
      <w:bookmarkStart w:id="579" w:name="_Toc90318458"/>
      <w:bookmarkStart w:id="580" w:name="_Toc90997697"/>
      <w:bookmarkStart w:id="581" w:name="_Toc121420854"/>
      <w:bookmarkStart w:id="582" w:name="_Toc89786173"/>
      <w:bookmarkStart w:id="583" w:name="_Toc89882497"/>
      <w:bookmarkStart w:id="584" w:name="_Toc90989282"/>
      <w:r>
        <w:t>5.1.1 施工期环境空气影响分析</w:t>
      </w:r>
      <w:bookmarkEnd w:id="579"/>
      <w:bookmarkEnd w:id="580"/>
      <w:bookmarkEnd w:id="581"/>
      <w:bookmarkEnd w:id="582"/>
      <w:bookmarkEnd w:id="583"/>
      <w:bookmarkEnd w:id="584"/>
    </w:p>
    <w:p w14:paraId="18A93E51">
      <w:pPr>
        <w:ind w:firstLine="519"/>
        <w:rPr>
          <w:rFonts w:cs="Times New Roman"/>
        </w:rPr>
      </w:pPr>
      <w:r>
        <w:rPr>
          <w:rFonts w:cs="Times New Roman"/>
        </w:rPr>
        <w:t>本工程施工期对环境空气产生的影响主要是来自施工粉尘、扬尘、燃油机械设备产生的废气、运输车辆产生的汽车尾气和道路扬尘以及管道焊接废气等。</w:t>
      </w:r>
    </w:p>
    <w:p w14:paraId="56A60240">
      <w:pPr>
        <w:ind w:firstLine="519"/>
        <w:rPr>
          <w:rFonts w:cs="Times New Roman"/>
        </w:rPr>
      </w:pPr>
      <w:r>
        <w:rPr>
          <w:rFonts w:cs="Times New Roman"/>
        </w:rPr>
        <w:t>施工扬尘会造成局部地段降尘量增多，对施工现场周围的大气环境会产生一定的影响。根据类比调查，施工现场上风向50m范围内TSP浓度约0.3mg/m</w:t>
      </w:r>
      <w:r>
        <w:rPr>
          <w:rFonts w:cs="Times New Roman"/>
          <w:vertAlign w:val="superscript"/>
        </w:rPr>
        <w:t>3</w:t>
      </w:r>
      <w:r>
        <w:rPr>
          <w:rFonts w:cs="Times New Roman"/>
        </w:rPr>
        <w:t>，施工工地内TSP浓度约为0.6～0.8mg/m</w:t>
      </w:r>
      <w:r>
        <w:rPr>
          <w:rFonts w:cs="Times New Roman"/>
          <w:vertAlign w:val="superscript"/>
        </w:rPr>
        <w:t>3</w:t>
      </w:r>
      <w:r>
        <w:rPr>
          <w:rFonts w:cs="Times New Roman"/>
        </w:rPr>
        <w:t>。下风向50m处TSP浓度约为0.45～0.5mg/m</w:t>
      </w:r>
      <w:r>
        <w:rPr>
          <w:rFonts w:cs="Times New Roman"/>
          <w:vertAlign w:val="superscript"/>
        </w:rPr>
        <w:t>3</w:t>
      </w:r>
      <w:r>
        <w:rPr>
          <w:rFonts w:cs="Times New Roman"/>
        </w:rPr>
        <w:t>，100m处TSP浓度约为0.35～0.38mg/m</w:t>
      </w:r>
      <w:r>
        <w:rPr>
          <w:rFonts w:cs="Times New Roman"/>
          <w:vertAlign w:val="superscript"/>
        </w:rPr>
        <w:t>3</w:t>
      </w:r>
      <w:r>
        <w:rPr>
          <w:rFonts w:cs="Times New Roman"/>
        </w:rPr>
        <w:t>，150m处TSP浓度约为0.25～0.28mg/m</w:t>
      </w:r>
      <w:r>
        <w:rPr>
          <w:rFonts w:cs="Times New Roman"/>
          <w:vertAlign w:val="superscript"/>
        </w:rPr>
        <w:t>3</w:t>
      </w:r>
      <w:r>
        <w:rPr>
          <w:rFonts w:cs="Times New Roman"/>
        </w:rPr>
        <w:t>，一般至150m处能够符合环境空气质量标准二级标准。</w:t>
      </w:r>
    </w:p>
    <w:p w14:paraId="69167039">
      <w:pPr>
        <w:ind w:firstLine="519"/>
        <w:rPr>
          <w:rFonts w:cs="Times New Roman"/>
        </w:rPr>
      </w:pPr>
      <w:r>
        <w:rPr>
          <w:rFonts w:cs="Times New Roman"/>
        </w:rPr>
        <w:t>工程施工中会使用一些燃油动力机械，燃油动力机械使用过程中会无组织排放燃油废气，车辆运输过程中也会产生汽车尾气，这些废气中的主要污染物有NO</w:t>
      </w:r>
      <w:r>
        <w:rPr>
          <w:rFonts w:cs="Times New Roman"/>
          <w:vertAlign w:val="subscript"/>
        </w:rPr>
        <w:t>2</w:t>
      </w:r>
      <w:r>
        <w:rPr>
          <w:rFonts w:cs="Times New Roman"/>
        </w:rPr>
        <w:t>、CO、SO</w:t>
      </w:r>
      <w:r>
        <w:rPr>
          <w:rFonts w:cs="Times New Roman"/>
          <w:vertAlign w:val="subscript"/>
        </w:rPr>
        <w:t>2</w:t>
      </w:r>
      <w:r>
        <w:rPr>
          <w:rFonts w:cs="Times New Roman"/>
        </w:rPr>
        <w:t>和THC等。本项目施工期工程量不大，使用车辆不多，区域地形条件较好，有利于车辆尾气扩散，在保证车辆正常维护的情况下，对周边大气环境影响很小。</w:t>
      </w:r>
    </w:p>
    <w:p w14:paraId="035016C0">
      <w:pPr>
        <w:ind w:firstLine="519"/>
        <w:rPr>
          <w:rFonts w:cs="Times New Roman"/>
        </w:rPr>
      </w:pPr>
      <w:r>
        <w:rPr>
          <w:rFonts w:cs="Times New Roman"/>
        </w:rPr>
        <w:t>施工期施工运输车辆的往来将产生道路二次扬尘污染，根据类似施工现场汽车运输引起的扬尘现场监测结果，运输车辆下风向50m处TSP的浓度为11.625mg/m</w:t>
      </w:r>
      <w:r>
        <w:rPr>
          <w:rFonts w:cs="Times New Roman"/>
          <w:vertAlign w:val="superscript"/>
        </w:rPr>
        <w:t>3</w:t>
      </w:r>
      <w:r>
        <w:rPr>
          <w:rFonts w:cs="Times New Roman"/>
        </w:rPr>
        <w:t>；下风向100m处TSP的浓度为9.694mg/m</w:t>
      </w:r>
      <w:r>
        <w:rPr>
          <w:rFonts w:cs="Times New Roman"/>
          <w:vertAlign w:val="superscript"/>
        </w:rPr>
        <w:t>3</w:t>
      </w:r>
      <w:r>
        <w:rPr>
          <w:rFonts w:cs="Times New Roman"/>
        </w:rPr>
        <w:t>；下风向150m处TSP的浓度为5.093mg/m</w:t>
      </w:r>
      <w:r>
        <w:rPr>
          <w:rFonts w:cs="Times New Roman"/>
          <w:vertAlign w:val="superscript"/>
        </w:rPr>
        <w:t>3</w:t>
      </w:r>
      <w:r>
        <w:rPr>
          <w:rFonts w:cs="Times New Roman"/>
        </w:rPr>
        <w:t>，超过环境空气质量二级标准。但扬尘浓度随距离的增加而快速下降，下风向200m以外影响大大减小。施工期采取道路洒水降尘，车辆进出施工区对车辆进行冲洗等措施，可使施工期道路扬尘大大减少。</w:t>
      </w:r>
    </w:p>
    <w:p w14:paraId="0828B738">
      <w:pPr>
        <w:pStyle w:val="2"/>
        <w:ind w:firstLine="519"/>
        <w:rPr>
          <w:rFonts w:cs="Times New Roman"/>
        </w:rPr>
      </w:pPr>
      <w:r>
        <w:rPr>
          <w:rFonts w:cs="Times New Roman"/>
        </w:rPr>
        <w:t>施工期管道焊接过程中会产生少量的焊接烟尘和有机废气无组织排放，但由于废气量较小，且施工现场均属于开阔环境，有利于空气的扩散，同时废气污染源具有间歇性和流动性，对局部地区的大气环境影响较轻。</w:t>
      </w:r>
    </w:p>
    <w:p w14:paraId="7937EEDB">
      <w:pPr>
        <w:ind w:firstLine="519"/>
        <w:rPr>
          <w:rFonts w:cs="Times New Roman"/>
        </w:rPr>
      </w:pPr>
      <w:r>
        <w:rPr>
          <w:rFonts w:cs="Times New Roman"/>
        </w:rPr>
        <w:t>因此，施工期大气污染是局部的、短期的，工程完成之后这种影响就会消失。本项目主要通过洒水降尘及加强场地管理等措施降低施工扬尘、烟尘影响。</w:t>
      </w:r>
    </w:p>
    <w:p w14:paraId="370891F3">
      <w:pPr>
        <w:pStyle w:val="7"/>
      </w:pPr>
      <w:bookmarkStart w:id="585" w:name="_Toc86852336"/>
      <w:bookmarkStart w:id="586" w:name="_Toc89882498"/>
      <w:bookmarkStart w:id="587" w:name="_Toc90318459"/>
      <w:bookmarkStart w:id="588" w:name="_Toc90997698"/>
      <w:bookmarkStart w:id="589" w:name="_Toc89786174"/>
      <w:bookmarkStart w:id="590" w:name="_Toc90989283"/>
      <w:bookmarkStart w:id="591" w:name="_Toc121420855"/>
      <w:r>
        <w:t>5.1.2 施工期水环境影响分析</w:t>
      </w:r>
      <w:bookmarkEnd w:id="585"/>
      <w:bookmarkEnd w:id="586"/>
      <w:bookmarkEnd w:id="587"/>
      <w:bookmarkEnd w:id="588"/>
      <w:bookmarkEnd w:id="589"/>
      <w:bookmarkEnd w:id="590"/>
      <w:bookmarkEnd w:id="591"/>
    </w:p>
    <w:p w14:paraId="5C78EBF8">
      <w:pPr>
        <w:ind w:firstLine="519"/>
        <w:rPr>
          <w:rFonts w:cs="Times New Roman"/>
        </w:rPr>
      </w:pPr>
      <w:r>
        <w:rPr>
          <w:rFonts w:cs="Times New Roman"/>
        </w:rPr>
        <w:t>施工废水主要有施工过程中产生的废水和施工人员的生活污水。施工废水包括</w:t>
      </w:r>
      <w:bookmarkStart w:id="592" w:name="_Hlk89629485"/>
      <w:r>
        <w:rPr>
          <w:rFonts w:cs="Times New Roman"/>
        </w:rPr>
        <w:t>卤井施工过程中钻井、固井、洗井等工序产生的泥浆水</w:t>
      </w:r>
      <w:bookmarkEnd w:id="592"/>
      <w:r>
        <w:rPr>
          <w:rFonts w:cs="Times New Roman"/>
        </w:rPr>
        <w:t>以及管道施工过程中产生的管道清扫和试压废水等。施工废水主要含有较高的悬浮物，若直接排入水体，会造成水体局部悬浮物浓度过高。生活污水主要是施工人员的厕所冲洗水，主要含氨氮、COD、BOD</w:t>
      </w:r>
      <w:r>
        <w:rPr>
          <w:rFonts w:cs="Times New Roman"/>
          <w:vertAlign w:val="subscript"/>
        </w:rPr>
        <w:t>5</w:t>
      </w:r>
      <w:r>
        <w:rPr>
          <w:rFonts w:cs="Times New Roman"/>
        </w:rPr>
        <w:t>等。</w:t>
      </w:r>
    </w:p>
    <w:p w14:paraId="6D551C0C">
      <w:pPr>
        <w:ind w:firstLine="519"/>
        <w:rPr>
          <w:rFonts w:cs="Times New Roman"/>
        </w:rPr>
      </w:pPr>
      <w:bookmarkStart w:id="593" w:name="_Hlk89629527"/>
      <w:r>
        <w:rPr>
          <w:rFonts w:cs="Times New Roman"/>
        </w:rPr>
        <w:t>施工现场建有防污沟和循环水池，生产废水在钻井-循环水池之间实现内部循环，不外排</w:t>
      </w:r>
      <w:bookmarkEnd w:id="593"/>
      <w:r>
        <w:rPr>
          <w:rFonts w:cs="Times New Roman"/>
        </w:rPr>
        <w:t>，防污沟和循环水池均进行防水处理。本项目施工场地位于松木经开区工业园内，</w:t>
      </w:r>
      <w:bookmarkStart w:id="594" w:name="_Hlk89629558"/>
      <w:r>
        <w:rPr>
          <w:rFonts w:cs="Times New Roman"/>
        </w:rPr>
        <w:t>施工人员生活污水依托园区内化粪池处理</w:t>
      </w:r>
      <w:bookmarkEnd w:id="594"/>
      <w:r>
        <w:rPr>
          <w:rFonts w:cs="Times New Roman"/>
        </w:rPr>
        <w:t>。因此，只要加强施工期管理，施工期废水对地表水环境影响较小。</w:t>
      </w:r>
    </w:p>
    <w:p w14:paraId="66E842AE">
      <w:pPr>
        <w:pStyle w:val="2"/>
        <w:ind w:firstLine="519"/>
        <w:rPr>
          <w:rFonts w:cs="Times New Roman"/>
        </w:rPr>
      </w:pPr>
      <w:r>
        <w:rPr>
          <w:rFonts w:cs="Times New Roman"/>
        </w:rPr>
        <w:t>根据矿区地质结构特点，本项目卤井建设区域地下水含水层主要赋存于第四系全新统和下第三系霞流市组高岭段，水位埋深2.9~26.85米，且</w:t>
      </w:r>
      <w:bookmarkStart w:id="595" w:name="_Hlk89629586"/>
      <w:r>
        <w:rPr>
          <w:rFonts w:cs="Times New Roman"/>
        </w:rPr>
        <w:t>矿山在建井过程采取</w:t>
      </w:r>
      <w:bookmarkStart w:id="596" w:name="_Hlk116553198"/>
      <w:r>
        <w:rPr>
          <w:rFonts w:cs="Times New Roman"/>
        </w:rPr>
        <w:t>钢管隔水、</w:t>
      </w:r>
      <w:bookmarkEnd w:id="596"/>
      <w:r>
        <w:rPr>
          <w:rFonts w:cs="Times New Roman"/>
        </w:rPr>
        <w:t>水泥固井方法</w:t>
      </w:r>
      <w:bookmarkEnd w:id="595"/>
      <w:r>
        <w:rPr>
          <w:rFonts w:cs="Times New Roman"/>
        </w:rPr>
        <w:t>将上述含水层封闭，因此</w:t>
      </w:r>
      <w:bookmarkStart w:id="597" w:name="_Hlk89629598"/>
      <w:r>
        <w:rPr>
          <w:rFonts w:cs="Times New Roman"/>
        </w:rPr>
        <w:t>施工期不会对地下水环境造成太大影响</w:t>
      </w:r>
      <w:bookmarkEnd w:id="597"/>
      <w:r>
        <w:rPr>
          <w:rFonts w:cs="Times New Roman"/>
        </w:rPr>
        <w:t>。</w:t>
      </w:r>
    </w:p>
    <w:p w14:paraId="2E7F9DB3">
      <w:pPr>
        <w:pStyle w:val="7"/>
      </w:pPr>
      <w:bookmarkStart w:id="598" w:name="_Toc121420856"/>
      <w:bookmarkStart w:id="599" w:name="_Toc90997699"/>
      <w:bookmarkStart w:id="600" w:name="_Toc86852337"/>
      <w:bookmarkStart w:id="601" w:name="_Toc89786175"/>
      <w:bookmarkStart w:id="602" w:name="_Toc89882499"/>
      <w:bookmarkStart w:id="603" w:name="_Toc90318460"/>
      <w:bookmarkStart w:id="604" w:name="_Toc90989284"/>
      <w:r>
        <w:t>5.1.3 施工期</w:t>
      </w:r>
      <w:bookmarkStart w:id="605" w:name="_Hlk89194060"/>
      <w:r>
        <w:t>声环境影响分析</w:t>
      </w:r>
      <w:bookmarkEnd w:id="598"/>
      <w:bookmarkEnd w:id="599"/>
      <w:bookmarkEnd w:id="600"/>
      <w:bookmarkEnd w:id="601"/>
      <w:bookmarkEnd w:id="602"/>
      <w:bookmarkEnd w:id="603"/>
      <w:bookmarkEnd w:id="604"/>
      <w:bookmarkEnd w:id="605"/>
    </w:p>
    <w:p w14:paraId="38EAB7DF">
      <w:pPr>
        <w:ind w:firstLine="519"/>
        <w:rPr>
          <w:rFonts w:cs="Times New Roman"/>
        </w:rPr>
      </w:pPr>
      <w:r>
        <w:rPr>
          <w:rFonts w:cs="Times New Roman"/>
        </w:rPr>
        <w:t>施工噪声主要为挖掘机、起重机、推土机、电焊机、切割机、钻井设备、柴油发电机、泥浆泵等设备产生的噪声。根据类比调查，工程施工噪声源强在75~98dB（A）之间，属间断性噪声，各种施工机械噪声在距施工点60m内的噪声级较大，但随着距离的加大，均有明显的衰减，至200m处的噪声贡献值一般在65dB（A）以下。</w:t>
      </w:r>
    </w:p>
    <w:p w14:paraId="56136BE7">
      <w:pPr>
        <w:ind w:firstLine="519"/>
        <w:rPr>
          <w:rFonts w:cs="Times New Roman"/>
        </w:rPr>
      </w:pPr>
      <w:r>
        <w:rPr>
          <w:rFonts w:cs="Times New Roman"/>
        </w:rPr>
        <w:t>项目工业场地施工区域周边200m范围内无声敏感目标，因此，基本不会对外环境造成影响。</w:t>
      </w:r>
    </w:p>
    <w:p w14:paraId="6F2C541B">
      <w:pPr>
        <w:ind w:firstLine="519"/>
        <w:rPr>
          <w:rFonts w:cs="Times New Roman"/>
        </w:rPr>
      </w:pPr>
      <w:r>
        <w:rPr>
          <w:rFonts w:cs="Times New Roman"/>
        </w:rPr>
        <w:t>由于施工场地距周围居民点较远，在有效落实噪声防治措施的情况下，矿区建设施工产生的噪声，不会对区域敏感点造成影响。由于项目施工面积较大，经过距离衰减，施工边界昼、夜间噪声能够满足《建筑施工场界环境噪声排放标准》（GB12523-2011）标准限值的要求。</w:t>
      </w:r>
    </w:p>
    <w:p w14:paraId="6BE57985">
      <w:pPr>
        <w:pStyle w:val="7"/>
      </w:pPr>
      <w:bookmarkStart w:id="606" w:name="_Toc90989285"/>
      <w:bookmarkStart w:id="607" w:name="_Toc121420857"/>
      <w:bookmarkStart w:id="608" w:name="_Toc90997700"/>
      <w:bookmarkStart w:id="609" w:name="_Toc89786176"/>
      <w:bookmarkStart w:id="610" w:name="_Toc86852338"/>
      <w:bookmarkStart w:id="611" w:name="_Toc90318461"/>
      <w:bookmarkStart w:id="612" w:name="_Toc89882500"/>
      <w:r>
        <w:t>5.1.4 施工期固体废物影响分析</w:t>
      </w:r>
      <w:bookmarkEnd w:id="606"/>
      <w:bookmarkEnd w:id="607"/>
      <w:bookmarkEnd w:id="608"/>
      <w:bookmarkEnd w:id="609"/>
      <w:bookmarkEnd w:id="610"/>
      <w:bookmarkEnd w:id="611"/>
      <w:bookmarkEnd w:id="612"/>
    </w:p>
    <w:p w14:paraId="1C42E07C">
      <w:pPr>
        <w:ind w:firstLine="519"/>
        <w:rPr>
          <w:rFonts w:cs="Times New Roman"/>
        </w:rPr>
      </w:pPr>
      <w:r>
        <w:rPr>
          <w:rFonts w:cs="Times New Roman"/>
        </w:rPr>
        <w:t>施工期产生的固体废物，主要是钻井时产生的钻井岩屑、废泥浆、管道开挖等产生的废石和废弃土石方、管道施工过程产生的焊接废料以及施工工人的生活垃圾等。</w:t>
      </w:r>
    </w:p>
    <w:p w14:paraId="5DAFD5C9">
      <w:pPr>
        <w:ind w:firstLine="519"/>
        <w:rPr>
          <w:rFonts w:cs="Times New Roman"/>
        </w:rPr>
      </w:pPr>
      <w:r>
        <w:rPr>
          <w:rFonts w:cs="Times New Roman"/>
        </w:rPr>
        <w:t>钻井岩屑产生量为100.48m</w:t>
      </w:r>
      <w:r>
        <w:rPr>
          <w:rFonts w:cs="Times New Roman"/>
          <w:vertAlign w:val="superscript"/>
        </w:rPr>
        <w:t>3</w:t>
      </w:r>
      <w:r>
        <w:rPr>
          <w:rFonts w:cs="Times New Roman"/>
        </w:rPr>
        <w:t>/井，经收集后用于井场填垫处理。开挖土石方临时堆存后用于管沟回填，可基本实现线路管道的土石方挖填平衡。施工期间施工人员产生的生活垃圾和</w:t>
      </w:r>
      <w:bookmarkStart w:id="613" w:name="_Hlk89630165"/>
      <w:r>
        <w:rPr>
          <w:rFonts w:cs="Times New Roman"/>
        </w:rPr>
        <w:t>焊接废料</w:t>
      </w:r>
      <w:bookmarkEnd w:id="613"/>
      <w:r>
        <w:rPr>
          <w:rFonts w:cs="Times New Roman"/>
        </w:rPr>
        <w:t>一并依托园区环卫部门处理处置。钻井过程中泥浆经沉淀处理后回用于施工生产，施工结束后，不能循环利用的废泥浆</w:t>
      </w:r>
      <w:bookmarkStart w:id="614" w:name="_Hlk89629862"/>
      <w:r>
        <w:rPr>
          <w:rFonts w:cs="Times New Roman"/>
        </w:rPr>
        <w:t>经自然风干、固化后覆土进行植被恢复</w:t>
      </w:r>
      <w:bookmarkEnd w:id="614"/>
      <w:r>
        <w:rPr>
          <w:rFonts w:cs="Times New Roman"/>
        </w:rPr>
        <w:t>。</w:t>
      </w:r>
    </w:p>
    <w:p w14:paraId="7A464F07">
      <w:pPr>
        <w:ind w:firstLine="519"/>
        <w:rPr>
          <w:rFonts w:cs="Times New Roman"/>
        </w:rPr>
      </w:pPr>
      <w:r>
        <w:rPr>
          <w:rFonts w:cs="Times New Roman"/>
        </w:rPr>
        <w:t>在严格按照以上措施实施的基础上，项目施工期对周边环境影响很小。</w:t>
      </w:r>
    </w:p>
    <w:p w14:paraId="172FEEB5">
      <w:pPr>
        <w:pStyle w:val="7"/>
      </w:pPr>
      <w:bookmarkStart w:id="615" w:name="_Toc89786177"/>
      <w:bookmarkStart w:id="616" w:name="_Toc89882501"/>
      <w:bookmarkStart w:id="617" w:name="_Toc90318462"/>
      <w:bookmarkStart w:id="618" w:name="_Toc90989286"/>
      <w:bookmarkStart w:id="619" w:name="_Toc121420858"/>
      <w:bookmarkStart w:id="620" w:name="_Toc90997701"/>
      <w:r>
        <w:t>5.1.5 施工期生态环境影响分析</w:t>
      </w:r>
      <w:bookmarkEnd w:id="615"/>
      <w:bookmarkEnd w:id="616"/>
      <w:bookmarkEnd w:id="617"/>
      <w:bookmarkEnd w:id="618"/>
      <w:bookmarkEnd w:id="619"/>
      <w:bookmarkEnd w:id="620"/>
    </w:p>
    <w:p w14:paraId="1A122B8D">
      <w:pPr>
        <w:ind w:firstLine="519"/>
        <w:rPr>
          <w:rFonts w:cs="Times New Roman"/>
        </w:rPr>
      </w:pPr>
      <w:r>
        <w:rPr>
          <w:rFonts w:cs="Times New Roman"/>
        </w:rPr>
        <w:t>本工程新增的卤井及管线均位于衡阳建滔化工有限公司岩盐矿矿山范围内，矿山用地范围土地</w:t>
      </w:r>
      <w:r>
        <w:rPr>
          <w:rFonts w:hint="eastAsia" w:cs="Times New Roman"/>
        </w:rPr>
        <w:t>利用</w:t>
      </w:r>
      <w:r>
        <w:rPr>
          <w:rFonts w:cs="Times New Roman"/>
        </w:rPr>
        <w:t>类型现</w:t>
      </w:r>
      <w:r>
        <w:rPr>
          <w:rFonts w:hint="eastAsia" w:cs="Times New Roman"/>
        </w:rPr>
        <w:t>主要</w:t>
      </w:r>
      <w:r>
        <w:rPr>
          <w:rFonts w:cs="Times New Roman"/>
        </w:rPr>
        <w:t>为</w:t>
      </w:r>
      <w:r>
        <w:rPr>
          <w:rFonts w:hint="eastAsia" w:cs="Times New Roman"/>
        </w:rPr>
        <w:t>工业用地</w:t>
      </w:r>
      <w:r>
        <w:rPr>
          <w:rFonts w:cs="Times New Roman"/>
        </w:rPr>
        <w:t>，占地的类型主要为建设用地</w:t>
      </w:r>
      <w:r>
        <w:rPr>
          <w:rFonts w:hint="eastAsia" w:cs="Times New Roman"/>
        </w:rPr>
        <w:t>，地表主要分布灌木及道路绿化带等</w:t>
      </w:r>
      <w:r>
        <w:rPr>
          <w:rFonts w:cs="Times New Roman"/>
        </w:rPr>
        <w:t>。根据钻井施工组成，每个卤水井的施工场地的占地面积约为150~200m</w:t>
      </w:r>
      <w:r>
        <w:rPr>
          <w:rFonts w:cs="Times New Roman"/>
          <w:vertAlign w:val="superscript"/>
        </w:rPr>
        <w:t>2</w:t>
      </w:r>
      <w:r>
        <w:rPr>
          <w:rFonts w:cs="Times New Roman"/>
        </w:rPr>
        <w:t>，施工过程中首先要对地表植被进行清除，并对周边地表进行平整硬化处理，场地周边设置防污沟，开挖循环水池等。地表植被的铲除或压占将会改变局部区域内的生态景观类型与格局；同时区域植被覆盖面积减少，引起生物量短期内减少。施工活动中施工机械、车辆、人员践踏及施工临时占地（挖填、取弃土等）对原生地貌、植被产生破坏造成水土流失以及工程占地对土地利用类型及局部生态环境的产生影响。</w:t>
      </w:r>
    </w:p>
    <w:p w14:paraId="4762066A">
      <w:pPr>
        <w:pStyle w:val="6"/>
        <w:spacing w:before="170" w:after="170"/>
        <w:rPr>
          <w:rFonts w:cs="Times New Roman"/>
        </w:rPr>
      </w:pPr>
      <w:bookmarkStart w:id="621" w:name="_Toc121420859"/>
      <w:r>
        <w:rPr>
          <w:rFonts w:cs="Times New Roman"/>
        </w:rPr>
        <w:t>5.2 营运期环境影响分析</w:t>
      </w:r>
      <w:bookmarkEnd w:id="621"/>
    </w:p>
    <w:p w14:paraId="1F9036BE">
      <w:pPr>
        <w:pStyle w:val="7"/>
      </w:pPr>
      <w:bookmarkStart w:id="622" w:name="_Toc89786179"/>
      <w:bookmarkStart w:id="623" w:name="_Toc90989288"/>
      <w:bookmarkStart w:id="624" w:name="_Toc121420860"/>
      <w:bookmarkStart w:id="625" w:name="_Toc90318464"/>
      <w:bookmarkStart w:id="626" w:name="_Toc90997703"/>
      <w:bookmarkStart w:id="627" w:name="_Toc89882503"/>
      <w:bookmarkStart w:id="628" w:name="_Hlk89193914"/>
      <w:r>
        <w:t xml:space="preserve">5.2.1 </w:t>
      </w:r>
      <w:bookmarkStart w:id="629" w:name="_Hlk89194002"/>
      <w:r>
        <w:t>营运期</w:t>
      </w:r>
      <w:bookmarkEnd w:id="629"/>
      <w:r>
        <w:t>空气环境影响分析</w:t>
      </w:r>
      <w:bookmarkEnd w:id="622"/>
      <w:bookmarkEnd w:id="623"/>
      <w:bookmarkEnd w:id="624"/>
      <w:bookmarkEnd w:id="625"/>
      <w:bookmarkEnd w:id="626"/>
      <w:bookmarkEnd w:id="627"/>
    </w:p>
    <w:p w14:paraId="2880F030">
      <w:pPr>
        <w:ind w:firstLine="519"/>
        <w:rPr>
          <w:rFonts w:cs="Times New Roman"/>
          <w:bCs/>
        </w:rPr>
      </w:pPr>
      <w:bookmarkStart w:id="630" w:name="_Hlk89630353"/>
      <w:r>
        <w:rPr>
          <w:rFonts w:cs="Times New Roman"/>
          <w:bCs/>
        </w:rPr>
        <w:t>本项目营运期无废气产生</w:t>
      </w:r>
      <w:bookmarkEnd w:id="630"/>
      <w:r>
        <w:rPr>
          <w:rFonts w:cs="Times New Roman"/>
          <w:bCs/>
        </w:rPr>
        <w:t>，对周边大气环境不产生影响。</w:t>
      </w:r>
    </w:p>
    <w:p w14:paraId="0C019A99">
      <w:pPr>
        <w:pStyle w:val="7"/>
      </w:pPr>
      <w:bookmarkStart w:id="631" w:name="_Toc121420861"/>
      <w:bookmarkStart w:id="632" w:name="_Toc90989289"/>
      <w:bookmarkStart w:id="633" w:name="_Toc90997704"/>
      <w:bookmarkStart w:id="634" w:name="_Toc90318465"/>
      <w:bookmarkStart w:id="635" w:name="_Toc89882504"/>
      <w:bookmarkStart w:id="636" w:name="_Toc89786180"/>
      <w:r>
        <w:t>5.2.2 营运期地表水环境影响分析</w:t>
      </w:r>
      <w:bookmarkEnd w:id="631"/>
      <w:bookmarkEnd w:id="632"/>
      <w:bookmarkEnd w:id="633"/>
      <w:bookmarkEnd w:id="634"/>
      <w:bookmarkEnd w:id="635"/>
      <w:bookmarkEnd w:id="636"/>
    </w:p>
    <w:bookmarkEnd w:id="628"/>
    <w:p w14:paraId="551C7A93">
      <w:pPr>
        <w:ind w:firstLine="519"/>
        <w:rPr>
          <w:rFonts w:cs="Times New Roman"/>
          <w:bCs/>
        </w:rPr>
      </w:pPr>
      <w:r>
        <w:rPr>
          <w:rFonts w:cs="Times New Roman"/>
          <w:bCs/>
        </w:rPr>
        <w:t>本项目营运期无废水产生，不会对周边地表水</w:t>
      </w:r>
      <w:bookmarkStart w:id="637" w:name="_Hlk89363712"/>
      <w:r>
        <w:rPr>
          <w:rFonts w:cs="Times New Roman"/>
          <w:bCs/>
        </w:rPr>
        <w:t>环境造成影响</w:t>
      </w:r>
      <w:bookmarkEnd w:id="637"/>
      <w:r>
        <w:rPr>
          <w:rFonts w:cs="Times New Roman"/>
          <w:bCs/>
        </w:rPr>
        <w:t>。</w:t>
      </w:r>
    </w:p>
    <w:p w14:paraId="0DCC0099">
      <w:pPr>
        <w:pStyle w:val="7"/>
      </w:pPr>
      <w:bookmarkStart w:id="638" w:name="_Toc89786181"/>
      <w:bookmarkStart w:id="639" w:name="_Toc90989290"/>
      <w:bookmarkStart w:id="640" w:name="_Toc90318466"/>
      <w:bookmarkStart w:id="641" w:name="_Toc89882505"/>
      <w:bookmarkStart w:id="642" w:name="_Toc90997705"/>
      <w:bookmarkStart w:id="643" w:name="_Toc121420862"/>
      <w:r>
        <w:t>5.2.3 营运期声环境影响分析</w:t>
      </w:r>
      <w:bookmarkEnd w:id="638"/>
      <w:bookmarkEnd w:id="639"/>
      <w:bookmarkEnd w:id="640"/>
      <w:bookmarkEnd w:id="641"/>
      <w:bookmarkEnd w:id="642"/>
      <w:bookmarkEnd w:id="643"/>
    </w:p>
    <w:p w14:paraId="7AF2A179">
      <w:pPr>
        <w:ind w:firstLine="519"/>
        <w:rPr>
          <w:rFonts w:cs="Times New Roman"/>
          <w:bCs/>
        </w:rPr>
      </w:pPr>
      <w:r>
        <w:rPr>
          <w:rFonts w:cs="Times New Roman"/>
          <w:bCs/>
        </w:rPr>
        <w:t>本项目噪声源主要集中在</w:t>
      </w:r>
      <w:bookmarkStart w:id="644" w:name="_Hlk89363586"/>
      <w:r>
        <w:rPr>
          <w:rFonts w:cs="Times New Roman"/>
          <w:bCs/>
        </w:rPr>
        <w:t>采卤</w:t>
      </w:r>
      <w:bookmarkEnd w:id="644"/>
      <w:r>
        <w:rPr>
          <w:rFonts w:hint="eastAsia" w:cs="Times New Roman"/>
          <w:bCs/>
        </w:rPr>
        <w:t>场</w:t>
      </w:r>
      <w:r>
        <w:rPr>
          <w:rFonts w:cs="Times New Roman"/>
          <w:bCs/>
        </w:rPr>
        <w:t>内，由于扩建项目利用采卤场现有厂房及设备进行作业，噪声源未发生变化，且采卤车间四周敏感点距离均较远，采卤泵房南侧噪声环境质量监测数据满足《声环境质量标准》（GB3096-2008）中3类标准，</w:t>
      </w:r>
      <w:bookmarkStart w:id="645" w:name="_Hlk89632367"/>
      <w:r>
        <w:rPr>
          <w:rFonts w:cs="Times New Roman"/>
          <w:bCs/>
        </w:rPr>
        <w:t>本项目噪声对周边敏感点环境影响较小</w:t>
      </w:r>
      <w:bookmarkEnd w:id="645"/>
      <w:r>
        <w:rPr>
          <w:rFonts w:cs="Times New Roman"/>
          <w:bCs/>
        </w:rPr>
        <w:t>。</w:t>
      </w:r>
    </w:p>
    <w:p w14:paraId="447529E5">
      <w:pPr>
        <w:pStyle w:val="7"/>
      </w:pPr>
      <w:bookmarkStart w:id="646" w:name="_Toc89882506"/>
      <w:bookmarkStart w:id="647" w:name="_Toc121420863"/>
      <w:bookmarkStart w:id="648" w:name="_Toc90318467"/>
      <w:bookmarkStart w:id="649" w:name="_Toc90989291"/>
      <w:bookmarkStart w:id="650" w:name="_Toc90997706"/>
      <w:bookmarkStart w:id="651" w:name="_Toc89786182"/>
      <w:r>
        <w:t>5.2.4 营运期固体废物影响分析</w:t>
      </w:r>
      <w:bookmarkEnd w:id="646"/>
      <w:bookmarkEnd w:id="647"/>
      <w:bookmarkEnd w:id="648"/>
      <w:bookmarkEnd w:id="649"/>
      <w:bookmarkEnd w:id="650"/>
      <w:bookmarkEnd w:id="651"/>
    </w:p>
    <w:p w14:paraId="7C25E82E">
      <w:pPr>
        <w:ind w:firstLine="519"/>
        <w:rPr>
          <w:rFonts w:cs="Times New Roman"/>
          <w:szCs w:val="24"/>
        </w:rPr>
      </w:pPr>
      <w:bookmarkStart w:id="652" w:name="_Hlk89632428"/>
      <w:r>
        <w:rPr>
          <w:rFonts w:cs="Times New Roman"/>
        </w:rPr>
        <w:t>营运期固体废物主要为</w:t>
      </w:r>
      <w:bookmarkStart w:id="653" w:name="_Hlk89416140"/>
      <w:r>
        <w:rPr>
          <w:rFonts w:cs="Times New Roman"/>
        </w:rPr>
        <w:t>卤水池残渣</w:t>
      </w:r>
      <w:bookmarkEnd w:id="653"/>
      <w:r>
        <w:rPr>
          <w:rFonts w:cs="Times New Roman"/>
        </w:rPr>
        <w:t>和废机油</w:t>
      </w:r>
      <w:bookmarkEnd w:id="652"/>
      <w:r>
        <w:rPr>
          <w:rFonts w:cs="Times New Roman"/>
        </w:rPr>
        <w:t>。</w:t>
      </w:r>
    </w:p>
    <w:p w14:paraId="5925204D">
      <w:pPr>
        <w:ind w:firstLine="519"/>
        <w:rPr>
          <w:rFonts w:cs="Times New Roman"/>
        </w:rPr>
      </w:pPr>
      <w:bookmarkStart w:id="654" w:name="_Hlk89632461"/>
      <w:bookmarkStart w:id="655" w:name="_Hlk89366541"/>
      <w:r>
        <w:rPr>
          <w:rFonts w:cs="Times New Roman"/>
          <w:szCs w:val="24"/>
        </w:rPr>
        <w:t>卤水池残渣</w:t>
      </w:r>
      <w:bookmarkEnd w:id="654"/>
      <w:r>
        <w:rPr>
          <w:rFonts w:cs="Times New Roman"/>
          <w:szCs w:val="24"/>
        </w:rPr>
        <w:t>成分主要为钙镁泥浆，属于一般工业固废，</w:t>
      </w:r>
      <w:bookmarkStart w:id="656" w:name="_Hlk89632468"/>
      <w:r>
        <w:rPr>
          <w:rFonts w:cs="Times New Roman"/>
          <w:szCs w:val="24"/>
        </w:rPr>
        <w:t>依托建滔</w:t>
      </w:r>
      <w:bookmarkStart w:id="657" w:name="_Hlk89422227"/>
      <w:r>
        <w:rPr>
          <w:rFonts w:cs="Times New Roman"/>
          <w:szCs w:val="24"/>
        </w:rPr>
        <w:t>（衡阳）实业有限公司</w:t>
      </w:r>
      <w:bookmarkEnd w:id="657"/>
      <w:r>
        <w:rPr>
          <w:rFonts w:cs="Times New Roman"/>
          <w:szCs w:val="24"/>
        </w:rPr>
        <w:t>烧碱生产部盐泥压滤机压干处理后，与烧碱生产部盐泥一并收集后外售</w:t>
      </w:r>
      <w:bookmarkEnd w:id="656"/>
      <w:r>
        <w:rPr>
          <w:rFonts w:cs="Times New Roman"/>
          <w:szCs w:val="24"/>
        </w:rPr>
        <w:t>。</w:t>
      </w:r>
      <w:bookmarkEnd w:id="655"/>
      <w:r>
        <w:rPr>
          <w:rFonts w:cs="Times New Roman"/>
          <w:szCs w:val="24"/>
        </w:rPr>
        <w:t>废机油</w:t>
      </w:r>
      <w:bookmarkStart w:id="658" w:name="_Hlk89422305"/>
      <w:r>
        <w:rPr>
          <w:rFonts w:cs="Times New Roman"/>
          <w:szCs w:val="24"/>
        </w:rPr>
        <w:t>经机修车间统一收集后，</w:t>
      </w:r>
      <w:bookmarkStart w:id="659" w:name="_Hlk89632447"/>
      <w:r>
        <w:rPr>
          <w:rFonts w:hint="eastAsia" w:cs="Times New Roman"/>
          <w:szCs w:val="24"/>
        </w:rPr>
        <w:t>利用</w:t>
      </w:r>
      <w:bookmarkEnd w:id="659"/>
      <w:r>
        <w:rPr>
          <w:rFonts w:hint="eastAsia" w:cs="Times New Roman"/>
          <w:szCs w:val="24"/>
        </w:rPr>
        <w:t>现有</w:t>
      </w:r>
      <w:r>
        <w:rPr>
          <w:rFonts w:cs="Times New Roman"/>
          <w:szCs w:val="24"/>
        </w:rPr>
        <w:t>危废暂存间暂存，并委托有资质单位处理。</w:t>
      </w:r>
      <w:bookmarkEnd w:id="658"/>
      <w:r>
        <w:rPr>
          <w:rFonts w:cs="Times New Roman"/>
          <w:szCs w:val="24"/>
        </w:rPr>
        <w:t>本项目对营运期固体废物均妥善处理，对环境影响不大。</w:t>
      </w:r>
    </w:p>
    <w:p w14:paraId="0C409312">
      <w:pPr>
        <w:pStyle w:val="7"/>
      </w:pPr>
      <w:bookmarkStart w:id="660" w:name="_Toc89786183"/>
      <w:bookmarkStart w:id="661" w:name="_Toc89882507"/>
      <w:bookmarkStart w:id="662" w:name="_Toc90318468"/>
      <w:bookmarkStart w:id="663" w:name="_Toc90989292"/>
      <w:bookmarkStart w:id="664" w:name="_Toc90997707"/>
      <w:bookmarkStart w:id="665" w:name="_Toc121420864"/>
      <w:r>
        <w:t>5.2.5 营运期生态环境影响分析</w:t>
      </w:r>
      <w:bookmarkEnd w:id="660"/>
      <w:bookmarkEnd w:id="661"/>
      <w:bookmarkEnd w:id="662"/>
      <w:bookmarkEnd w:id="663"/>
      <w:bookmarkEnd w:id="664"/>
      <w:bookmarkEnd w:id="665"/>
    </w:p>
    <w:p w14:paraId="5EFF17E0">
      <w:pPr>
        <w:pStyle w:val="8"/>
        <w:ind w:firstLine="521"/>
        <w:rPr>
          <w:rFonts w:cs="Times New Roman"/>
        </w:rPr>
      </w:pPr>
      <w:bookmarkStart w:id="666" w:name="_Toc86852362"/>
      <w:r>
        <w:rPr>
          <w:rFonts w:cs="Times New Roman"/>
        </w:rPr>
        <w:t>5.2.5.1 对土地利用的影响</w:t>
      </w:r>
      <w:bookmarkEnd w:id="666"/>
    </w:p>
    <w:p w14:paraId="32E1585E">
      <w:pPr>
        <w:ind w:firstLine="519"/>
        <w:rPr>
          <w:rFonts w:cs="Times New Roman"/>
          <w:szCs w:val="24"/>
        </w:rPr>
      </w:pPr>
      <w:r>
        <w:rPr>
          <w:rFonts w:cs="Times New Roman"/>
          <w:szCs w:val="24"/>
        </w:rPr>
        <w:t>项目是在现有建设用地（</w:t>
      </w:r>
      <w:r>
        <w:rPr>
          <w:rFonts w:hint="eastAsia" w:cs="Times New Roman"/>
          <w:szCs w:val="24"/>
        </w:rPr>
        <w:t>工业用地</w:t>
      </w:r>
      <w:r>
        <w:rPr>
          <w:rFonts w:cs="Times New Roman"/>
          <w:szCs w:val="24"/>
        </w:rPr>
        <w:t>）上进行建设，对土地现状影响不大，本项目井场施工完成后，通过对施工场地的生态恢复措施，使被破坏的土壤植被和地貌形态基本得到恢复和重建，使矿区在人为努力下，形成新的林地—灌木—工业用地交叉分布的人工生态复合体，使生态系统逐渐趋向复杂和向良性循环方向发展，保持区域自然生态系统和景观单元的连续性、整体性。</w:t>
      </w:r>
    </w:p>
    <w:p w14:paraId="5B153586">
      <w:pPr>
        <w:pStyle w:val="8"/>
        <w:ind w:firstLine="521"/>
        <w:rPr>
          <w:rFonts w:cs="Times New Roman"/>
        </w:rPr>
      </w:pPr>
      <w:bookmarkStart w:id="667" w:name="_Toc86852364"/>
      <w:bookmarkStart w:id="668" w:name="_Hlk90239329"/>
      <w:r>
        <w:rPr>
          <w:rFonts w:cs="Times New Roman"/>
        </w:rPr>
        <w:t>5.2.5.2 对植被和动植物的影响</w:t>
      </w:r>
      <w:bookmarkEnd w:id="667"/>
    </w:p>
    <w:bookmarkEnd w:id="668"/>
    <w:p w14:paraId="0645BED9">
      <w:pPr>
        <w:ind w:firstLine="519"/>
        <w:rPr>
          <w:rFonts w:cs="Times New Roman"/>
          <w:szCs w:val="24"/>
        </w:rPr>
      </w:pPr>
      <w:r>
        <w:rPr>
          <w:rFonts w:cs="Times New Roman"/>
          <w:szCs w:val="24"/>
        </w:rPr>
        <w:t>对于本工程矿区范围内来说，现有动物资源主要为老鼠、蛇、麻雀、野兔等常见物种，未见珍稀动物；项目区域周围没有珍稀濒危及受保护的植物物种。项目属于地下开采，正常生产过程中，</w:t>
      </w:r>
      <w:r>
        <w:rPr>
          <w:rFonts w:hint="eastAsia" w:cs="Times New Roman"/>
          <w:szCs w:val="24"/>
        </w:rPr>
        <w:t>原</w:t>
      </w:r>
      <w:r>
        <w:rPr>
          <w:rFonts w:cs="Times New Roman"/>
          <w:szCs w:val="24"/>
        </w:rPr>
        <w:t>卤和淡卤水均在管道内输送，不会对动植物造成影响。事故情况下，如管道泄漏造成高含盐卤水外泄，将造成沿线植物脱水而死，若放任这种泄漏现象持续存在，将导致周边土壤向盐渍化演变；若高含盐卤水外泄进入周边地表水体，则可导致鱼类的死亡和水生生态环境的破坏。因此防范卤水的事故性排放是保护矿区生态环境不受影响的关键环节。从矿区生态环境现状及岩盐矿多年运行实践来看，采卤生产未对矿区动植物资源造成明显破坏。</w:t>
      </w:r>
    </w:p>
    <w:p w14:paraId="64288C5D">
      <w:pPr>
        <w:pStyle w:val="8"/>
        <w:ind w:firstLine="521"/>
        <w:rPr>
          <w:rFonts w:cs="Times New Roman"/>
        </w:rPr>
      </w:pPr>
      <w:r>
        <w:rPr>
          <w:rFonts w:cs="Times New Roman"/>
        </w:rPr>
        <w:t xml:space="preserve">5.2.5.3 </w:t>
      </w:r>
      <w:r>
        <w:rPr>
          <w:rFonts w:hint="eastAsia" w:cs="Times New Roman"/>
        </w:rPr>
        <w:t>地面沉降（采空区）影响分析</w:t>
      </w:r>
    </w:p>
    <w:p w14:paraId="7771305A">
      <w:pPr>
        <w:pStyle w:val="2"/>
        <w:ind w:firstLine="519"/>
      </w:pPr>
      <w:r>
        <w:rPr>
          <w:rFonts w:hint="eastAsia"/>
        </w:rPr>
        <w:t>根据湖南省地质矿产勘查开发局四一六队</w:t>
      </w:r>
      <w:bookmarkStart w:id="669" w:name="_Hlk90278878"/>
      <w:r>
        <w:rPr>
          <w:rFonts w:hint="eastAsia"/>
        </w:rPr>
        <w:t>《衡阳建滔化工有限公司岩盐矿矿山开采地质灾害安全性论证》（2021.4）报告中</w:t>
      </w:r>
      <w:bookmarkEnd w:id="669"/>
      <w:r>
        <w:rPr>
          <w:rFonts w:hint="eastAsia"/>
        </w:rPr>
        <w:t>矿山开采引发地面塌陷（岩溶和采空区）、地裂缝、地面沉降地质灾害的危险性预测评估分析：矿山目前主要采空区分布在矿山范围东部</w:t>
      </w:r>
      <w:r>
        <w:rPr>
          <w:rFonts w:ascii="宋体" w:hAnsi="宋体" w:cs="宋体"/>
        </w:rPr>
        <w:fldChar w:fldCharType="begin"/>
      </w:r>
      <w:r>
        <w:rPr>
          <w:rFonts w:ascii="宋体" w:hAnsi="宋体" w:cs="宋体"/>
        </w:rPr>
        <w:instrText xml:space="preserve"> </w:instrText>
      </w:r>
      <w:r>
        <w:rPr>
          <w:rFonts w:hint="eastAsia" w:ascii="宋体" w:hAnsi="宋体" w:cs="宋体"/>
        </w:rPr>
        <w:instrText xml:space="preserve">= 1 \* ROMAN</w:instrText>
      </w:r>
      <w:r>
        <w:rPr>
          <w:rFonts w:ascii="宋体" w:hAnsi="宋体" w:cs="宋体"/>
        </w:rPr>
        <w:instrText xml:space="preserve"> </w:instrText>
      </w:r>
      <w:r>
        <w:rPr>
          <w:rFonts w:ascii="宋体" w:hAnsi="宋体" w:cs="宋体"/>
        </w:rPr>
        <w:fldChar w:fldCharType="separate"/>
      </w:r>
      <w:r>
        <w:rPr>
          <w:rFonts w:ascii="宋体" w:hAnsi="宋体" w:cs="宋体"/>
        </w:rPr>
        <w:t>I</w:t>
      </w:r>
      <w:r>
        <w:rPr>
          <w:rFonts w:ascii="宋体" w:hAnsi="宋体" w:cs="宋体"/>
        </w:rPr>
        <w:fldChar w:fldCharType="end"/>
      </w:r>
      <w:r>
        <w:rPr>
          <w:rFonts w:hint="eastAsia"/>
        </w:rPr>
        <w:t>-1和</w:t>
      </w: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-2块段，最大溶腔面积162477m</w:t>
      </w:r>
      <w:r>
        <w:rPr>
          <w:vertAlign w:val="superscript"/>
        </w:rPr>
        <w:t>2</w:t>
      </w:r>
      <w:r>
        <w:rPr>
          <w:rFonts w:hint="eastAsia"/>
        </w:rPr>
        <w:t>，最大溶腔高度251.45m，上部盖层厚度大于500m，未发现地面沉降等采空区引发的地质灾害现象。但随着未来开采范围增大，采空区面积随之增大，在采动效应作用下，随着时间推移，覆岩慢慢发生弯曲或形成整体变形移动带，从而产生地面变形破坏，是评估区的主要地质灾害类型。</w:t>
      </w:r>
    </w:p>
    <w:p w14:paraId="333FE49A">
      <w:pPr>
        <w:pStyle w:val="2"/>
        <w:ind w:firstLine="519"/>
      </w:pPr>
      <w:r>
        <w:rPr>
          <w:rFonts w:hint="eastAsia"/>
        </w:rPr>
        <w:t>双井对流水溶法开采地下岩盐矿层，引发地面变形破坏，与岩盐矿层埋藏深度、开采厚度及采空区范围、上覆岩层的物理力学性质、节理裂隙发育程度、含水性、矿层的产状要素以及盐井质量等相关。据《井矿盐地质基础与开采工艺》（四川盐学会全国井矿盐工业科技情报站，1992年9月），结合矿山生产实际，本矿山其主要诱导因素是岩盐矿层开采深度、采出厚度（采空净高度）、采空区范围，目前国内外盐矿开采引起地面下沉和变形的事件，多发生在矿层埋深小于600m左右的矿区，埋藏深度越浅，越容易引起地面下沉，产生下沉时间早；采空净高度越大，越易引起地面下沉和变形，采空区范围越大，越易引起地面下沉和变形，而且影响范围也越大。因此说，在矿区小规模开采或局部开采尚可保持岩层相对稳定；大规模开采，认为岩层存在不稳定因素。</w:t>
      </w:r>
    </w:p>
    <w:p w14:paraId="54E6AD5F">
      <w:pPr>
        <w:pStyle w:val="2"/>
        <w:ind w:firstLine="519"/>
      </w:pPr>
      <w:r>
        <w:rPr>
          <w:rFonts w:hint="eastAsia"/>
        </w:rPr>
        <w:t>根据《衡阳建滔化工有限公司岩盐矿矿山开采地质灾害安全性论证》（2021.4）报告中计算结果，矿山临界深度的结果：H</w:t>
      </w:r>
      <w:r>
        <w:rPr>
          <w:rFonts w:hint="eastAsia"/>
          <w:vertAlign w:val="subscript"/>
        </w:rPr>
        <w:t>0</w:t>
      </w:r>
      <w:r>
        <w:t>=447.22m</w:t>
      </w:r>
      <w:r>
        <w:rPr>
          <w:rFonts w:hint="eastAsia"/>
        </w:rPr>
        <w:t>，根据计算，在未考虑水介质充盈溶腔（采空区）的情况下，未来矿山开采的巷道顶板稳定的临界深度约为450m，略小于矿山范围矿层顶板厚度（矿山范围矿层顶板厚度为500m左右），其稳定性属于H</w:t>
      </w:r>
      <w:r>
        <w:rPr>
          <w:rFonts w:hint="eastAsia"/>
          <w:vertAlign w:val="subscript"/>
        </w:rPr>
        <w:t>0</w:t>
      </w:r>
      <w:r>
        <w:rPr>
          <w:rFonts w:hint="eastAsia"/>
        </w:rPr>
        <w:t>＜H＜1.5H</w:t>
      </w:r>
      <w:r>
        <w:rPr>
          <w:rFonts w:hint="eastAsia"/>
          <w:vertAlign w:val="subscript"/>
        </w:rPr>
        <w:t>0</w:t>
      </w:r>
      <w:r>
        <w:rPr>
          <w:rFonts w:hint="eastAsia"/>
        </w:rPr>
        <w:t>的范围，属于稳定性差的情况，存在岩层移动变形引发地面塌陷（岩溶和采空区）、地裂缝、地面沉降地质灾害的危险性。</w:t>
      </w:r>
    </w:p>
    <w:p w14:paraId="6D4689DA">
      <w:pPr>
        <w:pStyle w:val="3"/>
        <w:ind w:firstLine="519"/>
      </w:pPr>
      <w:r>
        <w:rPr>
          <w:rFonts w:hint="eastAsia"/>
        </w:rPr>
        <w:t>本项目采卤孔布置垂直和倾斜混合对接钻孔位置采用等腰三角形井网布置形式，卤井最大溶蚀半径50m。溶采区之间留30m的连续矿柱，直接顶板以下留25m~35m的护顶矿层。卤井井身结构采用双层套管固井。矿山按以上开发利用方案开采，溶腔（采空区）全部为饱和盐水充盈，成为一个密闭的独立空间，溶采区之间的连续矿柱可以起到很大程度支撑作用，护顶矿层可以保证溶腔（采空区）的密闭性，因此，矿山开采顶板的稳定性可以很大程度的提高。矿山未来开采暂时按延续 5 年时间计算会增加岩盐矿采损资源量矿石量750万t，在原累计采损量6100万t的基础上，增加比例不大（只在原采损量的基础上增加12.3%），在合理布置采区，保证保安矿柱的宽度、护顶矿层厚度和采取一定监测、应急处置措施的情况下，其引发地面塌陷（岩溶和采空区）、地裂缝、</w:t>
      </w:r>
      <w:bookmarkStart w:id="670" w:name="_Hlk90368432"/>
      <w:r>
        <w:rPr>
          <w:rFonts w:hint="eastAsia"/>
        </w:rPr>
        <w:t>地面沉降</w:t>
      </w:r>
      <w:bookmarkEnd w:id="670"/>
      <w:r>
        <w:rPr>
          <w:rFonts w:hint="eastAsia"/>
        </w:rPr>
        <w:t>地质灾害的</w:t>
      </w:r>
      <w:bookmarkStart w:id="671" w:name="_Hlk90368438"/>
      <w:r>
        <w:rPr>
          <w:rFonts w:hint="eastAsia"/>
        </w:rPr>
        <w:t>危险性可控</w:t>
      </w:r>
      <w:bookmarkEnd w:id="671"/>
      <w:r>
        <w:rPr>
          <w:rFonts w:hint="eastAsia"/>
        </w:rPr>
        <w:t>。</w:t>
      </w:r>
    </w:p>
    <w:p w14:paraId="32E21E01">
      <w:pPr>
        <w:pStyle w:val="7"/>
      </w:pPr>
      <w:bookmarkStart w:id="672" w:name="_Toc90997708"/>
      <w:bookmarkStart w:id="673" w:name="_Toc90318470"/>
      <w:bookmarkStart w:id="674" w:name="_Toc121420865"/>
      <w:bookmarkStart w:id="675" w:name="_Toc89882508"/>
      <w:bookmarkStart w:id="676" w:name="_Toc90989293"/>
      <w:bookmarkStart w:id="677" w:name="_Toc89786184"/>
      <w:bookmarkStart w:id="678" w:name="_Hlk89194137"/>
      <w:r>
        <w:t>5.2.6 营运期地下水环境影响分析</w:t>
      </w:r>
      <w:bookmarkEnd w:id="672"/>
      <w:bookmarkEnd w:id="673"/>
      <w:bookmarkEnd w:id="674"/>
      <w:bookmarkEnd w:id="675"/>
      <w:bookmarkEnd w:id="676"/>
      <w:bookmarkEnd w:id="677"/>
    </w:p>
    <w:bookmarkEnd w:id="678"/>
    <w:p w14:paraId="5A607A1B">
      <w:pPr>
        <w:pStyle w:val="8"/>
        <w:ind w:firstLine="521"/>
        <w:rPr>
          <w:rFonts w:cs="Times New Roman"/>
        </w:rPr>
      </w:pPr>
      <w:bookmarkStart w:id="679" w:name="_Toc89882509"/>
      <w:bookmarkStart w:id="680" w:name="_Toc86852368"/>
      <w:bookmarkStart w:id="681" w:name="_Toc89786185"/>
      <w:bookmarkStart w:id="682" w:name="_Toc507544373"/>
      <w:r>
        <w:rPr>
          <w:rFonts w:cs="Times New Roman"/>
        </w:rPr>
        <w:t>5.2.6.1 评价区地质条件</w:t>
      </w:r>
      <w:bookmarkEnd w:id="679"/>
      <w:bookmarkEnd w:id="680"/>
      <w:bookmarkEnd w:id="681"/>
    </w:p>
    <w:p w14:paraId="3496E300">
      <w:pPr>
        <w:ind w:firstLine="519"/>
        <w:rPr>
          <w:rFonts w:cs="Times New Roman"/>
        </w:rPr>
      </w:pPr>
      <w:r>
        <w:rPr>
          <w:rFonts w:cs="Times New Roman"/>
        </w:rPr>
        <w:t>矿区水文地质条件详见4.3.3矿区资源概况。</w:t>
      </w:r>
    </w:p>
    <w:p w14:paraId="5BD62858">
      <w:pPr>
        <w:pStyle w:val="8"/>
        <w:ind w:firstLine="521"/>
        <w:rPr>
          <w:rFonts w:cs="Times New Roman"/>
        </w:rPr>
      </w:pPr>
      <w:bookmarkStart w:id="683" w:name="_Toc89882510"/>
      <w:bookmarkStart w:id="684" w:name="_Toc89786186"/>
      <w:r>
        <w:rPr>
          <w:rFonts w:cs="Times New Roman"/>
        </w:rPr>
        <w:t>5.2.6.2 地下水影响因素及污染途径识别</w:t>
      </w:r>
      <w:bookmarkEnd w:id="683"/>
      <w:bookmarkEnd w:id="684"/>
    </w:p>
    <w:p w14:paraId="2ED8805C">
      <w:pPr>
        <w:ind w:firstLine="519"/>
        <w:rPr>
          <w:rFonts w:cs="Times New Roman"/>
        </w:rPr>
      </w:pPr>
      <w:r>
        <w:rPr>
          <w:rFonts w:cs="Times New Roman"/>
        </w:rPr>
        <w:t>本项目为岩盐矿开采项目营运期对地下水环境的影响因素主要体现在以下方面：</w:t>
      </w:r>
    </w:p>
    <w:p w14:paraId="661093F5">
      <w:pPr>
        <w:ind w:firstLine="519"/>
        <w:rPr>
          <w:rFonts w:cs="Times New Roman"/>
        </w:rPr>
      </w:pPr>
      <w:r>
        <w:rPr>
          <w:rFonts w:cs="Times New Roman"/>
        </w:rPr>
        <w:t>（1</w:t>
      </w:r>
      <w:bookmarkStart w:id="685" w:name="_Hlk89440119"/>
      <w:r>
        <w:rPr>
          <w:rFonts w:cs="Times New Roman"/>
        </w:rPr>
        <w:t>）采集卤过程“跑、冒、滴、漏”造成卤水外泄</w:t>
      </w:r>
      <w:bookmarkEnd w:id="685"/>
      <w:r>
        <w:rPr>
          <w:rFonts w:cs="Times New Roman"/>
        </w:rPr>
        <w:t>，如收集不及时，通过下渗进入地下水，会造成地下水的污染；</w:t>
      </w:r>
    </w:p>
    <w:p w14:paraId="3462D70B">
      <w:pPr>
        <w:ind w:firstLine="519"/>
        <w:rPr>
          <w:rFonts w:cs="Times New Roman"/>
        </w:rPr>
      </w:pPr>
      <w:r>
        <w:rPr>
          <w:rFonts w:cs="Times New Roman"/>
        </w:rPr>
        <w:t>（2）开采</w:t>
      </w:r>
      <w:bookmarkStart w:id="686" w:name="_Hlk89439915"/>
      <w:r>
        <w:rPr>
          <w:rFonts w:cs="Times New Roman"/>
        </w:rPr>
        <w:t>形成溶腔冒落带及采盐导水裂隙带对含水层的影响</w:t>
      </w:r>
      <w:bookmarkEnd w:id="686"/>
      <w:r>
        <w:rPr>
          <w:rFonts w:cs="Times New Roman"/>
        </w:rPr>
        <w:t>。</w:t>
      </w:r>
    </w:p>
    <w:p w14:paraId="003C0268">
      <w:pPr>
        <w:ind w:firstLine="519"/>
        <w:rPr>
          <w:rFonts w:cs="Times New Roman"/>
        </w:rPr>
      </w:pPr>
      <w:r>
        <w:rPr>
          <w:rFonts w:cs="Times New Roman"/>
        </w:rPr>
        <w:t>（3）采卤泵房、阀门控制室在检修维护、阀门阀件老化等过程中的“跑、冒、滴、漏”，如废水收集不及时，通过下渗进入地下水，会造成地下水的污染。</w:t>
      </w:r>
    </w:p>
    <w:p w14:paraId="58A05D2C">
      <w:pPr>
        <w:keepLines/>
        <w:ind w:firstLine="0" w:firstLineChars="0"/>
        <w:jc w:val="center"/>
        <w:outlineLvl w:val="4"/>
        <w:rPr>
          <w:rFonts w:cs="Times New Roman"/>
          <w:b/>
          <w:bCs/>
          <w:sz w:val="21"/>
          <w:szCs w:val="28"/>
        </w:rPr>
      </w:pPr>
      <w:r>
        <w:rPr>
          <w:rFonts w:cs="Times New Roman"/>
          <w:b/>
          <w:bCs/>
          <w:sz w:val="21"/>
          <w:szCs w:val="28"/>
        </w:rPr>
        <w:t>表5.2-1  地下水污染途径识别</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559"/>
        <w:gridCol w:w="2126"/>
        <w:gridCol w:w="3613"/>
      </w:tblGrid>
      <w:tr w14:paraId="304D9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dxa"/>
            <w:tcBorders>
              <w:top w:val="single" w:color="auto" w:sz="12" w:space="0"/>
              <w:left w:val="single" w:color="auto" w:sz="12" w:space="0"/>
              <w:bottom w:val="single" w:color="auto" w:sz="4" w:space="0"/>
              <w:right w:val="single" w:color="auto" w:sz="4" w:space="0"/>
            </w:tcBorders>
            <w:vAlign w:val="center"/>
          </w:tcPr>
          <w:p w14:paraId="5D6CAEC1">
            <w:pPr>
              <w:spacing w:line="240" w:lineRule="auto"/>
              <w:ind w:firstLine="0" w:firstLineChars="0"/>
              <w:jc w:val="center"/>
              <w:rPr>
                <w:rFonts w:cs="Times New Roman"/>
                <w:sz w:val="21"/>
                <w:szCs w:val="21"/>
              </w:rPr>
            </w:pPr>
            <w:r>
              <w:rPr>
                <w:rFonts w:hint="eastAsia" w:cs="Times New Roman"/>
                <w:sz w:val="21"/>
                <w:szCs w:val="21"/>
              </w:rPr>
              <w:t>污染源</w:t>
            </w:r>
          </w:p>
        </w:tc>
        <w:tc>
          <w:tcPr>
            <w:tcW w:w="1559" w:type="dxa"/>
            <w:tcBorders>
              <w:top w:val="single" w:color="auto" w:sz="12" w:space="0"/>
              <w:left w:val="single" w:color="auto" w:sz="4" w:space="0"/>
              <w:bottom w:val="single" w:color="auto" w:sz="4" w:space="0"/>
              <w:right w:val="single" w:color="auto" w:sz="4" w:space="0"/>
            </w:tcBorders>
            <w:vAlign w:val="center"/>
          </w:tcPr>
          <w:p w14:paraId="6AD5D057">
            <w:pPr>
              <w:spacing w:line="240" w:lineRule="auto"/>
              <w:ind w:firstLine="0" w:firstLineChars="0"/>
              <w:jc w:val="center"/>
              <w:rPr>
                <w:rFonts w:cs="Times New Roman"/>
                <w:sz w:val="21"/>
                <w:szCs w:val="21"/>
              </w:rPr>
            </w:pPr>
            <w:r>
              <w:rPr>
                <w:rFonts w:hint="eastAsia" w:cs="Times New Roman"/>
                <w:sz w:val="21"/>
                <w:szCs w:val="21"/>
              </w:rPr>
              <w:t>位置</w:t>
            </w:r>
          </w:p>
        </w:tc>
        <w:tc>
          <w:tcPr>
            <w:tcW w:w="2126" w:type="dxa"/>
            <w:tcBorders>
              <w:top w:val="single" w:color="auto" w:sz="12" w:space="0"/>
              <w:left w:val="single" w:color="auto" w:sz="4" w:space="0"/>
              <w:bottom w:val="single" w:color="auto" w:sz="4" w:space="0"/>
              <w:right w:val="single" w:color="auto" w:sz="4" w:space="0"/>
            </w:tcBorders>
            <w:vAlign w:val="center"/>
          </w:tcPr>
          <w:p w14:paraId="039B428E">
            <w:pPr>
              <w:spacing w:line="240" w:lineRule="auto"/>
              <w:ind w:firstLine="0" w:firstLineChars="0"/>
              <w:jc w:val="center"/>
              <w:rPr>
                <w:rFonts w:cs="Times New Roman"/>
                <w:sz w:val="21"/>
                <w:szCs w:val="21"/>
              </w:rPr>
            </w:pPr>
            <w:r>
              <w:rPr>
                <w:rFonts w:hint="eastAsia" w:cs="Times New Roman"/>
                <w:sz w:val="21"/>
                <w:szCs w:val="21"/>
              </w:rPr>
              <w:t>污染因子</w:t>
            </w:r>
          </w:p>
        </w:tc>
        <w:tc>
          <w:tcPr>
            <w:tcW w:w="3613" w:type="dxa"/>
            <w:tcBorders>
              <w:top w:val="single" w:color="auto" w:sz="12" w:space="0"/>
              <w:left w:val="single" w:color="auto" w:sz="4" w:space="0"/>
              <w:bottom w:val="single" w:color="auto" w:sz="4" w:space="0"/>
              <w:right w:val="single" w:color="auto" w:sz="12" w:space="0"/>
            </w:tcBorders>
            <w:vAlign w:val="center"/>
          </w:tcPr>
          <w:p w14:paraId="347CBA77">
            <w:pPr>
              <w:spacing w:line="240" w:lineRule="auto"/>
              <w:ind w:firstLine="0" w:firstLineChars="0"/>
              <w:jc w:val="center"/>
              <w:rPr>
                <w:rFonts w:cs="Times New Roman"/>
                <w:sz w:val="21"/>
                <w:szCs w:val="21"/>
              </w:rPr>
            </w:pPr>
            <w:r>
              <w:rPr>
                <w:rFonts w:hint="eastAsia" w:cs="Times New Roman"/>
                <w:sz w:val="21"/>
                <w:szCs w:val="21"/>
              </w:rPr>
              <w:t>污染途径识别</w:t>
            </w:r>
          </w:p>
        </w:tc>
      </w:tr>
      <w:tr w14:paraId="36AC1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dxa"/>
            <w:vMerge w:val="restart"/>
            <w:tcBorders>
              <w:top w:val="single" w:color="auto" w:sz="4" w:space="0"/>
              <w:left w:val="single" w:color="auto" w:sz="12" w:space="0"/>
              <w:bottom w:val="single" w:color="auto" w:sz="12" w:space="0"/>
              <w:right w:val="single" w:color="auto" w:sz="4" w:space="0"/>
            </w:tcBorders>
            <w:vAlign w:val="center"/>
          </w:tcPr>
          <w:p w14:paraId="0CEE905B">
            <w:pPr>
              <w:spacing w:line="240" w:lineRule="auto"/>
              <w:ind w:firstLine="0" w:firstLineChars="0"/>
              <w:jc w:val="center"/>
              <w:rPr>
                <w:rFonts w:cs="Times New Roman"/>
                <w:sz w:val="21"/>
                <w:szCs w:val="21"/>
              </w:rPr>
            </w:pPr>
            <w:r>
              <w:rPr>
                <w:rFonts w:hint="eastAsia" w:cs="Times New Roman"/>
                <w:sz w:val="21"/>
                <w:szCs w:val="21"/>
              </w:rPr>
              <w:t>卤水</w:t>
            </w:r>
          </w:p>
        </w:tc>
        <w:tc>
          <w:tcPr>
            <w:tcW w:w="1559" w:type="dxa"/>
            <w:tcBorders>
              <w:top w:val="single" w:color="auto" w:sz="4" w:space="0"/>
              <w:left w:val="single" w:color="auto" w:sz="4" w:space="0"/>
              <w:bottom w:val="single" w:color="auto" w:sz="4" w:space="0"/>
              <w:right w:val="single" w:color="auto" w:sz="4" w:space="0"/>
            </w:tcBorders>
            <w:vAlign w:val="center"/>
          </w:tcPr>
          <w:p w14:paraId="7F49ECBA">
            <w:pPr>
              <w:spacing w:line="240" w:lineRule="auto"/>
              <w:ind w:firstLine="0" w:firstLineChars="0"/>
              <w:jc w:val="center"/>
              <w:rPr>
                <w:rFonts w:cs="Times New Roman"/>
                <w:sz w:val="21"/>
                <w:szCs w:val="21"/>
              </w:rPr>
            </w:pPr>
            <w:r>
              <w:rPr>
                <w:rFonts w:hint="eastAsia" w:cs="Times New Roman"/>
                <w:sz w:val="21"/>
                <w:szCs w:val="21"/>
              </w:rPr>
              <w:t>采集卤管线</w:t>
            </w:r>
          </w:p>
        </w:tc>
        <w:tc>
          <w:tcPr>
            <w:tcW w:w="2126" w:type="dxa"/>
            <w:vMerge w:val="restart"/>
            <w:tcBorders>
              <w:top w:val="single" w:color="auto" w:sz="4" w:space="0"/>
              <w:left w:val="single" w:color="auto" w:sz="4" w:space="0"/>
              <w:bottom w:val="single" w:color="auto" w:sz="12" w:space="0"/>
              <w:right w:val="single" w:color="auto" w:sz="4" w:space="0"/>
            </w:tcBorders>
            <w:vAlign w:val="center"/>
          </w:tcPr>
          <w:p w14:paraId="16EC2D29">
            <w:pPr>
              <w:spacing w:line="240" w:lineRule="auto"/>
              <w:ind w:firstLine="0" w:firstLineChars="0"/>
              <w:jc w:val="center"/>
              <w:rPr>
                <w:rFonts w:cs="Times New Roman"/>
                <w:sz w:val="21"/>
                <w:szCs w:val="21"/>
              </w:rPr>
            </w:pPr>
            <w:r>
              <w:rPr>
                <w:rFonts w:hint="eastAsia" w:cs="Times New Roman"/>
                <w:sz w:val="21"/>
                <w:szCs w:val="21"/>
              </w:rPr>
              <w:t>卤水（</w:t>
            </w:r>
            <w:r>
              <w:rPr>
                <w:rFonts w:cs="Times New Roman"/>
                <w:sz w:val="21"/>
                <w:szCs w:val="21"/>
              </w:rPr>
              <w:t>Cl</w:t>
            </w:r>
            <w:r>
              <w:rPr>
                <w:rFonts w:cs="Times New Roman"/>
                <w:sz w:val="21"/>
                <w:szCs w:val="21"/>
                <w:vertAlign w:val="superscript"/>
              </w:rPr>
              <w:t>-</w:t>
            </w:r>
            <w:r>
              <w:rPr>
                <w:rFonts w:hint="eastAsia" w:cs="Times New Roman"/>
                <w:sz w:val="21"/>
                <w:szCs w:val="21"/>
              </w:rPr>
              <w:t>、</w:t>
            </w:r>
            <w:r>
              <w:rPr>
                <w:rFonts w:cs="Times New Roman"/>
              </w:rPr>
              <w:t>SO</w:t>
            </w:r>
            <w:r>
              <w:rPr>
                <w:rFonts w:cs="Times New Roman"/>
                <w:vertAlign w:val="subscript"/>
              </w:rPr>
              <w:t>4</w:t>
            </w:r>
            <w:r>
              <w:rPr>
                <w:rFonts w:cs="Times New Roman"/>
                <w:vertAlign w:val="superscript"/>
              </w:rPr>
              <w:t>2-</w:t>
            </w:r>
            <w:r>
              <w:rPr>
                <w:rFonts w:hint="eastAsia" w:cs="Times New Roman"/>
                <w:sz w:val="21"/>
                <w:szCs w:val="21"/>
              </w:rPr>
              <w:t>等）</w:t>
            </w:r>
          </w:p>
        </w:tc>
        <w:tc>
          <w:tcPr>
            <w:tcW w:w="3613" w:type="dxa"/>
            <w:vMerge w:val="restart"/>
            <w:tcBorders>
              <w:top w:val="single" w:color="auto" w:sz="4" w:space="0"/>
              <w:left w:val="single" w:color="auto" w:sz="4" w:space="0"/>
              <w:bottom w:val="single" w:color="auto" w:sz="4" w:space="0"/>
              <w:right w:val="single" w:color="auto" w:sz="12" w:space="0"/>
            </w:tcBorders>
            <w:vAlign w:val="center"/>
          </w:tcPr>
          <w:p w14:paraId="530E37AB">
            <w:pPr>
              <w:spacing w:line="240" w:lineRule="auto"/>
              <w:ind w:firstLine="0" w:firstLineChars="0"/>
              <w:jc w:val="center"/>
              <w:rPr>
                <w:rFonts w:cs="Times New Roman"/>
                <w:sz w:val="21"/>
                <w:szCs w:val="21"/>
              </w:rPr>
            </w:pPr>
            <w:r>
              <w:rPr>
                <w:rFonts w:hint="eastAsia" w:cs="Times New Roman"/>
                <w:sz w:val="21"/>
                <w:szCs w:val="21"/>
              </w:rPr>
              <w:t>卤水跑、冒、滴、漏</w:t>
            </w:r>
          </w:p>
        </w:tc>
      </w:tr>
      <w:tr w14:paraId="281E7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12" w:space="0"/>
              <w:right w:val="single" w:color="auto" w:sz="4" w:space="0"/>
            </w:tcBorders>
            <w:vAlign w:val="center"/>
          </w:tcPr>
          <w:p w14:paraId="6E2EF763">
            <w:pPr>
              <w:widowControl/>
              <w:wordWrap/>
              <w:topLinePunct w:val="0"/>
              <w:adjustRightInd/>
              <w:snapToGrid/>
              <w:spacing w:line="240" w:lineRule="auto"/>
              <w:ind w:firstLine="0" w:firstLineChars="0"/>
              <w:jc w:val="left"/>
              <w:rPr>
                <w:rFonts w:cs="Times New Roman"/>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262527A8">
            <w:pPr>
              <w:spacing w:line="240" w:lineRule="auto"/>
              <w:ind w:firstLine="0" w:firstLineChars="0"/>
              <w:jc w:val="center"/>
              <w:rPr>
                <w:rFonts w:cs="Times New Roman"/>
                <w:sz w:val="21"/>
                <w:szCs w:val="21"/>
              </w:rPr>
            </w:pPr>
            <w:r>
              <w:rPr>
                <w:rFonts w:hint="eastAsia" w:cs="Times New Roman"/>
                <w:sz w:val="21"/>
                <w:szCs w:val="21"/>
              </w:rPr>
              <w:t>卤水池</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4BC66DBE">
            <w:pPr>
              <w:widowControl/>
              <w:wordWrap/>
              <w:topLinePunct w:val="0"/>
              <w:adjustRightInd/>
              <w:snapToGrid/>
              <w:spacing w:line="240" w:lineRule="auto"/>
              <w:ind w:firstLine="0" w:firstLineChars="0"/>
              <w:jc w:val="left"/>
              <w:rPr>
                <w:rFonts w:cs="Times New Roman"/>
                <w:sz w:val="21"/>
                <w:szCs w:val="21"/>
              </w:rPr>
            </w:pP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55AD61AB">
            <w:pPr>
              <w:widowControl/>
              <w:wordWrap/>
              <w:topLinePunct w:val="0"/>
              <w:adjustRightInd/>
              <w:snapToGrid/>
              <w:spacing w:line="240" w:lineRule="auto"/>
              <w:ind w:firstLine="0" w:firstLineChars="0"/>
              <w:jc w:val="left"/>
              <w:rPr>
                <w:rFonts w:cs="Times New Roman"/>
                <w:sz w:val="21"/>
                <w:szCs w:val="21"/>
              </w:rPr>
            </w:pPr>
          </w:p>
        </w:tc>
      </w:tr>
      <w:tr w14:paraId="6C3A3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12" w:space="0"/>
              <w:right w:val="single" w:color="auto" w:sz="4" w:space="0"/>
            </w:tcBorders>
            <w:vAlign w:val="center"/>
          </w:tcPr>
          <w:p w14:paraId="02610AA7">
            <w:pPr>
              <w:widowControl/>
              <w:wordWrap/>
              <w:topLinePunct w:val="0"/>
              <w:adjustRightInd/>
              <w:snapToGrid/>
              <w:spacing w:line="240" w:lineRule="auto"/>
              <w:ind w:firstLine="0" w:firstLineChars="0"/>
              <w:jc w:val="left"/>
              <w:rPr>
                <w:rFonts w:cs="Times New Roman"/>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4A775CC0">
            <w:pPr>
              <w:spacing w:line="240" w:lineRule="auto"/>
              <w:ind w:firstLine="0" w:firstLineChars="0"/>
              <w:jc w:val="center"/>
              <w:rPr>
                <w:rFonts w:cs="Times New Roman"/>
                <w:sz w:val="21"/>
                <w:szCs w:val="21"/>
              </w:rPr>
            </w:pPr>
            <w:r>
              <w:rPr>
                <w:rFonts w:hint="eastAsia" w:cs="Times New Roman"/>
                <w:sz w:val="21"/>
                <w:szCs w:val="21"/>
              </w:rPr>
              <w:t>采卤泵房</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4E32EC81">
            <w:pPr>
              <w:widowControl/>
              <w:wordWrap/>
              <w:topLinePunct w:val="0"/>
              <w:adjustRightInd/>
              <w:snapToGrid/>
              <w:spacing w:line="240" w:lineRule="auto"/>
              <w:ind w:firstLine="0" w:firstLineChars="0"/>
              <w:jc w:val="left"/>
              <w:rPr>
                <w:rFonts w:cs="Times New Roman"/>
                <w:sz w:val="21"/>
                <w:szCs w:val="21"/>
              </w:rPr>
            </w:pP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0A84E3C7">
            <w:pPr>
              <w:widowControl/>
              <w:wordWrap/>
              <w:topLinePunct w:val="0"/>
              <w:adjustRightInd/>
              <w:snapToGrid/>
              <w:spacing w:line="240" w:lineRule="auto"/>
              <w:ind w:firstLine="0" w:firstLineChars="0"/>
              <w:jc w:val="left"/>
              <w:rPr>
                <w:rFonts w:cs="Times New Roman"/>
                <w:sz w:val="21"/>
                <w:szCs w:val="21"/>
              </w:rPr>
            </w:pPr>
          </w:p>
        </w:tc>
      </w:tr>
      <w:tr w14:paraId="5AD19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12" w:space="0"/>
              <w:right w:val="single" w:color="auto" w:sz="4" w:space="0"/>
            </w:tcBorders>
            <w:vAlign w:val="center"/>
          </w:tcPr>
          <w:p w14:paraId="1F5D9D48">
            <w:pPr>
              <w:widowControl/>
              <w:wordWrap/>
              <w:topLinePunct w:val="0"/>
              <w:adjustRightInd/>
              <w:snapToGrid/>
              <w:spacing w:line="240" w:lineRule="auto"/>
              <w:ind w:firstLine="0" w:firstLineChars="0"/>
              <w:jc w:val="left"/>
              <w:rPr>
                <w:rFonts w:cs="Times New Roman"/>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47C716D6">
            <w:pPr>
              <w:spacing w:line="240" w:lineRule="auto"/>
              <w:ind w:firstLine="0" w:firstLineChars="0"/>
              <w:jc w:val="center"/>
              <w:rPr>
                <w:rFonts w:cs="Times New Roman"/>
                <w:sz w:val="21"/>
                <w:szCs w:val="21"/>
              </w:rPr>
            </w:pPr>
            <w:r>
              <w:rPr>
                <w:rFonts w:hint="eastAsia" w:cs="Times New Roman"/>
                <w:sz w:val="21"/>
                <w:szCs w:val="21"/>
              </w:rPr>
              <w:t>阀门控制室</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282E08C5">
            <w:pPr>
              <w:widowControl/>
              <w:wordWrap/>
              <w:topLinePunct w:val="0"/>
              <w:adjustRightInd/>
              <w:snapToGrid/>
              <w:spacing w:line="240" w:lineRule="auto"/>
              <w:ind w:firstLine="0" w:firstLineChars="0"/>
              <w:jc w:val="left"/>
              <w:rPr>
                <w:rFonts w:cs="Times New Roman"/>
                <w:sz w:val="21"/>
                <w:szCs w:val="21"/>
              </w:rPr>
            </w:pP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11F28664">
            <w:pPr>
              <w:widowControl/>
              <w:wordWrap/>
              <w:topLinePunct w:val="0"/>
              <w:adjustRightInd/>
              <w:snapToGrid/>
              <w:spacing w:line="240" w:lineRule="auto"/>
              <w:ind w:firstLine="0" w:firstLineChars="0"/>
              <w:jc w:val="left"/>
              <w:rPr>
                <w:rFonts w:cs="Times New Roman"/>
                <w:sz w:val="21"/>
                <w:szCs w:val="21"/>
              </w:rPr>
            </w:pPr>
          </w:p>
        </w:tc>
      </w:tr>
      <w:tr w14:paraId="48780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12" w:space="0"/>
              <w:right w:val="single" w:color="auto" w:sz="4" w:space="0"/>
            </w:tcBorders>
            <w:vAlign w:val="center"/>
          </w:tcPr>
          <w:p w14:paraId="280507B7">
            <w:pPr>
              <w:widowControl/>
              <w:wordWrap/>
              <w:topLinePunct w:val="0"/>
              <w:adjustRightInd/>
              <w:snapToGrid/>
              <w:spacing w:line="240" w:lineRule="auto"/>
              <w:ind w:firstLine="0" w:firstLineChars="0"/>
              <w:jc w:val="left"/>
              <w:rPr>
                <w:rFonts w:cs="Times New Roman"/>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46A54786">
            <w:pPr>
              <w:spacing w:line="240" w:lineRule="auto"/>
              <w:ind w:firstLine="0" w:firstLineChars="0"/>
              <w:jc w:val="center"/>
              <w:rPr>
                <w:rFonts w:cs="Times New Roman"/>
                <w:sz w:val="21"/>
                <w:szCs w:val="21"/>
              </w:rPr>
            </w:pPr>
            <w:r>
              <w:rPr>
                <w:rFonts w:hint="eastAsia" w:cs="Times New Roman"/>
                <w:sz w:val="21"/>
                <w:szCs w:val="21"/>
              </w:rPr>
              <w:t>采卤井</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5A2B1B8B">
            <w:pPr>
              <w:widowControl/>
              <w:wordWrap/>
              <w:topLinePunct w:val="0"/>
              <w:adjustRightInd/>
              <w:snapToGrid/>
              <w:spacing w:line="240" w:lineRule="auto"/>
              <w:ind w:firstLine="0" w:firstLineChars="0"/>
              <w:jc w:val="center"/>
              <w:rPr>
                <w:rFonts w:cs="Times New Roman"/>
                <w:sz w:val="21"/>
                <w:szCs w:val="21"/>
              </w:rPr>
            </w:pPr>
          </w:p>
        </w:tc>
        <w:tc>
          <w:tcPr>
            <w:tcW w:w="0" w:type="auto"/>
            <w:tcBorders>
              <w:top w:val="single" w:color="auto" w:sz="4" w:space="0"/>
              <w:left w:val="single" w:color="auto" w:sz="4" w:space="0"/>
              <w:bottom w:val="single" w:color="auto" w:sz="4" w:space="0"/>
              <w:right w:val="single" w:color="auto" w:sz="12" w:space="0"/>
            </w:tcBorders>
            <w:vAlign w:val="center"/>
          </w:tcPr>
          <w:p w14:paraId="5D9816A7">
            <w:pPr>
              <w:widowControl/>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井筒损坏卤水进入含水层</w:t>
            </w:r>
          </w:p>
        </w:tc>
      </w:tr>
      <w:tr w14:paraId="5A3A0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12" w:space="0"/>
              <w:right w:val="single" w:color="auto" w:sz="4" w:space="0"/>
            </w:tcBorders>
            <w:vAlign w:val="center"/>
          </w:tcPr>
          <w:p w14:paraId="2F9A1418">
            <w:pPr>
              <w:widowControl/>
              <w:wordWrap/>
              <w:topLinePunct w:val="0"/>
              <w:adjustRightInd/>
              <w:snapToGrid/>
              <w:spacing w:line="240" w:lineRule="auto"/>
              <w:ind w:firstLine="0" w:firstLineChars="0"/>
              <w:jc w:val="left"/>
              <w:rPr>
                <w:rFonts w:cs="Times New Roman"/>
                <w:sz w:val="21"/>
                <w:szCs w:val="21"/>
              </w:rPr>
            </w:pPr>
          </w:p>
        </w:tc>
        <w:tc>
          <w:tcPr>
            <w:tcW w:w="1559" w:type="dxa"/>
            <w:tcBorders>
              <w:top w:val="single" w:color="auto" w:sz="4" w:space="0"/>
              <w:left w:val="single" w:color="auto" w:sz="4" w:space="0"/>
              <w:bottom w:val="single" w:color="auto" w:sz="12" w:space="0"/>
              <w:right w:val="single" w:color="auto" w:sz="4" w:space="0"/>
            </w:tcBorders>
            <w:vAlign w:val="center"/>
          </w:tcPr>
          <w:p w14:paraId="10CD54C4">
            <w:pPr>
              <w:spacing w:line="240" w:lineRule="auto"/>
              <w:ind w:firstLine="0" w:firstLineChars="0"/>
              <w:jc w:val="center"/>
              <w:rPr>
                <w:rFonts w:cs="Times New Roman"/>
                <w:sz w:val="21"/>
                <w:szCs w:val="21"/>
              </w:rPr>
            </w:pPr>
            <w:r>
              <w:rPr>
                <w:rFonts w:hint="eastAsia" w:cs="Times New Roman"/>
                <w:sz w:val="21"/>
                <w:szCs w:val="21"/>
              </w:rPr>
              <w:t>溶腔</w:t>
            </w:r>
          </w:p>
        </w:tc>
        <w:tc>
          <w:tcPr>
            <w:tcW w:w="0" w:type="auto"/>
            <w:vMerge w:val="continue"/>
            <w:tcBorders>
              <w:top w:val="single" w:color="auto" w:sz="4" w:space="0"/>
              <w:left w:val="single" w:color="auto" w:sz="4" w:space="0"/>
              <w:bottom w:val="single" w:color="auto" w:sz="12" w:space="0"/>
              <w:right w:val="single" w:color="auto" w:sz="4" w:space="0"/>
            </w:tcBorders>
            <w:vAlign w:val="center"/>
          </w:tcPr>
          <w:p w14:paraId="46729493">
            <w:pPr>
              <w:widowControl/>
              <w:wordWrap/>
              <w:topLinePunct w:val="0"/>
              <w:adjustRightInd/>
              <w:snapToGrid/>
              <w:spacing w:line="240" w:lineRule="auto"/>
              <w:ind w:firstLine="0" w:firstLineChars="0"/>
              <w:jc w:val="left"/>
              <w:rPr>
                <w:rFonts w:cs="Times New Roman"/>
                <w:sz w:val="21"/>
                <w:szCs w:val="21"/>
              </w:rPr>
            </w:pPr>
          </w:p>
        </w:tc>
        <w:tc>
          <w:tcPr>
            <w:tcW w:w="3613" w:type="dxa"/>
            <w:tcBorders>
              <w:top w:val="single" w:color="auto" w:sz="4" w:space="0"/>
              <w:left w:val="single" w:color="auto" w:sz="4" w:space="0"/>
              <w:bottom w:val="single" w:color="auto" w:sz="12" w:space="0"/>
              <w:right w:val="single" w:color="auto" w:sz="12" w:space="0"/>
            </w:tcBorders>
            <w:vAlign w:val="center"/>
          </w:tcPr>
          <w:p w14:paraId="64A2FDBF">
            <w:pPr>
              <w:spacing w:line="240" w:lineRule="auto"/>
              <w:ind w:firstLine="0" w:firstLineChars="0"/>
              <w:jc w:val="center"/>
              <w:rPr>
                <w:rFonts w:cs="Times New Roman"/>
                <w:sz w:val="21"/>
                <w:szCs w:val="21"/>
              </w:rPr>
            </w:pPr>
            <w:r>
              <w:rPr>
                <w:rFonts w:hint="eastAsia" w:cs="Times New Roman"/>
                <w:sz w:val="21"/>
                <w:szCs w:val="21"/>
              </w:rPr>
              <w:t>冒落带及裂隙带对含水层的影响</w:t>
            </w:r>
          </w:p>
        </w:tc>
      </w:tr>
    </w:tbl>
    <w:p w14:paraId="421DBA31">
      <w:pPr>
        <w:pStyle w:val="2"/>
        <w:ind w:firstLine="519"/>
      </w:pPr>
    </w:p>
    <w:p w14:paraId="68D7B461">
      <w:pPr>
        <w:pStyle w:val="8"/>
        <w:ind w:firstLine="521"/>
        <w:rPr>
          <w:rFonts w:cs="Times New Roman"/>
        </w:rPr>
      </w:pPr>
      <w:bookmarkStart w:id="687" w:name="_Toc86852371"/>
      <w:bookmarkStart w:id="688" w:name="_Toc89882511"/>
      <w:bookmarkStart w:id="689" w:name="_Toc89786187"/>
      <w:r>
        <w:rPr>
          <w:rFonts w:cs="Times New Roman"/>
        </w:rPr>
        <w:t>5.2.6.</w:t>
      </w:r>
      <w:bookmarkEnd w:id="687"/>
      <w:bookmarkStart w:id="690" w:name="_Toc86852374"/>
      <w:r>
        <w:rPr>
          <w:rFonts w:cs="Times New Roman"/>
        </w:rPr>
        <w:t>3 环境影响预测与评价</w:t>
      </w:r>
      <w:bookmarkEnd w:id="688"/>
      <w:bookmarkEnd w:id="689"/>
      <w:bookmarkEnd w:id="690"/>
    </w:p>
    <w:p w14:paraId="071C6FFE">
      <w:pPr>
        <w:keepNext/>
        <w:keepLines/>
        <w:ind w:firstLine="521"/>
        <w:outlineLvl w:val="4"/>
        <w:rPr>
          <w:rFonts w:cs="Times New Roman"/>
          <w:b/>
          <w:bCs/>
          <w:szCs w:val="24"/>
        </w:rPr>
      </w:pPr>
      <w:r>
        <w:rPr>
          <w:rFonts w:cs="Times New Roman"/>
          <w:b/>
          <w:bCs/>
          <w:szCs w:val="28"/>
        </w:rPr>
        <w:t>1、</w:t>
      </w:r>
      <w:r>
        <w:rPr>
          <w:rFonts w:cs="Times New Roman"/>
          <w:b/>
          <w:bCs/>
          <w:szCs w:val="24"/>
        </w:rPr>
        <w:t>正常工况</w:t>
      </w:r>
    </w:p>
    <w:p w14:paraId="2ED39BF3">
      <w:pPr>
        <w:ind w:firstLine="519"/>
        <w:rPr>
          <w:rFonts w:cs="Times New Roman"/>
          <w:szCs w:val="24"/>
        </w:rPr>
      </w:pPr>
      <w:r>
        <w:rPr>
          <w:rFonts w:cs="Times New Roman"/>
          <w:szCs w:val="24"/>
        </w:rPr>
        <w:t>根据前文分析，本</w:t>
      </w:r>
      <w:bookmarkStart w:id="691" w:name="_Hlk116552957"/>
      <w:r>
        <w:rPr>
          <w:rFonts w:cs="Times New Roman"/>
          <w:szCs w:val="24"/>
        </w:rPr>
        <w:t>项目</w:t>
      </w:r>
      <w:bookmarkEnd w:id="691"/>
      <w:r>
        <w:rPr>
          <w:rFonts w:cs="Times New Roman"/>
          <w:szCs w:val="24"/>
        </w:rPr>
        <w:t>注水管线及回卤管线均采用无缝钢管，采卤场地面</w:t>
      </w:r>
      <w:r>
        <w:rPr>
          <w:rFonts w:hint="eastAsia" w:cs="Times New Roman"/>
          <w:szCs w:val="24"/>
        </w:rPr>
        <w:t>要求</w:t>
      </w:r>
      <w:r>
        <w:rPr>
          <w:rFonts w:cs="Times New Roman"/>
          <w:szCs w:val="24"/>
        </w:rPr>
        <w:t>全部硬化处理，并设有排污沟，卤水及淡卤均采用储罐进行储存。正常状况下，营运期各储存设施、管线等均完好，通常情况下不存在“跑、冒、滴、漏”等现象的发生，不会对地下水环境</w:t>
      </w:r>
      <w:bookmarkStart w:id="692" w:name="_Hlk116553265"/>
      <w:r>
        <w:rPr>
          <w:rFonts w:cs="Times New Roman"/>
          <w:szCs w:val="24"/>
        </w:rPr>
        <w:t>造成明显不利的影响</w:t>
      </w:r>
      <w:bookmarkEnd w:id="692"/>
      <w:r>
        <w:rPr>
          <w:rFonts w:cs="Times New Roman"/>
          <w:szCs w:val="24"/>
        </w:rPr>
        <w:t>。</w:t>
      </w:r>
    </w:p>
    <w:p w14:paraId="4715B855">
      <w:pPr>
        <w:ind w:firstLine="519"/>
        <w:rPr>
          <w:rFonts w:cs="Times New Roman"/>
        </w:rPr>
      </w:pPr>
      <w:r>
        <w:rPr>
          <w:rFonts w:hint="eastAsia" w:cs="Times New Roman"/>
        </w:rPr>
        <w:t>矿山设计开采范围内岩盐主矿层上部与Ⅲ含水层 (其上为Ⅰ、Ⅱ含水层)之间的隔水层厚度达500～700m，稳定可靠。正常状况下，井场钻井完井阶段固井，表层套管封隔近地表松软地层、砂砾层和地下含水层，技术套管封隔盐类矿层上部盐层，对套管内外进行防腐，并采用水泥固井，封隔含水层、严重漏失层和其他复杂地层。固井后检查固井质量。营运期通过日常监测采卤泵出口压力、直井注水压力、水平井回卤压力、回卤总管压力等工艺参数，对井筒压力进行定期监测，正常情况下，不会发生井筒漏失卤水污染地下水的情况，项目营运期井筒采盐过程不会对地下水环境造成明显不利的影响。</w:t>
      </w:r>
    </w:p>
    <w:p w14:paraId="4672990B">
      <w:pPr>
        <w:ind w:firstLine="519"/>
        <w:rPr>
          <w:rFonts w:cs="Times New Roman"/>
        </w:rPr>
      </w:pPr>
      <w:r>
        <w:rPr>
          <w:rFonts w:cs="Times New Roman"/>
        </w:rPr>
        <w:t>本项目采卤过程中，随着采盐不断进行，溶腔不断地扩大，当溶腔扩大至超过极限跨度时，顶板岩层失稳引起垮塌，在溶腔以上一定范围内形成冒落带、裂隙带。冒落带直接位于溶腔上方的顶板岩层，在自重及上覆岩层的重力作用下，移动变形很大，所受应力大大超过本身强度，使岩层断裂破碎产生塌落，堆积在溶腔内，已塌落部分称为冒落带。冒落带上部的岩层在重力作用下，移动变形较大，所受应力超过本身强度，岩层产生裂隙或断裂，但尚未塌落的部分称为裂隙带。根据</w:t>
      </w:r>
      <w:bookmarkStart w:id="693" w:name="_Hlk90975186"/>
      <w:bookmarkStart w:id="694" w:name="_Hlk90278327"/>
      <w:r>
        <w:rPr>
          <w:rFonts w:cs="Times New Roman"/>
        </w:rPr>
        <w:t>湖南省地质矿产勘查开发局四一六队</w:t>
      </w:r>
      <w:bookmarkEnd w:id="693"/>
      <w:bookmarkStart w:id="695" w:name="_Hlk90975165"/>
      <w:r>
        <w:rPr>
          <w:rFonts w:cs="Times New Roman"/>
        </w:rPr>
        <w:t>《</w:t>
      </w:r>
      <w:bookmarkStart w:id="696" w:name="_Hlk116635539"/>
      <w:r>
        <w:rPr>
          <w:rFonts w:cs="Times New Roman"/>
        </w:rPr>
        <w:t>衡阳建滔化工有限公司岩盐矿矿山开采地质灾害安全性论证</w:t>
      </w:r>
      <w:bookmarkEnd w:id="696"/>
      <w:r>
        <w:rPr>
          <w:rFonts w:cs="Times New Roman"/>
        </w:rPr>
        <w:t>》（2021.4）</w:t>
      </w:r>
      <w:bookmarkEnd w:id="695"/>
      <w:r>
        <w:rPr>
          <w:rFonts w:cs="Times New Roman"/>
        </w:rPr>
        <w:t>报告中分析</w:t>
      </w:r>
      <w:bookmarkEnd w:id="694"/>
      <w:r>
        <w:rPr>
          <w:rFonts w:cs="Times New Roman"/>
        </w:rPr>
        <w:t>，未来矿山开采-458.26～-750m标高岩盐主矿层时，其采空区顶板岩层冒落带最大高度为 61.20m~100.6m，导水裂隙带最大高度为120.63m~151.84m，与其上部</w:t>
      </w:r>
      <w:r>
        <w:rPr>
          <w:rFonts w:hint="eastAsia" w:ascii="宋体" w:hAnsi="宋体" w:cs="宋体"/>
        </w:rPr>
        <w:t>Ⅲ</w:t>
      </w:r>
      <w:r>
        <w:rPr>
          <w:rFonts w:cs="Times New Roman"/>
        </w:rPr>
        <w:t>含水层之间的隔水层厚度（500～700m）相比相差甚远，不会波及</w:t>
      </w:r>
      <w:r>
        <w:rPr>
          <w:rFonts w:hint="eastAsia" w:ascii="宋体" w:hAnsi="宋体" w:cs="宋体"/>
        </w:rPr>
        <w:t>Ⅲ</w:t>
      </w:r>
      <w:r>
        <w:rPr>
          <w:rFonts w:cs="Times New Roman"/>
        </w:rPr>
        <w:t>含水层，更不会波及</w:t>
      </w:r>
      <w:r>
        <w:rPr>
          <w:rFonts w:hint="eastAsia" w:ascii="宋体" w:hAnsi="宋体" w:cs="宋体"/>
        </w:rPr>
        <w:t>Ⅰ</w:t>
      </w:r>
      <w:r>
        <w:rPr>
          <w:rFonts w:cs="Times New Roman"/>
        </w:rPr>
        <w:t>、</w:t>
      </w:r>
      <w:r>
        <w:rPr>
          <w:rFonts w:hint="eastAsia" w:ascii="宋体" w:hAnsi="宋体" w:cs="宋体"/>
        </w:rPr>
        <w:t>Ⅱ</w:t>
      </w:r>
      <w:r>
        <w:rPr>
          <w:rFonts w:cs="Times New Roman"/>
        </w:rPr>
        <w:t>含水层。</w:t>
      </w:r>
      <w:r>
        <w:rPr>
          <w:rFonts w:hint="eastAsia" w:cs="Times New Roman"/>
        </w:rPr>
        <w:t>且矿山卤井施工过程采取钢管隔水、水泥固井方法将过Ⅰ、Ⅱ、Ⅲ含水层封闭，对含水层不会造成太大影响。</w:t>
      </w:r>
      <w:r>
        <w:rPr>
          <w:rFonts w:cs="Times New Roman"/>
        </w:rPr>
        <w:t>现状用水溶法开采近 30年来已经证实未发生地下含水层疏干、地下水位超常降低的现象。因此本项目水溶法采盐过程对</w:t>
      </w:r>
      <w:r>
        <w:rPr>
          <w:rFonts w:hint="eastAsia" w:cs="Times New Roman"/>
        </w:rPr>
        <w:t>地下水</w:t>
      </w:r>
      <w:r>
        <w:rPr>
          <w:rFonts w:cs="Times New Roman"/>
        </w:rPr>
        <w:t>的影响较小。</w:t>
      </w:r>
    </w:p>
    <w:p w14:paraId="200E30D3">
      <w:pPr>
        <w:keepNext/>
        <w:keepLines/>
        <w:ind w:firstLine="521"/>
        <w:outlineLvl w:val="4"/>
        <w:rPr>
          <w:rFonts w:cs="Times New Roman"/>
          <w:b/>
          <w:bCs/>
          <w:szCs w:val="24"/>
        </w:rPr>
      </w:pPr>
      <w:r>
        <w:rPr>
          <w:rFonts w:cs="Times New Roman"/>
          <w:b/>
          <w:bCs/>
          <w:szCs w:val="28"/>
        </w:rPr>
        <w:t>2、非正常工况</w:t>
      </w:r>
    </w:p>
    <w:p w14:paraId="6C19EB57">
      <w:pPr>
        <w:ind w:firstLine="519"/>
        <w:rPr>
          <w:rFonts w:cs="Times New Roman"/>
          <w:szCs w:val="24"/>
        </w:rPr>
      </w:pPr>
      <w:r>
        <w:rPr>
          <w:rFonts w:cs="Times New Roman"/>
          <w:szCs w:val="24"/>
        </w:rPr>
        <w:t>根据前文分析，项目非正常工况下对地下水的影响主要考虑采集卤过程“跑、冒、滴、漏”造成卤水外泄对地下水污染分析。</w:t>
      </w:r>
      <w:r>
        <w:rPr>
          <w:rFonts w:hint="eastAsia" w:cs="Times New Roman"/>
          <w:szCs w:val="24"/>
        </w:rPr>
        <w:t>最为常见的为卤水罐卤水泄漏、管廊内集卤管道破裂（含接口处）和井管破裂，卤水渗入地下水后可能会对地下含水层造成污染。</w:t>
      </w:r>
    </w:p>
    <w:p w14:paraId="2100003F">
      <w:pPr>
        <w:ind w:firstLine="519"/>
        <w:rPr>
          <w:rFonts w:cs="Times New Roman"/>
          <w:szCs w:val="24"/>
        </w:rPr>
      </w:pPr>
      <w:r>
        <w:rPr>
          <w:rFonts w:cs="Times New Roman"/>
          <w:szCs w:val="24"/>
        </w:rPr>
        <w:t>根据《环境影响评价技术导则—地下水环境》（HJ610-2016）的相关规定，本项目地下水评价等级为三级，可采用解析法进行影响预测。</w:t>
      </w:r>
    </w:p>
    <w:p w14:paraId="7AC25E19">
      <w:pPr>
        <w:ind w:firstLine="519"/>
        <w:rPr>
          <w:rFonts w:cs="Times New Roman"/>
          <w:szCs w:val="24"/>
        </w:rPr>
      </w:pPr>
      <w:r>
        <w:rPr>
          <w:rFonts w:cs="Times New Roman"/>
          <w:szCs w:val="24"/>
        </w:rPr>
        <w:t>（1）预测模型的建立</w:t>
      </w:r>
    </w:p>
    <w:p w14:paraId="41C43365">
      <w:pPr>
        <w:ind w:firstLine="519"/>
        <w:rPr>
          <w:rFonts w:cs="Times New Roman"/>
          <w:szCs w:val="24"/>
        </w:rPr>
      </w:pPr>
      <w:r>
        <w:rPr>
          <w:rFonts w:cs="Times New Roman"/>
          <w:szCs w:val="24"/>
        </w:rPr>
        <w:t>预测采用一维稳定流动二维水动力弥散问题的瞬时注入示踪剂—平面瞬时点源边界预测数学模型：</w:t>
      </w:r>
    </w:p>
    <w:p w14:paraId="6FAE3CFF">
      <w:pPr>
        <w:ind w:firstLine="519"/>
        <w:rPr>
          <w:rFonts w:cs="Times New Roman"/>
          <w:szCs w:val="24"/>
        </w:rPr>
      </w:pPr>
      <m:oMathPara>
        <m:oMath>
          <m:r>
            <m:rPr>
              <m:sty m:val="p"/>
            </m:rPr>
            <w:rPr>
              <w:rFonts w:ascii="Cambria Math" w:hAnsi="Cambria Math" w:cs="Times New Roman"/>
              <w:szCs w:val="24"/>
            </w:rPr>
            <m:t>C</m:t>
          </m:r>
          <m:d>
            <m:dPr>
              <m:ctrlPr>
                <w:rPr>
                  <w:rFonts w:ascii="Cambria Math" w:hAnsi="Cambria Math" w:cs="Times New Roman"/>
                  <w:szCs w:val="24"/>
                </w:rPr>
              </m:ctrlPr>
            </m:dPr>
            <m:e>
              <m:r>
                <m:rPr/>
                <w:rPr>
                  <w:rFonts w:ascii="Cambria Math" w:hAnsi="Cambria Math" w:cs="Times New Roman"/>
                  <w:szCs w:val="24"/>
                </w:rPr>
                <m:t>x，y，t</m:t>
              </m:r>
              <m:ctrlPr>
                <w:rPr>
                  <w:rFonts w:ascii="Cambria Math" w:hAnsi="Cambria Math" w:cs="Times New Roman"/>
                  <w:szCs w:val="24"/>
                </w:rPr>
              </m:ctrlPr>
            </m:e>
          </m:d>
          <m:r>
            <m:rPr/>
            <w:rPr>
              <w:rFonts w:ascii="Cambria Math" w:hAnsi="Cambria Math" w:cs="Times New Roman"/>
              <w:szCs w:val="24"/>
            </w:rPr>
            <m:t>=</m:t>
          </m:r>
          <m:f>
            <m:fPr>
              <m:ctrlPr>
                <w:rPr>
                  <w:rFonts w:ascii="Cambria Math" w:hAnsi="Cambria Math" w:cs="Times New Roman"/>
                  <w:i/>
                  <w:szCs w:val="24"/>
                </w:rPr>
              </m:ctrlPr>
            </m:fPr>
            <m:num>
              <m:f>
                <m:fPr>
                  <m:ctrlPr>
                    <w:rPr>
                      <w:rFonts w:ascii="Cambria Math" w:hAnsi="Cambria Math" w:cs="Times New Roman"/>
                      <w:i/>
                      <w:szCs w:val="24"/>
                    </w:rPr>
                  </m:ctrlPr>
                </m:fPr>
                <m:num>
                  <m:sSub>
                    <m:sSubPr>
                      <m:ctrlPr>
                        <w:rPr>
                          <w:rFonts w:ascii="Cambria Math" w:hAnsi="Cambria Math" w:cs="Times New Roman"/>
                          <w:i/>
                          <w:szCs w:val="24"/>
                        </w:rPr>
                      </m:ctrlPr>
                    </m:sSubPr>
                    <m:e>
                      <m:r>
                        <m:rPr/>
                        <w:rPr>
                          <w:rFonts w:ascii="Cambria Math" w:hAnsi="Cambria Math" w:cs="Times New Roman"/>
                          <w:szCs w:val="24"/>
                        </w:rPr>
                        <m:t>m</m:t>
                      </m:r>
                      <m:ctrlPr>
                        <w:rPr>
                          <w:rFonts w:ascii="Cambria Math" w:hAnsi="Cambria Math" w:cs="Times New Roman"/>
                          <w:i/>
                          <w:szCs w:val="24"/>
                        </w:rPr>
                      </m:ctrlPr>
                    </m:e>
                    <m:sub>
                      <m:r>
                        <m:rPr/>
                        <w:rPr>
                          <w:rFonts w:ascii="Cambria Math" w:hAnsi="Cambria Math" w:cs="Times New Roman"/>
                          <w:szCs w:val="24"/>
                        </w:rPr>
                        <m:t>M</m:t>
                      </m:r>
                      <m:ctrlPr>
                        <w:rPr>
                          <w:rFonts w:ascii="Cambria Math" w:hAnsi="Cambria Math" w:cs="Times New Roman"/>
                          <w:i/>
                          <w:szCs w:val="24"/>
                        </w:rPr>
                      </m:ctrlPr>
                    </m:sub>
                  </m:sSub>
                  <m:ctrlPr>
                    <w:rPr>
                      <w:rFonts w:ascii="Cambria Math" w:hAnsi="Cambria Math" w:cs="Times New Roman"/>
                      <w:i/>
                      <w:szCs w:val="24"/>
                    </w:rPr>
                  </m:ctrlPr>
                </m:num>
                <m:den>
                  <m:r>
                    <m:rPr/>
                    <w:rPr>
                      <w:rFonts w:ascii="Cambria Math" w:hAnsi="Cambria Math" w:cs="Times New Roman"/>
                      <w:szCs w:val="24"/>
                    </w:rPr>
                    <m:t>M</m:t>
                  </m:r>
                  <m:ctrlPr>
                    <w:rPr>
                      <w:rFonts w:ascii="Cambria Math" w:hAnsi="Cambria Math" w:cs="Times New Roman"/>
                      <w:i/>
                      <w:szCs w:val="24"/>
                    </w:rPr>
                  </m:ctrlPr>
                </m:den>
              </m:f>
              <m:ctrlPr>
                <w:rPr>
                  <w:rFonts w:ascii="Cambria Math" w:hAnsi="Cambria Math" w:cs="Times New Roman"/>
                  <w:i/>
                  <w:szCs w:val="24"/>
                </w:rPr>
              </m:ctrlPr>
            </m:num>
            <m:den>
              <m:r>
                <m:rPr/>
                <w:rPr>
                  <w:rFonts w:ascii="Cambria Math" w:hAnsi="Cambria Math" w:cs="Times New Roman"/>
                  <w:szCs w:val="24"/>
                </w:rPr>
                <m:t>4πnt</m:t>
              </m:r>
              <m:rad>
                <m:radPr>
                  <m:degHide m:val="1"/>
                  <m:ctrlPr>
                    <w:rPr>
                      <w:rFonts w:ascii="Cambria Math" w:hAnsi="Cambria Math" w:cs="Times New Roman"/>
                      <w:i/>
                      <w:szCs w:val="24"/>
                    </w:rPr>
                  </m:ctrlPr>
                </m:radPr>
                <m:deg>
                  <m:ctrlPr>
                    <w:rPr>
                      <w:rFonts w:ascii="Cambria Math" w:hAnsi="Cambria Math" w:cs="Times New Roman"/>
                      <w:i/>
                      <w:szCs w:val="24"/>
                    </w:rPr>
                  </m:ctrlPr>
                </m:deg>
                <m:e>
                  <m:sSub>
                    <m:sSubPr>
                      <m:ctrlPr>
                        <w:rPr>
                          <w:rFonts w:ascii="Cambria Math" w:hAnsi="Cambria Math" w:cs="Times New Roman"/>
                          <w:i/>
                          <w:szCs w:val="24"/>
                        </w:rPr>
                      </m:ctrlPr>
                    </m:sSubPr>
                    <m:e>
                      <m:r>
                        <m:rPr/>
                        <w:rPr>
                          <w:rFonts w:ascii="Cambria Math" w:hAnsi="Cambria Math" w:cs="Times New Roman"/>
                          <w:szCs w:val="24"/>
                        </w:rPr>
                        <m:t>D</m:t>
                      </m:r>
                      <m:ctrlPr>
                        <w:rPr>
                          <w:rFonts w:ascii="Cambria Math" w:hAnsi="Cambria Math" w:cs="Times New Roman"/>
                          <w:i/>
                          <w:szCs w:val="24"/>
                        </w:rPr>
                      </m:ctrlPr>
                    </m:e>
                    <m:sub>
                      <m:r>
                        <m:rPr/>
                        <w:rPr>
                          <w:rFonts w:ascii="Cambria Math" w:hAnsi="Cambria Math" w:cs="Times New Roman"/>
                          <w:szCs w:val="24"/>
                        </w:rPr>
                        <m:t>L</m:t>
                      </m:r>
                      <m:ctrlPr>
                        <w:rPr>
                          <w:rFonts w:ascii="Cambria Math" w:hAnsi="Cambria Math" w:cs="Times New Roman"/>
                          <w:i/>
                          <w:szCs w:val="24"/>
                        </w:rPr>
                      </m:ctrlPr>
                    </m:sub>
                  </m:sSub>
                  <m:sSub>
                    <m:sSubPr>
                      <m:ctrlPr>
                        <w:rPr>
                          <w:rFonts w:ascii="Cambria Math" w:hAnsi="Cambria Math" w:cs="Times New Roman"/>
                          <w:i/>
                          <w:szCs w:val="24"/>
                        </w:rPr>
                      </m:ctrlPr>
                    </m:sSubPr>
                    <m:e>
                      <m:r>
                        <m:rPr/>
                        <w:rPr>
                          <w:rFonts w:ascii="Cambria Math" w:hAnsi="Cambria Math" w:cs="Times New Roman"/>
                          <w:szCs w:val="24"/>
                        </w:rPr>
                        <m:t>D</m:t>
                      </m:r>
                      <m:ctrlPr>
                        <w:rPr>
                          <w:rFonts w:ascii="Cambria Math" w:hAnsi="Cambria Math" w:cs="Times New Roman"/>
                          <w:i/>
                          <w:szCs w:val="24"/>
                        </w:rPr>
                      </m:ctrlPr>
                    </m:e>
                    <m:sub>
                      <m:r>
                        <m:rPr/>
                        <w:rPr>
                          <w:rFonts w:ascii="Cambria Math" w:hAnsi="Cambria Math" w:cs="Times New Roman"/>
                          <w:szCs w:val="24"/>
                        </w:rPr>
                        <m:t>T</m:t>
                      </m:r>
                      <m:ctrlPr>
                        <w:rPr>
                          <w:rFonts w:ascii="Cambria Math" w:hAnsi="Cambria Math" w:cs="Times New Roman"/>
                          <w:i/>
                          <w:szCs w:val="24"/>
                        </w:rPr>
                      </m:ctrlPr>
                    </m:sub>
                  </m:sSub>
                  <m:ctrlPr>
                    <w:rPr>
                      <w:rFonts w:ascii="Cambria Math" w:hAnsi="Cambria Math" w:cs="Times New Roman"/>
                      <w:i/>
                      <w:szCs w:val="24"/>
                    </w:rPr>
                  </m:ctrlPr>
                </m:e>
              </m:rad>
              <m:ctrlPr>
                <w:rPr>
                  <w:rFonts w:ascii="Cambria Math" w:hAnsi="Cambria Math" w:cs="Times New Roman"/>
                  <w:i/>
                  <w:szCs w:val="24"/>
                </w:rPr>
              </m:ctrlPr>
            </m:den>
          </m:f>
          <m:sSup>
            <m:sSupPr>
              <m:ctrlPr>
                <w:rPr>
                  <w:rFonts w:ascii="Cambria Math" w:hAnsi="Cambria Math" w:cs="Times New Roman"/>
                  <w:i/>
                  <w:szCs w:val="24"/>
                </w:rPr>
              </m:ctrlPr>
            </m:sSupPr>
            <m:e>
              <m:r>
                <m:rPr>
                  <m:sty m:val="p"/>
                </m:rPr>
                <w:rPr>
                  <w:rFonts w:ascii="Cambria Math" w:hAnsi="Cambria Math" w:cs="Times New Roman"/>
                  <w:szCs w:val="24"/>
                </w:rPr>
                <m:t>e</m:t>
              </m:r>
              <m:ctrlPr>
                <w:rPr>
                  <w:rFonts w:ascii="Cambria Math" w:hAnsi="Cambria Math" w:cs="Times New Roman"/>
                  <w:i/>
                  <w:szCs w:val="24"/>
                </w:rPr>
              </m:ctrlPr>
            </m:e>
            <m:sup>
              <m:r>
                <m:rPr/>
                <w:rPr>
                  <w:rFonts w:ascii="Cambria Math" w:hAnsi="Cambria Math" w:cs="Times New Roman"/>
                  <w:szCs w:val="24"/>
                </w:rPr>
                <m:t>−</m:t>
              </m:r>
              <m:d>
                <m:dPr>
                  <m:begChr m:val="["/>
                  <m:endChr m:val="]"/>
                  <m:ctrlPr>
                    <w:rPr>
                      <w:rFonts w:ascii="Cambria Math" w:hAnsi="Cambria Math" w:cs="Times New Roman"/>
                      <w:i/>
                      <w:szCs w:val="24"/>
                    </w:rPr>
                  </m:ctrlPr>
                </m:dPr>
                <m:e>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r>
                                <m:rPr/>
                                <w:rPr>
                                  <w:rFonts w:ascii="Cambria Math" w:hAnsi="Cambria Math" w:cs="Times New Roman"/>
                                  <w:szCs w:val="24"/>
                                </w:rPr>
                                <m:t>x−ut</m:t>
                              </m:r>
                              <m:ctrlPr>
                                <w:rPr>
                                  <w:rFonts w:ascii="Cambria Math" w:hAnsi="Cambria Math" w:cs="Times New Roman"/>
                                  <w:i/>
                                  <w:szCs w:val="24"/>
                                </w:rPr>
                              </m:ctrlPr>
                            </m:e>
                          </m:d>
                          <m:ctrlPr>
                            <w:rPr>
                              <w:rFonts w:ascii="Cambria Math" w:hAnsi="Cambria Math" w:cs="Times New Roman"/>
                              <w:i/>
                              <w:szCs w:val="24"/>
                            </w:rPr>
                          </m:ctrlPr>
                        </m:e>
                        <m:sup>
                          <m:r>
                            <m:rPr/>
                            <w:rPr>
                              <w:rFonts w:ascii="Cambria Math" w:hAnsi="Cambria Math" w:cs="Times New Roman"/>
                              <w:szCs w:val="24"/>
                            </w:rPr>
                            <m:t>2</m:t>
                          </m:r>
                          <m:ctrlPr>
                            <w:rPr>
                              <w:rFonts w:ascii="Cambria Math" w:hAnsi="Cambria Math" w:cs="Times New Roman"/>
                              <w:i/>
                              <w:szCs w:val="24"/>
                            </w:rPr>
                          </m:ctrlPr>
                        </m:sup>
                      </m:sSup>
                      <m:ctrlPr>
                        <w:rPr>
                          <w:rFonts w:ascii="Cambria Math" w:hAnsi="Cambria Math" w:cs="Times New Roman"/>
                          <w:i/>
                          <w:szCs w:val="24"/>
                        </w:rPr>
                      </m:ctrlPr>
                    </m:num>
                    <m:den>
                      <m:r>
                        <m:rPr/>
                        <w:rPr>
                          <w:rFonts w:ascii="Cambria Math" w:hAnsi="Cambria Math" w:cs="Times New Roman"/>
                          <w:szCs w:val="24"/>
                        </w:rPr>
                        <m:t>4</m:t>
                      </m:r>
                      <m:sSub>
                        <m:sSubPr>
                          <m:ctrlPr>
                            <w:rPr>
                              <w:rFonts w:ascii="Cambria Math" w:hAnsi="Cambria Math" w:cs="Times New Roman"/>
                              <w:i/>
                              <w:szCs w:val="24"/>
                            </w:rPr>
                          </m:ctrlPr>
                        </m:sSubPr>
                        <m:e>
                          <m:r>
                            <m:rPr/>
                            <w:rPr>
                              <w:rFonts w:ascii="Cambria Math" w:hAnsi="Cambria Math" w:cs="Times New Roman"/>
                              <w:szCs w:val="24"/>
                            </w:rPr>
                            <m:t>D</m:t>
                          </m:r>
                          <m:ctrlPr>
                            <w:rPr>
                              <w:rFonts w:ascii="Cambria Math" w:hAnsi="Cambria Math" w:cs="Times New Roman"/>
                              <w:i/>
                              <w:szCs w:val="24"/>
                            </w:rPr>
                          </m:ctrlPr>
                        </m:e>
                        <m:sub>
                          <m:r>
                            <m:rPr/>
                            <w:rPr>
                              <w:rFonts w:ascii="Cambria Math" w:hAnsi="Cambria Math" w:cs="Times New Roman"/>
                              <w:szCs w:val="24"/>
                            </w:rPr>
                            <m:t>L</m:t>
                          </m:r>
                          <m:ctrlPr>
                            <w:rPr>
                              <w:rFonts w:ascii="Cambria Math" w:hAnsi="Cambria Math" w:cs="Times New Roman"/>
                              <w:i/>
                              <w:szCs w:val="24"/>
                            </w:rPr>
                          </m:ctrlPr>
                        </m:sub>
                      </m:sSub>
                      <m:r>
                        <m:rPr/>
                        <w:rPr>
                          <w:rFonts w:ascii="Cambria Math" w:hAnsi="Cambria Math" w:cs="Times New Roman"/>
                          <w:szCs w:val="24"/>
                        </w:rPr>
                        <m:t>t</m:t>
                      </m:r>
                      <m:ctrlPr>
                        <w:rPr>
                          <w:rFonts w:ascii="Cambria Math" w:hAnsi="Cambria Math" w:cs="Times New Roman"/>
                          <w:i/>
                          <w:szCs w:val="24"/>
                        </w:rPr>
                      </m:ctrlPr>
                    </m:den>
                  </m:f>
                  <m:r>
                    <m:rP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m:rPr/>
                            <w:rPr>
                              <w:rFonts w:ascii="Cambria Math" w:hAnsi="Cambria Math" w:cs="Times New Roman"/>
                              <w:szCs w:val="24"/>
                            </w:rPr>
                            <m:t>y</m:t>
                          </m:r>
                          <m:ctrlPr>
                            <w:rPr>
                              <w:rFonts w:ascii="Cambria Math" w:hAnsi="Cambria Math" w:cs="Times New Roman"/>
                              <w:i/>
                              <w:szCs w:val="24"/>
                            </w:rPr>
                          </m:ctrlPr>
                        </m:e>
                        <m:sup>
                          <m:r>
                            <m:rPr/>
                            <w:rPr>
                              <w:rFonts w:ascii="Cambria Math" w:hAnsi="Cambria Math" w:cs="Times New Roman"/>
                              <w:szCs w:val="24"/>
                            </w:rPr>
                            <m:t>2</m:t>
                          </m:r>
                          <m:ctrlPr>
                            <w:rPr>
                              <w:rFonts w:ascii="Cambria Math" w:hAnsi="Cambria Math" w:cs="Times New Roman"/>
                              <w:i/>
                              <w:szCs w:val="24"/>
                            </w:rPr>
                          </m:ctrlPr>
                        </m:sup>
                      </m:sSup>
                      <m:ctrlPr>
                        <w:rPr>
                          <w:rFonts w:ascii="Cambria Math" w:hAnsi="Cambria Math" w:cs="Times New Roman"/>
                          <w:i/>
                          <w:szCs w:val="24"/>
                        </w:rPr>
                      </m:ctrlPr>
                    </m:num>
                    <m:den>
                      <m:r>
                        <m:rPr/>
                        <w:rPr>
                          <w:rFonts w:ascii="Cambria Math" w:hAnsi="Cambria Math" w:cs="Times New Roman"/>
                          <w:szCs w:val="24"/>
                        </w:rPr>
                        <m:t>4</m:t>
                      </m:r>
                      <m:sSub>
                        <m:sSubPr>
                          <m:ctrlPr>
                            <w:rPr>
                              <w:rFonts w:ascii="Cambria Math" w:hAnsi="Cambria Math" w:cs="Times New Roman"/>
                              <w:i/>
                              <w:szCs w:val="24"/>
                            </w:rPr>
                          </m:ctrlPr>
                        </m:sSubPr>
                        <m:e>
                          <m:r>
                            <m:rPr/>
                            <w:rPr>
                              <w:rFonts w:ascii="Cambria Math" w:hAnsi="Cambria Math" w:cs="Times New Roman"/>
                              <w:szCs w:val="24"/>
                            </w:rPr>
                            <m:t>D</m:t>
                          </m:r>
                          <m:ctrlPr>
                            <w:rPr>
                              <w:rFonts w:ascii="Cambria Math" w:hAnsi="Cambria Math" w:cs="Times New Roman"/>
                              <w:i/>
                              <w:szCs w:val="24"/>
                            </w:rPr>
                          </m:ctrlPr>
                        </m:e>
                        <m:sub>
                          <m:r>
                            <m:rPr/>
                            <w:rPr>
                              <w:rFonts w:ascii="Cambria Math" w:hAnsi="Cambria Math" w:cs="Times New Roman"/>
                              <w:szCs w:val="24"/>
                            </w:rPr>
                            <m:t>T</m:t>
                          </m:r>
                          <m:ctrlPr>
                            <w:rPr>
                              <w:rFonts w:ascii="Cambria Math" w:hAnsi="Cambria Math" w:cs="Times New Roman"/>
                              <w:i/>
                              <w:szCs w:val="24"/>
                            </w:rPr>
                          </m:ctrlPr>
                        </m:sub>
                      </m:sSub>
                      <m:r>
                        <m:rPr/>
                        <w:rPr>
                          <w:rFonts w:ascii="Cambria Math" w:hAnsi="Cambria Math" w:cs="Times New Roman"/>
                          <w:szCs w:val="24"/>
                        </w:rPr>
                        <m:t>t</m:t>
                      </m:r>
                      <m:ctrlPr>
                        <w:rPr>
                          <w:rFonts w:ascii="Cambria Math" w:hAnsi="Cambria Math" w:cs="Times New Roman"/>
                          <w:i/>
                          <w:szCs w:val="24"/>
                        </w:rPr>
                      </m:ctrlPr>
                    </m:den>
                  </m:f>
                  <m:ctrlPr>
                    <w:rPr>
                      <w:rFonts w:ascii="Cambria Math" w:hAnsi="Cambria Math" w:cs="Times New Roman"/>
                      <w:i/>
                      <w:szCs w:val="24"/>
                    </w:rPr>
                  </m:ctrlPr>
                </m:e>
              </m:d>
              <m:ctrlPr>
                <w:rPr>
                  <w:rFonts w:ascii="Cambria Math" w:hAnsi="Cambria Math" w:cs="Times New Roman"/>
                  <w:i/>
                  <w:szCs w:val="24"/>
                </w:rPr>
              </m:ctrlPr>
            </m:sup>
          </m:sSup>
        </m:oMath>
      </m:oMathPara>
    </w:p>
    <w:p w14:paraId="79CB7412">
      <w:pPr>
        <w:ind w:firstLine="519"/>
        <w:rPr>
          <w:rFonts w:cs="Times New Roman"/>
          <w:szCs w:val="24"/>
        </w:rPr>
      </w:pPr>
      <w:r>
        <w:rPr>
          <w:rFonts w:cs="Times New Roman"/>
          <w:szCs w:val="24"/>
        </w:rPr>
        <w:t>式中：</w:t>
      </w:r>
    </w:p>
    <w:p w14:paraId="5CFF3B25">
      <w:pPr>
        <w:ind w:firstLine="519"/>
        <w:rPr>
          <w:rFonts w:cs="Times New Roman"/>
          <w:szCs w:val="24"/>
        </w:rPr>
      </w:pPr>
      <w:r>
        <w:rPr>
          <w:rFonts w:cs="Times New Roman"/>
          <w:szCs w:val="24"/>
        </w:rPr>
        <w:t>x，y—计算点处的位置坐标；</w:t>
      </w:r>
    </w:p>
    <w:p w14:paraId="0AA1322B">
      <w:pPr>
        <w:ind w:firstLine="519"/>
        <w:rPr>
          <w:rFonts w:cs="Times New Roman"/>
          <w:szCs w:val="24"/>
        </w:rPr>
      </w:pPr>
      <w:r>
        <w:rPr>
          <w:rFonts w:cs="Times New Roman"/>
          <w:szCs w:val="24"/>
        </w:rPr>
        <w:t>t—时间，d；</w:t>
      </w:r>
    </w:p>
    <w:p w14:paraId="4550BCED">
      <w:pPr>
        <w:ind w:firstLine="519"/>
        <w:rPr>
          <w:rFonts w:cs="Times New Roman"/>
          <w:szCs w:val="24"/>
        </w:rPr>
      </w:pPr>
      <m:oMath>
        <m:r>
          <m:rPr>
            <m:sty m:val="p"/>
          </m:rPr>
          <w:rPr>
            <w:rFonts w:ascii="Cambria Math" w:hAnsi="Cambria Math" w:cs="Times New Roman"/>
            <w:szCs w:val="24"/>
          </w:rPr>
          <m:t>C</m:t>
        </m:r>
        <m:d>
          <m:dPr>
            <m:ctrlPr>
              <w:rPr>
                <w:rFonts w:ascii="Cambria Math" w:hAnsi="Cambria Math" w:cs="Times New Roman"/>
                <w:szCs w:val="24"/>
              </w:rPr>
            </m:ctrlPr>
          </m:dPr>
          <m:e>
            <m:r>
              <m:rPr/>
              <w:rPr>
                <w:rFonts w:ascii="Cambria Math" w:hAnsi="Cambria Math" w:cs="Times New Roman"/>
                <w:szCs w:val="24"/>
              </w:rPr>
              <m:t>x，y，t</m:t>
            </m:r>
            <m:ctrlPr>
              <w:rPr>
                <w:rFonts w:ascii="Cambria Math" w:hAnsi="Cambria Math" w:cs="Times New Roman"/>
                <w:szCs w:val="24"/>
              </w:rPr>
            </m:ctrlPr>
          </m:e>
        </m:d>
      </m:oMath>
      <w:r>
        <w:rPr>
          <w:rFonts w:cs="Times New Roman"/>
          <w:szCs w:val="24"/>
        </w:rPr>
        <w:t>—t时刻点x，y处的污染物浓度，mg/L；</w:t>
      </w:r>
    </w:p>
    <w:p w14:paraId="1EEDDE7F">
      <w:pPr>
        <w:ind w:firstLine="519"/>
        <w:rPr>
          <w:rFonts w:cs="Times New Roman"/>
          <w:szCs w:val="24"/>
        </w:rPr>
      </w:pPr>
      <w:r>
        <w:rPr>
          <w:rFonts w:cs="Times New Roman"/>
          <w:szCs w:val="24"/>
        </w:rPr>
        <w:t>M—含水层厚度，m；</w:t>
      </w:r>
    </w:p>
    <w:p w14:paraId="4A0474BA">
      <w:pPr>
        <w:ind w:firstLine="519"/>
        <w:rPr>
          <w:rFonts w:cs="Times New Roman"/>
          <w:szCs w:val="24"/>
        </w:rPr>
      </w:pPr>
      <m:oMath>
        <m:sSub>
          <m:sSubPr>
            <m:ctrlPr>
              <w:rPr>
                <w:rFonts w:ascii="Cambria Math" w:hAnsi="Cambria Math" w:cs="Times New Roman"/>
                <w:i/>
                <w:szCs w:val="24"/>
              </w:rPr>
            </m:ctrlPr>
          </m:sSubPr>
          <m:e>
            <m:r>
              <m:rPr/>
              <w:rPr>
                <w:rFonts w:ascii="Cambria Math" w:hAnsi="Cambria Math" w:cs="Times New Roman"/>
                <w:szCs w:val="24"/>
              </w:rPr>
              <m:t>m</m:t>
            </m:r>
            <m:ctrlPr>
              <w:rPr>
                <w:rFonts w:ascii="Cambria Math" w:hAnsi="Cambria Math" w:cs="Times New Roman"/>
                <w:i/>
                <w:szCs w:val="24"/>
              </w:rPr>
            </m:ctrlPr>
          </m:e>
          <m:sub>
            <m:r>
              <m:rPr/>
              <w:rPr>
                <w:rFonts w:ascii="Cambria Math" w:hAnsi="Cambria Math" w:cs="Times New Roman"/>
                <w:szCs w:val="24"/>
              </w:rPr>
              <m:t>M</m:t>
            </m:r>
            <m:ctrlPr>
              <w:rPr>
                <w:rFonts w:ascii="Cambria Math" w:hAnsi="Cambria Math" w:cs="Times New Roman"/>
                <w:i/>
                <w:szCs w:val="24"/>
              </w:rPr>
            </m:ctrlPr>
          </m:sub>
        </m:sSub>
      </m:oMath>
      <w:r>
        <w:rPr>
          <w:rFonts w:cs="Times New Roman"/>
          <w:szCs w:val="24"/>
        </w:rPr>
        <w:t>—长度为M的线源瞬时注入示踪剂的质量，kg；</w:t>
      </w:r>
    </w:p>
    <w:p w14:paraId="0C18A2E7">
      <w:pPr>
        <w:ind w:firstLine="519"/>
        <w:rPr>
          <w:rFonts w:cs="Times New Roman"/>
          <w:szCs w:val="24"/>
        </w:rPr>
      </w:pPr>
      <w:r>
        <w:rPr>
          <w:rFonts w:cs="Times New Roman"/>
          <w:szCs w:val="24"/>
        </w:rPr>
        <w:t>n</w:t>
      </w:r>
      <w:r>
        <w:rPr>
          <w:rFonts w:cs="Times New Roman"/>
          <w:szCs w:val="24"/>
          <w:vertAlign w:val="subscript"/>
        </w:rPr>
        <w:t>e</w:t>
      </w:r>
      <w:r>
        <w:rPr>
          <w:rFonts w:cs="Times New Roman"/>
          <w:szCs w:val="24"/>
        </w:rPr>
        <w:t>—有效孔隙度，无量纲；</w:t>
      </w:r>
    </w:p>
    <w:p w14:paraId="3802B18B">
      <w:pPr>
        <w:ind w:firstLine="519"/>
        <w:rPr>
          <w:rFonts w:cs="Times New Roman"/>
          <w:szCs w:val="24"/>
        </w:rPr>
      </w:pPr>
      <w:r>
        <w:rPr>
          <w:rFonts w:cs="Times New Roman"/>
          <w:szCs w:val="24"/>
        </w:rPr>
        <w:t>u—地下水流速度，m/d；</w:t>
      </w:r>
    </w:p>
    <w:p w14:paraId="0064F84E">
      <w:pPr>
        <w:ind w:firstLine="519"/>
        <w:rPr>
          <w:rFonts w:cs="Times New Roman"/>
          <w:szCs w:val="24"/>
        </w:rPr>
      </w:pPr>
      <w:r>
        <w:rPr>
          <w:rFonts w:cs="Times New Roman"/>
          <w:szCs w:val="24"/>
        </w:rPr>
        <w:t>D</w:t>
      </w:r>
      <w:r>
        <w:rPr>
          <w:rFonts w:cs="Times New Roman"/>
          <w:szCs w:val="24"/>
          <w:vertAlign w:val="subscript"/>
        </w:rPr>
        <w:t>L</w:t>
      </w:r>
      <w:r>
        <w:rPr>
          <w:rFonts w:cs="Times New Roman"/>
          <w:szCs w:val="24"/>
        </w:rPr>
        <w:t>—纵向x方向的弥散系数，m</w:t>
      </w:r>
      <w:r>
        <w:rPr>
          <w:rFonts w:cs="Times New Roman"/>
          <w:szCs w:val="24"/>
          <w:vertAlign w:val="superscript"/>
        </w:rPr>
        <w:t>2</w:t>
      </w:r>
      <w:r>
        <w:rPr>
          <w:rFonts w:cs="Times New Roman"/>
          <w:szCs w:val="24"/>
        </w:rPr>
        <w:t>/d；</w:t>
      </w:r>
    </w:p>
    <w:p w14:paraId="6F042630">
      <w:pPr>
        <w:ind w:firstLine="519"/>
        <w:rPr>
          <w:rFonts w:cs="Times New Roman"/>
          <w:szCs w:val="24"/>
        </w:rPr>
      </w:pPr>
      <w:r>
        <w:rPr>
          <w:rFonts w:cs="Times New Roman"/>
          <w:szCs w:val="24"/>
        </w:rPr>
        <w:t>D</w:t>
      </w:r>
      <w:r>
        <w:rPr>
          <w:rFonts w:cs="Times New Roman"/>
          <w:szCs w:val="24"/>
          <w:vertAlign w:val="subscript"/>
        </w:rPr>
        <w:t>T</w:t>
      </w:r>
      <w:r>
        <w:rPr>
          <w:rFonts w:cs="Times New Roman"/>
          <w:szCs w:val="24"/>
        </w:rPr>
        <w:t>—横向y方向的弥散系数，m</w:t>
      </w:r>
      <w:r>
        <w:rPr>
          <w:rFonts w:cs="Times New Roman"/>
          <w:szCs w:val="24"/>
          <w:vertAlign w:val="superscript"/>
        </w:rPr>
        <w:t>2</w:t>
      </w:r>
      <w:r>
        <w:rPr>
          <w:rFonts w:cs="Times New Roman"/>
          <w:szCs w:val="24"/>
        </w:rPr>
        <w:t>/d；</w:t>
      </w:r>
    </w:p>
    <w:p w14:paraId="164EC9D4">
      <w:pPr>
        <w:ind w:firstLine="519"/>
        <w:rPr>
          <w:rFonts w:cs="Times New Roman"/>
          <w:szCs w:val="24"/>
        </w:rPr>
      </w:pPr>
      <w:r>
        <w:rPr>
          <w:rFonts w:cs="Times New Roman"/>
          <w:szCs w:val="24"/>
        </w:rPr>
        <w:t>π—圆周率。</w:t>
      </w:r>
    </w:p>
    <w:p w14:paraId="5E414343">
      <w:pPr>
        <w:ind w:firstLine="519"/>
        <w:rPr>
          <w:rFonts w:cs="Times New Roman"/>
          <w:szCs w:val="24"/>
        </w:rPr>
      </w:pPr>
      <w:r>
        <w:rPr>
          <w:rFonts w:cs="Times New Roman"/>
        </w:rPr>
        <w:t>（2）</w:t>
      </w:r>
      <w:r>
        <w:rPr>
          <w:rFonts w:cs="Times New Roman"/>
          <w:szCs w:val="24"/>
        </w:rPr>
        <w:t>模型参数的获取</w:t>
      </w:r>
    </w:p>
    <w:p w14:paraId="67DCE042">
      <w:pPr>
        <w:ind w:firstLine="519"/>
        <w:rPr>
          <w:rFonts w:cs="Times New Roman"/>
          <w:szCs w:val="24"/>
        </w:rPr>
      </w:pPr>
      <w:r>
        <w:rPr>
          <w:rFonts w:cs="Times New Roman"/>
          <w:szCs w:val="24"/>
        </w:rPr>
        <w:t>模型需要的参数有：含水层厚度M；外泄污染物质量m；土层的有效孔隙度n</w:t>
      </w:r>
      <w:r>
        <w:rPr>
          <w:rFonts w:cs="Times New Roman"/>
          <w:szCs w:val="24"/>
          <w:vertAlign w:val="subscript"/>
        </w:rPr>
        <w:t>e</w:t>
      </w:r>
      <w:r>
        <w:rPr>
          <w:rFonts w:cs="Times New Roman"/>
          <w:szCs w:val="24"/>
        </w:rPr>
        <w:t>；水流的实际平均速度u；污染物在土层中的纵向弥散系数。这些参数主要由现场调查、水文地质试验或类比相同土层的成果资料确定。</w:t>
      </w:r>
    </w:p>
    <w:p w14:paraId="0F2E08CD">
      <w:pPr>
        <w:ind w:firstLine="519"/>
        <w:rPr>
          <w:rFonts w:cs="Times New Roman"/>
          <w:szCs w:val="24"/>
        </w:rPr>
      </w:pPr>
      <w:r>
        <w:rPr>
          <w:rFonts w:cs="Times New Roman"/>
          <w:szCs w:val="24"/>
        </w:rPr>
        <w:fldChar w:fldCharType="begin"/>
      </w:r>
      <w:r>
        <w:rPr>
          <w:rFonts w:cs="Times New Roman"/>
          <w:szCs w:val="24"/>
        </w:rPr>
        <w:instrText xml:space="preserve"> = 1 \* GB3 </w:instrText>
      </w:r>
      <w:r>
        <w:rPr>
          <w:rFonts w:cs="Times New Roman"/>
          <w:szCs w:val="24"/>
        </w:rPr>
        <w:fldChar w:fldCharType="separate"/>
      </w:r>
      <w:r>
        <w:rPr>
          <w:rFonts w:hint="eastAsia" w:ascii="宋体" w:hAnsi="宋体" w:cs="宋体"/>
          <w:szCs w:val="24"/>
        </w:rPr>
        <w:t>①</w:t>
      </w:r>
      <w:r>
        <w:rPr>
          <w:rFonts w:cs="Times New Roman"/>
          <w:szCs w:val="24"/>
        </w:rPr>
        <w:fldChar w:fldCharType="end"/>
      </w:r>
      <w:r>
        <w:rPr>
          <w:rFonts w:cs="Times New Roman"/>
          <w:szCs w:val="24"/>
        </w:rPr>
        <w:t>水层的厚度M</w:t>
      </w:r>
    </w:p>
    <w:p w14:paraId="0E4AF17A">
      <w:pPr>
        <w:ind w:firstLine="519"/>
        <w:rPr>
          <w:rFonts w:cs="Times New Roman"/>
          <w:szCs w:val="24"/>
        </w:rPr>
      </w:pPr>
      <w:r>
        <w:rPr>
          <w:rFonts w:cs="Times New Roman"/>
          <w:szCs w:val="24"/>
        </w:rPr>
        <w:t>根据现场实地调查，非正常状况下受到污染的地下水为第四系全新统（Qh）砂卵石含水层，据本次调查工作可知，将本次调查结果含水层厚度的平均数作为计算参数。</w:t>
      </w:r>
    </w:p>
    <w:p w14:paraId="40EE0F00">
      <w:pPr>
        <w:ind w:firstLine="519"/>
      </w:pPr>
      <w:r>
        <w:rPr>
          <w:rFonts w:hint="eastAsia"/>
        </w:rPr>
        <w:t>矿区</w:t>
      </w:r>
      <w:r>
        <w:rPr>
          <w:rFonts w:cs="Times New Roman"/>
          <w:szCs w:val="24"/>
        </w:rPr>
        <w:t>M揭露厚度6-9m，平均厚度7.5m，因此本次预测采</w:t>
      </w:r>
      <w:r>
        <w:rPr>
          <w:rFonts w:hint="eastAsia" w:cs="Times New Roman"/>
          <w:szCs w:val="24"/>
        </w:rPr>
        <w:t>卤</w:t>
      </w:r>
      <w:r>
        <w:rPr>
          <w:rFonts w:cs="Times New Roman"/>
          <w:szCs w:val="24"/>
        </w:rPr>
        <w:t>场地内</w:t>
      </w:r>
      <w:bookmarkStart w:id="697" w:name="_Hlk116565585"/>
      <w:r>
        <w:rPr>
          <w:rFonts w:cs="Times New Roman"/>
          <w:szCs w:val="24"/>
        </w:rPr>
        <w:t>潜水含水层厚度M</w:t>
      </w:r>
      <w:bookmarkEnd w:id="697"/>
      <w:r>
        <w:rPr>
          <w:rFonts w:cs="Times New Roman"/>
          <w:szCs w:val="24"/>
        </w:rPr>
        <w:t>为7.5m。</w:t>
      </w:r>
    </w:p>
    <w:p w14:paraId="4B851A87">
      <w:pPr>
        <w:ind w:firstLine="519"/>
        <w:rPr>
          <w:rFonts w:cs="Times New Roman"/>
          <w:szCs w:val="24"/>
        </w:rPr>
      </w:pPr>
      <w:r>
        <w:rPr>
          <w:rFonts w:cs="Times New Roman"/>
          <w:szCs w:val="24"/>
        </w:rPr>
        <w:fldChar w:fldCharType="begin"/>
      </w:r>
      <w:r>
        <w:rPr>
          <w:rFonts w:cs="Times New Roman"/>
          <w:szCs w:val="24"/>
        </w:rPr>
        <w:instrText xml:space="preserve"> = 2 \* GB3 </w:instrText>
      </w:r>
      <w:r>
        <w:rPr>
          <w:rFonts w:cs="Times New Roman"/>
          <w:szCs w:val="24"/>
        </w:rPr>
        <w:fldChar w:fldCharType="separate"/>
      </w:r>
      <w:r>
        <w:rPr>
          <w:rFonts w:hint="eastAsia" w:ascii="宋体" w:hAnsi="宋体" w:cs="宋体"/>
          <w:szCs w:val="24"/>
        </w:rPr>
        <w:t>②</w:t>
      </w:r>
      <w:r>
        <w:rPr>
          <w:rFonts w:cs="Times New Roman"/>
          <w:szCs w:val="24"/>
        </w:rPr>
        <w:fldChar w:fldCharType="end"/>
      </w:r>
      <w:r>
        <w:rPr>
          <w:rFonts w:cs="Times New Roman"/>
          <w:szCs w:val="24"/>
        </w:rPr>
        <w:t>外泄污染物质量m</w:t>
      </w:r>
    </w:p>
    <w:p w14:paraId="76881F28">
      <w:pPr>
        <w:topLinePunct w:val="0"/>
        <w:ind w:firstLine="519"/>
        <w:rPr>
          <w:rFonts w:cs="Times New Roman"/>
          <w:szCs w:val="21"/>
        </w:rPr>
      </w:pPr>
      <w:bookmarkStart w:id="698" w:name="_Hlk116553423"/>
      <w:r>
        <w:rPr>
          <w:rFonts w:cs="Times New Roman"/>
          <w:szCs w:val="24"/>
        </w:rPr>
        <w:t>非正常工况下，</w:t>
      </w:r>
      <w:bookmarkEnd w:id="698"/>
      <w:r>
        <w:rPr>
          <w:rFonts w:cs="Times New Roman"/>
          <w:szCs w:val="24"/>
        </w:rPr>
        <w:t>卤水池由于腐蚀等原因发生破裂，卤水从破裂处发生泄漏，确定预测因子为</w:t>
      </w:r>
      <w:r>
        <w:rPr>
          <w:rFonts w:cs="Times New Roman"/>
          <w:szCs w:val="21"/>
        </w:rPr>
        <w:t>Cl</w:t>
      </w:r>
      <w:r>
        <w:rPr>
          <w:rFonts w:cs="Times New Roman"/>
          <w:szCs w:val="21"/>
          <w:vertAlign w:val="superscript"/>
        </w:rPr>
        <w:t>-</w:t>
      </w:r>
      <w:r>
        <w:rPr>
          <w:rFonts w:cs="Times New Roman"/>
          <w:szCs w:val="21"/>
        </w:rPr>
        <w:t>、SO</w:t>
      </w:r>
      <w:r>
        <w:rPr>
          <w:rFonts w:cs="Times New Roman"/>
          <w:szCs w:val="21"/>
          <w:vertAlign w:val="subscript"/>
        </w:rPr>
        <w:t>4</w:t>
      </w:r>
      <w:r>
        <w:rPr>
          <w:rFonts w:cs="Times New Roman"/>
          <w:szCs w:val="21"/>
          <w:vertAlign w:val="superscript"/>
        </w:rPr>
        <w:t>2-</w:t>
      </w:r>
      <w:r>
        <w:rPr>
          <w:rFonts w:cs="Times New Roman"/>
          <w:szCs w:val="24"/>
        </w:rPr>
        <w:t>，</w:t>
      </w:r>
      <w:r>
        <w:rPr>
          <w:rFonts w:cs="Times New Roman"/>
        </w:rPr>
        <w:t>根据建设单位提供数据，</w:t>
      </w:r>
      <w:r>
        <w:rPr>
          <w:rFonts w:cs="Times New Roman"/>
          <w:szCs w:val="21"/>
        </w:rPr>
        <w:t>Cl</w:t>
      </w:r>
      <w:r>
        <w:rPr>
          <w:rFonts w:cs="Times New Roman"/>
          <w:szCs w:val="21"/>
          <w:vertAlign w:val="superscript"/>
        </w:rPr>
        <w:t>-</w:t>
      </w:r>
      <w:r>
        <w:rPr>
          <w:rFonts w:cs="Times New Roman"/>
          <w:szCs w:val="21"/>
        </w:rPr>
        <w:t>浓度取290g/L，SO</w:t>
      </w:r>
      <w:r>
        <w:rPr>
          <w:rFonts w:cs="Times New Roman"/>
          <w:szCs w:val="21"/>
          <w:vertAlign w:val="subscript"/>
        </w:rPr>
        <w:t>4</w:t>
      </w:r>
      <w:r>
        <w:rPr>
          <w:rFonts w:cs="Times New Roman"/>
          <w:szCs w:val="21"/>
          <w:vertAlign w:val="superscript"/>
        </w:rPr>
        <w:t>2-</w:t>
      </w:r>
      <w:r>
        <w:rPr>
          <w:rFonts w:cs="Times New Roman"/>
          <w:szCs w:val="21"/>
        </w:rPr>
        <w:t>浓度取19g/L。由于卤水池置于地面上，且采卤场均进行地面硬化处理，卤水泄露时采卤场工作人员能很快发现并采取相关措施，因此卤水泄露量按10m</w:t>
      </w:r>
      <w:r>
        <w:rPr>
          <w:rFonts w:cs="Times New Roman"/>
          <w:szCs w:val="21"/>
          <w:vertAlign w:val="superscript"/>
        </w:rPr>
        <w:t>3</w:t>
      </w:r>
      <w:r>
        <w:rPr>
          <w:rFonts w:cs="Times New Roman"/>
          <w:szCs w:val="21"/>
        </w:rPr>
        <w:t>计算，</w:t>
      </w:r>
      <w:bookmarkStart w:id="699" w:name="_Hlk116564604"/>
      <w:r>
        <w:rPr>
          <w:rFonts w:cs="Times New Roman"/>
          <w:szCs w:val="21"/>
        </w:rPr>
        <w:t>Cl</w:t>
      </w:r>
      <w:r>
        <w:rPr>
          <w:rFonts w:cs="Times New Roman"/>
          <w:szCs w:val="21"/>
          <w:vertAlign w:val="superscript"/>
        </w:rPr>
        <w:t>-</w:t>
      </w:r>
      <w:r>
        <w:rPr>
          <w:rFonts w:cs="Times New Roman"/>
          <w:szCs w:val="21"/>
        </w:rPr>
        <w:t>泄漏量为2.9t，SO</w:t>
      </w:r>
      <w:r>
        <w:rPr>
          <w:rFonts w:cs="Times New Roman"/>
          <w:szCs w:val="21"/>
          <w:vertAlign w:val="subscript"/>
        </w:rPr>
        <w:t>4</w:t>
      </w:r>
      <w:r>
        <w:rPr>
          <w:rFonts w:cs="Times New Roman"/>
          <w:szCs w:val="21"/>
          <w:vertAlign w:val="superscript"/>
        </w:rPr>
        <w:t>2-</w:t>
      </w:r>
      <w:r>
        <w:rPr>
          <w:rFonts w:cs="Times New Roman"/>
          <w:szCs w:val="21"/>
        </w:rPr>
        <w:t>泄漏量为0.19t</w:t>
      </w:r>
      <w:bookmarkEnd w:id="699"/>
      <w:r>
        <w:rPr>
          <w:rFonts w:cs="Times New Roman"/>
          <w:szCs w:val="21"/>
        </w:rPr>
        <w:t>。</w:t>
      </w:r>
    </w:p>
    <w:p w14:paraId="59F2A36A">
      <w:pPr>
        <w:pStyle w:val="2"/>
        <w:ind w:firstLine="519"/>
      </w:pPr>
      <w:bookmarkStart w:id="700" w:name="_Hlk116563004"/>
      <w:r>
        <w:rPr>
          <w:rFonts w:hint="eastAsia"/>
        </w:rPr>
        <w:t>非正常工况下，矿区输卤管线破损，卤水泄露，单个管道输卤流量以</w:t>
      </w:r>
      <w:r>
        <w:t>100</w:t>
      </w:r>
      <w:r>
        <w:rPr>
          <w:rFonts w:hint="eastAsia"/>
        </w:rPr>
        <w:t>m</w:t>
      </w:r>
      <w:r>
        <w:rPr>
          <w:rFonts w:hint="eastAsia"/>
          <w:vertAlign w:val="superscript"/>
        </w:rPr>
        <w:t>3</w:t>
      </w:r>
      <w:r>
        <w:rPr>
          <w:rFonts w:hint="eastAsia"/>
        </w:rPr>
        <w:t>/h计，压力检测装置可在5min内得到响应，管线两端的截断阀关闭，则卤水泄漏量为</w:t>
      </w:r>
      <w:r>
        <w:t>8.33</w:t>
      </w:r>
      <w:r>
        <w:rPr>
          <w:rFonts w:hint="eastAsia"/>
        </w:rPr>
        <w:t>m</w:t>
      </w:r>
      <w:r>
        <w:rPr>
          <w:rFonts w:hint="eastAsia"/>
          <w:vertAlign w:val="superscript"/>
        </w:rPr>
        <w:t>3</w:t>
      </w:r>
      <w:r>
        <w:rPr>
          <w:rFonts w:hint="eastAsia"/>
        </w:rPr>
        <w:t>。</w:t>
      </w:r>
      <w:bookmarkEnd w:id="700"/>
      <w:r>
        <w:rPr>
          <w:rFonts w:cs="Times New Roman"/>
          <w:szCs w:val="21"/>
        </w:rPr>
        <w:t>Cl</w:t>
      </w:r>
      <w:r>
        <w:rPr>
          <w:rFonts w:cs="Times New Roman"/>
          <w:szCs w:val="21"/>
          <w:vertAlign w:val="superscript"/>
        </w:rPr>
        <w:t>-</w:t>
      </w:r>
      <w:r>
        <w:rPr>
          <w:rFonts w:cs="Times New Roman"/>
          <w:szCs w:val="21"/>
        </w:rPr>
        <w:t>泄漏量为2.42t，SO</w:t>
      </w:r>
      <w:r>
        <w:rPr>
          <w:rFonts w:cs="Times New Roman"/>
          <w:szCs w:val="21"/>
          <w:vertAlign w:val="subscript"/>
        </w:rPr>
        <w:t>4</w:t>
      </w:r>
      <w:r>
        <w:rPr>
          <w:rFonts w:cs="Times New Roman"/>
          <w:szCs w:val="21"/>
          <w:vertAlign w:val="superscript"/>
        </w:rPr>
        <w:t>2-</w:t>
      </w:r>
      <w:r>
        <w:rPr>
          <w:rFonts w:cs="Times New Roman"/>
          <w:szCs w:val="21"/>
        </w:rPr>
        <w:t>泄漏量为0.13t</w:t>
      </w:r>
      <w:r>
        <w:rPr>
          <w:rFonts w:hint="eastAsia" w:cs="Times New Roman"/>
          <w:szCs w:val="21"/>
        </w:rPr>
        <w:t>。</w:t>
      </w:r>
    </w:p>
    <w:p w14:paraId="13AC0340">
      <w:pPr>
        <w:pStyle w:val="3"/>
        <w:ind w:firstLine="519"/>
      </w:pPr>
      <w:r>
        <w:rPr>
          <w:rFonts w:hint="eastAsia"/>
        </w:rPr>
        <w:t>非正常工况下，因套管穿孔或者损坏、卤水进入含水层污染地下水，项目运行中对卤井井筒压力及出卤量进行监测，通过压力及流量变化观察井筒完整情况，一旦发生异常，立即采取措施，逐渐减小注水压力及水量，直至停止注水，停止采卤，整个过程约3小时，考虑到井管发生破损原因多样，卤水泄漏量大小不一，本次</w:t>
      </w:r>
      <w:bookmarkStart w:id="701" w:name="_Hlk116564532"/>
      <w:r>
        <w:rPr>
          <w:rFonts w:hint="eastAsia"/>
        </w:rPr>
        <w:t>假定单组井回卤量</w:t>
      </w:r>
      <w:bookmarkEnd w:id="701"/>
      <w:r>
        <w:rPr>
          <w:rFonts w:hint="eastAsia"/>
        </w:rPr>
        <w:t>的1</w:t>
      </w:r>
      <w:r>
        <w:t>%</w:t>
      </w:r>
      <w:r>
        <w:rPr>
          <w:rFonts w:hint="eastAsia"/>
        </w:rPr>
        <w:t>发生泄漏，单组井回卤量以1</w:t>
      </w:r>
      <w:r>
        <w:t>0</w:t>
      </w:r>
      <w:r>
        <w:rPr>
          <w:rFonts w:hint="eastAsia"/>
        </w:rPr>
        <w:t>0m</w:t>
      </w:r>
      <w:r>
        <w:rPr>
          <w:rFonts w:hint="eastAsia"/>
          <w:vertAlign w:val="superscript"/>
        </w:rPr>
        <w:t>3</w:t>
      </w:r>
      <w:r>
        <w:rPr>
          <w:rFonts w:hint="eastAsia"/>
        </w:rPr>
        <w:t>/h计，则卤水泄漏量为</w:t>
      </w:r>
      <w:r>
        <w:t>3</w:t>
      </w:r>
      <w:r>
        <w:rPr>
          <w:rFonts w:hint="eastAsia"/>
        </w:rPr>
        <w:t>m</w:t>
      </w:r>
      <w:r>
        <w:rPr>
          <w:rFonts w:hint="eastAsia"/>
          <w:vertAlign w:val="superscript"/>
        </w:rPr>
        <w:t>3</w:t>
      </w:r>
      <w:r>
        <w:rPr>
          <w:rFonts w:hint="eastAsia"/>
        </w:rPr>
        <w:t>。</w:t>
      </w:r>
      <w:r>
        <w:rPr>
          <w:rFonts w:cs="Times New Roman"/>
          <w:szCs w:val="21"/>
        </w:rPr>
        <w:t>Cl</w:t>
      </w:r>
      <w:r>
        <w:rPr>
          <w:rFonts w:cs="Times New Roman"/>
          <w:szCs w:val="21"/>
          <w:vertAlign w:val="superscript"/>
        </w:rPr>
        <w:t>-</w:t>
      </w:r>
      <w:r>
        <w:rPr>
          <w:rFonts w:cs="Times New Roman"/>
          <w:szCs w:val="21"/>
        </w:rPr>
        <w:t>泄漏量为0.87t，SO</w:t>
      </w:r>
      <w:r>
        <w:rPr>
          <w:rFonts w:cs="Times New Roman"/>
          <w:szCs w:val="21"/>
          <w:vertAlign w:val="subscript"/>
        </w:rPr>
        <w:t>4</w:t>
      </w:r>
      <w:r>
        <w:rPr>
          <w:rFonts w:cs="Times New Roman"/>
          <w:szCs w:val="21"/>
          <w:vertAlign w:val="superscript"/>
        </w:rPr>
        <w:t>2-</w:t>
      </w:r>
      <w:r>
        <w:rPr>
          <w:rFonts w:cs="Times New Roman"/>
          <w:szCs w:val="21"/>
        </w:rPr>
        <w:t>泄漏量为0.057t</w:t>
      </w:r>
      <w:r>
        <w:rPr>
          <w:rFonts w:hint="eastAsia" w:cs="Times New Roman"/>
          <w:szCs w:val="21"/>
        </w:rPr>
        <w:t>。</w:t>
      </w:r>
    </w:p>
    <w:p w14:paraId="3FA47971">
      <w:pPr>
        <w:ind w:firstLine="519"/>
        <w:rPr>
          <w:rFonts w:cs="Times New Roman"/>
          <w:szCs w:val="24"/>
        </w:rPr>
      </w:pPr>
      <w:r>
        <w:rPr>
          <w:rFonts w:cs="Times New Roman"/>
          <w:szCs w:val="24"/>
        </w:rPr>
        <w:fldChar w:fldCharType="begin"/>
      </w:r>
      <w:r>
        <w:rPr>
          <w:rFonts w:cs="Times New Roman"/>
          <w:szCs w:val="24"/>
        </w:rPr>
        <w:instrText xml:space="preserve"> = 3 \* GB3 </w:instrText>
      </w:r>
      <w:r>
        <w:rPr>
          <w:rFonts w:cs="Times New Roman"/>
          <w:szCs w:val="24"/>
        </w:rPr>
        <w:fldChar w:fldCharType="separate"/>
      </w:r>
      <w:r>
        <w:rPr>
          <w:rFonts w:hint="eastAsia" w:ascii="宋体" w:hAnsi="宋体" w:cs="宋体"/>
          <w:szCs w:val="24"/>
        </w:rPr>
        <w:t>③</w:t>
      </w:r>
      <w:r>
        <w:rPr>
          <w:rFonts w:cs="Times New Roman"/>
          <w:szCs w:val="24"/>
        </w:rPr>
        <w:fldChar w:fldCharType="end"/>
      </w:r>
      <w:r>
        <w:rPr>
          <w:rFonts w:cs="Times New Roman"/>
          <w:szCs w:val="24"/>
        </w:rPr>
        <w:t>土层的有效孔隙度n</w:t>
      </w:r>
      <w:r>
        <w:rPr>
          <w:rFonts w:cs="Times New Roman"/>
          <w:szCs w:val="24"/>
          <w:vertAlign w:val="subscript"/>
        </w:rPr>
        <w:t>e</w:t>
      </w:r>
    </w:p>
    <w:p w14:paraId="3B3D9B07">
      <w:pPr>
        <w:ind w:firstLine="519"/>
        <w:rPr>
          <w:rFonts w:cs="Times New Roman"/>
          <w:szCs w:val="24"/>
        </w:rPr>
      </w:pPr>
      <w:r>
        <w:rPr>
          <w:rFonts w:cs="Times New Roman"/>
          <w:szCs w:val="24"/>
        </w:rPr>
        <w:t>根据相关经验，本项目有效孔隙度取</w:t>
      </w:r>
      <w:r>
        <w:rPr>
          <w:rFonts w:cs="Times New Roman"/>
          <w:b/>
          <w:bCs/>
          <w:szCs w:val="24"/>
        </w:rPr>
        <w:t>0.3</w:t>
      </w:r>
      <w:r>
        <w:rPr>
          <w:rFonts w:cs="Times New Roman"/>
          <w:szCs w:val="24"/>
        </w:rPr>
        <w:t>。</w:t>
      </w:r>
    </w:p>
    <w:p w14:paraId="7D7A3B95">
      <w:pPr>
        <w:ind w:firstLine="519"/>
        <w:rPr>
          <w:rFonts w:cs="Times New Roman"/>
          <w:szCs w:val="24"/>
        </w:rPr>
      </w:pPr>
      <w:r>
        <w:rPr>
          <w:rFonts w:cs="Times New Roman"/>
          <w:szCs w:val="24"/>
        </w:rPr>
        <w:fldChar w:fldCharType="begin"/>
      </w:r>
      <w:r>
        <w:rPr>
          <w:rFonts w:cs="Times New Roman"/>
          <w:szCs w:val="24"/>
        </w:rPr>
        <w:instrText xml:space="preserve"> = 4 \* GB3 </w:instrText>
      </w:r>
      <w:r>
        <w:rPr>
          <w:rFonts w:cs="Times New Roman"/>
          <w:szCs w:val="24"/>
        </w:rPr>
        <w:fldChar w:fldCharType="separate"/>
      </w:r>
      <w:r>
        <w:rPr>
          <w:rFonts w:hint="eastAsia" w:ascii="宋体" w:hAnsi="宋体" w:cs="宋体"/>
          <w:szCs w:val="24"/>
        </w:rPr>
        <w:t>④</w:t>
      </w:r>
      <w:r>
        <w:rPr>
          <w:rFonts w:cs="Times New Roman"/>
          <w:szCs w:val="24"/>
        </w:rPr>
        <w:fldChar w:fldCharType="end"/>
      </w:r>
      <w:r>
        <w:rPr>
          <w:rFonts w:cs="Times New Roman"/>
          <w:szCs w:val="24"/>
        </w:rPr>
        <w:t>地下水平均流速</w:t>
      </w:r>
    </w:p>
    <w:p w14:paraId="2DD1EB59">
      <w:pPr>
        <w:ind w:firstLine="519"/>
        <w:rPr>
          <w:rFonts w:cs="Times New Roman"/>
          <w:szCs w:val="24"/>
        </w:rPr>
      </w:pPr>
      <w:r>
        <w:rPr>
          <w:rFonts w:cs="Times New Roman"/>
          <w:szCs w:val="24"/>
        </w:rPr>
        <w:t>项目场地及周边潜水含水层以粉质粘土为主，因此场区内第四系潜水含水层地下水实际流速：</w:t>
      </w:r>
    </w:p>
    <w:p w14:paraId="143990BC">
      <w:pPr>
        <w:ind w:firstLine="519"/>
        <w:rPr>
          <w:rFonts w:cs="Times New Roman"/>
          <w:szCs w:val="24"/>
        </w:rPr>
      </w:pPr>
      <m:oMathPara>
        <m:oMath>
          <m:r>
            <m:rPr>
              <m:sty m:val="p"/>
            </m:rPr>
            <w:rPr>
              <w:rFonts w:ascii="Cambria Math" w:hAnsi="Cambria Math" w:cs="Times New Roman"/>
              <w:szCs w:val="24"/>
            </w:rPr>
            <m:t>u=</m:t>
          </m:r>
          <m:f>
            <m:fPr>
              <m:ctrlPr>
                <w:rPr>
                  <w:rFonts w:ascii="Cambria Math" w:hAnsi="Cambria Math" w:cs="Times New Roman"/>
                  <w:szCs w:val="24"/>
                </w:rPr>
              </m:ctrlPr>
            </m:fPr>
            <m:num>
              <m:r>
                <m:rPr/>
                <w:rPr>
                  <w:rFonts w:ascii="Cambria Math" w:hAnsi="Cambria Math" w:cs="Times New Roman"/>
                  <w:szCs w:val="24"/>
                </w:rPr>
                <m:t>KI</m:t>
              </m:r>
              <m:ctrlPr>
                <w:rPr>
                  <w:rFonts w:ascii="Cambria Math" w:hAnsi="Cambria Math" w:cs="Times New Roman"/>
                  <w:szCs w:val="24"/>
                </w:rPr>
              </m:ctrlPr>
            </m:num>
            <m:den>
              <m:sSub>
                <m:sSubPr>
                  <m:ctrlPr>
                    <w:rPr>
                      <w:rFonts w:ascii="Cambria Math" w:hAnsi="Cambria Math" w:cs="Times New Roman"/>
                      <w:i/>
                      <w:szCs w:val="24"/>
                    </w:rPr>
                  </m:ctrlPr>
                </m:sSubPr>
                <m:e>
                  <m:r>
                    <m:rPr/>
                    <w:rPr>
                      <w:rFonts w:ascii="Cambria Math" w:hAnsi="Cambria Math" w:cs="Times New Roman"/>
                      <w:szCs w:val="24"/>
                    </w:rPr>
                    <m:t>n</m:t>
                  </m:r>
                  <m:ctrlPr>
                    <w:rPr>
                      <w:rFonts w:ascii="Cambria Math" w:hAnsi="Cambria Math" w:cs="Times New Roman"/>
                      <w:i/>
                      <w:szCs w:val="24"/>
                    </w:rPr>
                  </m:ctrlPr>
                </m:e>
                <m:sub>
                  <m:r>
                    <m:rPr/>
                    <w:rPr>
                      <w:rFonts w:ascii="Cambria Math" w:hAnsi="Cambria Math" w:cs="Times New Roman"/>
                      <w:szCs w:val="24"/>
                    </w:rPr>
                    <m:t>e</m:t>
                  </m:r>
                  <m:ctrlPr>
                    <w:rPr>
                      <w:rFonts w:ascii="Cambria Math" w:hAnsi="Cambria Math" w:cs="Times New Roman"/>
                      <w:i/>
                      <w:szCs w:val="24"/>
                    </w:rPr>
                  </m:ctrlPr>
                </m:sub>
              </m:sSub>
              <m:ctrlPr>
                <w:rPr>
                  <w:rFonts w:ascii="Cambria Math" w:hAnsi="Cambria Math" w:cs="Times New Roman"/>
                  <w:szCs w:val="24"/>
                </w:rPr>
              </m:ctrlPr>
            </m:den>
          </m:f>
        </m:oMath>
      </m:oMathPara>
    </w:p>
    <w:p w14:paraId="6E270864">
      <w:pPr>
        <w:ind w:firstLine="519"/>
        <w:rPr>
          <w:rFonts w:cs="Times New Roman"/>
          <w:szCs w:val="24"/>
        </w:rPr>
      </w:pPr>
      <w:r>
        <w:rPr>
          <w:rFonts w:hint="eastAsia" w:cs="Times New Roman"/>
          <w:szCs w:val="24"/>
        </w:rPr>
        <w:t>矿区</w:t>
      </w:r>
      <w:r>
        <w:rPr>
          <w:rFonts w:cs="Times New Roman"/>
          <w:szCs w:val="24"/>
        </w:rPr>
        <w:t>平均水力坡度I为0.008，则u=3.2m/d×0.008/0.3=</w:t>
      </w:r>
      <w:r>
        <w:rPr>
          <w:rFonts w:cs="Times New Roman"/>
          <w:b/>
          <w:bCs/>
          <w:szCs w:val="24"/>
        </w:rPr>
        <w:t>0.085m/d</w:t>
      </w:r>
      <w:r>
        <w:rPr>
          <w:rFonts w:cs="Times New Roman"/>
          <w:szCs w:val="24"/>
        </w:rPr>
        <w:t>。</w:t>
      </w:r>
    </w:p>
    <w:p w14:paraId="6F9FEF0D">
      <w:pPr>
        <w:ind w:firstLine="519"/>
        <w:rPr>
          <w:rFonts w:cs="Times New Roman"/>
          <w:szCs w:val="24"/>
        </w:rPr>
      </w:pPr>
      <w:r>
        <w:rPr>
          <w:rFonts w:cs="Times New Roman"/>
          <w:szCs w:val="24"/>
        </w:rPr>
        <w:fldChar w:fldCharType="begin"/>
      </w:r>
      <w:r>
        <w:rPr>
          <w:rFonts w:cs="Times New Roman"/>
          <w:szCs w:val="24"/>
        </w:rPr>
        <w:instrText xml:space="preserve"> = 5 \* GB3 </w:instrText>
      </w:r>
      <w:r>
        <w:rPr>
          <w:rFonts w:cs="Times New Roman"/>
          <w:szCs w:val="24"/>
        </w:rPr>
        <w:fldChar w:fldCharType="separate"/>
      </w:r>
      <w:r>
        <w:rPr>
          <w:rFonts w:hint="eastAsia" w:ascii="宋体" w:hAnsi="宋体" w:cs="宋体"/>
          <w:szCs w:val="24"/>
        </w:rPr>
        <w:t>⑤</w:t>
      </w:r>
      <w:r>
        <w:rPr>
          <w:rFonts w:cs="Times New Roman"/>
          <w:szCs w:val="24"/>
        </w:rPr>
        <w:fldChar w:fldCharType="end"/>
      </w:r>
      <w:r>
        <w:rPr>
          <w:rFonts w:cs="Times New Roman"/>
          <w:szCs w:val="24"/>
        </w:rPr>
        <w:t>弥散系数</w:t>
      </w:r>
    </w:p>
    <w:p w14:paraId="23BA2B2C">
      <w:pPr>
        <w:ind w:firstLine="519"/>
        <w:rPr>
          <w:rFonts w:cs="Times New Roman"/>
          <w:szCs w:val="24"/>
        </w:rPr>
      </w:pPr>
      <w:r>
        <w:rPr>
          <w:rFonts w:cs="Times New Roman"/>
          <w:szCs w:val="24"/>
        </w:rPr>
        <w:t>弥散系数是污染物溶质运移的关键参数，地质介质中溶质运移主要受渗透系数在空间上变化的制约，即地质介质的结构影响。这一空间上变化影响到地下水流速，从而影响到溶质的对流与弥散。考虑到弥散系数的尺度效应问题，参考孔隙介质解析模型，结合本次评价的模型研究尺度大小，综合确定弥散度的取值应介于1-10之间，按照偏保守的评价原则，本次计算弥散度取10，由此计算项目场地内的纵向弥散系数：</w:t>
      </w:r>
    </w:p>
    <w:p w14:paraId="61DB580E">
      <w:pPr>
        <w:ind w:firstLine="519"/>
        <w:rPr>
          <w:rFonts w:cs="Times New Roman"/>
          <w:szCs w:val="24"/>
        </w:rPr>
      </w:pPr>
      <m:oMathPara>
        <m:oMath>
          <m:sSub>
            <m:sSubPr>
              <m:ctrlPr>
                <w:rPr>
                  <w:rFonts w:ascii="Cambria Math" w:hAnsi="Cambria Math" w:cs="Times New Roman"/>
                  <w:szCs w:val="24"/>
                </w:rPr>
              </m:ctrlPr>
            </m:sSubPr>
            <m:e>
              <m:r>
                <m:rPr/>
                <w:rPr>
                  <w:rFonts w:ascii="Cambria Math" w:hAnsi="Cambria Math" w:cs="Times New Roman"/>
                  <w:szCs w:val="24"/>
                </w:rPr>
                <m:t>D</m:t>
              </m:r>
              <m:ctrlPr>
                <w:rPr>
                  <w:rFonts w:ascii="Cambria Math" w:hAnsi="Cambria Math" w:cs="Times New Roman"/>
                  <w:szCs w:val="24"/>
                </w:rPr>
              </m:ctrlPr>
            </m:e>
            <m:sub>
              <m:r>
                <m:rPr/>
                <w:rPr>
                  <w:rFonts w:ascii="Cambria Math" w:hAnsi="Cambria Math" w:cs="Times New Roman"/>
                  <w:szCs w:val="24"/>
                </w:rPr>
                <m:t>L</m:t>
              </m:r>
              <m:ctrlPr>
                <w:rPr>
                  <w:rFonts w:ascii="Cambria Math" w:hAnsi="Cambria Math" w:cs="Times New Roman"/>
                  <w:szCs w:val="24"/>
                </w:rPr>
              </m:ctrlPr>
            </m:sub>
          </m:sSub>
          <m:r>
            <m:rPr/>
            <w:rPr>
              <w:rFonts w:ascii="Cambria Math" w:hAnsi="Cambria Math" w:cs="Times New Roman"/>
              <w:szCs w:val="24"/>
            </w:rPr>
            <m:t>=</m:t>
          </m:r>
          <m:sSub>
            <m:sSubPr>
              <m:ctrlPr>
                <w:rPr>
                  <w:rFonts w:ascii="Cambria Math" w:hAnsi="Cambria Math" w:cs="Times New Roman"/>
                  <w:i/>
                  <w:szCs w:val="24"/>
                </w:rPr>
              </m:ctrlPr>
            </m:sSubPr>
            <m:e>
              <m:r>
                <m:rPr/>
                <w:rPr>
                  <w:rFonts w:ascii="Cambria Math" w:hAnsi="Cambria Math" w:cs="Times New Roman"/>
                  <w:szCs w:val="24"/>
                </w:rPr>
                <m:t>α</m:t>
              </m:r>
              <m:ctrlPr>
                <w:rPr>
                  <w:rFonts w:ascii="Cambria Math" w:hAnsi="Cambria Math" w:cs="Times New Roman"/>
                  <w:i/>
                  <w:szCs w:val="24"/>
                </w:rPr>
              </m:ctrlPr>
            </m:e>
            <m:sub>
              <m:r>
                <m:rPr/>
                <w:rPr>
                  <w:rFonts w:ascii="Cambria Math" w:hAnsi="Cambria Math" w:cs="Times New Roman"/>
                  <w:szCs w:val="24"/>
                </w:rPr>
                <m:t>L</m:t>
              </m:r>
              <m:ctrlPr>
                <w:rPr>
                  <w:rFonts w:ascii="Cambria Math" w:hAnsi="Cambria Math" w:cs="Times New Roman"/>
                  <w:i/>
                  <w:szCs w:val="24"/>
                </w:rPr>
              </m:ctrlPr>
            </m:sub>
          </m:sSub>
          <m:r>
            <m:rPr/>
            <w:rPr>
              <w:rFonts w:ascii="Cambria Math" w:hAnsi="Cambria Math" w:cs="Times New Roman"/>
              <w:szCs w:val="24"/>
            </w:rPr>
            <m:t>×u</m:t>
          </m:r>
        </m:oMath>
      </m:oMathPara>
    </w:p>
    <w:p w14:paraId="760EB33F">
      <w:pPr>
        <w:ind w:firstLine="519"/>
        <w:rPr>
          <w:rFonts w:cs="Times New Roman"/>
          <w:szCs w:val="24"/>
        </w:rPr>
      </w:pPr>
      <w:r>
        <w:rPr>
          <w:rFonts w:cs="Times New Roman"/>
          <w:szCs w:val="24"/>
        </w:rPr>
        <w:t>式中：</w:t>
      </w:r>
    </w:p>
    <w:p w14:paraId="3B4F1584">
      <w:pPr>
        <w:ind w:firstLine="519"/>
        <w:rPr>
          <w:rFonts w:cs="Times New Roman"/>
          <w:szCs w:val="24"/>
        </w:rPr>
      </w:pPr>
      <m:oMath>
        <m:sSub>
          <m:sSubPr>
            <m:ctrlPr>
              <w:rPr>
                <w:rFonts w:ascii="Cambria Math" w:hAnsi="Cambria Math" w:cs="Times New Roman"/>
                <w:szCs w:val="24"/>
              </w:rPr>
            </m:ctrlPr>
          </m:sSubPr>
          <m:e>
            <m:r>
              <m:rPr/>
              <w:rPr>
                <w:rFonts w:ascii="Cambria Math" w:hAnsi="Cambria Math" w:cs="Times New Roman"/>
                <w:szCs w:val="24"/>
              </w:rPr>
              <m:t>D</m:t>
            </m:r>
            <m:ctrlPr>
              <w:rPr>
                <w:rFonts w:ascii="Cambria Math" w:hAnsi="Cambria Math" w:cs="Times New Roman"/>
                <w:szCs w:val="24"/>
              </w:rPr>
            </m:ctrlPr>
          </m:e>
          <m:sub>
            <m:r>
              <m:rPr/>
              <w:rPr>
                <w:rFonts w:ascii="Cambria Math" w:hAnsi="Cambria Math" w:cs="Times New Roman"/>
                <w:szCs w:val="24"/>
              </w:rPr>
              <m:t>L</m:t>
            </m:r>
            <m:ctrlPr>
              <w:rPr>
                <w:rFonts w:ascii="Cambria Math" w:hAnsi="Cambria Math" w:cs="Times New Roman"/>
                <w:szCs w:val="24"/>
              </w:rPr>
            </m:ctrlPr>
          </m:sub>
        </m:sSub>
      </m:oMath>
      <w:r>
        <w:rPr>
          <w:rFonts w:cs="Times New Roman"/>
          <w:szCs w:val="24"/>
        </w:rPr>
        <w:t>—土层中的纵向弥散系数（m</w:t>
      </w:r>
      <w:r>
        <w:rPr>
          <w:rFonts w:cs="Times New Roman"/>
          <w:szCs w:val="24"/>
          <w:vertAlign w:val="superscript"/>
        </w:rPr>
        <w:t>2</w:t>
      </w:r>
      <w:r>
        <w:rPr>
          <w:rFonts w:cs="Times New Roman"/>
          <w:szCs w:val="24"/>
        </w:rPr>
        <w:t>/d）；</w:t>
      </w:r>
    </w:p>
    <w:p w14:paraId="1DE48870">
      <w:pPr>
        <w:ind w:firstLine="519"/>
        <w:rPr>
          <w:rFonts w:cs="Times New Roman"/>
          <w:szCs w:val="24"/>
        </w:rPr>
      </w:pPr>
      <m:oMath>
        <m:sSub>
          <m:sSubPr>
            <m:ctrlPr>
              <w:rPr>
                <w:rFonts w:ascii="Cambria Math" w:hAnsi="Cambria Math" w:cs="Times New Roman"/>
                <w:i/>
                <w:szCs w:val="24"/>
              </w:rPr>
            </m:ctrlPr>
          </m:sSubPr>
          <m:e>
            <m:r>
              <m:rPr/>
              <w:rPr>
                <w:rFonts w:ascii="Cambria Math" w:hAnsi="Cambria Math" w:cs="Times New Roman"/>
                <w:szCs w:val="24"/>
              </w:rPr>
              <m:t>α</m:t>
            </m:r>
            <m:ctrlPr>
              <w:rPr>
                <w:rFonts w:ascii="Cambria Math" w:hAnsi="Cambria Math" w:cs="Times New Roman"/>
                <w:i/>
                <w:szCs w:val="24"/>
              </w:rPr>
            </m:ctrlPr>
          </m:e>
          <m:sub>
            <m:r>
              <m:rPr/>
              <w:rPr>
                <w:rFonts w:ascii="Cambria Math" w:hAnsi="Cambria Math" w:cs="Times New Roman"/>
                <w:szCs w:val="24"/>
              </w:rPr>
              <m:t>L</m:t>
            </m:r>
            <m:ctrlPr>
              <w:rPr>
                <w:rFonts w:ascii="Cambria Math" w:hAnsi="Cambria Math" w:cs="Times New Roman"/>
                <w:i/>
                <w:szCs w:val="24"/>
              </w:rPr>
            </m:ctrlPr>
          </m:sub>
        </m:sSub>
      </m:oMath>
      <w:r>
        <w:rPr>
          <w:rFonts w:cs="Times New Roman"/>
          <w:szCs w:val="24"/>
        </w:rPr>
        <w:t>—土层中的弥散度（m）；</w:t>
      </w:r>
    </w:p>
    <w:p w14:paraId="36356A06">
      <w:pPr>
        <w:ind w:firstLine="519"/>
        <w:rPr>
          <w:rFonts w:cs="Times New Roman"/>
          <w:szCs w:val="24"/>
        </w:rPr>
      </w:pPr>
      <w:r>
        <w:rPr>
          <w:rFonts w:cs="Times New Roman"/>
          <w:szCs w:val="24"/>
        </w:rPr>
        <w:t>u—土层中的地下水的流速（m/d）。</w:t>
      </w:r>
    </w:p>
    <w:p w14:paraId="38EF5F94">
      <w:pPr>
        <w:ind w:firstLine="519"/>
        <w:rPr>
          <w:rFonts w:cs="Times New Roman"/>
          <w:szCs w:val="24"/>
        </w:rPr>
      </w:pPr>
      <w:r>
        <w:rPr>
          <w:rFonts w:cs="Times New Roman"/>
          <w:szCs w:val="24"/>
        </w:rPr>
        <w:t>按照上式计算可得：</w:t>
      </w:r>
    </w:p>
    <w:p w14:paraId="1459B0B4">
      <w:pPr>
        <w:ind w:firstLine="519"/>
        <w:rPr>
          <w:rFonts w:cs="Times New Roman"/>
          <w:szCs w:val="24"/>
        </w:rPr>
      </w:pPr>
      <w:r>
        <w:rPr>
          <w:rFonts w:cs="Times New Roman"/>
          <w:szCs w:val="24"/>
        </w:rPr>
        <w:t>采卤场的纵向弥散系数</w:t>
      </w:r>
      <m:oMath>
        <m:sSub>
          <m:sSubPr>
            <m:ctrlPr>
              <w:rPr>
                <w:rFonts w:ascii="Cambria Math" w:hAnsi="Cambria Math" w:cs="Times New Roman"/>
                <w:szCs w:val="24"/>
              </w:rPr>
            </m:ctrlPr>
          </m:sSubPr>
          <m:e>
            <m:r>
              <m:rPr/>
              <w:rPr>
                <w:rFonts w:ascii="Cambria Math" w:hAnsi="Cambria Math" w:cs="Times New Roman"/>
                <w:szCs w:val="24"/>
              </w:rPr>
              <m:t>D</m:t>
            </m:r>
            <m:ctrlPr>
              <w:rPr>
                <w:rFonts w:ascii="Cambria Math" w:hAnsi="Cambria Math" w:cs="Times New Roman"/>
                <w:szCs w:val="24"/>
              </w:rPr>
            </m:ctrlPr>
          </m:e>
          <m:sub>
            <m:r>
              <m:rPr/>
              <w:rPr>
                <w:rFonts w:ascii="Cambria Math" w:hAnsi="Cambria Math" w:cs="Times New Roman"/>
                <w:szCs w:val="24"/>
              </w:rPr>
              <m:t>L</m:t>
            </m:r>
            <m:ctrlPr>
              <w:rPr>
                <w:rFonts w:ascii="Cambria Math" w:hAnsi="Cambria Math" w:cs="Times New Roman"/>
                <w:szCs w:val="24"/>
              </w:rPr>
            </m:ctrlPr>
          </m:sub>
        </m:sSub>
      </m:oMath>
      <w:r>
        <w:rPr>
          <w:rFonts w:cs="Times New Roman"/>
          <w:b/>
          <w:bCs/>
          <w:szCs w:val="24"/>
        </w:rPr>
        <w:t>=0.85m</w:t>
      </w:r>
      <w:r>
        <w:rPr>
          <w:rFonts w:cs="Times New Roman"/>
          <w:b/>
          <w:bCs/>
          <w:szCs w:val="24"/>
          <w:vertAlign w:val="superscript"/>
        </w:rPr>
        <w:t>2</w:t>
      </w:r>
      <w:r>
        <w:rPr>
          <w:rFonts w:cs="Times New Roman"/>
          <w:b/>
          <w:bCs/>
          <w:szCs w:val="24"/>
        </w:rPr>
        <w:t>/d</w:t>
      </w:r>
      <w:r>
        <w:rPr>
          <w:rFonts w:cs="Times New Roman"/>
          <w:szCs w:val="24"/>
        </w:rPr>
        <w:t>。</w:t>
      </w:r>
    </w:p>
    <w:p w14:paraId="3264AEB0">
      <w:pPr>
        <w:ind w:firstLine="519"/>
        <w:rPr>
          <w:rFonts w:cs="Times New Roman"/>
          <w:szCs w:val="24"/>
        </w:rPr>
      </w:pPr>
      <w:r>
        <w:rPr>
          <w:rFonts w:cs="Times New Roman"/>
          <w:szCs w:val="24"/>
        </w:rPr>
        <w:fldChar w:fldCharType="begin"/>
      </w:r>
      <w:r>
        <w:rPr>
          <w:rFonts w:cs="Times New Roman"/>
          <w:szCs w:val="24"/>
        </w:rPr>
        <w:instrText xml:space="preserve"> = 6 \* GB3 </w:instrText>
      </w:r>
      <w:r>
        <w:rPr>
          <w:rFonts w:cs="Times New Roman"/>
          <w:szCs w:val="24"/>
        </w:rPr>
        <w:fldChar w:fldCharType="separate"/>
      </w:r>
      <w:r>
        <w:rPr>
          <w:rFonts w:hint="eastAsia" w:ascii="宋体" w:hAnsi="宋体" w:cs="宋体"/>
          <w:szCs w:val="24"/>
        </w:rPr>
        <w:t>⑥</w:t>
      </w:r>
      <w:r>
        <w:rPr>
          <w:rFonts w:cs="Times New Roman"/>
          <w:szCs w:val="24"/>
        </w:rPr>
        <w:fldChar w:fldCharType="end"/>
      </w:r>
      <w:r>
        <w:rPr>
          <w:rFonts w:cs="Times New Roman"/>
          <w:szCs w:val="24"/>
        </w:rPr>
        <w:t>横向弥散系数D</w:t>
      </w:r>
      <w:r>
        <w:rPr>
          <w:rFonts w:cs="Times New Roman"/>
          <w:szCs w:val="24"/>
          <w:vertAlign w:val="subscript"/>
        </w:rPr>
        <w:t>T</w:t>
      </w:r>
    </w:p>
    <w:p w14:paraId="5D925F45">
      <w:pPr>
        <w:ind w:firstLine="519"/>
        <w:rPr>
          <w:rFonts w:cs="Times New Roman"/>
          <w:szCs w:val="24"/>
        </w:rPr>
      </w:pPr>
      <w:r>
        <w:rPr>
          <w:rFonts w:cs="Times New Roman"/>
          <w:szCs w:val="24"/>
        </w:rPr>
        <w:t>根据经验，横向弥散系数是纵向弥散系数的比值为0.1，因此</w:t>
      </w:r>
    </w:p>
    <w:p w14:paraId="0B7ADC79">
      <w:pPr>
        <w:ind w:firstLine="519"/>
        <w:rPr>
          <w:rFonts w:cs="Times New Roman"/>
          <w:szCs w:val="24"/>
        </w:rPr>
      </w:pPr>
      <w:r>
        <w:rPr>
          <w:rFonts w:cs="Times New Roman"/>
          <w:szCs w:val="24"/>
        </w:rPr>
        <w:t>采卤场</w:t>
      </w:r>
      <w:r>
        <w:rPr>
          <w:rFonts w:cs="Times New Roman"/>
          <w:b/>
          <w:bCs/>
          <w:szCs w:val="24"/>
        </w:rPr>
        <w:t>D</w:t>
      </w:r>
      <w:r>
        <w:rPr>
          <w:rFonts w:cs="Times New Roman"/>
          <w:b/>
          <w:bCs/>
          <w:szCs w:val="24"/>
          <w:vertAlign w:val="subscript"/>
        </w:rPr>
        <w:t>T</w:t>
      </w:r>
      <w:r>
        <w:rPr>
          <w:rFonts w:cs="Times New Roman"/>
          <w:b/>
          <w:bCs/>
          <w:szCs w:val="24"/>
        </w:rPr>
        <w:t>=0.085m</w:t>
      </w:r>
      <w:r>
        <w:rPr>
          <w:rFonts w:cs="Times New Roman"/>
          <w:b/>
          <w:bCs/>
          <w:szCs w:val="24"/>
          <w:vertAlign w:val="superscript"/>
        </w:rPr>
        <w:t>2</w:t>
      </w:r>
      <w:r>
        <w:rPr>
          <w:rFonts w:cs="Times New Roman"/>
          <w:b/>
          <w:bCs/>
          <w:szCs w:val="24"/>
        </w:rPr>
        <w:t>/d</w:t>
      </w:r>
    </w:p>
    <w:p w14:paraId="43FBF0F9">
      <w:pPr>
        <w:ind w:firstLine="519"/>
        <w:rPr>
          <w:rFonts w:cs="Times New Roman"/>
          <w:szCs w:val="24"/>
        </w:rPr>
      </w:pPr>
      <w:r>
        <w:rPr>
          <w:rFonts w:cs="Times New Roman"/>
          <w:szCs w:val="24"/>
        </w:rPr>
        <w:fldChar w:fldCharType="begin"/>
      </w:r>
      <w:r>
        <w:rPr>
          <w:rFonts w:cs="Times New Roman"/>
          <w:szCs w:val="24"/>
        </w:rPr>
        <w:instrText xml:space="preserve"> = 7 \* GB3 </w:instrText>
      </w:r>
      <w:r>
        <w:rPr>
          <w:rFonts w:cs="Times New Roman"/>
          <w:szCs w:val="24"/>
        </w:rPr>
        <w:fldChar w:fldCharType="separate"/>
      </w:r>
      <w:r>
        <w:rPr>
          <w:rFonts w:hint="eastAsia" w:ascii="宋体" w:hAnsi="宋体" w:cs="宋体"/>
          <w:szCs w:val="24"/>
        </w:rPr>
        <w:t>⑦</w:t>
      </w:r>
      <w:r>
        <w:rPr>
          <w:rFonts w:cs="Times New Roman"/>
          <w:szCs w:val="24"/>
        </w:rPr>
        <w:fldChar w:fldCharType="end"/>
      </w:r>
      <w:r>
        <w:rPr>
          <w:rFonts w:cs="Times New Roman"/>
          <w:szCs w:val="24"/>
        </w:rPr>
        <w:t>参数统计</w:t>
      </w:r>
    </w:p>
    <w:p w14:paraId="47375476">
      <w:pPr>
        <w:ind w:firstLine="519"/>
        <w:rPr>
          <w:rFonts w:cs="Times New Roman"/>
          <w:szCs w:val="24"/>
        </w:rPr>
      </w:pPr>
      <w:r>
        <w:rPr>
          <w:rFonts w:cs="Times New Roman"/>
          <w:szCs w:val="24"/>
        </w:rPr>
        <w:t>根据上述求得的各参数，估算得结果如下表所示。</w:t>
      </w:r>
    </w:p>
    <w:p w14:paraId="6F8CFC53">
      <w:pPr>
        <w:keepLines/>
        <w:ind w:firstLine="0" w:firstLineChars="0"/>
        <w:jc w:val="center"/>
        <w:outlineLvl w:val="4"/>
        <w:rPr>
          <w:rFonts w:cs="Times New Roman"/>
          <w:b/>
          <w:bCs/>
          <w:sz w:val="21"/>
          <w:szCs w:val="28"/>
        </w:rPr>
      </w:pPr>
      <w:r>
        <w:rPr>
          <w:rFonts w:cs="Times New Roman"/>
          <w:b/>
          <w:bCs/>
          <w:sz w:val="21"/>
          <w:szCs w:val="28"/>
        </w:rPr>
        <w:t>表5.2-2  地下水预测需用参数取值汇总表</w:t>
      </w:r>
    </w:p>
    <w:tbl>
      <w:tblPr>
        <w:tblStyle w:val="29"/>
        <w:tblW w:w="88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2464"/>
        <w:gridCol w:w="1276"/>
        <w:gridCol w:w="992"/>
        <w:gridCol w:w="824"/>
        <w:gridCol w:w="1134"/>
        <w:gridCol w:w="1134"/>
      </w:tblGrid>
      <w:tr w14:paraId="2A441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65" w:type="dxa"/>
            <w:tcBorders>
              <w:top w:val="single" w:color="auto" w:sz="12" w:space="0"/>
              <w:left w:val="single" w:color="auto" w:sz="12" w:space="0"/>
              <w:bottom w:val="single" w:color="auto" w:sz="4" w:space="0"/>
              <w:right w:val="single" w:color="auto" w:sz="4" w:space="0"/>
            </w:tcBorders>
            <w:vAlign w:val="center"/>
          </w:tcPr>
          <w:p w14:paraId="47A17C29">
            <w:pPr>
              <w:spacing w:line="240" w:lineRule="auto"/>
              <w:ind w:firstLine="0" w:firstLineChars="0"/>
              <w:jc w:val="center"/>
              <w:rPr>
                <w:rFonts w:cs="Times New Roman"/>
                <w:sz w:val="21"/>
              </w:rPr>
            </w:pPr>
            <w:r>
              <w:rPr>
                <w:rFonts w:cs="Times New Roman"/>
                <w:sz w:val="21"/>
              </w:rPr>
              <w:t>参数</w:t>
            </w:r>
          </w:p>
        </w:tc>
        <w:tc>
          <w:tcPr>
            <w:tcW w:w="2464" w:type="dxa"/>
            <w:tcBorders>
              <w:top w:val="single" w:color="auto" w:sz="12" w:space="0"/>
              <w:left w:val="single" w:color="auto" w:sz="4" w:space="0"/>
              <w:bottom w:val="single" w:color="auto" w:sz="4" w:space="0"/>
              <w:right w:val="single" w:color="auto" w:sz="4" w:space="0"/>
            </w:tcBorders>
            <w:vAlign w:val="center"/>
          </w:tcPr>
          <w:p w14:paraId="0993F3E7">
            <w:pPr>
              <w:spacing w:line="240" w:lineRule="auto"/>
              <w:ind w:firstLine="0" w:firstLineChars="0"/>
              <w:jc w:val="center"/>
              <w:rPr>
                <w:rFonts w:cs="Times New Roman"/>
                <w:sz w:val="21"/>
              </w:rPr>
            </w:pPr>
            <w:r>
              <w:rPr>
                <w:rFonts w:cs="Times New Roman"/>
                <w:sz w:val="21"/>
              </w:rPr>
              <w:t>M</w:t>
            </w:r>
          </w:p>
        </w:tc>
        <w:tc>
          <w:tcPr>
            <w:tcW w:w="1276" w:type="dxa"/>
            <w:tcBorders>
              <w:top w:val="single" w:color="auto" w:sz="12" w:space="0"/>
              <w:left w:val="single" w:color="auto" w:sz="4" w:space="0"/>
              <w:bottom w:val="single" w:color="auto" w:sz="4" w:space="0"/>
              <w:right w:val="single" w:color="auto" w:sz="4" w:space="0"/>
            </w:tcBorders>
            <w:vAlign w:val="center"/>
          </w:tcPr>
          <w:p w14:paraId="68FD9BD5">
            <w:pPr>
              <w:spacing w:line="240" w:lineRule="auto"/>
              <w:ind w:firstLine="0" w:firstLineChars="0"/>
              <w:jc w:val="center"/>
              <w:rPr>
                <w:rFonts w:cs="Times New Roman"/>
                <w:sz w:val="21"/>
              </w:rPr>
            </w:pPr>
            <w:r>
              <w:rPr>
                <w:rFonts w:cs="Times New Roman"/>
                <w:sz w:val="21"/>
              </w:rPr>
              <w:t>m</w:t>
            </w:r>
          </w:p>
        </w:tc>
        <w:tc>
          <w:tcPr>
            <w:tcW w:w="992" w:type="dxa"/>
            <w:tcBorders>
              <w:top w:val="single" w:color="auto" w:sz="12" w:space="0"/>
              <w:left w:val="single" w:color="auto" w:sz="4" w:space="0"/>
              <w:bottom w:val="single" w:color="auto" w:sz="4" w:space="0"/>
              <w:right w:val="single" w:color="auto" w:sz="4" w:space="0"/>
            </w:tcBorders>
            <w:vAlign w:val="center"/>
          </w:tcPr>
          <w:p w14:paraId="05016ADD">
            <w:pPr>
              <w:spacing w:line="240" w:lineRule="auto"/>
              <w:ind w:firstLine="0" w:firstLineChars="0"/>
              <w:jc w:val="center"/>
              <w:rPr>
                <w:rFonts w:cs="Times New Roman"/>
                <w:sz w:val="21"/>
              </w:rPr>
            </w:pPr>
            <w:r>
              <w:rPr>
                <w:rFonts w:cs="Times New Roman"/>
                <w:sz w:val="21"/>
              </w:rPr>
              <w:t>ne</w:t>
            </w:r>
          </w:p>
        </w:tc>
        <w:tc>
          <w:tcPr>
            <w:tcW w:w="824" w:type="dxa"/>
            <w:tcBorders>
              <w:top w:val="single" w:color="auto" w:sz="12" w:space="0"/>
              <w:left w:val="single" w:color="auto" w:sz="4" w:space="0"/>
              <w:bottom w:val="single" w:color="auto" w:sz="4" w:space="0"/>
              <w:right w:val="single" w:color="auto" w:sz="4" w:space="0"/>
            </w:tcBorders>
            <w:vAlign w:val="center"/>
          </w:tcPr>
          <w:p w14:paraId="0BCB4598">
            <w:pPr>
              <w:spacing w:line="240" w:lineRule="auto"/>
              <w:ind w:firstLine="0" w:firstLineChars="0"/>
              <w:jc w:val="center"/>
              <w:rPr>
                <w:rFonts w:cs="Times New Roman"/>
                <w:sz w:val="21"/>
              </w:rPr>
            </w:pPr>
            <w:r>
              <w:rPr>
                <w:rFonts w:cs="Times New Roman"/>
                <w:sz w:val="21"/>
              </w:rPr>
              <w:t>u</w:t>
            </w:r>
          </w:p>
        </w:tc>
        <w:tc>
          <w:tcPr>
            <w:tcW w:w="1134" w:type="dxa"/>
            <w:tcBorders>
              <w:top w:val="single" w:color="auto" w:sz="12" w:space="0"/>
              <w:left w:val="single" w:color="auto" w:sz="4" w:space="0"/>
              <w:bottom w:val="single" w:color="auto" w:sz="4" w:space="0"/>
              <w:right w:val="single" w:color="auto" w:sz="4" w:space="0"/>
            </w:tcBorders>
            <w:vAlign w:val="center"/>
          </w:tcPr>
          <w:p w14:paraId="77A2F2AE">
            <w:pPr>
              <w:spacing w:line="240" w:lineRule="auto"/>
              <w:ind w:firstLine="0" w:firstLineChars="0"/>
              <w:jc w:val="center"/>
              <w:rPr>
                <w:rFonts w:cs="Times New Roman"/>
                <w:sz w:val="21"/>
              </w:rPr>
            </w:pPr>
            <w:r>
              <w:rPr>
                <w:rFonts w:cs="Times New Roman"/>
                <w:sz w:val="21"/>
              </w:rPr>
              <w:t>D</w:t>
            </w:r>
            <w:r>
              <w:rPr>
                <w:rFonts w:cs="Times New Roman"/>
                <w:sz w:val="21"/>
                <w:vertAlign w:val="subscript"/>
              </w:rPr>
              <w:t>L</w:t>
            </w:r>
          </w:p>
        </w:tc>
        <w:tc>
          <w:tcPr>
            <w:tcW w:w="1134" w:type="dxa"/>
            <w:tcBorders>
              <w:top w:val="single" w:color="auto" w:sz="12" w:space="0"/>
              <w:left w:val="single" w:color="auto" w:sz="4" w:space="0"/>
              <w:bottom w:val="single" w:color="auto" w:sz="4" w:space="0"/>
              <w:right w:val="single" w:color="auto" w:sz="12" w:space="0"/>
            </w:tcBorders>
            <w:vAlign w:val="center"/>
          </w:tcPr>
          <w:p w14:paraId="44C4587D">
            <w:pPr>
              <w:spacing w:line="240" w:lineRule="auto"/>
              <w:ind w:firstLine="0" w:firstLineChars="0"/>
              <w:jc w:val="center"/>
              <w:rPr>
                <w:rFonts w:cs="Times New Roman"/>
                <w:sz w:val="21"/>
              </w:rPr>
            </w:pPr>
            <w:r>
              <w:rPr>
                <w:rFonts w:cs="Times New Roman"/>
                <w:sz w:val="21"/>
              </w:rPr>
              <w:t>D</w:t>
            </w:r>
            <w:r>
              <w:rPr>
                <w:rFonts w:cs="Times New Roman"/>
                <w:sz w:val="21"/>
                <w:vertAlign w:val="subscript"/>
              </w:rPr>
              <w:t>T</w:t>
            </w:r>
          </w:p>
        </w:tc>
      </w:tr>
      <w:tr w14:paraId="7652D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65" w:type="dxa"/>
            <w:tcBorders>
              <w:top w:val="single" w:color="auto" w:sz="4" w:space="0"/>
              <w:left w:val="single" w:color="auto" w:sz="12" w:space="0"/>
              <w:bottom w:val="single" w:color="auto" w:sz="4" w:space="0"/>
              <w:right w:val="single" w:color="auto" w:sz="4" w:space="0"/>
            </w:tcBorders>
            <w:vAlign w:val="center"/>
          </w:tcPr>
          <w:p w14:paraId="0E757642">
            <w:pPr>
              <w:spacing w:line="240" w:lineRule="auto"/>
              <w:ind w:firstLine="0" w:firstLineChars="0"/>
              <w:jc w:val="center"/>
              <w:rPr>
                <w:rFonts w:cs="Times New Roman"/>
                <w:sz w:val="21"/>
              </w:rPr>
            </w:pPr>
            <w:r>
              <w:rPr>
                <w:rFonts w:cs="Times New Roman"/>
                <w:sz w:val="21"/>
              </w:rPr>
              <w:t>含义</w:t>
            </w:r>
          </w:p>
        </w:tc>
        <w:tc>
          <w:tcPr>
            <w:tcW w:w="2464" w:type="dxa"/>
            <w:tcBorders>
              <w:top w:val="single" w:color="auto" w:sz="4" w:space="0"/>
              <w:left w:val="single" w:color="auto" w:sz="4" w:space="0"/>
              <w:bottom w:val="single" w:color="auto" w:sz="4" w:space="0"/>
              <w:right w:val="single" w:color="auto" w:sz="4" w:space="0"/>
            </w:tcBorders>
            <w:vAlign w:val="center"/>
          </w:tcPr>
          <w:p w14:paraId="35131401">
            <w:pPr>
              <w:spacing w:line="240" w:lineRule="auto"/>
              <w:ind w:firstLine="0" w:firstLineChars="0"/>
              <w:jc w:val="center"/>
              <w:rPr>
                <w:rFonts w:cs="Times New Roman"/>
                <w:sz w:val="21"/>
              </w:rPr>
            </w:pPr>
            <w:r>
              <w:rPr>
                <w:rFonts w:cs="Times New Roman"/>
                <w:sz w:val="21"/>
              </w:rPr>
              <w:t>长度为M的线源瞬时注入的示踪剂质量</w:t>
            </w:r>
          </w:p>
        </w:tc>
        <w:tc>
          <w:tcPr>
            <w:tcW w:w="1276" w:type="dxa"/>
            <w:tcBorders>
              <w:top w:val="single" w:color="auto" w:sz="4" w:space="0"/>
              <w:left w:val="single" w:color="auto" w:sz="4" w:space="0"/>
              <w:bottom w:val="single" w:color="auto" w:sz="4" w:space="0"/>
              <w:right w:val="single" w:color="auto" w:sz="4" w:space="0"/>
            </w:tcBorders>
            <w:vAlign w:val="center"/>
          </w:tcPr>
          <w:p w14:paraId="09B58494">
            <w:pPr>
              <w:spacing w:line="240" w:lineRule="auto"/>
              <w:ind w:firstLine="0" w:firstLineChars="0"/>
              <w:jc w:val="center"/>
              <w:rPr>
                <w:rFonts w:cs="Times New Roman"/>
                <w:sz w:val="21"/>
              </w:rPr>
            </w:pPr>
            <w:r>
              <w:rPr>
                <w:rFonts w:cs="Times New Roman"/>
                <w:sz w:val="21"/>
              </w:rPr>
              <w:t>含水层的厚度</w:t>
            </w:r>
          </w:p>
        </w:tc>
        <w:tc>
          <w:tcPr>
            <w:tcW w:w="992" w:type="dxa"/>
            <w:tcBorders>
              <w:top w:val="single" w:color="auto" w:sz="4" w:space="0"/>
              <w:left w:val="single" w:color="auto" w:sz="4" w:space="0"/>
              <w:bottom w:val="single" w:color="auto" w:sz="4" w:space="0"/>
              <w:right w:val="single" w:color="auto" w:sz="4" w:space="0"/>
            </w:tcBorders>
            <w:vAlign w:val="center"/>
          </w:tcPr>
          <w:p w14:paraId="7D9C5C6A">
            <w:pPr>
              <w:spacing w:line="240" w:lineRule="auto"/>
              <w:ind w:firstLine="0" w:firstLineChars="0"/>
              <w:jc w:val="center"/>
              <w:rPr>
                <w:rFonts w:cs="Times New Roman"/>
                <w:sz w:val="21"/>
              </w:rPr>
            </w:pPr>
            <w:r>
              <w:rPr>
                <w:rFonts w:cs="Times New Roman"/>
                <w:sz w:val="21"/>
              </w:rPr>
              <w:t>有效孔隙度</w:t>
            </w:r>
          </w:p>
        </w:tc>
        <w:tc>
          <w:tcPr>
            <w:tcW w:w="824" w:type="dxa"/>
            <w:tcBorders>
              <w:top w:val="single" w:color="auto" w:sz="4" w:space="0"/>
              <w:left w:val="single" w:color="auto" w:sz="4" w:space="0"/>
              <w:bottom w:val="single" w:color="auto" w:sz="4" w:space="0"/>
              <w:right w:val="single" w:color="auto" w:sz="4" w:space="0"/>
            </w:tcBorders>
            <w:vAlign w:val="center"/>
          </w:tcPr>
          <w:p w14:paraId="1B5D18B1">
            <w:pPr>
              <w:spacing w:line="240" w:lineRule="auto"/>
              <w:ind w:firstLine="0" w:firstLineChars="0"/>
              <w:jc w:val="center"/>
              <w:rPr>
                <w:rFonts w:cs="Times New Roman"/>
                <w:sz w:val="21"/>
              </w:rPr>
            </w:pPr>
            <w:r>
              <w:rPr>
                <w:rFonts w:cs="Times New Roman"/>
                <w:sz w:val="21"/>
              </w:rPr>
              <w:t>水流速度</w:t>
            </w:r>
          </w:p>
        </w:tc>
        <w:tc>
          <w:tcPr>
            <w:tcW w:w="1134" w:type="dxa"/>
            <w:tcBorders>
              <w:top w:val="single" w:color="auto" w:sz="4" w:space="0"/>
              <w:left w:val="single" w:color="auto" w:sz="4" w:space="0"/>
              <w:bottom w:val="single" w:color="auto" w:sz="4" w:space="0"/>
              <w:right w:val="single" w:color="auto" w:sz="4" w:space="0"/>
            </w:tcBorders>
            <w:vAlign w:val="center"/>
          </w:tcPr>
          <w:p w14:paraId="1B5C2440">
            <w:pPr>
              <w:spacing w:line="240" w:lineRule="auto"/>
              <w:ind w:firstLine="0" w:firstLineChars="0"/>
              <w:jc w:val="center"/>
              <w:rPr>
                <w:rFonts w:cs="Times New Roman"/>
                <w:sz w:val="21"/>
              </w:rPr>
            </w:pPr>
            <w:r>
              <w:rPr>
                <w:rFonts w:cs="Times New Roman"/>
                <w:sz w:val="21"/>
              </w:rPr>
              <w:t>纵向弥散系数</w:t>
            </w:r>
          </w:p>
        </w:tc>
        <w:tc>
          <w:tcPr>
            <w:tcW w:w="1134" w:type="dxa"/>
            <w:tcBorders>
              <w:top w:val="single" w:color="auto" w:sz="4" w:space="0"/>
              <w:left w:val="single" w:color="auto" w:sz="4" w:space="0"/>
              <w:bottom w:val="single" w:color="auto" w:sz="4" w:space="0"/>
              <w:right w:val="single" w:color="auto" w:sz="12" w:space="0"/>
            </w:tcBorders>
            <w:vAlign w:val="center"/>
          </w:tcPr>
          <w:p w14:paraId="0E10A938">
            <w:pPr>
              <w:spacing w:line="240" w:lineRule="auto"/>
              <w:ind w:firstLine="0" w:firstLineChars="0"/>
              <w:jc w:val="center"/>
              <w:rPr>
                <w:rFonts w:cs="Times New Roman"/>
                <w:sz w:val="21"/>
              </w:rPr>
            </w:pPr>
            <w:r>
              <w:rPr>
                <w:rFonts w:cs="Times New Roman"/>
                <w:sz w:val="21"/>
              </w:rPr>
              <w:t>横向弥散系数</w:t>
            </w:r>
          </w:p>
        </w:tc>
      </w:tr>
      <w:tr w14:paraId="26541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65" w:type="dxa"/>
            <w:tcBorders>
              <w:top w:val="single" w:color="auto" w:sz="4" w:space="0"/>
              <w:left w:val="single" w:color="auto" w:sz="12" w:space="0"/>
              <w:bottom w:val="single" w:color="auto" w:sz="4" w:space="0"/>
              <w:right w:val="single" w:color="auto" w:sz="4" w:space="0"/>
            </w:tcBorders>
            <w:vAlign w:val="center"/>
          </w:tcPr>
          <w:p w14:paraId="0CE81777">
            <w:pPr>
              <w:spacing w:line="240" w:lineRule="auto"/>
              <w:ind w:firstLine="0" w:firstLineChars="0"/>
              <w:jc w:val="center"/>
              <w:rPr>
                <w:rFonts w:cs="Times New Roman"/>
                <w:sz w:val="21"/>
              </w:rPr>
            </w:pPr>
            <w:r>
              <w:rPr>
                <w:rFonts w:cs="Times New Roman"/>
                <w:sz w:val="21"/>
              </w:rPr>
              <w:t>单位</w:t>
            </w:r>
          </w:p>
        </w:tc>
        <w:tc>
          <w:tcPr>
            <w:tcW w:w="2464" w:type="dxa"/>
            <w:tcBorders>
              <w:top w:val="single" w:color="auto" w:sz="4" w:space="0"/>
              <w:left w:val="single" w:color="auto" w:sz="4" w:space="0"/>
              <w:bottom w:val="single" w:color="auto" w:sz="4" w:space="0"/>
              <w:right w:val="single" w:color="auto" w:sz="4" w:space="0"/>
            </w:tcBorders>
            <w:vAlign w:val="center"/>
          </w:tcPr>
          <w:p w14:paraId="742A95E7">
            <w:pPr>
              <w:spacing w:line="240" w:lineRule="auto"/>
              <w:ind w:firstLine="0" w:firstLineChars="0"/>
              <w:jc w:val="center"/>
              <w:rPr>
                <w:rFonts w:cs="Times New Roman"/>
                <w:sz w:val="21"/>
              </w:rPr>
            </w:pPr>
            <w:r>
              <w:rPr>
                <w:rFonts w:cs="Times New Roman"/>
                <w:sz w:val="21"/>
              </w:rPr>
              <w:t>g</w:t>
            </w:r>
          </w:p>
        </w:tc>
        <w:tc>
          <w:tcPr>
            <w:tcW w:w="1276" w:type="dxa"/>
            <w:tcBorders>
              <w:top w:val="single" w:color="auto" w:sz="4" w:space="0"/>
              <w:left w:val="single" w:color="auto" w:sz="4" w:space="0"/>
              <w:bottom w:val="single" w:color="auto" w:sz="4" w:space="0"/>
              <w:right w:val="single" w:color="auto" w:sz="4" w:space="0"/>
            </w:tcBorders>
            <w:vAlign w:val="center"/>
          </w:tcPr>
          <w:p w14:paraId="79668DFF">
            <w:pPr>
              <w:spacing w:line="240" w:lineRule="auto"/>
              <w:ind w:firstLine="0" w:firstLineChars="0"/>
              <w:jc w:val="center"/>
              <w:rPr>
                <w:rFonts w:cs="Times New Roman"/>
                <w:sz w:val="21"/>
              </w:rPr>
            </w:pPr>
            <w:r>
              <w:rPr>
                <w:rFonts w:cs="Times New Roman"/>
                <w:sz w:val="21"/>
              </w:rPr>
              <w:t>m</w:t>
            </w:r>
          </w:p>
        </w:tc>
        <w:tc>
          <w:tcPr>
            <w:tcW w:w="992" w:type="dxa"/>
            <w:tcBorders>
              <w:top w:val="single" w:color="auto" w:sz="4" w:space="0"/>
              <w:left w:val="single" w:color="auto" w:sz="4" w:space="0"/>
              <w:bottom w:val="single" w:color="auto" w:sz="4" w:space="0"/>
              <w:right w:val="single" w:color="auto" w:sz="4" w:space="0"/>
            </w:tcBorders>
            <w:vAlign w:val="center"/>
          </w:tcPr>
          <w:p w14:paraId="6B3E8B3A">
            <w:pPr>
              <w:spacing w:line="240" w:lineRule="auto"/>
              <w:ind w:firstLine="0" w:firstLineChars="0"/>
              <w:jc w:val="center"/>
              <w:rPr>
                <w:rFonts w:cs="Times New Roman"/>
                <w:sz w:val="21"/>
              </w:rPr>
            </w:pPr>
            <w:r>
              <w:rPr>
                <w:rFonts w:cs="Times New Roman"/>
                <w:sz w:val="21"/>
              </w:rPr>
              <w:t>无量纲</w:t>
            </w:r>
          </w:p>
        </w:tc>
        <w:tc>
          <w:tcPr>
            <w:tcW w:w="824" w:type="dxa"/>
            <w:tcBorders>
              <w:top w:val="single" w:color="auto" w:sz="4" w:space="0"/>
              <w:left w:val="single" w:color="auto" w:sz="4" w:space="0"/>
              <w:bottom w:val="single" w:color="auto" w:sz="4" w:space="0"/>
              <w:right w:val="single" w:color="auto" w:sz="4" w:space="0"/>
            </w:tcBorders>
            <w:vAlign w:val="center"/>
          </w:tcPr>
          <w:p w14:paraId="65CDBAFA">
            <w:pPr>
              <w:spacing w:line="240" w:lineRule="auto"/>
              <w:ind w:firstLine="0" w:firstLineChars="0"/>
              <w:jc w:val="center"/>
              <w:rPr>
                <w:rFonts w:cs="Times New Roman"/>
                <w:sz w:val="21"/>
              </w:rPr>
            </w:pPr>
            <w:r>
              <w:rPr>
                <w:rFonts w:cs="Times New Roman"/>
                <w:sz w:val="21"/>
              </w:rPr>
              <w:t>m/d</w:t>
            </w:r>
          </w:p>
        </w:tc>
        <w:tc>
          <w:tcPr>
            <w:tcW w:w="1134" w:type="dxa"/>
            <w:tcBorders>
              <w:top w:val="single" w:color="auto" w:sz="4" w:space="0"/>
              <w:left w:val="single" w:color="auto" w:sz="4" w:space="0"/>
              <w:bottom w:val="single" w:color="auto" w:sz="4" w:space="0"/>
              <w:right w:val="single" w:color="auto" w:sz="4" w:space="0"/>
            </w:tcBorders>
            <w:vAlign w:val="center"/>
          </w:tcPr>
          <w:p w14:paraId="3F34522F">
            <w:pPr>
              <w:spacing w:line="240" w:lineRule="auto"/>
              <w:ind w:firstLine="0" w:firstLineChars="0"/>
              <w:jc w:val="center"/>
              <w:rPr>
                <w:rFonts w:cs="Times New Roman"/>
                <w:sz w:val="21"/>
              </w:rPr>
            </w:pPr>
            <w:r>
              <w:rPr>
                <w:rFonts w:cs="Times New Roman"/>
                <w:sz w:val="21"/>
              </w:rPr>
              <w:t>m</w:t>
            </w:r>
            <w:r>
              <w:rPr>
                <w:rFonts w:cs="Times New Roman"/>
                <w:sz w:val="21"/>
                <w:vertAlign w:val="superscript"/>
              </w:rPr>
              <w:t>2</w:t>
            </w:r>
            <w:r>
              <w:rPr>
                <w:rFonts w:cs="Times New Roman"/>
                <w:sz w:val="21"/>
              </w:rPr>
              <w:t>/d</w:t>
            </w:r>
          </w:p>
        </w:tc>
        <w:tc>
          <w:tcPr>
            <w:tcW w:w="1134" w:type="dxa"/>
            <w:tcBorders>
              <w:top w:val="single" w:color="auto" w:sz="4" w:space="0"/>
              <w:left w:val="single" w:color="auto" w:sz="4" w:space="0"/>
              <w:bottom w:val="single" w:color="auto" w:sz="4" w:space="0"/>
              <w:right w:val="single" w:color="auto" w:sz="12" w:space="0"/>
            </w:tcBorders>
            <w:vAlign w:val="center"/>
          </w:tcPr>
          <w:p w14:paraId="71C6A042">
            <w:pPr>
              <w:spacing w:line="240" w:lineRule="auto"/>
              <w:ind w:firstLine="0" w:firstLineChars="0"/>
              <w:jc w:val="center"/>
              <w:rPr>
                <w:rFonts w:cs="Times New Roman"/>
                <w:sz w:val="21"/>
              </w:rPr>
            </w:pPr>
            <w:r>
              <w:rPr>
                <w:rFonts w:cs="Times New Roman"/>
                <w:sz w:val="21"/>
              </w:rPr>
              <w:t>m</w:t>
            </w:r>
            <w:r>
              <w:rPr>
                <w:rFonts w:cs="Times New Roman"/>
                <w:sz w:val="21"/>
                <w:vertAlign w:val="superscript"/>
              </w:rPr>
              <w:t>2</w:t>
            </w:r>
            <w:r>
              <w:rPr>
                <w:rFonts w:cs="Times New Roman"/>
                <w:sz w:val="21"/>
              </w:rPr>
              <w:t>/d</w:t>
            </w:r>
          </w:p>
        </w:tc>
      </w:tr>
      <w:tr w14:paraId="262CC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65" w:type="dxa"/>
            <w:tcBorders>
              <w:top w:val="single" w:color="auto" w:sz="4" w:space="0"/>
              <w:left w:val="single" w:color="auto" w:sz="12" w:space="0"/>
              <w:bottom w:val="single" w:color="auto" w:sz="4" w:space="0"/>
              <w:right w:val="single" w:color="auto" w:sz="4" w:space="0"/>
            </w:tcBorders>
            <w:vAlign w:val="center"/>
          </w:tcPr>
          <w:p w14:paraId="1255EE0A">
            <w:pPr>
              <w:spacing w:line="240" w:lineRule="auto"/>
              <w:ind w:firstLine="0" w:firstLineChars="0"/>
              <w:jc w:val="center"/>
              <w:rPr>
                <w:rFonts w:cs="Times New Roman"/>
                <w:sz w:val="21"/>
              </w:rPr>
            </w:pPr>
            <w:r>
              <w:rPr>
                <w:rFonts w:cs="Times New Roman"/>
                <w:sz w:val="21"/>
              </w:rPr>
              <w:t>卤水池</w:t>
            </w:r>
          </w:p>
        </w:tc>
        <w:tc>
          <w:tcPr>
            <w:tcW w:w="2464" w:type="dxa"/>
            <w:tcBorders>
              <w:top w:val="single" w:color="auto" w:sz="4" w:space="0"/>
              <w:left w:val="single" w:color="auto" w:sz="4" w:space="0"/>
              <w:bottom w:val="single" w:color="auto" w:sz="4" w:space="0"/>
              <w:right w:val="single" w:color="auto" w:sz="4" w:space="0"/>
            </w:tcBorders>
            <w:vAlign w:val="center"/>
          </w:tcPr>
          <w:p w14:paraId="0D55CF41">
            <w:pPr>
              <w:spacing w:line="240" w:lineRule="auto"/>
              <w:ind w:firstLine="0" w:firstLineChars="0"/>
              <w:jc w:val="center"/>
              <w:rPr>
                <w:rFonts w:cs="Times New Roman"/>
                <w:sz w:val="21"/>
                <w:szCs w:val="21"/>
              </w:rPr>
            </w:pPr>
            <w:r>
              <w:rPr>
                <w:rFonts w:cs="Times New Roman"/>
                <w:sz w:val="21"/>
                <w:szCs w:val="21"/>
              </w:rPr>
              <w:t>Cl</w:t>
            </w:r>
            <w:r>
              <w:rPr>
                <w:rFonts w:cs="Times New Roman"/>
                <w:sz w:val="21"/>
                <w:szCs w:val="21"/>
                <w:vertAlign w:val="superscript"/>
              </w:rPr>
              <w:t>-</w:t>
            </w:r>
            <w:r>
              <w:rPr>
                <w:rFonts w:cs="Times New Roman"/>
                <w:sz w:val="21"/>
                <w:szCs w:val="21"/>
              </w:rPr>
              <w:t xml:space="preserve"> 2900000g</w:t>
            </w:r>
          </w:p>
          <w:p w14:paraId="74D7497B">
            <w:pPr>
              <w:spacing w:line="240" w:lineRule="auto"/>
              <w:ind w:firstLine="0" w:firstLineChars="0"/>
              <w:jc w:val="center"/>
              <w:rPr>
                <w:rFonts w:cs="Times New Roman"/>
                <w:sz w:val="21"/>
                <w:szCs w:val="21"/>
              </w:rPr>
            </w:pPr>
            <w:r>
              <w:rPr>
                <w:rFonts w:cs="Times New Roman"/>
                <w:sz w:val="21"/>
                <w:szCs w:val="21"/>
              </w:rPr>
              <w:t>SO</w:t>
            </w:r>
            <w:r>
              <w:rPr>
                <w:rFonts w:cs="Times New Roman"/>
                <w:sz w:val="21"/>
                <w:szCs w:val="21"/>
                <w:vertAlign w:val="subscript"/>
              </w:rPr>
              <w:t>4</w:t>
            </w:r>
            <w:r>
              <w:rPr>
                <w:rFonts w:cs="Times New Roman"/>
                <w:sz w:val="21"/>
                <w:szCs w:val="21"/>
                <w:vertAlign w:val="superscript"/>
              </w:rPr>
              <w:t>2-</w:t>
            </w:r>
            <w:r>
              <w:rPr>
                <w:rFonts w:cs="Times New Roman"/>
                <w:sz w:val="21"/>
                <w:szCs w:val="21"/>
              </w:rPr>
              <w:t xml:space="preserve"> 190000g</w:t>
            </w:r>
          </w:p>
        </w:tc>
        <w:tc>
          <w:tcPr>
            <w:tcW w:w="1276" w:type="dxa"/>
            <w:vMerge w:val="restart"/>
            <w:tcBorders>
              <w:top w:val="single" w:color="auto" w:sz="4" w:space="0"/>
              <w:left w:val="single" w:color="auto" w:sz="4" w:space="0"/>
              <w:right w:val="single" w:color="auto" w:sz="4" w:space="0"/>
            </w:tcBorders>
            <w:vAlign w:val="center"/>
          </w:tcPr>
          <w:p w14:paraId="5B80144F">
            <w:pPr>
              <w:spacing w:line="240" w:lineRule="auto"/>
              <w:ind w:firstLine="0" w:firstLineChars="0"/>
              <w:jc w:val="center"/>
              <w:rPr>
                <w:rFonts w:cs="Times New Roman"/>
                <w:sz w:val="21"/>
              </w:rPr>
            </w:pPr>
            <w:r>
              <w:rPr>
                <w:rFonts w:cs="Times New Roman"/>
                <w:sz w:val="21"/>
              </w:rPr>
              <w:t>7.5</w:t>
            </w:r>
          </w:p>
        </w:tc>
        <w:tc>
          <w:tcPr>
            <w:tcW w:w="992" w:type="dxa"/>
            <w:vMerge w:val="restart"/>
            <w:tcBorders>
              <w:top w:val="single" w:color="auto" w:sz="4" w:space="0"/>
              <w:left w:val="single" w:color="auto" w:sz="4" w:space="0"/>
              <w:right w:val="single" w:color="auto" w:sz="4" w:space="0"/>
            </w:tcBorders>
            <w:vAlign w:val="center"/>
          </w:tcPr>
          <w:p w14:paraId="5C7EC1AC">
            <w:pPr>
              <w:spacing w:line="240" w:lineRule="auto"/>
              <w:ind w:firstLine="0" w:firstLineChars="0"/>
              <w:jc w:val="center"/>
              <w:rPr>
                <w:rFonts w:cs="Times New Roman"/>
                <w:sz w:val="21"/>
              </w:rPr>
            </w:pPr>
            <w:r>
              <w:rPr>
                <w:rFonts w:cs="Times New Roman"/>
                <w:sz w:val="21"/>
              </w:rPr>
              <w:t>0.3</w:t>
            </w:r>
          </w:p>
        </w:tc>
        <w:tc>
          <w:tcPr>
            <w:tcW w:w="824" w:type="dxa"/>
            <w:vMerge w:val="restart"/>
            <w:tcBorders>
              <w:top w:val="single" w:color="auto" w:sz="4" w:space="0"/>
              <w:left w:val="single" w:color="auto" w:sz="4" w:space="0"/>
              <w:right w:val="single" w:color="auto" w:sz="4" w:space="0"/>
            </w:tcBorders>
            <w:vAlign w:val="center"/>
          </w:tcPr>
          <w:p w14:paraId="33E5F49D">
            <w:pPr>
              <w:spacing w:line="240" w:lineRule="auto"/>
              <w:ind w:firstLine="0" w:firstLineChars="0"/>
              <w:jc w:val="center"/>
              <w:rPr>
                <w:rFonts w:cs="Times New Roman"/>
                <w:sz w:val="21"/>
              </w:rPr>
            </w:pPr>
            <w:r>
              <w:rPr>
                <w:rFonts w:cs="Times New Roman"/>
                <w:sz w:val="21"/>
              </w:rPr>
              <w:t>0.085</w:t>
            </w:r>
          </w:p>
        </w:tc>
        <w:tc>
          <w:tcPr>
            <w:tcW w:w="1134" w:type="dxa"/>
            <w:vMerge w:val="restart"/>
            <w:tcBorders>
              <w:top w:val="single" w:color="auto" w:sz="4" w:space="0"/>
              <w:left w:val="single" w:color="auto" w:sz="4" w:space="0"/>
              <w:right w:val="single" w:color="auto" w:sz="4" w:space="0"/>
            </w:tcBorders>
            <w:vAlign w:val="center"/>
          </w:tcPr>
          <w:p w14:paraId="0F3E0432">
            <w:pPr>
              <w:spacing w:line="240" w:lineRule="auto"/>
              <w:ind w:firstLine="0" w:firstLineChars="0"/>
              <w:jc w:val="center"/>
              <w:rPr>
                <w:rFonts w:cs="Times New Roman"/>
                <w:sz w:val="21"/>
              </w:rPr>
            </w:pPr>
            <w:r>
              <w:rPr>
                <w:rFonts w:cs="Times New Roman"/>
                <w:sz w:val="21"/>
              </w:rPr>
              <w:t>0.85</w:t>
            </w:r>
          </w:p>
        </w:tc>
        <w:tc>
          <w:tcPr>
            <w:tcW w:w="1134" w:type="dxa"/>
            <w:vMerge w:val="restart"/>
            <w:tcBorders>
              <w:top w:val="single" w:color="auto" w:sz="4" w:space="0"/>
              <w:left w:val="single" w:color="auto" w:sz="4" w:space="0"/>
              <w:right w:val="single" w:color="auto" w:sz="12" w:space="0"/>
            </w:tcBorders>
            <w:vAlign w:val="center"/>
          </w:tcPr>
          <w:p w14:paraId="6F4E5F31">
            <w:pPr>
              <w:spacing w:line="240" w:lineRule="auto"/>
              <w:ind w:firstLine="0" w:firstLineChars="0"/>
              <w:jc w:val="center"/>
              <w:rPr>
                <w:rFonts w:cs="Times New Roman"/>
                <w:sz w:val="21"/>
              </w:rPr>
            </w:pPr>
            <w:r>
              <w:rPr>
                <w:rFonts w:cs="Times New Roman"/>
                <w:sz w:val="21"/>
              </w:rPr>
              <w:t>0.085</w:t>
            </w:r>
          </w:p>
        </w:tc>
      </w:tr>
      <w:tr w14:paraId="2F8CB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65" w:type="dxa"/>
            <w:tcBorders>
              <w:top w:val="single" w:color="auto" w:sz="4" w:space="0"/>
              <w:left w:val="single" w:color="auto" w:sz="12" w:space="0"/>
              <w:bottom w:val="single" w:color="auto" w:sz="4" w:space="0"/>
              <w:right w:val="single" w:color="auto" w:sz="4" w:space="0"/>
            </w:tcBorders>
            <w:vAlign w:val="center"/>
          </w:tcPr>
          <w:p w14:paraId="217B05A7">
            <w:pPr>
              <w:spacing w:line="240" w:lineRule="auto"/>
              <w:ind w:firstLine="0" w:firstLineChars="0"/>
              <w:jc w:val="center"/>
              <w:rPr>
                <w:rFonts w:cs="Times New Roman"/>
                <w:sz w:val="21"/>
              </w:rPr>
            </w:pPr>
            <w:r>
              <w:rPr>
                <w:rFonts w:hint="eastAsia" w:cs="Times New Roman"/>
                <w:sz w:val="21"/>
              </w:rPr>
              <w:t>输卤管线</w:t>
            </w:r>
          </w:p>
        </w:tc>
        <w:tc>
          <w:tcPr>
            <w:tcW w:w="2464" w:type="dxa"/>
            <w:tcBorders>
              <w:top w:val="single" w:color="auto" w:sz="4" w:space="0"/>
              <w:left w:val="single" w:color="auto" w:sz="4" w:space="0"/>
              <w:bottom w:val="single" w:color="auto" w:sz="4" w:space="0"/>
              <w:right w:val="single" w:color="auto" w:sz="4" w:space="0"/>
            </w:tcBorders>
            <w:vAlign w:val="center"/>
          </w:tcPr>
          <w:p w14:paraId="12BF82A7">
            <w:pPr>
              <w:spacing w:line="240" w:lineRule="auto"/>
              <w:ind w:firstLine="0" w:firstLineChars="0"/>
              <w:jc w:val="center"/>
              <w:rPr>
                <w:rFonts w:cs="Times New Roman"/>
                <w:sz w:val="21"/>
                <w:szCs w:val="21"/>
              </w:rPr>
            </w:pPr>
            <w:r>
              <w:rPr>
                <w:rFonts w:cs="Times New Roman"/>
                <w:sz w:val="21"/>
                <w:szCs w:val="21"/>
              </w:rPr>
              <w:t>Cl- 2420000g</w:t>
            </w:r>
          </w:p>
          <w:p w14:paraId="6EE89443">
            <w:pPr>
              <w:spacing w:line="240" w:lineRule="auto"/>
              <w:ind w:firstLine="0" w:firstLineChars="0"/>
              <w:jc w:val="center"/>
              <w:rPr>
                <w:rFonts w:cs="Times New Roman"/>
                <w:sz w:val="21"/>
                <w:szCs w:val="21"/>
              </w:rPr>
            </w:pPr>
            <w:r>
              <w:rPr>
                <w:rFonts w:cs="Times New Roman"/>
                <w:sz w:val="21"/>
                <w:szCs w:val="21"/>
              </w:rPr>
              <w:t>SO</w:t>
            </w:r>
            <w:r>
              <w:rPr>
                <w:rFonts w:cs="Times New Roman"/>
                <w:sz w:val="21"/>
                <w:szCs w:val="21"/>
                <w:vertAlign w:val="subscript"/>
              </w:rPr>
              <w:t>4</w:t>
            </w:r>
            <w:r>
              <w:rPr>
                <w:rFonts w:cs="Times New Roman"/>
                <w:sz w:val="21"/>
                <w:szCs w:val="21"/>
                <w:vertAlign w:val="superscript"/>
              </w:rPr>
              <w:t>2-</w:t>
            </w:r>
            <w:r>
              <w:rPr>
                <w:rFonts w:cs="Times New Roman"/>
                <w:sz w:val="21"/>
                <w:szCs w:val="21"/>
              </w:rPr>
              <w:t xml:space="preserve"> 130000g</w:t>
            </w:r>
          </w:p>
        </w:tc>
        <w:tc>
          <w:tcPr>
            <w:tcW w:w="1276" w:type="dxa"/>
            <w:vMerge w:val="continue"/>
            <w:tcBorders>
              <w:left w:val="single" w:color="auto" w:sz="4" w:space="0"/>
              <w:right w:val="single" w:color="auto" w:sz="4" w:space="0"/>
            </w:tcBorders>
            <w:vAlign w:val="center"/>
          </w:tcPr>
          <w:p w14:paraId="310DAFBF">
            <w:pPr>
              <w:spacing w:line="240" w:lineRule="auto"/>
              <w:ind w:firstLine="0" w:firstLineChars="0"/>
              <w:jc w:val="center"/>
              <w:rPr>
                <w:rFonts w:cs="Times New Roman"/>
                <w:sz w:val="21"/>
              </w:rPr>
            </w:pPr>
          </w:p>
        </w:tc>
        <w:tc>
          <w:tcPr>
            <w:tcW w:w="992" w:type="dxa"/>
            <w:vMerge w:val="continue"/>
            <w:tcBorders>
              <w:left w:val="single" w:color="auto" w:sz="4" w:space="0"/>
              <w:right w:val="single" w:color="auto" w:sz="4" w:space="0"/>
            </w:tcBorders>
            <w:vAlign w:val="center"/>
          </w:tcPr>
          <w:p w14:paraId="73DE491B">
            <w:pPr>
              <w:spacing w:line="240" w:lineRule="auto"/>
              <w:ind w:firstLine="0" w:firstLineChars="0"/>
              <w:jc w:val="center"/>
              <w:rPr>
                <w:rFonts w:cs="Times New Roman"/>
                <w:sz w:val="21"/>
              </w:rPr>
            </w:pPr>
          </w:p>
        </w:tc>
        <w:tc>
          <w:tcPr>
            <w:tcW w:w="824" w:type="dxa"/>
            <w:vMerge w:val="continue"/>
            <w:tcBorders>
              <w:left w:val="single" w:color="auto" w:sz="4" w:space="0"/>
              <w:right w:val="single" w:color="auto" w:sz="4" w:space="0"/>
            </w:tcBorders>
            <w:vAlign w:val="center"/>
          </w:tcPr>
          <w:p w14:paraId="3F8ACC48">
            <w:pPr>
              <w:spacing w:line="240" w:lineRule="auto"/>
              <w:ind w:firstLine="0" w:firstLineChars="0"/>
              <w:jc w:val="center"/>
              <w:rPr>
                <w:rFonts w:cs="Times New Roman"/>
                <w:sz w:val="21"/>
              </w:rPr>
            </w:pPr>
          </w:p>
        </w:tc>
        <w:tc>
          <w:tcPr>
            <w:tcW w:w="1134" w:type="dxa"/>
            <w:vMerge w:val="continue"/>
            <w:tcBorders>
              <w:left w:val="single" w:color="auto" w:sz="4" w:space="0"/>
              <w:right w:val="single" w:color="auto" w:sz="4" w:space="0"/>
            </w:tcBorders>
            <w:vAlign w:val="center"/>
          </w:tcPr>
          <w:p w14:paraId="764C3DA6">
            <w:pPr>
              <w:spacing w:line="240" w:lineRule="auto"/>
              <w:ind w:firstLine="0" w:firstLineChars="0"/>
              <w:jc w:val="center"/>
              <w:rPr>
                <w:rFonts w:cs="Times New Roman"/>
                <w:sz w:val="21"/>
              </w:rPr>
            </w:pPr>
          </w:p>
        </w:tc>
        <w:tc>
          <w:tcPr>
            <w:tcW w:w="1134" w:type="dxa"/>
            <w:vMerge w:val="continue"/>
            <w:tcBorders>
              <w:left w:val="single" w:color="auto" w:sz="4" w:space="0"/>
              <w:right w:val="single" w:color="auto" w:sz="12" w:space="0"/>
            </w:tcBorders>
            <w:vAlign w:val="center"/>
          </w:tcPr>
          <w:p w14:paraId="19A5B192">
            <w:pPr>
              <w:spacing w:line="240" w:lineRule="auto"/>
              <w:ind w:firstLine="0" w:firstLineChars="0"/>
              <w:jc w:val="center"/>
              <w:rPr>
                <w:rFonts w:cs="Times New Roman"/>
                <w:sz w:val="21"/>
              </w:rPr>
            </w:pPr>
          </w:p>
        </w:tc>
      </w:tr>
      <w:tr w14:paraId="2BBB9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65" w:type="dxa"/>
            <w:tcBorders>
              <w:top w:val="single" w:color="auto" w:sz="4" w:space="0"/>
              <w:left w:val="single" w:color="auto" w:sz="12" w:space="0"/>
              <w:bottom w:val="single" w:color="auto" w:sz="12" w:space="0"/>
              <w:right w:val="single" w:color="auto" w:sz="4" w:space="0"/>
            </w:tcBorders>
            <w:vAlign w:val="center"/>
          </w:tcPr>
          <w:p w14:paraId="5BD0D800">
            <w:pPr>
              <w:spacing w:line="240" w:lineRule="auto"/>
              <w:ind w:firstLine="0" w:firstLineChars="0"/>
              <w:jc w:val="center"/>
              <w:rPr>
                <w:rFonts w:cs="Times New Roman"/>
                <w:sz w:val="21"/>
              </w:rPr>
            </w:pPr>
            <w:r>
              <w:rPr>
                <w:rFonts w:hint="eastAsia" w:cs="Times New Roman"/>
                <w:sz w:val="21"/>
              </w:rPr>
              <w:t>卤井</w:t>
            </w:r>
          </w:p>
        </w:tc>
        <w:tc>
          <w:tcPr>
            <w:tcW w:w="2464" w:type="dxa"/>
            <w:tcBorders>
              <w:top w:val="single" w:color="auto" w:sz="4" w:space="0"/>
              <w:left w:val="single" w:color="auto" w:sz="4" w:space="0"/>
              <w:bottom w:val="single" w:color="auto" w:sz="12" w:space="0"/>
              <w:right w:val="single" w:color="auto" w:sz="4" w:space="0"/>
            </w:tcBorders>
            <w:vAlign w:val="center"/>
          </w:tcPr>
          <w:p w14:paraId="658CE2B8">
            <w:pPr>
              <w:spacing w:line="240" w:lineRule="auto"/>
              <w:ind w:firstLine="0" w:firstLineChars="0"/>
              <w:jc w:val="center"/>
              <w:rPr>
                <w:rFonts w:cs="Times New Roman"/>
                <w:sz w:val="21"/>
                <w:szCs w:val="21"/>
              </w:rPr>
            </w:pPr>
            <w:r>
              <w:rPr>
                <w:rFonts w:cs="Times New Roman"/>
                <w:sz w:val="21"/>
                <w:szCs w:val="21"/>
              </w:rPr>
              <w:t>Cl- 870000g</w:t>
            </w:r>
          </w:p>
          <w:p w14:paraId="2E1DD88C">
            <w:pPr>
              <w:spacing w:line="240" w:lineRule="auto"/>
              <w:ind w:firstLine="0" w:firstLineChars="0"/>
              <w:jc w:val="center"/>
              <w:rPr>
                <w:rFonts w:cs="Times New Roman"/>
                <w:sz w:val="21"/>
                <w:szCs w:val="21"/>
              </w:rPr>
            </w:pPr>
            <w:r>
              <w:rPr>
                <w:rFonts w:cs="Times New Roman"/>
                <w:sz w:val="21"/>
                <w:szCs w:val="21"/>
              </w:rPr>
              <w:t>SO</w:t>
            </w:r>
            <w:r>
              <w:rPr>
                <w:rFonts w:cs="Times New Roman"/>
                <w:sz w:val="21"/>
                <w:szCs w:val="21"/>
                <w:vertAlign w:val="subscript"/>
              </w:rPr>
              <w:t>4</w:t>
            </w:r>
            <w:r>
              <w:rPr>
                <w:rFonts w:cs="Times New Roman"/>
                <w:sz w:val="21"/>
                <w:szCs w:val="21"/>
                <w:vertAlign w:val="superscript"/>
              </w:rPr>
              <w:t>2-</w:t>
            </w:r>
            <w:r>
              <w:rPr>
                <w:rFonts w:cs="Times New Roman"/>
                <w:sz w:val="21"/>
                <w:szCs w:val="21"/>
              </w:rPr>
              <w:t xml:space="preserve"> 57000g</w:t>
            </w:r>
          </w:p>
        </w:tc>
        <w:tc>
          <w:tcPr>
            <w:tcW w:w="1276" w:type="dxa"/>
            <w:vMerge w:val="continue"/>
            <w:tcBorders>
              <w:left w:val="single" w:color="auto" w:sz="4" w:space="0"/>
              <w:bottom w:val="single" w:color="auto" w:sz="12" w:space="0"/>
              <w:right w:val="single" w:color="auto" w:sz="4" w:space="0"/>
            </w:tcBorders>
            <w:vAlign w:val="center"/>
          </w:tcPr>
          <w:p w14:paraId="18943BA2">
            <w:pPr>
              <w:spacing w:line="240" w:lineRule="auto"/>
              <w:ind w:firstLine="0" w:firstLineChars="0"/>
              <w:jc w:val="center"/>
              <w:rPr>
                <w:rFonts w:cs="Times New Roman"/>
                <w:sz w:val="21"/>
              </w:rPr>
            </w:pPr>
          </w:p>
        </w:tc>
        <w:tc>
          <w:tcPr>
            <w:tcW w:w="992" w:type="dxa"/>
            <w:vMerge w:val="continue"/>
            <w:tcBorders>
              <w:left w:val="single" w:color="auto" w:sz="4" w:space="0"/>
              <w:bottom w:val="single" w:color="auto" w:sz="12" w:space="0"/>
              <w:right w:val="single" w:color="auto" w:sz="4" w:space="0"/>
            </w:tcBorders>
            <w:vAlign w:val="center"/>
          </w:tcPr>
          <w:p w14:paraId="0305ADD1">
            <w:pPr>
              <w:spacing w:line="240" w:lineRule="auto"/>
              <w:ind w:firstLine="0" w:firstLineChars="0"/>
              <w:jc w:val="center"/>
              <w:rPr>
                <w:rFonts w:cs="Times New Roman"/>
                <w:sz w:val="21"/>
              </w:rPr>
            </w:pPr>
          </w:p>
        </w:tc>
        <w:tc>
          <w:tcPr>
            <w:tcW w:w="824" w:type="dxa"/>
            <w:vMerge w:val="continue"/>
            <w:tcBorders>
              <w:left w:val="single" w:color="auto" w:sz="4" w:space="0"/>
              <w:bottom w:val="single" w:color="auto" w:sz="12" w:space="0"/>
              <w:right w:val="single" w:color="auto" w:sz="4" w:space="0"/>
            </w:tcBorders>
            <w:vAlign w:val="center"/>
          </w:tcPr>
          <w:p w14:paraId="3DF8979D">
            <w:pPr>
              <w:spacing w:line="240" w:lineRule="auto"/>
              <w:ind w:firstLine="0" w:firstLineChars="0"/>
              <w:jc w:val="center"/>
              <w:rPr>
                <w:rFonts w:cs="Times New Roman"/>
                <w:sz w:val="21"/>
              </w:rPr>
            </w:pPr>
          </w:p>
        </w:tc>
        <w:tc>
          <w:tcPr>
            <w:tcW w:w="1134" w:type="dxa"/>
            <w:vMerge w:val="continue"/>
            <w:tcBorders>
              <w:left w:val="single" w:color="auto" w:sz="4" w:space="0"/>
              <w:bottom w:val="single" w:color="auto" w:sz="12" w:space="0"/>
              <w:right w:val="single" w:color="auto" w:sz="4" w:space="0"/>
            </w:tcBorders>
            <w:vAlign w:val="center"/>
          </w:tcPr>
          <w:p w14:paraId="1B4EB027">
            <w:pPr>
              <w:spacing w:line="240" w:lineRule="auto"/>
              <w:ind w:firstLine="0" w:firstLineChars="0"/>
              <w:jc w:val="center"/>
              <w:rPr>
                <w:rFonts w:cs="Times New Roman"/>
                <w:sz w:val="21"/>
              </w:rPr>
            </w:pPr>
          </w:p>
        </w:tc>
        <w:tc>
          <w:tcPr>
            <w:tcW w:w="1134" w:type="dxa"/>
            <w:vMerge w:val="continue"/>
            <w:tcBorders>
              <w:left w:val="single" w:color="auto" w:sz="4" w:space="0"/>
              <w:bottom w:val="single" w:color="auto" w:sz="12" w:space="0"/>
              <w:right w:val="single" w:color="auto" w:sz="12" w:space="0"/>
            </w:tcBorders>
            <w:vAlign w:val="center"/>
          </w:tcPr>
          <w:p w14:paraId="447340C7">
            <w:pPr>
              <w:spacing w:line="240" w:lineRule="auto"/>
              <w:ind w:firstLine="0" w:firstLineChars="0"/>
              <w:jc w:val="center"/>
              <w:rPr>
                <w:rFonts w:cs="Times New Roman"/>
                <w:sz w:val="21"/>
              </w:rPr>
            </w:pPr>
          </w:p>
        </w:tc>
      </w:tr>
    </w:tbl>
    <w:p w14:paraId="4B3B5010">
      <w:pPr>
        <w:ind w:firstLine="519"/>
        <w:rPr>
          <w:rFonts w:cs="Times New Roman"/>
        </w:rPr>
      </w:pPr>
      <w:r>
        <w:rPr>
          <w:rFonts w:cs="Times New Roman"/>
        </w:rPr>
        <w:t>（3）预测因子参照标准</w:t>
      </w:r>
    </w:p>
    <w:p w14:paraId="2D71C221">
      <w:pPr>
        <w:ind w:firstLine="519"/>
        <w:rPr>
          <w:rFonts w:cs="Times New Roman"/>
        </w:rPr>
      </w:pPr>
      <w:r>
        <w:rPr>
          <w:rFonts w:cs="Times New Roman"/>
        </w:rPr>
        <w:t>本项目所在区域地下水水质类别为</w:t>
      </w:r>
      <w:r>
        <w:rPr>
          <w:rFonts w:hint="eastAsia" w:ascii="宋体" w:hAnsi="宋体" w:cs="宋体"/>
        </w:rPr>
        <w:t>Ⅲ</w:t>
      </w:r>
      <w:r>
        <w:rPr>
          <w:rFonts w:cs="Times New Roman"/>
        </w:rPr>
        <w:t>类；需执行《地下水质量标准》（GB/T14848-2017）</w:t>
      </w:r>
      <w:r>
        <w:rPr>
          <w:rFonts w:hint="eastAsia" w:ascii="宋体" w:hAnsi="宋体" w:cs="宋体"/>
        </w:rPr>
        <w:t>Ⅲ</w:t>
      </w:r>
      <w:r>
        <w:rPr>
          <w:rFonts w:cs="Times New Roman"/>
        </w:rPr>
        <w:t>类水质标准，鉴于《地下水质量标准》（GB/T14848-2017）中</w:t>
      </w:r>
      <w:r>
        <w:rPr>
          <w:rFonts w:hint="eastAsia" w:ascii="宋体" w:hAnsi="宋体" w:cs="宋体"/>
        </w:rPr>
        <w:t>Ⅲ</w:t>
      </w:r>
      <w:r>
        <w:rPr>
          <w:rFonts w:cs="Times New Roman"/>
        </w:rPr>
        <w:t>类水质为标准值均为大于值，因此本次评价按地下水水质中污染物浓度满足</w:t>
      </w:r>
      <w:r>
        <w:rPr>
          <w:rFonts w:hint="eastAsia" w:ascii="宋体" w:hAnsi="宋体" w:cs="宋体"/>
        </w:rPr>
        <w:t>Ⅲ</w:t>
      </w:r>
      <w:r>
        <w:rPr>
          <w:rFonts w:cs="Times New Roman"/>
        </w:rPr>
        <w:t>类标准时，视为不对地下水造成污染；《地下水质量标准》</w:t>
      </w:r>
      <w:r>
        <w:rPr>
          <w:rFonts w:hint="eastAsia" w:ascii="宋体" w:hAnsi="宋体" w:cs="宋体"/>
        </w:rPr>
        <w:t>Ⅲ</w:t>
      </w:r>
      <w:r>
        <w:rPr>
          <w:rFonts w:cs="Times New Roman"/>
        </w:rPr>
        <w:t>类标准中</w:t>
      </w:r>
      <w:bookmarkStart w:id="702" w:name="_Hlk89759073"/>
      <w:r>
        <w:rPr>
          <w:rFonts w:cs="Times New Roman"/>
        </w:rPr>
        <w:t>氯化物</w:t>
      </w:r>
      <w:bookmarkEnd w:id="702"/>
      <w:r>
        <w:rPr>
          <w:rFonts w:cs="Times New Roman"/>
        </w:rPr>
        <w:t>≤250mg/L，</w:t>
      </w:r>
      <w:bookmarkStart w:id="703" w:name="_Hlk89779593"/>
      <w:r>
        <w:rPr>
          <w:rFonts w:cs="Times New Roman"/>
        </w:rPr>
        <w:t>硫酸盐</w:t>
      </w:r>
      <w:bookmarkEnd w:id="703"/>
      <w:r>
        <w:rPr>
          <w:rFonts w:cs="Times New Roman"/>
        </w:rPr>
        <w:t>≤250mg/L。</w:t>
      </w:r>
    </w:p>
    <w:p w14:paraId="651FB270">
      <w:pPr>
        <w:ind w:firstLine="519"/>
        <w:rPr>
          <w:rFonts w:cs="Times New Roman"/>
        </w:rPr>
      </w:pPr>
      <w:r>
        <w:rPr>
          <w:rFonts w:cs="Times New Roman"/>
        </w:rPr>
        <w:t>（4）模拟过程及结果</w:t>
      </w:r>
    </w:p>
    <w:p w14:paraId="2F3CFFEF">
      <w:pPr>
        <w:ind w:firstLine="519"/>
        <w:rPr>
          <w:rFonts w:cs="Times New Roman"/>
        </w:rPr>
      </w:pPr>
      <w:r>
        <w:rPr>
          <w:rFonts w:cs="Times New Roman"/>
        </w:rPr>
        <w:t>项目预测时以泄漏点为（0，0）坐标，分别分析不同时刻t（d）=100、200、300、500、1000时，x与y分别取不同数值（0，1，2，3，4，5……）</w:t>
      </w:r>
      <w:bookmarkStart w:id="704" w:name="_Hlk89759128"/>
      <w:r>
        <w:rPr>
          <w:rFonts w:cs="Times New Roman"/>
        </w:rPr>
        <w:t>氯化物</w:t>
      </w:r>
      <w:bookmarkEnd w:id="704"/>
      <w:r>
        <w:rPr>
          <w:rFonts w:cs="Times New Roman"/>
        </w:rPr>
        <w:t>、</w:t>
      </w:r>
      <w:bookmarkStart w:id="705" w:name="_Hlk89759156"/>
      <w:r>
        <w:rPr>
          <w:rFonts w:cs="Times New Roman"/>
        </w:rPr>
        <w:t>硫酸盐</w:t>
      </w:r>
      <w:bookmarkEnd w:id="705"/>
      <w:r>
        <w:rPr>
          <w:rFonts w:cs="Times New Roman"/>
        </w:rPr>
        <w:t>对地下水的影响范围以及影响程度，预测结果如下表所示。</w:t>
      </w:r>
    </w:p>
    <w:p w14:paraId="41A18679">
      <w:pPr>
        <w:keepLines/>
        <w:ind w:firstLine="562" w:firstLineChars="0"/>
        <w:jc w:val="center"/>
        <w:outlineLvl w:val="4"/>
        <w:rPr>
          <w:rFonts w:cs="Times New Roman"/>
          <w:b/>
          <w:bCs/>
          <w:sz w:val="21"/>
          <w:szCs w:val="28"/>
        </w:rPr>
      </w:pPr>
      <w:bookmarkStart w:id="706" w:name="_Hlk89759142"/>
      <w:bookmarkStart w:id="707" w:name="_Hlk116566023"/>
      <w:r>
        <w:rPr>
          <w:rFonts w:cs="Times New Roman"/>
          <w:b/>
          <w:bCs/>
          <w:sz w:val="21"/>
          <w:szCs w:val="28"/>
        </w:rPr>
        <w:t>表5.2-3  不同时刻采卤场X/Y处的氯化物的浓度（mg/L）</w:t>
      </w:r>
    </w:p>
    <w:tbl>
      <w:tblPr>
        <w:tblStyle w:val="29"/>
        <w:tblW w:w="5000" w:type="pct"/>
        <w:tblInd w:w="0" w:type="dxa"/>
        <w:tblLayout w:type="autofit"/>
        <w:tblCellMar>
          <w:top w:w="0" w:type="dxa"/>
          <w:left w:w="108" w:type="dxa"/>
          <w:bottom w:w="0" w:type="dxa"/>
          <w:right w:w="108" w:type="dxa"/>
        </w:tblCellMar>
      </w:tblPr>
      <w:tblGrid>
        <w:gridCol w:w="863"/>
        <w:gridCol w:w="1917"/>
        <w:gridCol w:w="1915"/>
        <w:gridCol w:w="1915"/>
        <w:gridCol w:w="1918"/>
      </w:tblGrid>
      <w:tr w14:paraId="26E6CB92">
        <w:tblPrEx>
          <w:tblCellMar>
            <w:top w:w="0" w:type="dxa"/>
            <w:left w:w="108" w:type="dxa"/>
            <w:bottom w:w="0" w:type="dxa"/>
            <w:right w:w="108" w:type="dxa"/>
          </w:tblCellMar>
        </w:tblPrEx>
        <w:trPr>
          <w:trHeight w:val="397" w:hRule="atLeast"/>
        </w:trPr>
        <w:tc>
          <w:tcPr>
            <w:tcW w:w="5000" w:type="pct"/>
            <w:gridSpan w:val="5"/>
            <w:tcBorders>
              <w:top w:val="single" w:color="auto" w:sz="12" w:space="0"/>
              <w:left w:val="single" w:color="auto" w:sz="12" w:space="0"/>
              <w:bottom w:val="single" w:color="auto" w:sz="4" w:space="0"/>
              <w:right w:val="single" w:color="auto" w:sz="12" w:space="0"/>
            </w:tcBorders>
            <w:noWrap/>
            <w:vAlign w:val="center"/>
          </w:tcPr>
          <w:p w14:paraId="6354CED1">
            <w:pPr>
              <w:spacing w:line="240" w:lineRule="auto"/>
              <w:ind w:firstLine="0" w:firstLineChars="0"/>
              <w:jc w:val="center"/>
              <w:rPr>
                <w:rFonts w:cs="Times New Roman"/>
                <w:sz w:val="21"/>
              </w:rPr>
            </w:pPr>
            <w:r>
              <w:rPr>
                <w:rFonts w:cs="Times New Roman"/>
                <w:sz w:val="21"/>
              </w:rPr>
              <w:t>100d</w:t>
            </w:r>
          </w:p>
        </w:tc>
      </w:tr>
      <w:tr w14:paraId="55B6897D">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BE9A691">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7DDFFE19">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30DC45AC">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1489A3B9">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4D51EE24">
            <w:pPr>
              <w:spacing w:line="240" w:lineRule="auto"/>
              <w:ind w:firstLine="0" w:firstLineChars="0"/>
              <w:jc w:val="center"/>
              <w:rPr>
                <w:rFonts w:cs="Times New Roman"/>
                <w:sz w:val="21"/>
              </w:rPr>
            </w:pPr>
            <w:r>
              <w:rPr>
                <w:rFonts w:cs="Times New Roman"/>
                <w:sz w:val="21"/>
              </w:rPr>
              <w:t>7.5</w:t>
            </w:r>
          </w:p>
        </w:tc>
      </w:tr>
      <w:tr w14:paraId="514E24E7">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DC07EF0">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05FA474A">
            <w:pPr>
              <w:spacing w:line="240" w:lineRule="auto"/>
              <w:ind w:firstLine="0" w:firstLineChars="0"/>
              <w:jc w:val="center"/>
              <w:rPr>
                <w:rFonts w:cs="Times New Roman"/>
                <w:b/>
                <w:bCs/>
                <w:sz w:val="21"/>
              </w:rPr>
            </w:pPr>
            <w:r>
              <w:rPr>
                <w:rFonts w:cs="Times New Roman"/>
                <w:b/>
                <w:bCs/>
                <w:sz w:val="21"/>
              </w:rPr>
              <w:t>3085.3</w:t>
            </w:r>
          </w:p>
        </w:tc>
        <w:tc>
          <w:tcPr>
            <w:tcW w:w="1123" w:type="pct"/>
            <w:tcBorders>
              <w:top w:val="nil"/>
              <w:left w:val="nil"/>
              <w:bottom w:val="single" w:color="auto" w:sz="4" w:space="0"/>
              <w:right w:val="single" w:color="auto" w:sz="4" w:space="0"/>
            </w:tcBorders>
            <w:noWrap/>
            <w:vAlign w:val="center"/>
          </w:tcPr>
          <w:p w14:paraId="5F570F31">
            <w:pPr>
              <w:spacing w:line="240" w:lineRule="auto"/>
              <w:ind w:firstLine="0" w:firstLineChars="0"/>
              <w:jc w:val="center"/>
              <w:rPr>
                <w:rFonts w:cs="Times New Roman"/>
                <w:b/>
                <w:bCs/>
                <w:sz w:val="21"/>
              </w:rPr>
            </w:pPr>
            <w:r>
              <w:rPr>
                <w:rFonts w:cs="Times New Roman"/>
                <w:b/>
                <w:bCs/>
                <w:sz w:val="21"/>
              </w:rPr>
              <w:t>2708.8</w:t>
            </w:r>
          </w:p>
        </w:tc>
        <w:tc>
          <w:tcPr>
            <w:tcW w:w="1123" w:type="pct"/>
            <w:tcBorders>
              <w:top w:val="nil"/>
              <w:left w:val="nil"/>
              <w:bottom w:val="single" w:color="auto" w:sz="4" w:space="0"/>
              <w:right w:val="single" w:color="auto" w:sz="4" w:space="0"/>
            </w:tcBorders>
            <w:noWrap/>
            <w:vAlign w:val="center"/>
          </w:tcPr>
          <w:p w14:paraId="57D7BC70">
            <w:pPr>
              <w:spacing w:line="240" w:lineRule="auto"/>
              <w:ind w:firstLine="0" w:firstLineChars="0"/>
              <w:jc w:val="center"/>
              <w:rPr>
                <w:rFonts w:cs="Times New Roman"/>
                <w:b/>
                <w:bCs/>
                <w:sz w:val="21"/>
              </w:rPr>
            </w:pPr>
            <w:r>
              <w:rPr>
                <w:rFonts w:cs="Times New Roman"/>
                <w:b/>
                <w:bCs/>
                <w:sz w:val="21"/>
              </w:rPr>
              <w:t>1977.4</w:t>
            </w:r>
          </w:p>
        </w:tc>
        <w:tc>
          <w:tcPr>
            <w:tcW w:w="1124" w:type="pct"/>
            <w:tcBorders>
              <w:top w:val="nil"/>
              <w:left w:val="nil"/>
              <w:bottom w:val="single" w:color="auto" w:sz="4" w:space="0"/>
              <w:right w:val="single" w:color="auto" w:sz="12" w:space="0"/>
            </w:tcBorders>
            <w:noWrap/>
            <w:vAlign w:val="center"/>
          </w:tcPr>
          <w:p w14:paraId="66A4E928">
            <w:pPr>
              <w:spacing w:line="240" w:lineRule="auto"/>
              <w:ind w:firstLine="0" w:firstLineChars="0"/>
              <w:jc w:val="center"/>
              <w:rPr>
                <w:rFonts w:cs="Times New Roman"/>
                <w:b/>
                <w:bCs/>
                <w:sz w:val="21"/>
              </w:rPr>
            </w:pPr>
            <w:r>
              <w:rPr>
                <w:rFonts w:cs="Times New Roman"/>
                <w:b/>
                <w:bCs/>
                <w:sz w:val="21"/>
              </w:rPr>
              <w:t>1032.5</w:t>
            </w:r>
          </w:p>
        </w:tc>
      </w:tr>
      <w:tr w14:paraId="58F916DB">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7A74185">
            <w:pPr>
              <w:spacing w:line="240" w:lineRule="auto"/>
              <w:ind w:firstLine="0" w:firstLineChars="0"/>
              <w:jc w:val="center"/>
              <w:rPr>
                <w:rFonts w:cs="Times New Roman"/>
                <w:sz w:val="21"/>
              </w:rPr>
            </w:pPr>
            <w:r>
              <w:rPr>
                <w:rFonts w:cs="Times New Roman"/>
                <w:sz w:val="21"/>
              </w:rPr>
              <w:t>15</w:t>
            </w:r>
          </w:p>
        </w:tc>
        <w:tc>
          <w:tcPr>
            <w:tcW w:w="1124" w:type="pct"/>
            <w:tcBorders>
              <w:top w:val="nil"/>
              <w:left w:val="nil"/>
              <w:bottom w:val="single" w:color="auto" w:sz="4" w:space="0"/>
              <w:right w:val="single" w:color="auto" w:sz="4" w:space="0"/>
            </w:tcBorders>
            <w:noWrap/>
            <w:vAlign w:val="center"/>
          </w:tcPr>
          <w:p w14:paraId="7F3D6720">
            <w:pPr>
              <w:spacing w:line="240" w:lineRule="auto"/>
              <w:ind w:firstLine="0" w:firstLineChars="0"/>
              <w:jc w:val="center"/>
              <w:rPr>
                <w:rFonts w:cs="Times New Roman"/>
                <w:b/>
                <w:bCs/>
                <w:sz w:val="21"/>
              </w:rPr>
            </w:pPr>
            <w:r>
              <w:rPr>
                <w:rFonts w:cs="Times New Roman"/>
                <w:b/>
                <w:bCs/>
                <w:sz w:val="21"/>
              </w:rPr>
              <w:t>688</w:t>
            </w:r>
          </w:p>
        </w:tc>
        <w:tc>
          <w:tcPr>
            <w:tcW w:w="1123" w:type="pct"/>
            <w:tcBorders>
              <w:top w:val="nil"/>
              <w:left w:val="nil"/>
              <w:bottom w:val="single" w:color="auto" w:sz="4" w:space="0"/>
              <w:right w:val="single" w:color="auto" w:sz="4" w:space="0"/>
            </w:tcBorders>
            <w:noWrap/>
            <w:vAlign w:val="center"/>
          </w:tcPr>
          <w:p w14:paraId="1BCD9C48">
            <w:pPr>
              <w:spacing w:line="240" w:lineRule="auto"/>
              <w:ind w:firstLine="0" w:firstLineChars="0"/>
              <w:jc w:val="center"/>
              <w:rPr>
                <w:rFonts w:cs="Times New Roman"/>
                <w:b/>
                <w:bCs/>
                <w:sz w:val="21"/>
              </w:rPr>
            </w:pPr>
            <w:r>
              <w:rPr>
                <w:rFonts w:cs="Times New Roman"/>
                <w:b/>
                <w:bCs/>
                <w:sz w:val="21"/>
              </w:rPr>
              <w:t>1690</w:t>
            </w:r>
          </w:p>
        </w:tc>
        <w:tc>
          <w:tcPr>
            <w:tcW w:w="1123" w:type="pct"/>
            <w:tcBorders>
              <w:top w:val="nil"/>
              <w:left w:val="nil"/>
              <w:bottom w:val="single" w:color="auto" w:sz="4" w:space="0"/>
              <w:right w:val="single" w:color="auto" w:sz="4" w:space="0"/>
            </w:tcBorders>
            <w:noWrap/>
            <w:vAlign w:val="center"/>
          </w:tcPr>
          <w:p w14:paraId="293E8E58">
            <w:pPr>
              <w:spacing w:line="240" w:lineRule="auto"/>
              <w:ind w:firstLine="0" w:firstLineChars="0"/>
              <w:jc w:val="center"/>
              <w:rPr>
                <w:rFonts w:cs="Times New Roman"/>
                <w:b/>
                <w:bCs/>
                <w:sz w:val="21"/>
              </w:rPr>
            </w:pPr>
            <w:r>
              <w:rPr>
                <w:rFonts w:cs="Times New Roman"/>
                <w:b/>
                <w:bCs/>
                <w:sz w:val="21"/>
              </w:rPr>
              <w:t>2460</w:t>
            </w:r>
          </w:p>
        </w:tc>
        <w:tc>
          <w:tcPr>
            <w:tcW w:w="1124" w:type="pct"/>
            <w:tcBorders>
              <w:top w:val="nil"/>
              <w:left w:val="nil"/>
              <w:bottom w:val="single" w:color="auto" w:sz="4" w:space="0"/>
              <w:right w:val="single" w:color="auto" w:sz="12" w:space="0"/>
            </w:tcBorders>
            <w:noWrap/>
            <w:vAlign w:val="center"/>
          </w:tcPr>
          <w:p w14:paraId="4F18A7A7">
            <w:pPr>
              <w:spacing w:line="240" w:lineRule="auto"/>
              <w:ind w:firstLine="0" w:firstLineChars="0"/>
              <w:jc w:val="center"/>
              <w:rPr>
                <w:rFonts w:cs="Times New Roman"/>
                <w:b/>
                <w:bCs/>
                <w:sz w:val="21"/>
              </w:rPr>
            </w:pPr>
            <w:r>
              <w:rPr>
                <w:rFonts w:cs="Times New Roman"/>
                <w:b/>
                <w:bCs/>
                <w:sz w:val="21"/>
              </w:rPr>
              <w:t>3030</w:t>
            </w:r>
          </w:p>
        </w:tc>
      </w:tr>
      <w:tr w14:paraId="4CF0BE87">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5635C10">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2ECB2610">
            <w:pPr>
              <w:spacing w:line="240" w:lineRule="auto"/>
              <w:ind w:firstLine="0" w:firstLineChars="0"/>
              <w:jc w:val="center"/>
              <w:rPr>
                <w:rFonts w:cs="Times New Roman"/>
                <w:sz w:val="21"/>
              </w:rPr>
            </w:pPr>
            <w:r>
              <w:rPr>
                <w:rFonts w:cs="Times New Roman"/>
                <w:sz w:val="21"/>
              </w:rPr>
              <w:t>2.08</w:t>
            </w:r>
          </w:p>
        </w:tc>
        <w:tc>
          <w:tcPr>
            <w:tcW w:w="1123" w:type="pct"/>
            <w:tcBorders>
              <w:top w:val="nil"/>
              <w:left w:val="nil"/>
              <w:bottom w:val="single" w:color="auto" w:sz="4" w:space="0"/>
              <w:right w:val="single" w:color="auto" w:sz="4" w:space="0"/>
            </w:tcBorders>
            <w:noWrap/>
            <w:vAlign w:val="center"/>
          </w:tcPr>
          <w:p w14:paraId="3FFF08C9">
            <w:pPr>
              <w:spacing w:line="240" w:lineRule="auto"/>
              <w:ind w:firstLine="0" w:firstLineChars="0"/>
              <w:jc w:val="center"/>
              <w:rPr>
                <w:rFonts w:cs="Times New Roman"/>
                <w:b/>
                <w:bCs/>
                <w:sz w:val="21"/>
              </w:rPr>
            </w:pPr>
            <w:r>
              <w:rPr>
                <w:rFonts w:cs="Times New Roman"/>
                <w:sz w:val="21"/>
              </w:rPr>
              <w:t>14.3</w:t>
            </w:r>
          </w:p>
        </w:tc>
        <w:tc>
          <w:tcPr>
            <w:tcW w:w="1123" w:type="pct"/>
            <w:tcBorders>
              <w:top w:val="nil"/>
              <w:left w:val="nil"/>
              <w:bottom w:val="single" w:color="auto" w:sz="4" w:space="0"/>
              <w:right w:val="single" w:color="auto" w:sz="4" w:space="0"/>
            </w:tcBorders>
            <w:noWrap/>
            <w:vAlign w:val="center"/>
          </w:tcPr>
          <w:p w14:paraId="4B630C7E">
            <w:pPr>
              <w:spacing w:line="240" w:lineRule="auto"/>
              <w:ind w:firstLine="0" w:firstLineChars="0"/>
              <w:jc w:val="center"/>
              <w:rPr>
                <w:rFonts w:cs="Times New Roman"/>
                <w:sz w:val="21"/>
              </w:rPr>
            </w:pPr>
            <w:r>
              <w:rPr>
                <w:rFonts w:cs="Times New Roman"/>
                <w:sz w:val="21"/>
              </w:rPr>
              <w:t>41.4</w:t>
            </w:r>
          </w:p>
        </w:tc>
        <w:tc>
          <w:tcPr>
            <w:tcW w:w="1124" w:type="pct"/>
            <w:tcBorders>
              <w:top w:val="nil"/>
              <w:left w:val="nil"/>
              <w:bottom w:val="single" w:color="auto" w:sz="4" w:space="0"/>
              <w:right w:val="single" w:color="auto" w:sz="12" w:space="0"/>
            </w:tcBorders>
            <w:noWrap/>
            <w:vAlign w:val="center"/>
          </w:tcPr>
          <w:p w14:paraId="1C380EA9">
            <w:pPr>
              <w:spacing w:line="240" w:lineRule="auto"/>
              <w:ind w:firstLine="0" w:firstLineChars="0"/>
              <w:jc w:val="center"/>
              <w:rPr>
                <w:rFonts w:cs="Times New Roman"/>
                <w:sz w:val="21"/>
              </w:rPr>
            </w:pPr>
            <w:r>
              <w:rPr>
                <w:rFonts w:cs="Times New Roman"/>
                <w:sz w:val="21"/>
              </w:rPr>
              <w:t>121</w:t>
            </w:r>
          </w:p>
        </w:tc>
      </w:tr>
      <w:tr w14:paraId="35A0EC3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F7FBC0C">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308E355F">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112BAACC">
            <w:pPr>
              <w:spacing w:line="240" w:lineRule="auto"/>
              <w:ind w:firstLine="0" w:firstLineChars="0"/>
              <w:jc w:val="center"/>
              <w:rPr>
                <w:rFonts w:cs="Times New Roman"/>
                <w:sz w:val="21"/>
              </w:rPr>
            </w:pPr>
            <w:r>
              <w:rPr>
                <w:rFonts w:cs="Times New Roman"/>
                <w:sz w:val="21"/>
              </w:rPr>
              <w:t>0.00003</w:t>
            </w:r>
          </w:p>
        </w:tc>
        <w:tc>
          <w:tcPr>
            <w:tcW w:w="1123" w:type="pct"/>
            <w:tcBorders>
              <w:top w:val="nil"/>
              <w:left w:val="nil"/>
              <w:bottom w:val="single" w:color="auto" w:sz="4" w:space="0"/>
              <w:right w:val="single" w:color="auto" w:sz="4" w:space="0"/>
            </w:tcBorders>
            <w:noWrap/>
            <w:vAlign w:val="center"/>
          </w:tcPr>
          <w:p w14:paraId="512F2419">
            <w:pPr>
              <w:spacing w:line="240" w:lineRule="auto"/>
              <w:ind w:firstLine="0" w:firstLineChars="0"/>
              <w:jc w:val="center"/>
              <w:rPr>
                <w:rFonts w:cs="Times New Roman"/>
                <w:sz w:val="21"/>
              </w:rPr>
            </w:pPr>
            <w:r>
              <w:rPr>
                <w:rFonts w:cs="Times New Roman"/>
                <w:sz w:val="21"/>
              </w:rPr>
              <w:t>0.00022</w:t>
            </w:r>
          </w:p>
        </w:tc>
        <w:tc>
          <w:tcPr>
            <w:tcW w:w="1124" w:type="pct"/>
            <w:tcBorders>
              <w:top w:val="nil"/>
              <w:left w:val="nil"/>
              <w:bottom w:val="single" w:color="auto" w:sz="4" w:space="0"/>
              <w:right w:val="single" w:color="auto" w:sz="12" w:space="0"/>
            </w:tcBorders>
            <w:noWrap/>
            <w:vAlign w:val="center"/>
          </w:tcPr>
          <w:p w14:paraId="36585FFB">
            <w:pPr>
              <w:spacing w:line="240" w:lineRule="auto"/>
              <w:ind w:firstLine="0" w:firstLineChars="0"/>
              <w:jc w:val="center"/>
              <w:rPr>
                <w:rFonts w:cs="Times New Roman"/>
                <w:sz w:val="21"/>
              </w:rPr>
            </w:pPr>
            <w:r>
              <w:rPr>
                <w:rFonts w:cs="Times New Roman"/>
                <w:sz w:val="21"/>
              </w:rPr>
              <w:t>0.00204</w:t>
            </w:r>
          </w:p>
        </w:tc>
      </w:tr>
      <w:tr w14:paraId="2ADDDCEC">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3D946FD">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7B7BE109">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442F7EF9">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39BF097">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7375AAFE">
            <w:pPr>
              <w:spacing w:line="240" w:lineRule="auto"/>
              <w:ind w:firstLine="0" w:firstLineChars="0"/>
              <w:jc w:val="center"/>
              <w:rPr>
                <w:rFonts w:cs="Times New Roman"/>
                <w:sz w:val="21"/>
              </w:rPr>
            </w:pPr>
            <w:r>
              <w:rPr>
                <w:rFonts w:cs="Times New Roman"/>
                <w:sz w:val="21"/>
              </w:rPr>
              <w:t>0.00000</w:t>
            </w:r>
          </w:p>
        </w:tc>
      </w:tr>
      <w:tr w14:paraId="3D5CC6B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481A4DA">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312EF1CF">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472DBCC1">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6B8182DC">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305E66EF">
            <w:pPr>
              <w:spacing w:line="240" w:lineRule="auto"/>
              <w:ind w:firstLine="0" w:firstLineChars="0"/>
              <w:jc w:val="center"/>
              <w:rPr>
                <w:rFonts w:cs="Times New Roman"/>
                <w:sz w:val="21"/>
              </w:rPr>
            </w:pPr>
            <w:r>
              <w:rPr>
                <w:rFonts w:cs="Times New Roman"/>
                <w:sz w:val="21"/>
              </w:rPr>
              <w:t>0.00000</w:t>
            </w:r>
          </w:p>
        </w:tc>
      </w:tr>
      <w:tr w14:paraId="37C582AF">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6C7D27A5">
            <w:pPr>
              <w:spacing w:line="240" w:lineRule="auto"/>
              <w:ind w:firstLine="0" w:firstLineChars="0"/>
              <w:jc w:val="center"/>
              <w:rPr>
                <w:rFonts w:cs="Times New Roman"/>
                <w:sz w:val="21"/>
              </w:rPr>
            </w:pPr>
            <w:r>
              <w:rPr>
                <w:rFonts w:cs="Times New Roman"/>
                <w:sz w:val="21"/>
              </w:rPr>
              <w:t>500d</w:t>
            </w:r>
          </w:p>
        </w:tc>
      </w:tr>
      <w:tr w14:paraId="26206967">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D43DA3C">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335DDFCC">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49749E7A">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1C0CCF5A">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2803BCAF">
            <w:pPr>
              <w:spacing w:line="240" w:lineRule="auto"/>
              <w:ind w:firstLine="0" w:firstLineChars="0"/>
              <w:jc w:val="center"/>
              <w:rPr>
                <w:rFonts w:cs="Times New Roman"/>
                <w:sz w:val="21"/>
              </w:rPr>
            </w:pPr>
            <w:r>
              <w:rPr>
                <w:rFonts w:cs="Times New Roman"/>
                <w:sz w:val="21"/>
              </w:rPr>
              <w:t>7.5</w:t>
            </w:r>
          </w:p>
        </w:tc>
      </w:tr>
      <w:tr w14:paraId="2A9B557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5A9A764">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1405B3FF">
            <w:pPr>
              <w:spacing w:line="240" w:lineRule="auto"/>
              <w:ind w:firstLine="0" w:firstLineChars="0"/>
              <w:jc w:val="center"/>
              <w:rPr>
                <w:rFonts w:cs="Times New Roman"/>
                <w:b/>
                <w:bCs/>
                <w:sz w:val="21"/>
              </w:rPr>
            </w:pPr>
            <w:r>
              <w:rPr>
                <w:rFonts w:cs="Times New Roman"/>
                <w:b/>
                <w:bCs/>
                <w:sz w:val="21"/>
              </w:rPr>
              <w:t>264</w:t>
            </w:r>
          </w:p>
        </w:tc>
        <w:tc>
          <w:tcPr>
            <w:tcW w:w="1123" w:type="pct"/>
            <w:tcBorders>
              <w:top w:val="nil"/>
              <w:left w:val="nil"/>
              <w:bottom w:val="single" w:color="auto" w:sz="4" w:space="0"/>
              <w:right w:val="single" w:color="auto" w:sz="4" w:space="0"/>
            </w:tcBorders>
            <w:noWrap/>
            <w:vAlign w:val="center"/>
          </w:tcPr>
          <w:p w14:paraId="3713E7AC">
            <w:pPr>
              <w:spacing w:line="240" w:lineRule="auto"/>
              <w:ind w:firstLine="0" w:firstLineChars="0"/>
              <w:jc w:val="center"/>
              <w:rPr>
                <w:rFonts w:cs="Times New Roman"/>
                <w:b/>
                <w:bCs/>
                <w:sz w:val="21"/>
              </w:rPr>
            </w:pPr>
            <w:r>
              <w:rPr>
                <w:rFonts w:cs="Times New Roman"/>
                <w:b/>
                <w:bCs/>
                <w:sz w:val="21"/>
              </w:rPr>
              <w:t>273</w:t>
            </w:r>
          </w:p>
        </w:tc>
        <w:tc>
          <w:tcPr>
            <w:tcW w:w="1123" w:type="pct"/>
            <w:tcBorders>
              <w:top w:val="nil"/>
              <w:left w:val="nil"/>
              <w:bottom w:val="single" w:color="auto" w:sz="4" w:space="0"/>
              <w:right w:val="single" w:color="auto" w:sz="4" w:space="0"/>
            </w:tcBorders>
            <w:noWrap/>
            <w:vAlign w:val="center"/>
          </w:tcPr>
          <w:p w14:paraId="6D49A750">
            <w:pPr>
              <w:spacing w:line="240" w:lineRule="auto"/>
              <w:ind w:firstLine="0" w:firstLineChars="0"/>
              <w:jc w:val="center"/>
              <w:rPr>
                <w:rFonts w:cs="Times New Roman"/>
                <w:b/>
                <w:bCs/>
                <w:sz w:val="21"/>
              </w:rPr>
            </w:pPr>
            <w:r>
              <w:rPr>
                <w:rFonts w:cs="Times New Roman"/>
                <w:b/>
                <w:bCs/>
                <w:sz w:val="21"/>
              </w:rPr>
              <w:t>267</w:t>
            </w:r>
          </w:p>
        </w:tc>
        <w:tc>
          <w:tcPr>
            <w:tcW w:w="1124" w:type="pct"/>
            <w:tcBorders>
              <w:top w:val="nil"/>
              <w:left w:val="nil"/>
              <w:bottom w:val="single" w:color="auto" w:sz="4" w:space="0"/>
              <w:right w:val="single" w:color="auto" w:sz="12" w:space="0"/>
            </w:tcBorders>
            <w:noWrap/>
            <w:vAlign w:val="center"/>
          </w:tcPr>
          <w:p w14:paraId="43C1BCCB">
            <w:pPr>
              <w:spacing w:line="240" w:lineRule="auto"/>
              <w:ind w:firstLine="0" w:firstLineChars="0"/>
              <w:jc w:val="center"/>
              <w:rPr>
                <w:rFonts w:cs="Times New Roman"/>
                <w:b/>
                <w:bCs/>
                <w:sz w:val="21"/>
              </w:rPr>
            </w:pPr>
            <w:r>
              <w:rPr>
                <w:rFonts w:cs="Times New Roman"/>
                <w:sz w:val="21"/>
              </w:rPr>
              <w:t>246</w:t>
            </w:r>
          </w:p>
        </w:tc>
      </w:tr>
      <w:tr w14:paraId="10BE87C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24D5298">
            <w:pPr>
              <w:spacing w:line="240" w:lineRule="auto"/>
              <w:ind w:firstLine="0" w:firstLineChars="0"/>
              <w:jc w:val="center"/>
              <w:rPr>
                <w:rFonts w:cs="Times New Roman"/>
                <w:sz w:val="21"/>
              </w:rPr>
            </w:pPr>
            <w:r>
              <w:rPr>
                <w:rFonts w:cs="Times New Roman"/>
                <w:sz w:val="21"/>
              </w:rPr>
              <w:t>15</w:t>
            </w:r>
          </w:p>
        </w:tc>
        <w:tc>
          <w:tcPr>
            <w:tcW w:w="1124" w:type="pct"/>
            <w:tcBorders>
              <w:top w:val="nil"/>
              <w:left w:val="nil"/>
              <w:bottom w:val="single" w:color="auto" w:sz="4" w:space="0"/>
              <w:right w:val="single" w:color="auto" w:sz="4" w:space="0"/>
            </w:tcBorders>
            <w:noWrap/>
            <w:vAlign w:val="center"/>
          </w:tcPr>
          <w:p w14:paraId="3584D856">
            <w:pPr>
              <w:spacing w:line="240" w:lineRule="auto"/>
              <w:ind w:firstLine="0" w:firstLineChars="0"/>
              <w:jc w:val="center"/>
              <w:rPr>
                <w:rFonts w:cs="Times New Roman"/>
                <w:b/>
                <w:bCs/>
                <w:sz w:val="21"/>
              </w:rPr>
            </w:pPr>
            <w:r>
              <w:rPr>
                <w:rFonts w:cs="Times New Roman"/>
                <w:b/>
                <w:bCs/>
                <w:sz w:val="21"/>
              </w:rPr>
              <w:t>328</w:t>
            </w:r>
          </w:p>
        </w:tc>
        <w:tc>
          <w:tcPr>
            <w:tcW w:w="1123" w:type="pct"/>
            <w:tcBorders>
              <w:top w:val="nil"/>
              <w:left w:val="nil"/>
              <w:bottom w:val="single" w:color="auto" w:sz="4" w:space="0"/>
              <w:right w:val="single" w:color="auto" w:sz="4" w:space="0"/>
            </w:tcBorders>
            <w:noWrap/>
            <w:vAlign w:val="center"/>
          </w:tcPr>
          <w:p w14:paraId="246289D5">
            <w:pPr>
              <w:spacing w:line="240" w:lineRule="auto"/>
              <w:ind w:firstLine="0" w:firstLineChars="0"/>
              <w:jc w:val="center"/>
              <w:rPr>
                <w:rFonts w:cs="Times New Roman"/>
                <w:b/>
                <w:bCs/>
                <w:sz w:val="21"/>
              </w:rPr>
            </w:pPr>
            <w:r>
              <w:rPr>
                <w:rFonts w:cs="Times New Roman"/>
                <w:b/>
                <w:bCs/>
                <w:sz w:val="21"/>
              </w:rPr>
              <w:t>418</w:t>
            </w:r>
          </w:p>
        </w:tc>
        <w:tc>
          <w:tcPr>
            <w:tcW w:w="1123" w:type="pct"/>
            <w:tcBorders>
              <w:top w:val="nil"/>
              <w:left w:val="nil"/>
              <w:bottom w:val="single" w:color="auto" w:sz="4" w:space="0"/>
              <w:right w:val="single" w:color="auto" w:sz="4" w:space="0"/>
            </w:tcBorders>
            <w:noWrap/>
            <w:vAlign w:val="center"/>
          </w:tcPr>
          <w:p w14:paraId="00253014">
            <w:pPr>
              <w:spacing w:line="240" w:lineRule="auto"/>
              <w:ind w:firstLine="0" w:firstLineChars="0"/>
              <w:jc w:val="center"/>
              <w:rPr>
                <w:rFonts w:cs="Times New Roman"/>
                <w:b/>
                <w:bCs/>
                <w:sz w:val="21"/>
              </w:rPr>
            </w:pPr>
            <w:r>
              <w:rPr>
                <w:rFonts w:cs="Times New Roman"/>
                <w:b/>
                <w:bCs/>
                <w:sz w:val="21"/>
              </w:rPr>
              <w:t>468</w:t>
            </w:r>
          </w:p>
        </w:tc>
        <w:tc>
          <w:tcPr>
            <w:tcW w:w="1124" w:type="pct"/>
            <w:tcBorders>
              <w:top w:val="nil"/>
              <w:left w:val="nil"/>
              <w:bottom w:val="single" w:color="auto" w:sz="4" w:space="0"/>
              <w:right w:val="single" w:color="auto" w:sz="12" w:space="0"/>
            </w:tcBorders>
            <w:noWrap/>
            <w:vAlign w:val="center"/>
          </w:tcPr>
          <w:p w14:paraId="50E7861F">
            <w:pPr>
              <w:spacing w:line="240" w:lineRule="auto"/>
              <w:ind w:firstLine="0" w:firstLineChars="0"/>
              <w:jc w:val="center"/>
              <w:rPr>
                <w:rFonts w:cs="Times New Roman"/>
                <w:b/>
                <w:bCs/>
                <w:sz w:val="21"/>
              </w:rPr>
            </w:pPr>
            <w:bookmarkStart w:id="708" w:name="_Hlk89779221"/>
            <w:r>
              <w:rPr>
                <w:rFonts w:cs="Times New Roman"/>
                <w:b/>
                <w:bCs/>
                <w:sz w:val="21"/>
              </w:rPr>
              <w:t>513</w:t>
            </w:r>
            <w:bookmarkEnd w:id="708"/>
          </w:p>
        </w:tc>
      </w:tr>
      <w:tr w14:paraId="6B5DA5D7">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29EB921">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1E95BCA5">
            <w:pPr>
              <w:spacing w:line="240" w:lineRule="auto"/>
              <w:ind w:firstLine="0" w:firstLineChars="0"/>
              <w:jc w:val="center"/>
              <w:rPr>
                <w:rFonts w:cs="Times New Roman"/>
                <w:sz w:val="21"/>
              </w:rPr>
            </w:pPr>
            <w:r>
              <w:rPr>
                <w:rFonts w:cs="Times New Roman"/>
                <w:sz w:val="21"/>
              </w:rPr>
              <w:t>173</w:t>
            </w:r>
          </w:p>
        </w:tc>
        <w:tc>
          <w:tcPr>
            <w:tcW w:w="1123" w:type="pct"/>
            <w:tcBorders>
              <w:top w:val="nil"/>
              <w:left w:val="nil"/>
              <w:bottom w:val="single" w:color="auto" w:sz="4" w:space="0"/>
              <w:right w:val="single" w:color="auto" w:sz="4" w:space="0"/>
            </w:tcBorders>
            <w:noWrap/>
            <w:vAlign w:val="center"/>
          </w:tcPr>
          <w:p w14:paraId="42044D09">
            <w:pPr>
              <w:spacing w:line="240" w:lineRule="auto"/>
              <w:ind w:firstLine="0" w:firstLineChars="0"/>
              <w:jc w:val="center"/>
              <w:rPr>
                <w:rFonts w:cs="Times New Roman"/>
                <w:b/>
                <w:bCs/>
                <w:sz w:val="21"/>
              </w:rPr>
            </w:pPr>
            <w:r>
              <w:rPr>
                <w:rFonts w:cs="Times New Roman"/>
                <w:b/>
                <w:bCs/>
                <w:sz w:val="21"/>
              </w:rPr>
              <w:t>270</w:t>
            </w:r>
          </w:p>
        </w:tc>
        <w:tc>
          <w:tcPr>
            <w:tcW w:w="1123" w:type="pct"/>
            <w:tcBorders>
              <w:top w:val="nil"/>
              <w:left w:val="nil"/>
              <w:bottom w:val="single" w:color="auto" w:sz="4" w:space="0"/>
              <w:right w:val="single" w:color="auto" w:sz="4" w:space="0"/>
            </w:tcBorders>
            <w:noWrap/>
            <w:vAlign w:val="center"/>
          </w:tcPr>
          <w:p w14:paraId="43FDB61B">
            <w:pPr>
              <w:spacing w:line="240" w:lineRule="auto"/>
              <w:ind w:firstLine="0" w:firstLineChars="0"/>
              <w:jc w:val="center"/>
              <w:rPr>
                <w:rFonts w:cs="Times New Roman"/>
                <w:b/>
                <w:bCs/>
                <w:sz w:val="21"/>
              </w:rPr>
            </w:pPr>
            <w:r>
              <w:rPr>
                <w:rFonts w:cs="Times New Roman"/>
                <w:b/>
                <w:bCs/>
                <w:sz w:val="21"/>
              </w:rPr>
              <w:t>348</w:t>
            </w:r>
          </w:p>
        </w:tc>
        <w:tc>
          <w:tcPr>
            <w:tcW w:w="1124" w:type="pct"/>
            <w:tcBorders>
              <w:top w:val="nil"/>
              <w:left w:val="nil"/>
              <w:bottom w:val="single" w:color="auto" w:sz="4" w:space="0"/>
              <w:right w:val="single" w:color="auto" w:sz="12" w:space="0"/>
            </w:tcBorders>
            <w:noWrap/>
            <w:vAlign w:val="center"/>
          </w:tcPr>
          <w:p w14:paraId="08D8CBCF">
            <w:pPr>
              <w:spacing w:line="240" w:lineRule="auto"/>
              <w:ind w:firstLine="0" w:firstLineChars="0"/>
              <w:jc w:val="center"/>
              <w:rPr>
                <w:rFonts w:cs="Times New Roman"/>
                <w:b/>
                <w:bCs/>
                <w:sz w:val="21"/>
              </w:rPr>
            </w:pPr>
            <w:r>
              <w:rPr>
                <w:rFonts w:cs="Times New Roman"/>
                <w:b/>
                <w:bCs/>
                <w:sz w:val="21"/>
              </w:rPr>
              <w:t>453</w:t>
            </w:r>
          </w:p>
        </w:tc>
      </w:tr>
      <w:tr w14:paraId="482557AD">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270DBD6">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3EB8D2B5">
            <w:pPr>
              <w:spacing w:line="240" w:lineRule="auto"/>
              <w:ind w:firstLine="0" w:firstLineChars="0"/>
              <w:jc w:val="center"/>
              <w:rPr>
                <w:rFonts w:cs="Times New Roman"/>
                <w:sz w:val="21"/>
              </w:rPr>
            </w:pPr>
            <w:r>
              <w:rPr>
                <w:rFonts w:cs="Times New Roman"/>
                <w:sz w:val="21"/>
              </w:rPr>
              <w:t>19.3</w:t>
            </w:r>
          </w:p>
        </w:tc>
        <w:tc>
          <w:tcPr>
            <w:tcW w:w="1123" w:type="pct"/>
            <w:tcBorders>
              <w:top w:val="nil"/>
              <w:left w:val="nil"/>
              <w:bottom w:val="single" w:color="auto" w:sz="4" w:space="0"/>
              <w:right w:val="single" w:color="auto" w:sz="4" w:space="0"/>
            </w:tcBorders>
            <w:noWrap/>
            <w:vAlign w:val="center"/>
          </w:tcPr>
          <w:p w14:paraId="32FA86FB">
            <w:pPr>
              <w:spacing w:line="240" w:lineRule="auto"/>
              <w:ind w:firstLine="0" w:firstLineChars="0"/>
              <w:jc w:val="center"/>
              <w:rPr>
                <w:rFonts w:cs="Times New Roman"/>
                <w:sz w:val="21"/>
              </w:rPr>
            </w:pPr>
            <w:r>
              <w:rPr>
                <w:rFonts w:cs="Times New Roman"/>
                <w:sz w:val="21"/>
              </w:rPr>
              <w:t>39.7</w:t>
            </w:r>
          </w:p>
        </w:tc>
        <w:tc>
          <w:tcPr>
            <w:tcW w:w="1123" w:type="pct"/>
            <w:tcBorders>
              <w:top w:val="nil"/>
              <w:left w:val="nil"/>
              <w:bottom w:val="single" w:color="auto" w:sz="4" w:space="0"/>
              <w:right w:val="single" w:color="auto" w:sz="4" w:space="0"/>
            </w:tcBorders>
            <w:noWrap/>
            <w:vAlign w:val="center"/>
          </w:tcPr>
          <w:p w14:paraId="3808A226">
            <w:pPr>
              <w:spacing w:line="240" w:lineRule="auto"/>
              <w:ind w:firstLine="0" w:firstLineChars="0"/>
              <w:jc w:val="center"/>
              <w:rPr>
                <w:rFonts w:cs="Times New Roman"/>
                <w:sz w:val="21"/>
              </w:rPr>
            </w:pPr>
            <w:r>
              <w:rPr>
                <w:rFonts w:cs="Times New Roman"/>
                <w:sz w:val="21"/>
              </w:rPr>
              <w:t>61.4</w:t>
            </w:r>
          </w:p>
        </w:tc>
        <w:tc>
          <w:tcPr>
            <w:tcW w:w="1124" w:type="pct"/>
            <w:tcBorders>
              <w:top w:val="nil"/>
              <w:left w:val="nil"/>
              <w:bottom w:val="single" w:color="auto" w:sz="4" w:space="0"/>
              <w:right w:val="single" w:color="auto" w:sz="12" w:space="0"/>
            </w:tcBorders>
            <w:noWrap/>
            <w:vAlign w:val="center"/>
          </w:tcPr>
          <w:p w14:paraId="481AB750">
            <w:pPr>
              <w:spacing w:line="240" w:lineRule="auto"/>
              <w:ind w:firstLine="0" w:firstLineChars="0"/>
              <w:jc w:val="center"/>
              <w:rPr>
                <w:rFonts w:cs="Times New Roman"/>
                <w:sz w:val="21"/>
              </w:rPr>
            </w:pPr>
            <w:r>
              <w:rPr>
                <w:rFonts w:cs="Times New Roman"/>
                <w:sz w:val="21"/>
              </w:rPr>
              <w:t>1001</w:t>
            </w:r>
          </w:p>
        </w:tc>
      </w:tr>
      <w:tr w14:paraId="0B5BE3FD">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8ED9C11">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7D8DB5DB">
            <w:pPr>
              <w:spacing w:line="240" w:lineRule="auto"/>
              <w:ind w:firstLine="0" w:firstLineChars="0"/>
              <w:jc w:val="center"/>
              <w:rPr>
                <w:rFonts w:cs="Times New Roman"/>
                <w:sz w:val="21"/>
              </w:rPr>
            </w:pPr>
            <w:r>
              <w:rPr>
                <w:rFonts w:cs="Times New Roman"/>
                <w:sz w:val="21"/>
              </w:rPr>
              <w:t>0.00010</w:t>
            </w:r>
          </w:p>
        </w:tc>
        <w:tc>
          <w:tcPr>
            <w:tcW w:w="1123" w:type="pct"/>
            <w:tcBorders>
              <w:top w:val="nil"/>
              <w:left w:val="nil"/>
              <w:bottom w:val="single" w:color="auto" w:sz="4" w:space="0"/>
              <w:right w:val="single" w:color="auto" w:sz="4" w:space="0"/>
            </w:tcBorders>
            <w:noWrap/>
            <w:vAlign w:val="center"/>
          </w:tcPr>
          <w:p w14:paraId="7526F36F">
            <w:pPr>
              <w:spacing w:line="240" w:lineRule="auto"/>
              <w:ind w:firstLine="0" w:firstLineChars="0"/>
              <w:jc w:val="center"/>
              <w:rPr>
                <w:rFonts w:cs="Times New Roman"/>
                <w:sz w:val="21"/>
              </w:rPr>
            </w:pPr>
            <w:r>
              <w:rPr>
                <w:rFonts w:cs="Times New Roman"/>
                <w:sz w:val="21"/>
              </w:rPr>
              <w:t>0.00041</w:t>
            </w:r>
          </w:p>
        </w:tc>
        <w:tc>
          <w:tcPr>
            <w:tcW w:w="1123" w:type="pct"/>
            <w:tcBorders>
              <w:top w:val="nil"/>
              <w:left w:val="nil"/>
              <w:bottom w:val="single" w:color="auto" w:sz="4" w:space="0"/>
              <w:right w:val="single" w:color="auto" w:sz="4" w:space="0"/>
            </w:tcBorders>
            <w:noWrap/>
            <w:vAlign w:val="center"/>
          </w:tcPr>
          <w:p w14:paraId="403B5F7C">
            <w:pPr>
              <w:spacing w:line="240" w:lineRule="auto"/>
              <w:ind w:firstLine="0" w:firstLineChars="0"/>
              <w:jc w:val="center"/>
              <w:rPr>
                <w:rFonts w:cs="Times New Roman"/>
                <w:sz w:val="21"/>
              </w:rPr>
            </w:pPr>
            <w:r>
              <w:rPr>
                <w:rFonts w:cs="Times New Roman"/>
                <w:sz w:val="21"/>
              </w:rPr>
              <w:t>0.00100</w:t>
            </w:r>
          </w:p>
        </w:tc>
        <w:tc>
          <w:tcPr>
            <w:tcW w:w="1124" w:type="pct"/>
            <w:tcBorders>
              <w:top w:val="nil"/>
              <w:left w:val="nil"/>
              <w:bottom w:val="single" w:color="auto" w:sz="4" w:space="0"/>
              <w:right w:val="single" w:color="auto" w:sz="12" w:space="0"/>
            </w:tcBorders>
            <w:noWrap/>
            <w:vAlign w:val="center"/>
          </w:tcPr>
          <w:p w14:paraId="7EA48337">
            <w:pPr>
              <w:spacing w:line="240" w:lineRule="auto"/>
              <w:ind w:firstLine="0" w:firstLineChars="0"/>
              <w:jc w:val="center"/>
              <w:rPr>
                <w:rFonts w:cs="Times New Roman"/>
                <w:sz w:val="21"/>
              </w:rPr>
            </w:pPr>
            <w:r>
              <w:rPr>
                <w:rFonts w:cs="Times New Roman"/>
                <w:sz w:val="21"/>
              </w:rPr>
              <w:t>0.00290</w:t>
            </w:r>
          </w:p>
        </w:tc>
      </w:tr>
      <w:tr w14:paraId="4EC9E7A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7C5A9BE">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6B84FB84">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2F9D553B">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06A62796">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243521C8">
            <w:pPr>
              <w:spacing w:line="240" w:lineRule="auto"/>
              <w:ind w:firstLine="0" w:firstLineChars="0"/>
              <w:jc w:val="center"/>
              <w:rPr>
                <w:rFonts w:cs="Times New Roman"/>
                <w:sz w:val="21"/>
              </w:rPr>
            </w:pPr>
            <w:r>
              <w:rPr>
                <w:rFonts w:cs="Times New Roman"/>
                <w:sz w:val="21"/>
              </w:rPr>
              <w:t>0.00000</w:t>
            </w:r>
          </w:p>
        </w:tc>
      </w:tr>
      <w:tr w14:paraId="5ECA1AEA">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506480EA">
            <w:pPr>
              <w:spacing w:line="240" w:lineRule="auto"/>
              <w:ind w:firstLine="0" w:firstLineChars="0"/>
              <w:jc w:val="center"/>
              <w:rPr>
                <w:rFonts w:cs="Times New Roman"/>
                <w:sz w:val="21"/>
              </w:rPr>
            </w:pPr>
            <w:r>
              <w:rPr>
                <w:rFonts w:cs="Times New Roman"/>
                <w:sz w:val="21"/>
              </w:rPr>
              <w:t>1000d</w:t>
            </w:r>
          </w:p>
        </w:tc>
      </w:tr>
      <w:tr w14:paraId="5E24BDEF">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117EFDB">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2ED382BC">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3C7AE6E6">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02077CBF">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0BD15614">
            <w:pPr>
              <w:spacing w:line="240" w:lineRule="auto"/>
              <w:ind w:firstLine="0" w:firstLineChars="0"/>
              <w:jc w:val="center"/>
              <w:rPr>
                <w:rFonts w:cs="Times New Roman"/>
                <w:sz w:val="21"/>
              </w:rPr>
            </w:pPr>
            <w:r>
              <w:rPr>
                <w:rFonts w:cs="Times New Roman"/>
                <w:sz w:val="21"/>
              </w:rPr>
              <w:t>7.5</w:t>
            </w:r>
          </w:p>
        </w:tc>
      </w:tr>
      <w:tr w14:paraId="25F05A4C">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003DF09">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19C66EC1">
            <w:pPr>
              <w:spacing w:line="240" w:lineRule="auto"/>
              <w:ind w:firstLine="0" w:firstLineChars="0"/>
              <w:jc w:val="center"/>
              <w:rPr>
                <w:rFonts w:cs="Times New Roman"/>
                <w:b/>
                <w:bCs/>
                <w:sz w:val="21"/>
              </w:rPr>
            </w:pPr>
            <w:r>
              <w:rPr>
                <w:rFonts w:cs="Times New Roman"/>
                <w:sz w:val="21"/>
              </w:rPr>
              <w:t>45.6</w:t>
            </w:r>
          </w:p>
        </w:tc>
        <w:tc>
          <w:tcPr>
            <w:tcW w:w="1123" w:type="pct"/>
            <w:tcBorders>
              <w:top w:val="nil"/>
              <w:left w:val="nil"/>
              <w:bottom w:val="single" w:color="auto" w:sz="4" w:space="0"/>
              <w:right w:val="single" w:color="auto" w:sz="4" w:space="0"/>
            </w:tcBorders>
            <w:noWrap/>
            <w:vAlign w:val="center"/>
          </w:tcPr>
          <w:p w14:paraId="33B9F738">
            <w:pPr>
              <w:spacing w:line="240" w:lineRule="auto"/>
              <w:ind w:firstLine="0" w:firstLineChars="0"/>
              <w:jc w:val="center"/>
              <w:rPr>
                <w:rFonts w:cs="Times New Roman"/>
                <w:b/>
                <w:bCs/>
                <w:sz w:val="21"/>
              </w:rPr>
            </w:pPr>
            <w:r>
              <w:rPr>
                <w:rFonts w:cs="Times New Roman"/>
                <w:sz w:val="21"/>
              </w:rPr>
              <w:t>48.1</w:t>
            </w:r>
          </w:p>
        </w:tc>
        <w:tc>
          <w:tcPr>
            <w:tcW w:w="1123" w:type="pct"/>
            <w:tcBorders>
              <w:top w:val="nil"/>
              <w:left w:val="nil"/>
              <w:bottom w:val="single" w:color="auto" w:sz="4" w:space="0"/>
              <w:right w:val="single" w:color="auto" w:sz="4" w:space="0"/>
            </w:tcBorders>
            <w:noWrap/>
            <w:vAlign w:val="center"/>
          </w:tcPr>
          <w:p w14:paraId="47DE2114">
            <w:pPr>
              <w:spacing w:line="240" w:lineRule="auto"/>
              <w:ind w:firstLine="0" w:firstLineChars="0"/>
              <w:jc w:val="center"/>
              <w:rPr>
                <w:rFonts w:cs="Times New Roman"/>
                <w:b/>
                <w:bCs/>
                <w:sz w:val="21"/>
              </w:rPr>
            </w:pPr>
            <w:r>
              <w:rPr>
                <w:rFonts w:cs="Times New Roman"/>
                <w:sz w:val="21"/>
              </w:rPr>
              <w:t>48.8</w:t>
            </w:r>
          </w:p>
        </w:tc>
        <w:tc>
          <w:tcPr>
            <w:tcW w:w="1124" w:type="pct"/>
            <w:tcBorders>
              <w:top w:val="nil"/>
              <w:left w:val="nil"/>
              <w:bottom w:val="single" w:color="auto" w:sz="4" w:space="0"/>
              <w:right w:val="single" w:color="auto" w:sz="12" w:space="0"/>
            </w:tcBorders>
            <w:noWrap/>
            <w:vAlign w:val="center"/>
          </w:tcPr>
          <w:p w14:paraId="738FF061">
            <w:pPr>
              <w:spacing w:line="240" w:lineRule="auto"/>
              <w:ind w:firstLine="0" w:firstLineChars="0"/>
              <w:jc w:val="center"/>
              <w:rPr>
                <w:rFonts w:cs="Times New Roman"/>
                <w:sz w:val="21"/>
              </w:rPr>
            </w:pPr>
            <w:r>
              <w:rPr>
                <w:rFonts w:cs="Times New Roman"/>
                <w:sz w:val="21"/>
              </w:rPr>
              <w:t>48.4</w:t>
            </w:r>
          </w:p>
        </w:tc>
      </w:tr>
      <w:tr w14:paraId="364D9750">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AEA4D1F">
            <w:pPr>
              <w:spacing w:line="240" w:lineRule="auto"/>
              <w:ind w:firstLine="0" w:firstLineChars="0"/>
              <w:jc w:val="center"/>
              <w:rPr>
                <w:rFonts w:cs="Times New Roman"/>
                <w:sz w:val="21"/>
              </w:rPr>
            </w:pPr>
            <w:r>
              <w:rPr>
                <w:rFonts w:cs="Times New Roman"/>
                <w:sz w:val="21"/>
              </w:rPr>
              <w:t>15</w:t>
            </w:r>
          </w:p>
        </w:tc>
        <w:tc>
          <w:tcPr>
            <w:tcW w:w="1124" w:type="pct"/>
            <w:tcBorders>
              <w:top w:val="nil"/>
              <w:left w:val="nil"/>
              <w:bottom w:val="single" w:color="auto" w:sz="4" w:space="0"/>
              <w:right w:val="single" w:color="auto" w:sz="4" w:space="0"/>
            </w:tcBorders>
            <w:noWrap/>
            <w:vAlign w:val="center"/>
          </w:tcPr>
          <w:p w14:paraId="3E1AEDB1">
            <w:pPr>
              <w:spacing w:line="240" w:lineRule="auto"/>
              <w:ind w:firstLine="0" w:firstLineChars="0"/>
              <w:jc w:val="center"/>
              <w:rPr>
                <w:rFonts w:cs="Times New Roman"/>
                <w:b/>
                <w:bCs/>
                <w:sz w:val="21"/>
              </w:rPr>
            </w:pPr>
            <w:r>
              <w:rPr>
                <w:rFonts w:cs="Times New Roman"/>
                <w:sz w:val="21"/>
              </w:rPr>
              <w:t>70.4</w:t>
            </w:r>
          </w:p>
        </w:tc>
        <w:tc>
          <w:tcPr>
            <w:tcW w:w="1123" w:type="pct"/>
            <w:tcBorders>
              <w:top w:val="nil"/>
              <w:left w:val="nil"/>
              <w:bottom w:val="single" w:color="auto" w:sz="4" w:space="0"/>
              <w:right w:val="single" w:color="auto" w:sz="4" w:space="0"/>
            </w:tcBorders>
            <w:noWrap/>
            <w:vAlign w:val="center"/>
          </w:tcPr>
          <w:p w14:paraId="565E7A33">
            <w:pPr>
              <w:spacing w:line="240" w:lineRule="auto"/>
              <w:ind w:firstLine="0" w:firstLineChars="0"/>
              <w:jc w:val="center"/>
              <w:rPr>
                <w:rFonts w:cs="Times New Roman"/>
                <w:b/>
                <w:bCs/>
                <w:sz w:val="21"/>
              </w:rPr>
            </w:pPr>
            <w:r>
              <w:rPr>
                <w:rFonts w:cs="Times New Roman"/>
                <w:sz w:val="21"/>
              </w:rPr>
              <w:t>82.4</w:t>
            </w:r>
          </w:p>
        </w:tc>
        <w:tc>
          <w:tcPr>
            <w:tcW w:w="1123" w:type="pct"/>
            <w:tcBorders>
              <w:top w:val="nil"/>
              <w:left w:val="nil"/>
              <w:bottom w:val="single" w:color="auto" w:sz="4" w:space="0"/>
              <w:right w:val="single" w:color="auto" w:sz="4" w:space="0"/>
            </w:tcBorders>
            <w:noWrap/>
            <w:vAlign w:val="center"/>
          </w:tcPr>
          <w:p w14:paraId="402ED70E">
            <w:pPr>
              <w:spacing w:line="240" w:lineRule="auto"/>
              <w:ind w:firstLine="0" w:firstLineChars="0"/>
              <w:jc w:val="center"/>
              <w:rPr>
                <w:rFonts w:cs="Times New Roman"/>
                <w:b/>
                <w:bCs/>
                <w:sz w:val="21"/>
              </w:rPr>
            </w:pPr>
            <w:r>
              <w:rPr>
                <w:rFonts w:cs="Times New Roman"/>
                <w:sz w:val="21"/>
              </w:rPr>
              <w:t>89.5</w:t>
            </w:r>
          </w:p>
        </w:tc>
        <w:tc>
          <w:tcPr>
            <w:tcW w:w="1124" w:type="pct"/>
            <w:tcBorders>
              <w:top w:val="nil"/>
              <w:left w:val="nil"/>
              <w:bottom w:val="single" w:color="auto" w:sz="4" w:space="0"/>
              <w:right w:val="single" w:color="auto" w:sz="12" w:space="0"/>
            </w:tcBorders>
            <w:noWrap/>
            <w:vAlign w:val="center"/>
          </w:tcPr>
          <w:p w14:paraId="332C165C">
            <w:pPr>
              <w:spacing w:line="240" w:lineRule="auto"/>
              <w:ind w:firstLine="0" w:firstLineChars="0"/>
              <w:jc w:val="center"/>
              <w:rPr>
                <w:rFonts w:cs="Times New Roman"/>
                <w:b/>
                <w:bCs/>
                <w:sz w:val="21"/>
              </w:rPr>
            </w:pPr>
            <w:r>
              <w:rPr>
                <w:rFonts w:cs="Times New Roman"/>
                <w:sz w:val="21"/>
              </w:rPr>
              <w:t>96.6</w:t>
            </w:r>
          </w:p>
        </w:tc>
      </w:tr>
      <w:tr w14:paraId="7FAF9E2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A737D10">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3151D3C2">
            <w:pPr>
              <w:spacing w:line="240" w:lineRule="auto"/>
              <w:ind w:firstLine="0" w:firstLineChars="0"/>
              <w:jc w:val="center"/>
              <w:rPr>
                <w:rFonts w:cs="Times New Roman"/>
                <w:sz w:val="21"/>
              </w:rPr>
            </w:pPr>
            <w:r>
              <w:rPr>
                <w:rFonts w:cs="Times New Roman"/>
                <w:sz w:val="21"/>
              </w:rPr>
              <w:t>70.7</w:t>
            </w:r>
          </w:p>
        </w:tc>
        <w:tc>
          <w:tcPr>
            <w:tcW w:w="1123" w:type="pct"/>
            <w:tcBorders>
              <w:top w:val="nil"/>
              <w:left w:val="nil"/>
              <w:bottom w:val="single" w:color="auto" w:sz="4" w:space="0"/>
              <w:right w:val="single" w:color="auto" w:sz="4" w:space="0"/>
            </w:tcBorders>
            <w:noWrap/>
            <w:vAlign w:val="center"/>
          </w:tcPr>
          <w:p w14:paraId="378E38FA">
            <w:pPr>
              <w:spacing w:line="240" w:lineRule="auto"/>
              <w:ind w:firstLine="0" w:firstLineChars="0"/>
              <w:jc w:val="center"/>
              <w:rPr>
                <w:rFonts w:cs="Times New Roman"/>
                <w:b/>
                <w:bCs/>
                <w:sz w:val="21"/>
              </w:rPr>
            </w:pPr>
            <w:r>
              <w:rPr>
                <w:rFonts w:cs="Times New Roman"/>
                <w:sz w:val="21"/>
              </w:rPr>
              <w:t>91.7</w:t>
            </w:r>
          </w:p>
        </w:tc>
        <w:tc>
          <w:tcPr>
            <w:tcW w:w="1123" w:type="pct"/>
            <w:tcBorders>
              <w:top w:val="nil"/>
              <w:left w:val="nil"/>
              <w:bottom w:val="single" w:color="auto" w:sz="4" w:space="0"/>
              <w:right w:val="single" w:color="auto" w:sz="4" w:space="0"/>
            </w:tcBorders>
            <w:noWrap/>
            <w:vAlign w:val="center"/>
          </w:tcPr>
          <w:p w14:paraId="3352BF45">
            <w:pPr>
              <w:spacing w:line="240" w:lineRule="auto"/>
              <w:ind w:firstLine="0" w:firstLineChars="0"/>
              <w:jc w:val="center"/>
              <w:rPr>
                <w:rFonts w:cs="Times New Roman"/>
                <w:b/>
                <w:bCs/>
                <w:sz w:val="21"/>
              </w:rPr>
            </w:pPr>
            <w:r>
              <w:rPr>
                <w:rFonts w:cs="Times New Roman"/>
                <w:sz w:val="21"/>
              </w:rPr>
              <w:t>107</w:t>
            </w:r>
          </w:p>
        </w:tc>
        <w:tc>
          <w:tcPr>
            <w:tcW w:w="1124" w:type="pct"/>
            <w:tcBorders>
              <w:top w:val="nil"/>
              <w:left w:val="nil"/>
              <w:bottom w:val="single" w:color="auto" w:sz="4" w:space="0"/>
              <w:right w:val="single" w:color="auto" w:sz="12" w:space="0"/>
            </w:tcBorders>
            <w:noWrap/>
            <w:vAlign w:val="center"/>
          </w:tcPr>
          <w:p w14:paraId="41C825F3">
            <w:pPr>
              <w:spacing w:line="240" w:lineRule="auto"/>
              <w:ind w:firstLine="0" w:firstLineChars="0"/>
              <w:jc w:val="center"/>
              <w:rPr>
                <w:rFonts w:cs="Times New Roman"/>
                <w:b/>
                <w:bCs/>
                <w:sz w:val="21"/>
              </w:rPr>
            </w:pPr>
            <w:r>
              <w:rPr>
                <w:rFonts w:cs="Times New Roman"/>
                <w:sz w:val="21"/>
              </w:rPr>
              <w:t>126</w:t>
            </w:r>
          </w:p>
        </w:tc>
      </w:tr>
      <w:tr w14:paraId="11B1B132">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12B2974">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2ABCB7C7">
            <w:pPr>
              <w:spacing w:line="240" w:lineRule="auto"/>
              <w:ind w:firstLine="0" w:firstLineChars="0"/>
              <w:jc w:val="center"/>
              <w:rPr>
                <w:rFonts w:cs="Times New Roman"/>
                <w:sz w:val="21"/>
              </w:rPr>
            </w:pPr>
            <w:r>
              <w:rPr>
                <w:rFonts w:cs="Times New Roman"/>
                <w:sz w:val="21"/>
              </w:rPr>
              <w:t>36.4</w:t>
            </w:r>
          </w:p>
        </w:tc>
        <w:tc>
          <w:tcPr>
            <w:tcW w:w="1123" w:type="pct"/>
            <w:tcBorders>
              <w:top w:val="nil"/>
              <w:left w:val="nil"/>
              <w:bottom w:val="single" w:color="auto" w:sz="4" w:space="0"/>
              <w:right w:val="single" w:color="auto" w:sz="4" w:space="0"/>
            </w:tcBorders>
            <w:noWrap/>
            <w:vAlign w:val="center"/>
          </w:tcPr>
          <w:p w14:paraId="6EEB2113">
            <w:pPr>
              <w:spacing w:line="240" w:lineRule="auto"/>
              <w:ind w:firstLine="0" w:firstLineChars="0"/>
              <w:jc w:val="center"/>
              <w:rPr>
                <w:rFonts w:cs="Times New Roman"/>
                <w:sz w:val="21"/>
              </w:rPr>
            </w:pPr>
            <w:r>
              <w:rPr>
                <w:rFonts w:cs="Times New Roman"/>
                <w:sz w:val="21"/>
              </w:rPr>
              <w:t>54.2</w:t>
            </w:r>
          </w:p>
        </w:tc>
        <w:tc>
          <w:tcPr>
            <w:tcW w:w="1123" w:type="pct"/>
            <w:tcBorders>
              <w:top w:val="nil"/>
              <w:left w:val="nil"/>
              <w:bottom w:val="single" w:color="auto" w:sz="4" w:space="0"/>
              <w:right w:val="single" w:color="auto" w:sz="4" w:space="0"/>
            </w:tcBorders>
            <w:noWrap/>
            <w:vAlign w:val="center"/>
          </w:tcPr>
          <w:p w14:paraId="6A4FD755">
            <w:pPr>
              <w:spacing w:line="240" w:lineRule="auto"/>
              <w:ind w:firstLine="0" w:firstLineChars="0"/>
              <w:jc w:val="center"/>
              <w:rPr>
                <w:rFonts w:cs="Times New Roman"/>
                <w:sz w:val="21"/>
              </w:rPr>
            </w:pPr>
            <w:r>
              <w:rPr>
                <w:rFonts w:cs="Times New Roman"/>
                <w:sz w:val="21"/>
              </w:rPr>
              <w:t>69.1</w:t>
            </w:r>
          </w:p>
        </w:tc>
        <w:tc>
          <w:tcPr>
            <w:tcW w:w="1124" w:type="pct"/>
            <w:tcBorders>
              <w:top w:val="nil"/>
              <w:left w:val="nil"/>
              <w:bottom w:val="single" w:color="auto" w:sz="4" w:space="0"/>
              <w:right w:val="single" w:color="auto" w:sz="12" w:space="0"/>
            </w:tcBorders>
            <w:noWrap/>
            <w:vAlign w:val="center"/>
          </w:tcPr>
          <w:p w14:paraId="3E8BC617">
            <w:pPr>
              <w:spacing w:line="240" w:lineRule="auto"/>
              <w:ind w:firstLine="0" w:firstLineChars="0"/>
              <w:jc w:val="center"/>
              <w:rPr>
                <w:rFonts w:cs="Times New Roman"/>
                <w:sz w:val="21"/>
              </w:rPr>
            </w:pPr>
            <w:r>
              <w:rPr>
                <w:rFonts w:cs="Times New Roman"/>
                <w:sz w:val="21"/>
              </w:rPr>
              <w:t>91.3</w:t>
            </w:r>
          </w:p>
        </w:tc>
      </w:tr>
      <w:tr w14:paraId="16D59C0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E5B42A0">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6FA5060F">
            <w:pPr>
              <w:spacing w:line="240" w:lineRule="auto"/>
              <w:ind w:firstLine="0" w:firstLineChars="0"/>
              <w:jc w:val="center"/>
              <w:rPr>
                <w:rFonts w:cs="Times New Roman"/>
                <w:sz w:val="21"/>
              </w:rPr>
            </w:pPr>
            <w:r>
              <w:rPr>
                <w:rFonts w:cs="Times New Roman"/>
                <w:sz w:val="21"/>
              </w:rPr>
              <w:t>0.24400</w:t>
            </w:r>
          </w:p>
        </w:tc>
        <w:tc>
          <w:tcPr>
            <w:tcW w:w="1123" w:type="pct"/>
            <w:tcBorders>
              <w:top w:val="nil"/>
              <w:left w:val="nil"/>
              <w:bottom w:val="single" w:color="auto" w:sz="4" w:space="0"/>
              <w:right w:val="single" w:color="auto" w:sz="4" w:space="0"/>
            </w:tcBorders>
            <w:noWrap/>
            <w:vAlign w:val="center"/>
          </w:tcPr>
          <w:p w14:paraId="4C53C99E">
            <w:pPr>
              <w:spacing w:line="240" w:lineRule="auto"/>
              <w:ind w:firstLine="0" w:firstLineChars="0"/>
              <w:jc w:val="center"/>
              <w:rPr>
                <w:rFonts w:cs="Times New Roman"/>
                <w:sz w:val="21"/>
              </w:rPr>
            </w:pPr>
            <w:r>
              <w:rPr>
                <w:rFonts w:cs="Times New Roman"/>
                <w:sz w:val="21"/>
              </w:rPr>
              <w:t>0.51300</w:t>
            </w:r>
          </w:p>
        </w:tc>
        <w:tc>
          <w:tcPr>
            <w:tcW w:w="1123" w:type="pct"/>
            <w:tcBorders>
              <w:top w:val="nil"/>
              <w:left w:val="nil"/>
              <w:bottom w:val="single" w:color="auto" w:sz="4" w:space="0"/>
              <w:right w:val="single" w:color="auto" w:sz="4" w:space="0"/>
            </w:tcBorders>
            <w:noWrap/>
            <w:vAlign w:val="center"/>
          </w:tcPr>
          <w:p w14:paraId="53C832CB">
            <w:pPr>
              <w:spacing w:line="240" w:lineRule="auto"/>
              <w:ind w:firstLine="0" w:firstLineChars="0"/>
              <w:jc w:val="center"/>
              <w:rPr>
                <w:rFonts w:cs="Times New Roman"/>
                <w:sz w:val="21"/>
              </w:rPr>
            </w:pPr>
            <w:r>
              <w:rPr>
                <w:rFonts w:cs="Times New Roman"/>
                <w:sz w:val="21"/>
              </w:rPr>
              <w:t>0.82300</w:t>
            </w:r>
          </w:p>
        </w:tc>
        <w:tc>
          <w:tcPr>
            <w:tcW w:w="1124" w:type="pct"/>
            <w:tcBorders>
              <w:top w:val="nil"/>
              <w:left w:val="nil"/>
              <w:bottom w:val="single" w:color="auto" w:sz="4" w:space="0"/>
              <w:right w:val="single" w:color="auto" w:sz="12" w:space="0"/>
            </w:tcBorders>
            <w:noWrap/>
            <w:vAlign w:val="center"/>
          </w:tcPr>
          <w:p w14:paraId="4F32907F">
            <w:pPr>
              <w:spacing w:line="240" w:lineRule="auto"/>
              <w:ind w:firstLine="0" w:firstLineChars="0"/>
              <w:jc w:val="center"/>
              <w:rPr>
                <w:rFonts w:cs="Times New Roman"/>
                <w:sz w:val="21"/>
              </w:rPr>
            </w:pPr>
            <w:r>
              <w:rPr>
                <w:rFonts w:cs="Times New Roman"/>
                <w:sz w:val="21"/>
              </w:rPr>
              <w:t>1.45000</w:t>
            </w:r>
          </w:p>
        </w:tc>
      </w:tr>
      <w:tr w14:paraId="5A1F742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65387BF">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73FF159F">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2652C216">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54B467D0">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1D60D328">
            <w:pPr>
              <w:spacing w:line="240" w:lineRule="auto"/>
              <w:ind w:firstLine="0" w:firstLineChars="0"/>
              <w:jc w:val="center"/>
              <w:rPr>
                <w:rFonts w:cs="Times New Roman"/>
                <w:sz w:val="21"/>
              </w:rPr>
            </w:pPr>
            <w:r>
              <w:rPr>
                <w:rFonts w:cs="Times New Roman"/>
                <w:sz w:val="21"/>
              </w:rPr>
              <w:t>0.00000</w:t>
            </w:r>
          </w:p>
        </w:tc>
      </w:tr>
      <w:tr w14:paraId="3B1DD30B">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3FC55AE6">
            <w:pPr>
              <w:spacing w:line="240" w:lineRule="auto"/>
              <w:ind w:firstLine="0" w:firstLineChars="0"/>
              <w:jc w:val="center"/>
              <w:rPr>
                <w:rFonts w:cs="Times New Roman"/>
                <w:sz w:val="21"/>
              </w:rPr>
            </w:pPr>
            <w:r>
              <w:rPr>
                <w:rFonts w:cs="Times New Roman"/>
                <w:sz w:val="21"/>
              </w:rPr>
              <w:t>3650d</w:t>
            </w:r>
          </w:p>
        </w:tc>
      </w:tr>
      <w:tr w14:paraId="50167DF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997C284">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513B681E">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3AF05F50">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16DDB39F">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321DFAC2">
            <w:pPr>
              <w:spacing w:line="240" w:lineRule="auto"/>
              <w:ind w:firstLine="0" w:firstLineChars="0"/>
              <w:jc w:val="center"/>
              <w:rPr>
                <w:rFonts w:cs="Times New Roman"/>
                <w:sz w:val="21"/>
              </w:rPr>
            </w:pPr>
            <w:r>
              <w:rPr>
                <w:rFonts w:cs="Times New Roman"/>
                <w:sz w:val="21"/>
              </w:rPr>
              <w:t>7.5</w:t>
            </w:r>
          </w:p>
        </w:tc>
      </w:tr>
      <w:tr w14:paraId="4FB5FD0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612EEFF">
            <w:pPr>
              <w:spacing w:line="240" w:lineRule="auto"/>
              <w:ind w:firstLine="0" w:firstLineChars="0"/>
              <w:jc w:val="center"/>
              <w:rPr>
                <w:rFonts w:cs="Times New Roman"/>
                <w:sz w:val="21"/>
              </w:rPr>
            </w:pPr>
            <w:r>
              <w:rPr>
                <w:rFonts w:cs="Times New Roman"/>
                <w:sz w:val="21"/>
              </w:rPr>
              <w:t>0</w:t>
            </w:r>
          </w:p>
        </w:tc>
        <w:tc>
          <w:tcPr>
            <w:tcW w:w="1124" w:type="pct"/>
            <w:tcBorders>
              <w:top w:val="single" w:color="auto" w:sz="4" w:space="0"/>
              <w:left w:val="nil"/>
              <w:bottom w:val="single" w:color="auto" w:sz="4" w:space="0"/>
              <w:right w:val="single" w:color="auto" w:sz="4" w:space="0"/>
            </w:tcBorders>
            <w:noWrap/>
            <w:vAlign w:val="center"/>
          </w:tcPr>
          <w:p w14:paraId="2769A6B2">
            <w:pPr>
              <w:spacing w:line="240" w:lineRule="auto"/>
              <w:ind w:firstLine="0" w:firstLineChars="0"/>
              <w:jc w:val="center"/>
              <w:rPr>
                <w:rFonts w:cs="Times New Roman"/>
                <w:sz w:val="21"/>
              </w:rPr>
            </w:pPr>
            <w:r>
              <w:rPr>
                <w:rFonts w:cs="Times New Roman"/>
                <w:sz w:val="21"/>
              </w:rPr>
              <w:t>0.04475</w:t>
            </w:r>
          </w:p>
        </w:tc>
        <w:tc>
          <w:tcPr>
            <w:tcW w:w="1123" w:type="pct"/>
            <w:tcBorders>
              <w:top w:val="single" w:color="auto" w:sz="4" w:space="0"/>
              <w:left w:val="nil"/>
              <w:bottom w:val="single" w:color="auto" w:sz="4" w:space="0"/>
              <w:right w:val="single" w:color="auto" w:sz="4" w:space="0"/>
            </w:tcBorders>
            <w:noWrap/>
            <w:vAlign w:val="center"/>
          </w:tcPr>
          <w:p w14:paraId="414397EE">
            <w:pPr>
              <w:spacing w:line="240" w:lineRule="auto"/>
              <w:ind w:firstLine="0" w:firstLineChars="0"/>
              <w:jc w:val="center"/>
              <w:rPr>
                <w:rFonts w:cs="Times New Roman"/>
                <w:sz w:val="21"/>
              </w:rPr>
            </w:pPr>
            <w:r>
              <w:rPr>
                <w:rFonts w:cs="Times New Roman"/>
                <w:sz w:val="21"/>
              </w:rPr>
              <w:t>0.04797</w:t>
            </w:r>
          </w:p>
        </w:tc>
        <w:tc>
          <w:tcPr>
            <w:tcW w:w="1123" w:type="pct"/>
            <w:tcBorders>
              <w:top w:val="single" w:color="auto" w:sz="4" w:space="0"/>
              <w:left w:val="nil"/>
              <w:bottom w:val="single" w:color="auto" w:sz="4" w:space="0"/>
              <w:right w:val="single" w:color="auto" w:sz="4" w:space="0"/>
            </w:tcBorders>
            <w:noWrap/>
            <w:vAlign w:val="center"/>
          </w:tcPr>
          <w:p w14:paraId="5F8BCC62">
            <w:pPr>
              <w:spacing w:line="240" w:lineRule="auto"/>
              <w:ind w:firstLine="0" w:firstLineChars="0"/>
              <w:jc w:val="center"/>
              <w:rPr>
                <w:rFonts w:cs="Times New Roman"/>
                <w:sz w:val="21"/>
              </w:rPr>
            </w:pPr>
            <w:r>
              <w:rPr>
                <w:rFonts w:cs="Times New Roman"/>
                <w:sz w:val="21"/>
              </w:rPr>
              <w:t>0.04992</w:t>
            </w:r>
          </w:p>
        </w:tc>
        <w:tc>
          <w:tcPr>
            <w:tcW w:w="1124" w:type="pct"/>
            <w:tcBorders>
              <w:top w:val="single" w:color="auto" w:sz="4" w:space="0"/>
              <w:left w:val="nil"/>
              <w:bottom w:val="single" w:color="auto" w:sz="4" w:space="0"/>
              <w:right w:val="single" w:color="auto" w:sz="12" w:space="0"/>
            </w:tcBorders>
            <w:noWrap/>
            <w:vAlign w:val="center"/>
          </w:tcPr>
          <w:p w14:paraId="4214F7BB">
            <w:pPr>
              <w:spacing w:line="240" w:lineRule="auto"/>
              <w:ind w:firstLine="0" w:firstLineChars="0"/>
              <w:jc w:val="center"/>
              <w:rPr>
                <w:rFonts w:cs="Times New Roman"/>
                <w:sz w:val="21"/>
              </w:rPr>
            </w:pPr>
            <w:r>
              <w:rPr>
                <w:rFonts w:cs="Times New Roman"/>
                <w:sz w:val="21"/>
              </w:rPr>
              <w:t>0.05212</w:t>
            </w:r>
          </w:p>
        </w:tc>
      </w:tr>
      <w:tr w14:paraId="26218AC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3B1CE38">
            <w:pPr>
              <w:spacing w:line="240" w:lineRule="auto"/>
              <w:ind w:firstLine="0" w:firstLineChars="0"/>
              <w:jc w:val="center"/>
              <w:rPr>
                <w:rFonts w:cs="Times New Roman"/>
                <w:sz w:val="21"/>
              </w:rPr>
            </w:pPr>
            <w:r>
              <w:rPr>
                <w:rFonts w:cs="Times New Roman"/>
                <w:sz w:val="21"/>
              </w:rPr>
              <w:t>15</w:t>
            </w:r>
          </w:p>
        </w:tc>
        <w:tc>
          <w:tcPr>
            <w:tcW w:w="1124" w:type="pct"/>
            <w:tcBorders>
              <w:top w:val="single" w:color="auto" w:sz="4" w:space="0"/>
              <w:left w:val="nil"/>
              <w:bottom w:val="single" w:color="auto" w:sz="4" w:space="0"/>
              <w:right w:val="single" w:color="auto" w:sz="4" w:space="0"/>
            </w:tcBorders>
            <w:noWrap/>
            <w:vAlign w:val="center"/>
          </w:tcPr>
          <w:p w14:paraId="1AC40987">
            <w:pPr>
              <w:spacing w:line="240" w:lineRule="auto"/>
              <w:ind w:firstLine="0" w:firstLineChars="0"/>
              <w:jc w:val="center"/>
              <w:rPr>
                <w:rFonts w:cs="Times New Roman"/>
                <w:sz w:val="21"/>
              </w:rPr>
            </w:pPr>
            <w:r>
              <w:rPr>
                <w:rFonts w:cs="Times New Roman"/>
                <w:sz w:val="21"/>
              </w:rPr>
              <w:t>0.08078</w:t>
            </w:r>
          </w:p>
        </w:tc>
        <w:tc>
          <w:tcPr>
            <w:tcW w:w="1123" w:type="pct"/>
            <w:tcBorders>
              <w:top w:val="single" w:color="auto" w:sz="4" w:space="0"/>
              <w:left w:val="nil"/>
              <w:bottom w:val="single" w:color="auto" w:sz="4" w:space="0"/>
              <w:right w:val="single" w:color="auto" w:sz="4" w:space="0"/>
            </w:tcBorders>
            <w:noWrap/>
            <w:vAlign w:val="center"/>
          </w:tcPr>
          <w:p w14:paraId="3B3C6E93">
            <w:pPr>
              <w:spacing w:line="240" w:lineRule="auto"/>
              <w:ind w:firstLine="0" w:firstLineChars="0"/>
              <w:jc w:val="center"/>
              <w:rPr>
                <w:rFonts w:cs="Times New Roman"/>
                <w:sz w:val="21"/>
              </w:rPr>
            </w:pPr>
            <w:r>
              <w:rPr>
                <w:rFonts w:cs="Times New Roman"/>
                <w:sz w:val="21"/>
              </w:rPr>
              <w:t>0.08091</w:t>
            </w:r>
          </w:p>
        </w:tc>
        <w:tc>
          <w:tcPr>
            <w:tcW w:w="1123" w:type="pct"/>
            <w:tcBorders>
              <w:top w:val="single" w:color="auto" w:sz="4" w:space="0"/>
              <w:left w:val="nil"/>
              <w:bottom w:val="single" w:color="auto" w:sz="4" w:space="0"/>
              <w:right w:val="single" w:color="auto" w:sz="4" w:space="0"/>
            </w:tcBorders>
            <w:noWrap/>
            <w:vAlign w:val="center"/>
          </w:tcPr>
          <w:p w14:paraId="56F20705">
            <w:pPr>
              <w:spacing w:line="240" w:lineRule="auto"/>
              <w:ind w:firstLine="0" w:firstLineChars="0"/>
              <w:jc w:val="center"/>
              <w:rPr>
                <w:rFonts w:cs="Times New Roman"/>
                <w:sz w:val="21"/>
              </w:rPr>
            </w:pPr>
            <w:r>
              <w:rPr>
                <w:rFonts w:cs="Times New Roman"/>
                <w:sz w:val="21"/>
              </w:rPr>
              <w:t>0.09446</w:t>
            </w:r>
          </w:p>
        </w:tc>
        <w:tc>
          <w:tcPr>
            <w:tcW w:w="1124" w:type="pct"/>
            <w:tcBorders>
              <w:top w:val="single" w:color="auto" w:sz="4" w:space="0"/>
              <w:left w:val="nil"/>
              <w:bottom w:val="single" w:color="auto" w:sz="4" w:space="0"/>
              <w:right w:val="single" w:color="auto" w:sz="12" w:space="0"/>
            </w:tcBorders>
            <w:noWrap/>
            <w:vAlign w:val="center"/>
          </w:tcPr>
          <w:p w14:paraId="32DFF716">
            <w:pPr>
              <w:spacing w:line="240" w:lineRule="auto"/>
              <w:ind w:firstLine="0" w:firstLineChars="0"/>
              <w:jc w:val="center"/>
              <w:rPr>
                <w:rFonts w:cs="Times New Roman"/>
                <w:sz w:val="21"/>
              </w:rPr>
            </w:pPr>
            <w:r>
              <w:rPr>
                <w:rFonts w:cs="Times New Roman"/>
                <w:sz w:val="21"/>
              </w:rPr>
              <w:t>0.10096</w:t>
            </w:r>
          </w:p>
        </w:tc>
      </w:tr>
      <w:tr w14:paraId="492C6740">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2E112B8">
            <w:pPr>
              <w:spacing w:line="240" w:lineRule="auto"/>
              <w:ind w:firstLine="0" w:firstLineChars="0"/>
              <w:jc w:val="center"/>
              <w:rPr>
                <w:rFonts w:cs="Times New Roman"/>
                <w:sz w:val="21"/>
              </w:rPr>
            </w:pPr>
            <w:r>
              <w:rPr>
                <w:rFonts w:cs="Times New Roman"/>
                <w:sz w:val="21"/>
              </w:rPr>
              <w:t>30</w:t>
            </w:r>
          </w:p>
        </w:tc>
        <w:tc>
          <w:tcPr>
            <w:tcW w:w="1124" w:type="pct"/>
            <w:tcBorders>
              <w:top w:val="single" w:color="auto" w:sz="4" w:space="0"/>
              <w:left w:val="nil"/>
              <w:bottom w:val="single" w:color="auto" w:sz="4" w:space="0"/>
              <w:right w:val="single" w:color="auto" w:sz="4" w:space="0"/>
            </w:tcBorders>
            <w:noWrap/>
            <w:vAlign w:val="center"/>
          </w:tcPr>
          <w:p w14:paraId="1907BE71">
            <w:pPr>
              <w:spacing w:line="240" w:lineRule="auto"/>
              <w:ind w:firstLine="0" w:firstLineChars="0"/>
              <w:jc w:val="center"/>
              <w:rPr>
                <w:rFonts w:cs="Times New Roman"/>
                <w:sz w:val="21"/>
              </w:rPr>
            </w:pPr>
            <w:r>
              <w:rPr>
                <w:rFonts w:cs="Times New Roman"/>
                <w:sz w:val="21"/>
              </w:rPr>
              <w:t>0.12960</w:t>
            </w:r>
          </w:p>
        </w:tc>
        <w:tc>
          <w:tcPr>
            <w:tcW w:w="1123" w:type="pct"/>
            <w:tcBorders>
              <w:top w:val="single" w:color="auto" w:sz="4" w:space="0"/>
              <w:left w:val="nil"/>
              <w:bottom w:val="single" w:color="auto" w:sz="4" w:space="0"/>
              <w:right w:val="single" w:color="auto" w:sz="4" w:space="0"/>
            </w:tcBorders>
            <w:noWrap/>
            <w:vAlign w:val="center"/>
          </w:tcPr>
          <w:p w14:paraId="6A571ABC">
            <w:pPr>
              <w:spacing w:line="240" w:lineRule="auto"/>
              <w:ind w:firstLine="0" w:firstLineChars="0"/>
              <w:jc w:val="center"/>
              <w:rPr>
                <w:rFonts w:cs="Times New Roman"/>
                <w:sz w:val="21"/>
              </w:rPr>
            </w:pPr>
            <w:r>
              <w:rPr>
                <w:rFonts w:cs="Times New Roman"/>
                <w:sz w:val="21"/>
              </w:rPr>
              <w:t>0.14699</w:t>
            </w:r>
          </w:p>
        </w:tc>
        <w:tc>
          <w:tcPr>
            <w:tcW w:w="1123" w:type="pct"/>
            <w:tcBorders>
              <w:top w:val="single" w:color="auto" w:sz="4" w:space="0"/>
              <w:left w:val="nil"/>
              <w:bottom w:val="single" w:color="auto" w:sz="4" w:space="0"/>
              <w:right w:val="single" w:color="auto" w:sz="4" w:space="0"/>
            </w:tcBorders>
            <w:noWrap/>
            <w:vAlign w:val="center"/>
          </w:tcPr>
          <w:p w14:paraId="2EB7339C">
            <w:pPr>
              <w:spacing w:line="240" w:lineRule="auto"/>
              <w:ind w:firstLine="0" w:firstLineChars="0"/>
              <w:jc w:val="center"/>
              <w:rPr>
                <w:rFonts w:cs="Times New Roman"/>
                <w:sz w:val="21"/>
              </w:rPr>
            </w:pPr>
            <w:r>
              <w:rPr>
                <w:rFonts w:cs="Times New Roman"/>
                <w:sz w:val="21"/>
              </w:rPr>
              <w:t>0.15886</w:t>
            </w:r>
          </w:p>
        </w:tc>
        <w:tc>
          <w:tcPr>
            <w:tcW w:w="1124" w:type="pct"/>
            <w:tcBorders>
              <w:top w:val="single" w:color="auto" w:sz="4" w:space="0"/>
              <w:left w:val="nil"/>
              <w:bottom w:val="single" w:color="auto" w:sz="4" w:space="0"/>
              <w:right w:val="single" w:color="auto" w:sz="12" w:space="0"/>
            </w:tcBorders>
            <w:noWrap/>
            <w:vAlign w:val="center"/>
          </w:tcPr>
          <w:p w14:paraId="1E870E0C">
            <w:pPr>
              <w:spacing w:line="240" w:lineRule="auto"/>
              <w:ind w:firstLine="0" w:firstLineChars="0"/>
              <w:jc w:val="center"/>
              <w:rPr>
                <w:rFonts w:cs="Times New Roman"/>
                <w:sz w:val="21"/>
              </w:rPr>
            </w:pPr>
            <w:r>
              <w:rPr>
                <w:rFonts w:cs="Times New Roman"/>
                <w:sz w:val="21"/>
              </w:rPr>
              <w:t>0.17384</w:t>
            </w:r>
          </w:p>
        </w:tc>
      </w:tr>
      <w:tr w14:paraId="3C5B748A">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1477EA3">
            <w:pPr>
              <w:spacing w:line="240" w:lineRule="auto"/>
              <w:ind w:firstLine="0" w:firstLineChars="0"/>
              <w:jc w:val="center"/>
              <w:rPr>
                <w:rFonts w:cs="Times New Roman"/>
                <w:sz w:val="21"/>
              </w:rPr>
            </w:pPr>
            <w:r>
              <w:rPr>
                <w:rFonts w:cs="Times New Roman"/>
                <w:sz w:val="21"/>
              </w:rPr>
              <w:t>50</w:t>
            </w:r>
          </w:p>
        </w:tc>
        <w:tc>
          <w:tcPr>
            <w:tcW w:w="1124" w:type="pct"/>
            <w:tcBorders>
              <w:top w:val="single" w:color="auto" w:sz="4" w:space="0"/>
              <w:left w:val="nil"/>
              <w:bottom w:val="single" w:color="auto" w:sz="4" w:space="0"/>
              <w:right w:val="single" w:color="auto" w:sz="4" w:space="0"/>
            </w:tcBorders>
            <w:noWrap/>
            <w:vAlign w:val="center"/>
          </w:tcPr>
          <w:p w14:paraId="626907C7">
            <w:pPr>
              <w:spacing w:line="240" w:lineRule="auto"/>
              <w:ind w:firstLine="0" w:firstLineChars="0"/>
              <w:jc w:val="center"/>
              <w:rPr>
                <w:rFonts w:cs="Times New Roman"/>
                <w:sz w:val="21"/>
              </w:rPr>
            </w:pPr>
            <w:r>
              <w:rPr>
                <w:rFonts w:cs="Times New Roman"/>
                <w:sz w:val="21"/>
              </w:rPr>
              <w:t>0.20300</w:t>
            </w:r>
          </w:p>
        </w:tc>
        <w:tc>
          <w:tcPr>
            <w:tcW w:w="1123" w:type="pct"/>
            <w:tcBorders>
              <w:top w:val="single" w:color="auto" w:sz="4" w:space="0"/>
              <w:left w:val="nil"/>
              <w:bottom w:val="single" w:color="auto" w:sz="4" w:space="0"/>
              <w:right w:val="single" w:color="auto" w:sz="4" w:space="0"/>
            </w:tcBorders>
            <w:noWrap/>
            <w:vAlign w:val="center"/>
          </w:tcPr>
          <w:p w14:paraId="2595C1B1">
            <w:pPr>
              <w:spacing w:line="240" w:lineRule="auto"/>
              <w:ind w:firstLine="0" w:firstLineChars="0"/>
              <w:jc w:val="center"/>
              <w:rPr>
                <w:rFonts w:cs="Times New Roman"/>
                <w:sz w:val="21"/>
              </w:rPr>
            </w:pPr>
            <w:r>
              <w:rPr>
                <w:rFonts w:cs="Times New Roman"/>
                <w:sz w:val="21"/>
              </w:rPr>
              <w:t>0.23900</w:t>
            </w:r>
          </w:p>
        </w:tc>
        <w:tc>
          <w:tcPr>
            <w:tcW w:w="1123" w:type="pct"/>
            <w:tcBorders>
              <w:top w:val="single" w:color="auto" w:sz="4" w:space="0"/>
              <w:left w:val="nil"/>
              <w:bottom w:val="single" w:color="auto" w:sz="4" w:space="0"/>
              <w:right w:val="single" w:color="auto" w:sz="4" w:space="0"/>
            </w:tcBorders>
            <w:noWrap/>
            <w:vAlign w:val="center"/>
          </w:tcPr>
          <w:p w14:paraId="64B6D8AC">
            <w:pPr>
              <w:spacing w:line="240" w:lineRule="auto"/>
              <w:ind w:firstLine="0" w:firstLineChars="0"/>
              <w:jc w:val="center"/>
              <w:rPr>
                <w:rFonts w:cs="Times New Roman"/>
                <w:sz w:val="21"/>
              </w:rPr>
            </w:pPr>
            <w:r>
              <w:rPr>
                <w:rFonts w:cs="Times New Roman"/>
                <w:sz w:val="21"/>
              </w:rPr>
              <w:t>0.26500</w:t>
            </w:r>
          </w:p>
        </w:tc>
        <w:tc>
          <w:tcPr>
            <w:tcW w:w="1124" w:type="pct"/>
            <w:tcBorders>
              <w:top w:val="single" w:color="auto" w:sz="4" w:space="0"/>
              <w:left w:val="nil"/>
              <w:bottom w:val="single" w:color="auto" w:sz="4" w:space="0"/>
              <w:right w:val="single" w:color="auto" w:sz="12" w:space="0"/>
            </w:tcBorders>
            <w:noWrap/>
            <w:vAlign w:val="center"/>
          </w:tcPr>
          <w:p w14:paraId="017CF9D8">
            <w:pPr>
              <w:spacing w:line="240" w:lineRule="auto"/>
              <w:ind w:firstLine="0" w:firstLineChars="0"/>
              <w:jc w:val="center"/>
              <w:rPr>
                <w:rFonts w:cs="Times New Roman"/>
                <w:sz w:val="21"/>
              </w:rPr>
            </w:pPr>
            <w:r>
              <w:rPr>
                <w:rFonts w:cs="Times New Roman"/>
                <w:sz w:val="21"/>
              </w:rPr>
              <w:t>0.29900</w:t>
            </w:r>
          </w:p>
        </w:tc>
      </w:tr>
      <w:tr w14:paraId="4A7B8B2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6F6BFF6">
            <w:pPr>
              <w:spacing w:line="240" w:lineRule="auto"/>
              <w:ind w:firstLine="0" w:firstLineChars="0"/>
              <w:jc w:val="center"/>
              <w:rPr>
                <w:rFonts w:cs="Times New Roman"/>
                <w:sz w:val="21"/>
              </w:rPr>
            </w:pPr>
            <w:r>
              <w:rPr>
                <w:rFonts w:cs="Times New Roman"/>
                <w:sz w:val="21"/>
              </w:rPr>
              <w:t>100</w:t>
            </w:r>
          </w:p>
        </w:tc>
        <w:tc>
          <w:tcPr>
            <w:tcW w:w="1124" w:type="pct"/>
            <w:tcBorders>
              <w:top w:val="single" w:color="auto" w:sz="4" w:space="0"/>
              <w:left w:val="nil"/>
              <w:bottom w:val="single" w:color="auto" w:sz="4" w:space="0"/>
              <w:right w:val="single" w:color="auto" w:sz="4" w:space="0"/>
            </w:tcBorders>
            <w:noWrap/>
            <w:vAlign w:val="center"/>
          </w:tcPr>
          <w:p w14:paraId="2114DE23">
            <w:pPr>
              <w:spacing w:line="240" w:lineRule="auto"/>
              <w:ind w:firstLine="0" w:firstLineChars="0"/>
              <w:jc w:val="center"/>
              <w:rPr>
                <w:rFonts w:cs="Times New Roman"/>
                <w:sz w:val="21"/>
              </w:rPr>
            </w:pPr>
            <w:r>
              <w:rPr>
                <w:rFonts w:cs="Times New Roman"/>
                <w:sz w:val="21"/>
              </w:rPr>
              <w:t>0.24774</w:t>
            </w:r>
          </w:p>
        </w:tc>
        <w:tc>
          <w:tcPr>
            <w:tcW w:w="1123" w:type="pct"/>
            <w:tcBorders>
              <w:top w:val="single" w:color="auto" w:sz="4" w:space="0"/>
              <w:left w:val="nil"/>
              <w:bottom w:val="single" w:color="auto" w:sz="4" w:space="0"/>
              <w:right w:val="single" w:color="auto" w:sz="4" w:space="0"/>
            </w:tcBorders>
            <w:noWrap/>
            <w:vAlign w:val="center"/>
          </w:tcPr>
          <w:p w14:paraId="50F28863">
            <w:pPr>
              <w:spacing w:line="240" w:lineRule="auto"/>
              <w:ind w:firstLine="0" w:firstLineChars="0"/>
              <w:jc w:val="center"/>
              <w:rPr>
                <w:rFonts w:cs="Times New Roman"/>
                <w:sz w:val="21"/>
              </w:rPr>
            </w:pPr>
            <w:r>
              <w:rPr>
                <w:rFonts w:cs="Times New Roman"/>
                <w:sz w:val="21"/>
              </w:rPr>
              <w:t>0.32059</w:t>
            </w:r>
          </w:p>
        </w:tc>
        <w:tc>
          <w:tcPr>
            <w:tcW w:w="1123" w:type="pct"/>
            <w:tcBorders>
              <w:top w:val="single" w:color="auto" w:sz="4" w:space="0"/>
              <w:left w:val="nil"/>
              <w:bottom w:val="single" w:color="auto" w:sz="4" w:space="0"/>
              <w:right w:val="single" w:color="auto" w:sz="4" w:space="0"/>
            </w:tcBorders>
            <w:noWrap/>
            <w:vAlign w:val="center"/>
          </w:tcPr>
          <w:p w14:paraId="7510343B">
            <w:pPr>
              <w:spacing w:line="240" w:lineRule="auto"/>
              <w:ind w:firstLine="0" w:firstLineChars="0"/>
              <w:jc w:val="center"/>
              <w:rPr>
                <w:rFonts w:cs="Times New Roman"/>
                <w:sz w:val="21"/>
              </w:rPr>
            </w:pPr>
            <w:r>
              <w:rPr>
                <w:rFonts w:cs="Times New Roman"/>
                <w:sz w:val="21"/>
              </w:rPr>
              <w:t>0.37834</w:t>
            </w:r>
          </w:p>
        </w:tc>
        <w:tc>
          <w:tcPr>
            <w:tcW w:w="1124" w:type="pct"/>
            <w:tcBorders>
              <w:top w:val="single" w:color="auto" w:sz="4" w:space="0"/>
              <w:left w:val="nil"/>
              <w:bottom w:val="single" w:color="auto" w:sz="4" w:space="0"/>
              <w:right w:val="single" w:color="auto" w:sz="12" w:space="0"/>
            </w:tcBorders>
            <w:noWrap/>
            <w:vAlign w:val="center"/>
          </w:tcPr>
          <w:p w14:paraId="61E29FEA">
            <w:pPr>
              <w:spacing w:line="240" w:lineRule="auto"/>
              <w:ind w:firstLine="0" w:firstLineChars="0"/>
              <w:jc w:val="center"/>
              <w:rPr>
                <w:rFonts w:cs="Times New Roman"/>
                <w:sz w:val="21"/>
              </w:rPr>
            </w:pPr>
            <w:r>
              <w:rPr>
                <w:rFonts w:cs="Times New Roman"/>
                <w:sz w:val="21"/>
              </w:rPr>
              <w:t>0.46210</w:t>
            </w:r>
          </w:p>
        </w:tc>
      </w:tr>
      <w:tr w14:paraId="377A793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A9269D7">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4" w:space="0"/>
              <w:right w:val="single" w:color="auto" w:sz="4" w:space="0"/>
            </w:tcBorders>
            <w:noWrap/>
            <w:vAlign w:val="center"/>
          </w:tcPr>
          <w:p w14:paraId="0DE619DA">
            <w:pPr>
              <w:spacing w:line="240" w:lineRule="auto"/>
              <w:ind w:firstLine="0" w:firstLineChars="0"/>
              <w:jc w:val="center"/>
              <w:rPr>
                <w:rFonts w:cs="Times New Roman"/>
                <w:sz w:val="21"/>
              </w:rPr>
            </w:pPr>
            <w:r>
              <w:rPr>
                <w:rFonts w:cs="Times New Roman"/>
                <w:sz w:val="21"/>
              </w:rPr>
              <w:t>0.00729</w:t>
            </w:r>
          </w:p>
        </w:tc>
        <w:tc>
          <w:tcPr>
            <w:tcW w:w="1123" w:type="pct"/>
            <w:tcBorders>
              <w:top w:val="single" w:color="auto" w:sz="4" w:space="0"/>
              <w:left w:val="nil"/>
              <w:bottom w:val="single" w:color="auto" w:sz="4" w:space="0"/>
              <w:right w:val="single" w:color="auto" w:sz="4" w:space="0"/>
            </w:tcBorders>
            <w:noWrap/>
            <w:vAlign w:val="center"/>
          </w:tcPr>
          <w:p w14:paraId="1F4D65C1">
            <w:pPr>
              <w:spacing w:line="240" w:lineRule="auto"/>
              <w:ind w:firstLine="0" w:firstLineChars="0"/>
              <w:jc w:val="center"/>
              <w:rPr>
                <w:rFonts w:cs="Times New Roman"/>
                <w:sz w:val="21"/>
              </w:rPr>
            </w:pPr>
            <w:r>
              <w:rPr>
                <w:rFonts w:cs="Times New Roman"/>
                <w:sz w:val="21"/>
              </w:rPr>
              <w:t>0.01140</w:t>
            </w:r>
          </w:p>
        </w:tc>
        <w:tc>
          <w:tcPr>
            <w:tcW w:w="1123" w:type="pct"/>
            <w:tcBorders>
              <w:top w:val="single" w:color="auto" w:sz="4" w:space="0"/>
              <w:left w:val="nil"/>
              <w:bottom w:val="single" w:color="auto" w:sz="4" w:space="0"/>
              <w:right w:val="single" w:color="auto" w:sz="4" w:space="0"/>
            </w:tcBorders>
            <w:noWrap/>
            <w:vAlign w:val="center"/>
          </w:tcPr>
          <w:p w14:paraId="787D3E36">
            <w:pPr>
              <w:spacing w:line="240" w:lineRule="auto"/>
              <w:ind w:firstLine="0" w:firstLineChars="0"/>
              <w:jc w:val="center"/>
              <w:rPr>
                <w:rFonts w:cs="Times New Roman"/>
                <w:sz w:val="21"/>
              </w:rPr>
            </w:pPr>
            <w:r>
              <w:rPr>
                <w:rFonts w:cs="Times New Roman"/>
                <w:sz w:val="21"/>
              </w:rPr>
              <w:t>0.01520</w:t>
            </w:r>
          </w:p>
        </w:tc>
        <w:tc>
          <w:tcPr>
            <w:tcW w:w="1124" w:type="pct"/>
            <w:tcBorders>
              <w:top w:val="single" w:color="auto" w:sz="4" w:space="0"/>
              <w:left w:val="nil"/>
              <w:bottom w:val="single" w:color="auto" w:sz="4" w:space="0"/>
              <w:right w:val="single" w:color="auto" w:sz="12" w:space="0"/>
            </w:tcBorders>
            <w:noWrap/>
            <w:vAlign w:val="center"/>
          </w:tcPr>
          <w:p w14:paraId="27AF3F52">
            <w:pPr>
              <w:spacing w:line="240" w:lineRule="auto"/>
              <w:ind w:firstLine="0" w:firstLineChars="0"/>
              <w:jc w:val="center"/>
              <w:rPr>
                <w:rFonts w:cs="Times New Roman"/>
                <w:sz w:val="21"/>
              </w:rPr>
            </w:pPr>
            <w:r>
              <w:rPr>
                <w:rFonts w:cs="Times New Roman"/>
                <w:sz w:val="21"/>
              </w:rPr>
              <w:t>0.02180</w:t>
            </w:r>
          </w:p>
        </w:tc>
      </w:tr>
      <w:bookmarkEnd w:id="706"/>
    </w:tbl>
    <w:p w14:paraId="33C15498">
      <w:pPr>
        <w:keepLines/>
        <w:ind w:firstLine="562" w:firstLineChars="0"/>
        <w:jc w:val="center"/>
        <w:outlineLvl w:val="4"/>
        <w:rPr>
          <w:rFonts w:cs="Times New Roman"/>
          <w:b/>
          <w:bCs/>
          <w:sz w:val="21"/>
          <w:szCs w:val="28"/>
        </w:rPr>
      </w:pPr>
      <w:r>
        <w:rPr>
          <w:rFonts w:cs="Times New Roman"/>
          <w:b/>
          <w:bCs/>
          <w:sz w:val="21"/>
          <w:szCs w:val="28"/>
        </w:rPr>
        <w:t>表5.2-4  不同时刻采卤场X/Y处的硫酸盐的浓度（mg/L）</w:t>
      </w:r>
    </w:p>
    <w:tbl>
      <w:tblPr>
        <w:tblStyle w:val="29"/>
        <w:tblW w:w="5000" w:type="pct"/>
        <w:tblInd w:w="0" w:type="dxa"/>
        <w:tblLayout w:type="autofit"/>
        <w:tblCellMar>
          <w:top w:w="0" w:type="dxa"/>
          <w:left w:w="108" w:type="dxa"/>
          <w:bottom w:w="0" w:type="dxa"/>
          <w:right w:w="108" w:type="dxa"/>
        </w:tblCellMar>
      </w:tblPr>
      <w:tblGrid>
        <w:gridCol w:w="863"/>
        <w:gridCol w:w="1917"/>
        <w:gridCol w:w="1915"/>
        <w:gridCol w:w="1915"/>
        <w:gridCol w:w="1918"/>
      </w:tblGrid>
      <w:tr w14:paraId="06602512">
        <w:tblPrEx>
          <w:tblCellMar>
            <w:top w:w="0" w:type="dxa"/>
            <w:left w:w="108" w:type="dxa"/>
            <w:bottom w:w="0" w:type="dxa"/>
            <w:right w:w="108" w:type="dxa"/>
          </w:tblCellMar>
        </w:tblPrEx>
        <w:trPr>
          <w:trHeight w:val="397" w:hRule="atLeast"/>
        </w:trPr>
        <w:tc>
          <w:tcPr>
            <w:tcW w:w="5000" w:type="pct"/>
            <w:gridSpan w:val="5"/>
            <w:tcBorders>
              <w:top w:val="single" w:color="auto" w:sz="12" w:space="0"/>
              <w:left w:val="single" w:color="auto" w:sz="12" w:space="0"/>
              <w:bottom w:val="single" w:color="auto" w:sz="4" w:space="0"/>
              <w:right w:val="single" w:color="auto" w:sz="12" w:space="0"/>
            </w:tcBorders>
            <w:noWrap/>
            <w:vAlign w:val="center"/>
          </w:tcPr>
          <w:p w14:paraId="53112B0A">
            <w:pPr>
              <w:spacing w:line="240" w:lineRule="auto"/>
              <w:ind w:firstLine="0" w:firstLineChars="0"/>
              <w:jc w:val="center"/>
              <w:rPr>
                <w:rFonts w:cs="Times New Roman"/>
                <w:sz w:val="21"/>
              </w:rPr>
            </w:pPr>
            <w:r>
              <w:rPr>
                <w:rFonts w:cs="Times New Roman"/>
                <w:sz w:val="21"/>
              </w:rPr>
              <w:t>100d</w:t>
            </w:r>
          </w:p>
        </w:tc>
      </w:tr>
      <w:tr w14:paraId="45F793A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C037C3A">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06A3F28C">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72D32A92">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5C0D4A10">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4FBC43FC">
            <w:pPr>
              <w:spacing w:line="240" w:lineRule="auto"/>
              <w:ind w:firstLine="0" w:firstLineChars="0"/>
              <w:jc w:val="center"/>
              <w:rPr>
                <w:rFonts w:cs="Times New Roman"/>
                <w:sz w:val="21"/>
              </w:rPr>
            </w:pPr>
            <w:r>
              <w:rPr>
                <w:rFonts w:cs="Times New Roman"/>
                <w:sz w:val="21"/>
              </w:rPr>
              <w:t>7.5</w:t>
            </w:r>
          </w:p>
        </w:tc>
      </w:tr>
      <w:tr w14:paraId="1827409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F8F3740">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642A0636">
            <w:pPr>
              <w:spacing w:line="240" w:lineRule="auto"/>
              <w:ind w:firstLine="0" w:firstLineChars="0"/>
              <w:jc w:val="center"/>
              <w:rPr>
                <w:rFonts w:cs="Times New Roman"/>
                <w:sz w:val="21"/>
              </w:rPr>
            </w:pPr>
            <w:r>
              <w:rPr>
                <w:rFonts w:cs="Times New Roman"/>
                <w:sz w:val="21"/>
              </w:rPr>
              <w:t>202.14</w:t>
            </w:r>
          </w:p>
        </w:tc>
        <w:tc>
          <w:tcPr>
            <w:tcW w:w="1123" w:type="pct"/>
            <w:tcBorders>
              <w:top w:val="nil"/>
              <w:left w:val="nil"/>
              <w:bottom w:val="single" w:color="auto" w:sz="4" w:space="0"/>
              <w:right w:val="single" w:color="auto" w:sz="4" w:space="0"/>
            </w:tcBorders>
            <w:noWrap/>
            <w:vAlign w:val="center"/>
          </w:tcPr>
          <w:p w14:paraId="0760E59C">
            <w:pPr>
              <w:spacing w:line="240" w:lineRule="auto"/>
              <w:ind w:firstLine="0" w:firstLineChars="0"/>
              <w:jc w:val="center"/>
              <w:rPr>
                <w:rFonts w:cs="Times New Roman"/>
                <w:sz w:val="21"/>
              </w:rPr>
            </w:pPr>
            <w:r>
              <w:rPr>
                <w:rFonts w:cs="Times New Roman"/>
                <w:sz w:val="21"/>
              </w:rPr>
              <w:t>177.47</w:t>
            </w:r>
          </w:p>
        </w:tc>
        <w:tc>
          <w:tcPr>
            <w:tcW w:w="1123" w:type="pct"/>
            <w:tcBorders>
              <w:top w:val="nil"/>
              <w:left w:val="nil"/>
              <w:bottom w:val="single" w:color="auto" w:sz="4" w:space="0"/>
              <w:right w:val="single" w:color="auto" w:sz="4" w:space="0"/>
            </w:tcBorders>
            <w:noWrap/>
            <w:vAlign w:val="center"/>
          </w:tcPr>
          <w:p w14:paraId="3471AD42">
            <w:pPr>
              <w:spacing w:line="240" w:lineRule="auto"/>
              <w:ind w:firstLine="0" w:firstLineChars="0"/>
              <w:jc w:val="center"/>
              <w:rPr>
                <w:rFonts w:cs="Times New Roman"/>
                <w:sz w:val="21"/>
              </w:rPr>
            </w:pPr>
            <w:r>
              <w:rPr>
                <w:rFonts w:cs="Times New Roman"/>
                <w:sz w:val="21"/>
              </w:rPr>
              <w:t>129.55</w:t>
            </w:r>
          </w:p>
        </w:tc>
        <w:tc>
          <w:tcPr>
            <w:tcW w:w="1124" w:type="pct"/>
            <w:tcBorders>
              <w:top w:val="nil"/>
              <w:left w:val="nil"/>
              <w:bottom w:val="single" w:color="auto" w:sz="4" w:space="0"/>
              <w:right w:val="single" w:color="auto" w:sz="12" w:space="0"/>
            </w:tcBorders>
            <w:noWrap/>
            <w:vAlign w:val="center"/>
          </w:tcPr>
          <w:p w14:paraId="43F9B622">
            <w:pPr>
              <w:spacing w:line="240" w:lineRule="auto"/>
              <w:ind w:firstLine="0" w:firstLineChars="0"/>
              <w:jc w:val="center"/>
              <w:rPr>
                <w:rFonts w:cs="Times New Roman"/>
                <w:sz w:val="21"/>
              </w:rPr>
            </w:pPr>
            <w:r>
              <w:rPr>
                <w:rFonts w:cs="Times New Roman"/>
                <w:sz w:val="21"/>
              </w:rPr>
              <w:t>67.65</w:t>
            </w:r>
          </w:p>
        </w:tc>
      </w:tr>
      <w:tr w14:paraId="7BCE9166">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EFA336B">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35E9E5AA">
            <w:pPr>
              <w:spacing w:line="240" w:lineRule="auto"/>
              <w:ind w:firstLine="0" w:firstLineChars="0"/>
              <w:jc w:val="center"/>
              <w:rPr>
                <w:rFonts w:cs="Times New Roman"/>
                <w:sz w:val="21"/>
              </w:rPr>
            </w:pPr>
            <w:r>
              <w:rPr>
                <w:rFonts w:cs="Times New Roman"/>
                <w:sz w:val="21"/>
              </w:rPr>
              <w:t>0.136</w:t>
            </w:r>
          </w:p>
        </w:tc>
        <w:tc>
          <w:tcPr>
            <w:tcW w:w="1123" w:type="pct"/>
            <w:tcBorders>
              <w:top w:val="nil"/>
              <w:left w:val="nil"/>
              <w:bottom w:val="single" w:color="auto" w:sz="4" w:space="0"/>
              <w:right w:val="single" w:color="auto" w:sz="4" w:space="0"/>
            </w:tcBorders>
            <w:noWrap/>
            <w:vAlign w:val="center"/>
          </w:tcPr>
          <w:p w14:paraId="441F7D70">
            <w:pPr>
              <w:spacing w:line="240" w:lineRule="auto"/>
              <w:ind w:firstLine="0" w:firstLineChars="0"/>
              <w:jc w:val="center"/>
              <w:rPr>
                <w:rFonts w:cs="Times New Roman"/>
                <w:sz w:val="21"/>
              </w:rPr>
            </w:pPr>
            <w:r>
              <w:rPr>
                <w:rFonts w:cs="Times New Roman"/>
                <w:sz w:val="21"/>
              </w:rPr>
              <w:t>0.94</w:t>
            </w:r>
          </w:p>
        </w:tc>
        <w:tc>
          <w:tcPr>
            <w:tcW w:w="1123" w:type="pct"/>
            <w:tcBorders>
              <w:top w:val="nil"/>
              <w:left w:val="nil"/>
              <w:bottom w:val="single" w:color="auto" w:sz="4" w:space="0"/>
              <w:right w:val="single" w:color="auto" w:sz="4" w:space="0"/>
            </w:tcBorders>
            <w:noWrap/>
            <w:vAlign w:val="center"/>
          </w:tcPr>
          <w:p w14:paraId="39ADC39F">
            <w:pPr>
              <w:spacing w:line="240" w:lineRule="auto"/>
              <w:ind w:firstLine="0" w:firstLineChars="0"/>
              <w:jc w:val="center"/>
              <w:rPr>
                <w:rFonts w:cs="Times New Roman"/>
                <w:sz w:val="21"/>
              </w:rPr>
            </w:pPr>
            <w:r>
              <w:rPr>
                <w:rFonts w:cs="Times New Roman"/>
                <w:sz w:val="21"/>
              </w:rPr>
              <w:t>2.72</w:t>
            </w:r>
          </w:p>
        </w:tc>
        <w:tc>
          <w:tcPr>
            <w:tcW w:w="1124" w:type="pct"/>
            <w:tcBorders>
              <w:top w:val="nil"/>
              <w:left w:val="nil"/>
              <w:bottom w:val="single" w:color="auto" w:sz="4" w:space="0"/>
              <w:right w:val="single" w:color="auto" w:sz="12" w:space="0"/>
            </w:tcBorders>
            <w:noWrap/>
            <w:vAlign w:val="center"/>
          </w:tcPr>
          <w:p w14:paraId="0F8007D1">
            <w:pPr>
              <w:spacing w:line="240" w:lineRule="auto"/>
              <w:ind w:firstLine="0" w:firstLineChars="0"/>
              <w:jc w:val="center"/>
              <w:rPr>
                <w:rFonts w:cs="Times New Roman"/>
                <w:sz w:val="21"/>
              </w:rPr>
            </w:pPr>
            <w:r>
              <w:rPr>
                <w:rFonts w:cs="Times New Roman"/>
                <w:sz w:val="21"/>
              </w:rPr>
              <w:t>7.91</w:t>
            </w:r>
          </w:p>
        </w:tc>
      </w:tr>
      <w:tr w14:paraId="56DDC25D">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C1DF57B">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6B5DE2E4">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6D6134C9">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01706AC5">
            <w:pPr>
              <w:spacing w:line="240" w:lineRule="auto"/>
              <w:ind w:firstLine="0" w:firstLineChars="0"/>
              <w:jc w:val="center"/>
              <w:rPr>
                <w:rFonts w:cs="Times New Roman"/>
                <w:sz w:val="21"/>
              </w:rPr>
            </w:pPr>
            <w:r>
              <w:rPr>
                <w:rFonts w:cs="Times New Roman"/>
                <w:sz w:val="21"/>
              </w:rPr>
              <w:t>0.00015</w:t>
            </w:r>
          </w:p>
        </w:tc>
        <w:tc>
          <w:tcPr>
            <w:tcW w:w="1124" w:type="pct"/>
            <w:tcBorders>
              <w:top w:val="nil"/>
              <w:left w:val="nil"/>
              <w:bottom w:val="single" w:color="auto" w:sz="4" w:space="0"/>
              <w:right w:val="single" w:color="auto" w:sz="12" w:space="0"/>
            </w:tcBorders>
            <w:noWrap/>
            <w:vAlign w:val="center"/>
          </w:tcPr>
          <w:p w14:paraId="706AD79C">
            <w:pPr>
              <w:spacing w:line="240" w:lineRule="auto"/>
              <w:ind w:firstLine="0" w:firstLineChars="0"/>
              <w:jc w:val="center"/>
              <w:rPr>
                <w:rFonts w:cs="Times New Roman"/>
                <w:sz w:val="21"/>
              </w:rPr>
            </w:pPr>
            <w:r>
              <w:rPr>
                <w:rFonts w:cs="Times New Roman"/>
                <w:sz w:val="21"/>
              </w:rPr>
              <w:t>0.00013</w:t>
            </w:r>
          </w:p>
        </w:tc>
      </w:tr>
      <w:tr w14:paraId="01D9E52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CAA4A05">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162D53C9">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B9F94D1">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F410768">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1097ECA0">
            <w:pPr>
              <w:spacing w:line="240" w:lineRule="auto"/>
              <w:ind w:firstLine="0" w:firstLineChars="0"/>
              <w:jc w:val="center"/>
              <w:rPr>
                <w:rFonts w:cs="Times New Roman"/>
                <w:sz w:val="21"/>
              </w:rPr>
            </w:pPr>
            <w:r>
              <w:rPr>
                <w:rFonts w:cs="Times New Roman"/>
                <w:sz w:val="21"/>
              </w:rPr>
              <w:t>0.00000</w:t>
            </w:r>
          </w:p>
        </w:tc>
      </w:tr>
      <w:tr w14:paraId="32C61A4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AB2304B">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7323FC2B">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2D44036E">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57907991">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4963DAEF">
            <w:pPr>
              <w:spacing w:line="240" w:lineRule="auto"/>
              <w:ind w:firstLine="0" w:firstLineChars="0"/>
              <w:jc w:val="center"/>
              <w:rPr>
                <w:rFonts w:cs="Times New Roman"/>
                <w:sz w:val="21"/>
              </w:rPr>
            </w:pPr>
            <w:r>
              <w:rPr>
                <w:rFonts w:cs="Times New Roman"/>
                <w:sz w:val="21"/>
              </w:rPr>
              <w:t>0.00000</w:t>
            </w:r>
          </w:p>
        </w:tc>
      </w:tr>
      <w:tr w14:paraId="2F6B7556">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2924FEB5">
            <w:pPr>
              <w:spacing w:line="240" w:lineRule="auto"/>
              <w:ind w:firstLine="0" w:firstLineChars="0"/>
              <w:jc w:val="center"/>
              <w:rPr>
                <w:rFonts w:cs="Times New Roman"/>
                <w:sz w:val="21"/>
              </w:rPr>
            </w:pPr>
            <w:r>
              <w:rPr>
                <w:rFonts w:cs="Times New Roman"/>
                <w:sz w:val="21"/>
              </w:rPr>
              <w:t>500d</w:t>
            </w:r>
          </w:p>
        </w:tc>
      </w:tr>
      <w:tr w14:paraId="2B50C92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7C4F197">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1977BA2D">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1E0A1AE7">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691CB3DC">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4E11B2FB">
            <w:pPr>
              <w:spacing w:line="240" w:lineRule="auto"/>
              <w:ind w:firstLine="0" w:firstLineChars="0"/>
              <w:jc w:val="center"/>
              <w:rPr>
                <w:rFonts w:cs="Times New Roman"/>
                <w:sz w:val="21"/>
              </w:rPr>
            </w:pPr>
            <w:r>
              <w:rPr>
                <w:rFonts w:cs="Times New Roman"/>
                <w:sz w:val="21"/>
              </w:rPr>
              <w:t>7.5</w:t>
            </w:r>
          </w:p>
        </w:tc>
      </w:tr>
      <w:tr w14:paraId="41C1374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9357D7E">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5C870DD4">
            <w:pPr>
              <w:spacing w:line="240" w:lineRule="auto"/>
              <w:ind w:firstLine="0" w:firstLineChars="0"/>
              <w:jc w:val="center"/>
              <w:rPr>
                <w:rFonts w:cs="Times New Roman"/>
                <w:sz w:val="21"/>
              </w:rPr>
            </w:pPr>
            <w:r>
              <w:rPr>
                <w:rFonts w:cs="Times New Roman"/>
                <w:sz w:val="21"/>
              </w:rPr>
              <w:t>17.3</w:t>
            </w:r>
          </w:p>
        </w:tc>
        <w:tc>
          <w:tcPr>
            <w:tcW w:w="1123" w:type="pct"/>
            <w:tcBorders>
              <w:top w:val="nil"/>
              <w:left w:val="nil"/>
              <w:bottom w:val="single" w:color="auto" w:sz="4" w:space="0"/>
              <w:right w:val="single" w:color="auto" w:sz="4" w:space="0"/>
            </w:tcBorders>
            <w:noWrap/>
            <w:vAlign w:val="center"/>
          </w:tcPr>
          <w:p w14:paraId="06CA6CF9">
            <w:pPr>
              <w:spacing w:line="240" w:lineRule="auto"/>
              <w:ind w:firstLine="0" w:firstLineChars="0"/>
              <w:jc w:val="center"/>
              <w:rPr>
                <w:rFonts w:cs="Times New Roman"/>
                <w:sz w:val="21"/>
              </w:rPr>
            </w:pPr>
            <w:r>
              <w:rPr>
                <w:rFonts w:cs="Times New Roman"/>
                <w:sz w:val="21"/>
              </w:rPr>
              <w:t>17.9</w:t>
            </w:r>
          </w:p>
        </w:tc>
        <w:tc>
          <w:tcPr>
            <w:tcW w:w="1123" w:type="pct"/>
            <w:tcBorders>
              <w:top w:val="nil"/>
              <w:left w:val="nil"/>
              <w:bottom w:val="single" w:color="auto" w:sz="4" w:space="0"/>
              <w:right w:val="single" w:color="auto" w:sz="4" w:space="0"/>
            </w:tcBorders>
            <w:noWrap/>
            <w:vAlign w:val="center"/>
          </w:tcPr>
          <w:p w14:paraId="6AB44AAA">
            <w:pPr>
              <w:spacing w:line="240" w:lineRule="auto"/>
              <w:ind w:firstLine="0" w:firstLineChars="0"/>
              <w:jc w:val="center"/>
              <w:rPr>
                <w:rFonts w:cs="Times New Roman"/>
                <w:sz w:val="21"/>
              </w:rPr>
            </w:pPr>
            <w:r>
              <w:rPr>
                <w:rFonts w:cs="Times New Roman"/>
                <w:sz w:val="21"/>
              </w:rPr>
              <w:t>17.5</w:t>
            </w:r>
          </w:p>
        </w:tc>
        <w:tc>
          <w:tcPr>
            <w:tcW w:w="1124" w:type="pct"/>
            <w:tcBorders>
              <w:top w:val="nil"/>
              <w:left w:val="nil"/>
              <w:bottom w:val="single" w:color="auto" w:sz="4" w:space="0"/>
              <w:right w:val="single" w:color="auto" w:sz="12" w:space="0"/>
            </w:tcBorders>
            <w:noWrap/>
            <w:vAlign w:val="center"/>
          </w:tcPr>
          <w:p w14:paraId="40AD0177">
            <w:pPr>
              <w:spacing w:line="240" w:lineRule="auto"/>
              <w:ind w:firstLine="0" w:firstLineChars="0"/>
              <w:jc w:val="center"/>
              <w:rPr>
                <w:rFonts w:cs="Times New Roman"/>
                <w:sz w:val="21"/>
              </w:rPr>
            </w:pPr>
            <w:r>
              <w:rPr>
                <w:rFonts w:cs="Times New Roman"/>
                <w:sz w:val="21"/>
              </w:rPr>
              <w:t>16.1</w:t>
            </w:r>
          </w:p>
        </w:tc>
      </w:tr>
      <w:tr w14:paraId="2A8B0BF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D2624CF">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7BEDAC81">
            <w:pPr>
              <w:spacing w:line="240" w:lineRule="auto"/>
              <w:ind w:firstLine="0" w:firstLineChars="0"/>
              <w:jc w:val="center"/>
              <w:rPr>
                <w:rFonts w:cs="Times New Roman"/>
                <w:sz w:val="21"/>
              </w:rPr>
            </w:pPr>
            <w:r>
              <w:rPr>
                <w:rFonts w:cs="Times New Roman"/>
                <w:sz w:val="21"/>
              </w:rPr>
              <w:t>11.3</w:t>
            </w:r>
          </w:p>
        </w:tc>
        <w:tc>
          <w:tcPr>
            <w:tcW w:w="1123" w:type="pct"/>
            <w:tcBorders>
              <w:top w:val="nil"/>
              <w:left w:val="nil"/>
              <w:bottom w:val="single" w:color="auto" w:sz="4" w:space="0"/>
              <w:right w:val="single" w:color="auto" w:sz="4" w:space="0"/>
            </w:tcBorders>
            <w:noWrap/>
            <w:vAlign w:val="center"/>
          </w:tcPr>
          <w:p w14:paraId="725D7408">
            <w:pPr>
              <w:spacing w:line="240" w:lineRule="auto"/>
              <w:ind w:firstLine="0" w:firstLineChars="0"/>
              <w:jc w:val="center"/>
              <w:rPr>
                <w:rFonts w:cs="Times New Roman"/>
                <w:sz w:val="21"/>
              </w:rPr>
            </w:pPr>
            <w:r>
              <w:rPr>
                <w:rFonts w:cs="Times New Roman"/>
                <w:sz w:val="21"/>
              </w:rPr>
              <w:t>17.7</w:t>
            </w:r>
          </w:p>
        </w:tc>
        <w:tc>
          <w:tcPr>
            <w:tcW w:w="1123" w:type="pct"/>
            <w:tcBorders>
              <w:top w:val="nil"/>
              <w:left w:val="nil"/>
              <w:bottom w:val="single" w:color="auto" w:sz="4" w:space="0"/>
              <w:right w:val="single" w:color="auto" w:sz="4" w:space="0"/>
            </w:tcBorders>
            <w:noWrap/>
            <w:vAlign w:val="center"/>
          </w:tcPr>
          <w:p w14:paraId="2316A88A">
            <w:pPr>
              <w:spacing w:line="240" w:lineRule="auto"/>
              <w:ind w:firstLine="0" w:firstLineChars="0"/>
              <w:jc w:val="center"/>
              <w:rPr>
                <w:rFonts w:cs="Times New Roman"/>
                <w:sz w:val="21"/>
              </w:rPr>
            </w:pPr>
            <w:r>
              <w:rPr>
                <w:rFonts w:cs="Times New Roman"/>
                <w:sz w:val="21"/>
              </w:rPr>
              <w:t>22.8</w:t>
            </w:r>
          </w:p>
        </w:tc>
        <w:tc>
          <w:tcPr>
            <w:tcW w:w="1124" w:type="pct"/>
            <w:tcBorders>
              <w:top w:val="nil"/>
              <w:left w:val="nil"/>
              <w:bottom w:val="single" w:color="auto" w:sz="4" w:space="0"/>
              <w:right w:val="single" w:color="auto" w:sz="12" w:space="0"/>
            </w:tcBorders>
            <w:noWrap/>
            <w:vAlign w:val="center"/>
          </w:tcPr>
          <w:p w14:paraId="7E0E2100">
            <w:pPr>
              <w:spacing w:line="240" w:lineRule="auto"/>
              <w:ind w:firstLine="0" w:firstLineChars="0"/>
              <w:jc w:val="center"/>
              <w:rPr>
                <w:rFonts w:cs="Times New Roman"/>
                <w:sz w:val="21"/>
              </w:rPr>
            </w:pPr>
            <w:r>
              <w:rPr>
                <w:rFonts w:cs="Times New Roman"/>
                <w:sz w:val="21"/>
              </w:rPr>
              <w:t>29.7</w:t>
            </w:r>
          </w:p>
        </w:tc>
      </w:tr>
      <w:tr w14:paraId="71286504">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93E108C">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70B6F801">
            <w:pPr>
              <w:spacing w:line="240" w:lineRule="auto"/>
              <w:ind w:firstLine="0" w:firstLineChars="0"/>
              <w:jc w:val="center"/>
              <w:rPr>
                <w:rFonts w:cs="Times New Roman"/>
                <w:sz w:val="21"/>
              </w:rPr>
            </w:pPr>
            <w:r>
              <w:rPr>
                <w:rFonts w:cs="Times New Roman"/>
                <w:sz w:val="21"/>
              </w:rPr>
              <w:t>1.27</w:t>
            </w:r>
          </w:p>
        </w:tc>
        <w:tc>
          <w:tcPr>
            <w:tcW w:w="1123" w:type="pct"/>
            <w:tcBorders>
              <w:top w:val="nil"/>
              <w:left w:val="nil"/>
              <w:bottom w:val="single" w:color="auto" w:sz="4" w:space="0"/>
              <w:right w:val="single" w:color="auto" w:sz="4" w:space="0"/>
            </w:tcBorders>
            <w:noWrap/>
            <w:vAlign w:val="center"/>
          </w:tcPr>
          <w:p w14:paraId="632AB756">
            <w:pPr>
              <w:spacing w:line="240" w:lineRule="auto"/>
              <w:ind w:firstLine="0" w:firstLineChars="0"/>
              <w:jc w:val="center"/>
              <w:rPr>
                <w:rFonts w:cs="Times New Roman"/>
                <w:sz w:val="21"/>
              </w:rPr>
            </w:pPr>
            <w:r>
              <w:rPr>
                <w:rFonts w:cs="Times New Roman"/>
                <w:sz w:val="21"/>
              </w:rPr>
              <w:t>2.60</w:t>
            </w:r>
          </w:p>
        </w:tc>
        <w:tc>
          <w:tcPr>
            <w:tcW w:w="1123" w:type="pct"/>
            <w:tcBorders>
              <w:top w:val="nil"/>
              <w:left w:val="nil"/>
              <w:bottom w:val="single" w:color="auto" w:sz="4" w:space="0"/>
              <w:right w:val="single" w:color="auto" w:sz="4" w:space="0"/>
            </w:tcBorders>
            <w:noWrap/>
            <w:vAlign w:val="center"/>
          </w:tcPr>
          <w:p w14:paraId="6670AC98">
            <w:pPr>
              <w:spacing w:line="240" w:lineRule="auto"/>
              <w:ind w:firstLine="0" w:firstLineChars="0"/>
              <w:jc w:val="center"/>
              <w:rPr>
                <w:rFonts w:cs="Times New Roman"/>
                <w:sz w:val="21"/>
              </w:rPr>
            </w:pPr>
            <w:r>
              <w:rPr>
                <w:rFonts w:cs="Times New Roman"/>
                <w:sz w:val="21"/>
              </w:rPr>
              <w:t>4.02</w:t>
            </w:r>
          </w:p>
        </w:tc>
        <w:tc>
          <w:tcPr>
            <w:tcW w:w="1124" w:type="pct"/>
            <w:tcBorders>
              <w:top w:val="nil"/>
              <w:left w:val="nil"/>
              <w:bottom w:val="single" w:color="auto" w:sz="4" w:space="0"/>
              <w:right w:val="single" w:color="auto" w:sz="12" w:space="0"/>
            </w:tcBorders>
            <w:noWrap/>
            <w:vAlign w:val="center"/>
          </w:tcPr>
          <w:p w14:paraId="066D3C3E">
            <w:pPr>
              <w:spacing w:line="240" w:lineRule="auto"/>
              <w:ind w:firstLine="0" w:firstLineChars="0"/>
              <w:jc w:val="center"/>
              <w:rPr>
                <w:rFonts w:cs="Times New Roman"/>
                <w:sz w:val="21"/>
              </w:rPr>
            </w:pPr>
            <w:r>
              <w:rPr>
                <w:rFonts w:cs="Times New Roman"/>
                <w:sz w:val="21"/>
              </w:rPr>
              <w:t>6.59</w:t>
            </w:r>
          </w:p>
        </w:tc>
      </w:tr>
      <w:tr w14:paraId="0545FD7C">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83ACCA5">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3C9C2AC2">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5B04EED0">
            <w:pPr>
              <w:spacing w:line="240" w:lineRule="auto"/>
              <w:ind w:firstLine="0" w:firstLineChars="0"/>
              <w:jc w:val="center"/>
              <w:rPr>
                <w:rFonts w:cs="Times New Roman"/>
                <w:sz w:val="21"/>
              </w:rPr>
            </w:pPr>
            <w:r>
              <w:rPr>
                <w:rFonts w:cs="Times New Roman"/>
                <w:sz w:val="21"/>
              </w:rPr>
              <w:t>0.00003</w:t>
            </w:r>
          </w:p>
        </w:tc>
        <w:tc>
          <w:tcPr>
            <w:tcW w:w="1123" w:type="pct"/>
            <w:tcBorders>
              <w:top w:val="nil"/>
              <w:left w:val="nil"/>
              <w:bottom w:val="single" w:color="auto" w:sz="4" w:space="0"/>
              <w:right w:val="single" w:color="auto" w:sz="4" w:space="0"/>
            </w:tcBorders>
            <w:noWrap/>
            <w:vAlign w:val="center"/>
          </w:tcPr>
          <w:p w14:paraId="412B05A0">
            <w:pPr>
              <w:spacing w:line="240" w:lineRule="auto"/>
              <w:ind w:firstLine="0" w:firstLineChars="0"/>
              <w:jc w:val="center"/>
              <w:rPr>
                <w:rFonts w:cs="Times New Roman"/>
                <w:sz w:val="21"/>
              </w:rPr>
            </w:pPr>
            <w:r>
              <w:rPr>
                <w:rFonts w:cs="Times New Roman"/>
                <w:sz w:val="21"/>
              </w:rPr>
              <w:t>0.00007</w:t>
            </w:r>
          </w:p>
        </w:tc>
        <w:tc>
          <w:tcPr>
            <w:tcW w:w="1124" w:type="pct"/>
            <w:tcBorders>
              <w:top w:val="nil"/>
              <w:left w:val="nil"/>
              <w:bottom w:val="single" w:color="auto" w:sz="4" w:space="0"/>
              <w:right w:val="single" w:color="auto" w:sz="12" w:space="0"/>
            </w:tcBorders>
            <w:noWrap/>
            <w:vAlign w:val="center"/>
          </w:tcPr>
          <w:p w14:paraId="744EC354">
            <w:pPr>
              <w:spacing w:line="240" w:lineRule="auto"/>
              <w:ind w:firstLine="0" w:firstLineChars="0"/>
              <w:jc w:val="center"/>
              <w:rPr>
                <w:rFonts w:cs="Times New Roman"/>
                <w:sz w:val="21"/>
              </w:rPr>
            </w:pPr>
            <w:r>
              <w:rPr>
                <w:rFonts w:cs="Times New Roman"/>
                <w:sz w:val="21"/>
              </w:rPr>
              <w:t>0.00019</w:t>
            </w:r>
          </w:p>
        </w:tc>
      </w:tr>
      <w:tr w14:paraId="3B92142E">
        <w:tblPrEx>
          <w:tblCellMar>
            <w:top w:w="0" w:type="dxa"/>
            <w:left w:w="108" w:type="dxa"/>
            <w:bottom w:w="0" w:type="dxa"/>
            <w:right w:w="108" w:type="dxa"/>
          </w:tblCellMar>
        </w:tblPrEx>
        <w:trPr>
          <w:trHeight w:val="397" w:hRule="atLeast"/>
        </w:trPr>
        <w:tc>
          <w:tcPr>
            <w:tcW w:w="506" w:type="pct"/>
            <w:tcBorders>
              <w:top w:val="single" w:color="auto" w:sz="4" w:space="0"/>
              <w:left w:val="single" w:color="auto" w:sz="12" w:space="0"/>
              <w:bottom w:val="single" w:color="auto" w:sz="4" w:space="0"/>
              <w:right w:val="single" w:color="auto" w:sz="4" w:space="0"/>
            </w:tcBorders>
            <w:noWrap/>
            <w:vAlign w:val="center"/>
          </w:tcPr>
          <w:p w14:paraId="5BDCBE76">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4" w:space="0"/>
              <w:right w:val="single" w:color="auto" w:sz="4" w:space="0"/>
            </w:tcBorders>
            <w:noWrap/>
            <w:vAlign w:val="center"/>
          </w:tcPr>
          <w:p w14:paraId="36BD36BD">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3FDDA7C7">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131953FC">
            <w:pPr>
              <w:spacing w:line="240" w:lineRule="auto"/>
              <w:ind w:firstLine="0" w:firstLineChars="0"/>
              <w:jc w:val="center"/>
              <w:rPr>
                <w:rFonts w:cs="Times New Roman"/>
                <w:sz w:val="21"/>
              </w:rPr>
            </w:pPr>
            <w:r>
              <w:rPr>
                <w:rFonts w:cs="Times New Roman"/>
                <w:sz w:val="21"/>
              </w:rPr>
              <w:t>0.00000</w:t>
            </w:r>
          </w:p>
        </w:tc>
        <w:tc>
          <w:tcPr>
            <w:tcW w:w="1124" w:type="pct"/>
            <w:tcBorders>
              <w:top w:val="single" w:color="auto" w:sz="4" w:space="0"/>
              <w:left w:val="nil"/>
              <w:bottom w:val="single" w:color="auto" w:sz="4" w:space="0"/>
              <w:right w:val="single" w:color="auto" w:sz="12" w:space="0"/>
            </w:tcBorders>
            <w:noWrap/>
            <w:vAlign w:val="center"/>
          </w:tcPr>
          <w:p w14:paraId="7B20CE64">
            <w:pPr>
              <w:spacing w:line="240" w:lineRule="auto"/>
              <w:ind w:firstLine="0" w:firstLineChars="0"/>
              <w:jc w:val="center"/>
              <w:rPr>
                <w:rFonts w:cs="Times New Roman"/>
                <w:sz w:val="21"/>
              </w:rPr>
            </w:pPr>
            <w:r>
              <w:rPr>
                <w:rFonts w:cs="Times New Roman"/>
                <w:sz w:val="21"/>
              </w:rPr>
              <w:t>0.00000</w:t>
            </w:r>
          </w:p>
        </w:tc>
      </w:tr>
      <w:tr w14:paraId="3FC1C541">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7A9B3A91">
            <w:pPr>
              <w:spacing w:line="240" w:lineRule="auto"/>
              <w:ind w:firstLine="0" w:firstLineChars="0"/>
              <w:jc w:val="center"/>
              <w:rPr>
                <w:rFonts w:cs="Times New Roman"/>
                <w:sz w:val="21"/>
              </w:rPr>
            </w:pPr>
            <w:r>
              <w:rPr>
                <w:rFonts w:cs="Times New Roman"/>
                <w:sz w:val="21"/>
              </w:rPr>
              <w:t>1000d</w:t>
            </w:r>
          </w:p>
        </w:tc>
      </w:tr>
      <w:tr w14:paraId="3E0E65D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DE9C6DA">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062B9128">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139B52D3">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651656F8">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26063924">
            <w:pPr>
              <w:spacing w:line="240" w:lineRule="auto"/>
              <w:ind w:firstLine="0" w:firstLineChars="0"/>
              <w:jc w:val="center"/>
              <w:rPr>
                <w:rFonts w:cs="Times New Roman"/>
                <w:sz w:val="21"/>
              </w:rPr>
            </w:pPr>
            <w:r>
              <w:rPr>
                <w:rFonts w:cs="Times New Roman"/>
                <w:sz w:val="21"/>
              </w:rPr>
              <w:t>7.5</w:t>
            </w:r>
          </w:p>
        </w:tc>
      </w:tr>
      <w:tr w14:paraId="173109D2">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D50AD1A">
            <w:pPr>
              <w:spacing w:line="240" w:lineRule="auto"/>
              <w:ind w:firstLine="0" w:firstLineChars="0"/>
              <w:jc w:val="center"/>
              <w:rPr>
                <w:rFonts w:cs="Times New Roman"/>
                <w:sz w:val="21"/>
              </w:rPr>
            </w:pPr>
            <w:r>
              <w:rPr>
                <w:rFonts w:cs="Times New Roman"/>
                <w:sz w:val="21"/>
              </w:rPr>
              <w:t>0</w:t>
            </w:r>
          </w:p>
        </w:tc>
        <w:tc>
          <w:tcPr>
            <w:tcW w:w="1124" w:type="pct"/>
            <w:tcBorders>
              <w:top w:val="single" w:color="auto" w:sz="4" w:space="0"/>
              <w:left w:val="nil"/>
              <w:bottom w:val="single" w:color="auto" w:sz="4" w:space="0"/>
              <w:right w:val="single" w:color="auto" w:sz="4" w:space="0"/>
            </w:tcBorders>
            <w:noWrap/>
            <w:vAlign w:val="center"/>
          </w:tcPr>
          <w:p w14:paraId="366CAF35">
            <w:pPr>
              <w:spacing w:line="240" w:lineRule="auto"/>
              <w:ind w:firstLine="0" w:firstLineChars="0"/>
              <w:jc w:val="center"/>
              <w:rPr>
                <w:rFonts w:cs="Times New Roman"/>
                <w:sz w:val="21"/>
              </w:rPr>
            </w:pPr>
            <w:r>
              <w:rPr>
                <w:rFonts w:cs="Times New Roman"/>
                <w:sz w:val="21"/>
              </w:rPr>
              <w:t>2.99</w:t>
            </w:r>
          </w:p>
        </w:tc>
        <w:tc>
          <w:tcPr>
            <w:tcW w:w="1123" w:type="pct"/>
            <w:tcBorders>
              <w:top w:val="single" w:color="auto" w:sz="4" w:space="0"/>
              <w:left w:val="nil"/>
              <w:bottom w:val="single" w:color="auto" w:sz="4" w:space="0"/>
              <w:right w:val="single" w:color="auto" w:sz="4" w:space="0"/>
            </w:tcBorders>
            <w:noWrap/>
            <w:vAlign w:val="center"/>
          </w:tcPr>
          <w:p w14:paraId="75878A41">
            <w:pPr>
              <w:spacing w:line="240" w:lineRule="auto"/>
              <w:ind w:firstLine="0" w:firstLineChars="0"/>
              <w:jc w:val="center"/>
              <w:rPr>
                <w:rFonts w:cs="Times New Roman"/>
                <w:sz w:val="21"/>
              </w:rPr>
            </w:pPr>
            <w:r>
              <w:rPr>
                <w:rFonts w:cs="Times New Roman"/>
                <w:sz w:val="21"/>
              </w:rPr>
              <w:t>3.15</w:t>
            </w:r>
          </w:p>
        </w:tc>
        <w:tc>
          <w:tcPr>
            <w:tcW w:w="1123" w:type="pct"/>
            <w:tcBorders>
              <w:top w:val="single" w:color="auto" w:sz="4" w:space="0"/>
              <w:left w:val="nil"/>
              <w:bottom w:val="single" w:color="auto" w:sz="4" w:space="0"/>
              <w:right w:val="single" w:color="auto" w:sz="4" w:space="0"/>
            </w:tcBorders>
            <w:noWrap/>
            <w:vAlign w:val="center"/>
          </w:tcPr>
          <w:p w14:paraId="146845D8">
            <w:pPr>
              <w:spacing w:line="240" w:lineRule="auto"/>
              <w:ind w:firstLine="0" w:firstLineChars="0"/>
              <w:jc w:val="center"/>
              <w:rPr>
                <w:rFonts w:cs="Times New Roman"/>
                <w:sz w:val="21"/>
              </w:rPr>
            </w:pPr>
            <w:r>
              <w:rPr>
                <w:rFonts w:cs="Times New Roman"/>
                <w:sz w:val="21"/>
              </w:rPr>
              <w:t>3.20</w:t>
            </w:r>
          </w:p>
        </w:tc>
        <w:tc>
          <w:tcPr>
            <w:tcW w:w="1124" w:type="pct"/>
            <w:tcBorders>
              <w:top w:val="single" w:color="auto" w:sz="4" w:space="0"/>
              <w:left w:val="nil"/>
              <w:bottom w:val="single" w:color="auto" w:sz="4" w:space="0"/>
              <w:right w:val="single" w:color="auto" w:sz="12" w:space="0"/>
            </w:tcBorders>
            <w:noWrap/>
            <w:vAlign w:val="center"/>
          </w:tcPr>
          <w:p w14:paraId="53E5E4C1">
            <w:pPr>
              <w:spacing w:line="240" w:lineRule="auto"/>
              <w:ind w:firstLine="0" w:firstLineChars="0"/>
              <w:jc w:val="center"/>
              <w:rPr>
                <w:rFonts w:cs="Times New Roman"/>
                <w:sz w:val="21"/>
              </w:rPr>
            </w:pPr>
            <w:r>
              <w:rPr>
                <w:rFonts w:cs="Times New Roman"/>
                <w:sz w:val="21"/>
              </w:rPr>
              <w:t>3.17</w:t>
            </w:r>
          </w:p>
        </w:tc>
      </w:tr>
      <w:tr w14:paraId="59FCFDBA">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BFA78F9">
            <w:pPr>
              <w:spacing w:line="240" w:lineRule="auto"/>
              <w:ind w:firstLine="0" w:firstLineChars="0"/>
              <w:jc w:val="center"/>
              <w:rPr>
                <w:rFonts w:cs="Times New Roman"/>
                <w:sz w:val="21"/>
              </w:rPr>
            </w:pPr>
            <w:r>
              <w:rPr>
                <w:rFonts w:cs="Times New Roman"/>
                <w:sz w:val="21"/>
              </w:rPr>
              <w:t>30</w:t>
            </w:r>
          </w:p>
        </w:tc>
        <w:tc>
          <w:tcPr>
            <w:tcW w:w="1124" w:type="pct"/>
            <w:tcBorders>
              <w:top w:val="single" w:color="auto" w:sz="4" w:space="0"/>
              <w:left w:val="nil"/>
              <w:bottom w:val="single" w:color="auto" w:sz="4" w:space="0"/>
              <w:right w:val="single" w:color="auto" w:sz="4" w:space="0"/>
            </w:tcBorders>
            <w:noWrap/>
            <w:vAlign w:val="center"/>
          </w:tcPr>
          <w:p w14:paraId="05CE163C">
            <w:pPr>
              <w:spacing w:line="240" w:lineRule="auto"/>
              <w:ind w:firstLine="0" w:firstLineChars="0"/>
              <w:jc w:val="center"/>
              <w:rPr>
                <w:rFonts w:cs="Times New Roman"/>
                <w:sz w:val="21"/>
              </w:rPr>
            </w:pPr>
            <w:r>
              <w:rPr>
                <w:rFonts w:cs="Times New Roman"/>
                <w:sz w:val="21"/>
              </w:rPr>
              <w:t>4.63</w:t>
            </w:r>
          </w:p>
        </w:tc>
        <w:tc>
          <w:tcPr>
            <w:tcW w:w="1123" w:type="pct"/>
            <w:tcBorders>
              <w:top w:val="single" w:color="auto" w:sz="4" w:space="0"/>
              <w:left w:val="nil"/>
              <w:bottom w:val="single" w:color="auto" w:sz="4" w:space="0"/>
              <w:right w:val="single" w:color="auto" w:sz="4" w:space="0"/>
            </w:tcBorders>
            <w:noWrap/>
            <w:vAlign w:val="center"/>
          </w:tcPr>
          <w:p w14:paraId="2431ED7A">
            <w:pPr>
              <w:spacing w:line="240" w:lineRule="auto"/>
              <w:ind w:firstLine="0" w:firstLineChars="0"/>
              <w:jc w:val="center"/>
              <w:rPr>
                <w:rFonts w:cs="Times New Roman"/>
                <w:sz w:val="21"/>
              </w:rPr>
            </w:pPr>
            <w:r>
              <w:rPr>
                <w:rFonts w:cs="Times New Roman"/>
                <w:sz w:val="21"/>
              </w:rPr>
              <w:t>6.01</w:t>
            </w:r>
          </w:p>
        </w:tc>
        <w:tc>
          <w:tcPr>
            <w:tcW w:w="1123" w:type="pct"/>
            <w:tcBorders>
              <w:top w:val="single" w:color="auto" w:sz="4" w:space="0"/>
              <w:left w:val="nil"/>
              <w:bottom w:val="single" w:color="auto" w:sz="4" w:space="0"/>
              <w:right w:val="single" w:color="auto" w:sz="4" w:space="0"/>
            </w:tcBorders>
            <w:noWrap/>
            <w:vAlign w:val="center"/>
          </w:tcPr>
          <w:p w14:paraId="11DE85B9">
            <w:pPr>
              <w:spacing w:line="240" w:lineRule="auto"/>
              <w:ind w:firstLine="0" w:firstLineChars="0"/>
              <w:jc w:val="center"/>
              <w:rPr>
                <w:rFonts w:cs="Times New Roman"/>
                <w:sz w:val="21"/>
              </w:rPr>
            </w:pPr>
            <w:r>
              <w:rPr>
                <w:rFonts w:cs="Times New Roman"/>
                <w:sz w:val="21"/>
              </w:rPr>
              <w:t>6.99</w:t>
            </w:r>
          </w:p>
        </w:tc>
        <w:tc>
          <w:tcPr>
            <w:tcW w:w="1124" w:type="pct"/>
            <w:tcBorders>
              <w:top w:val="single" w:color="auto" w:sz="4" w:space="0"/>
              <w:left w:val="nil"/>
              <w:bottom w:val="single" w:color="auto" w:sz="4" w:space="0"/>
              <w:right w:val="single" w:color="auto" w:sz="12" w:space="0"/>
            </w:tcBorders>
            <w:noWrap/>
            <w:vAlign w:val="center"/>
          </w:tcPr>
          <w:p w14:paraId="6B1F27A6">
            <w:pPr>
              <w:spacing w:line="240" w:lineRule="auto"/>
              <w:ind w:firstLine="0" w:firstLineChars="0"/>
              <w:jc w:val="center"/>
              <w:rPr>
                <w:rFonts w:cs="Times New Roman"/>
                <w:sz w:val="21"/>
              </w:rPr>
            </w:pPr>
            <w:r>
              <w:rPr>
                <w:rFonts w:cs="Times New Roman"/>
                <w:sz w:val="21"/>
              </w:rPr>
              <w:t>8.23</w:t>
            </w:r>
          </w:p>
        </w:tc>
      </w:tr>
      <w:tr w14:paraId="2F2A822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E52978F">
            <w:pPr>
              <w:spacing w:line="240" w:lineRule="auto"/>
              <w:ind w:firstLine="0" w:firstLineChars="0"/>
              <w:jc w:val="center"/>
              <w:rPr>
                <w:rFonts w:cs="Times New Roman"/>
                <w:sz w:val="21"/>
              </w:rPr>
            </w:pPr>
            <w:r>
              <w:rPr>
                <w:rFonts w:cs="Times New Roman"/>
                <w:sz w:val="21"/>
              </w:rPr>
              <w:t>50</w:t>
            </w:r>
          </w:p>
        </w:tc>
        <w:tc>
          <w:tcPr>
            <w:tcW w:w="1124" w:type="pct"/>
            <w:tcBorders>
              <w:top w:val="single" w:color="auto" w:sz="4" w:space="0"/>
              <w:left w:val="nil"/>
              <w:bottom w:val="single" w:color="auto" w:sz="4" w:space="0"/>
              <w:right w:val="single" w:color="auto" w:sz="4" w:space="0"/>
            </w:tcBorders>
            <w:noWrap/>
            <w:vAlign w:val="center"/>
          </w:tcPr>
          <w:p w14:paraId="585F9971">
            <w:pPr>
              <w:spacing w:line="240" w:lineRule="auto"/>
              <w:ind w:firstLine="0" w:firstLineChars="0"/>
              <w:jc w:val="center"/>
              <w:rPr>
                <w:rFonts w:cs="Times New Roman"/>
                <w:sz w:val="21"/>
              </w:rPr>
            </w:pPr>
            <w:r>
              <w:rPr>
                <w:rFonts w:cs="Times New Roman"/>
                <w:sz w:val="21"/>
              </w:rPr>
              <w:t>2.39</w:t>
            </w:r>
          </w:p>
        </w:tc>
        <w:tc>
          <w:tcPr>
            <w:tcW w:w="1123" w:type="pct"/>
            <w:tcBorders>
              <w:top w:val="single" w:color="auto" w:sz="4" w:space="0"/>
              <w:left w:val="nil"/>
              <w:bottom w:val="single" w:color="auto" w:sz="4" w:space="0"/>
              <w:right w:val="single" w:color="auto" w:sz="4" w:space="0"/>
            </w:tcBorders>
            <w:noWrap/>
            <w:vAlign w:val="center"/>
          </w:tcPr>
          <w:p w14:paraId="12B6C207">
            <w:pPr>
              <w:spacing w:line="240" w:lineRule="auto"/>
              <w:ind w:firstLine="0" w:firstLineChars="0"/>
              <w:jc w:val="center"/>
              <w:rPr>
                <w:rFonts w:cs="Times New Roman"/>
                <w:sz w:val="21"/>
              </w:rPr>
            </w:pPr>
            <w:r>
              <w:rPr>
                <w:rFonts w:cs="Times New Roman"/>
                <w:sz w:val="21"/>
              </w:rPr>
              <w:t>3.55</w:t>
            </w:r>
          </w:p>
        </w:tc>
        <w:tc>
          <w:tcPr>
            <w:tcW w:w="1123" w:type="pct"/>
            <w:tcBorders>
              <w:top w:val="single" w:color="auto" w:sz="4" w:space="0"/>
              <w:left w:val="nil"/>
              <w:bottom w:val="single" w:color="auto" w:sz="4" w:space="0"/>
              <w:right w:val="single" w:color="auto" w:sz="4" w:space="0"/>
            </w:tcBorders>
            <w:noWrap/>
            <w:vAlign w:val="center"/>
          </w:tcPr>
          <w:p w14:paraId="7A79CED0">
            <w:pPr>
              <w:spacing w:line="240" w:lineRule="auto"/>
              <w:ind w:firstLine="0" w:firstLineChars="0"/>
              <w:jc w:val="center"/>
              <w:rPr>
                <w:rFonts w:cs="Times New Roman"/>
                <w:sz w:val="21"/>
              </w:rPr>
            </w:pPr>
            <w:r>
              <w:rPr>
                <w:rFonts w:cs="Times New Roman"/>
                <w:sz w:val="21"/>
              </w:rPr>
              <w:t>4.53</w:t>
            </w:r>
          </w:p>
        </w:tc>
        <w:tc>
          <w:tcPr>
            <w:tcW w:w="1124" w:type="pct"/>
            <w:tcBorders>
              <w:top w:val="single" w:color="auto" w:sz="4" w:space="0"/>
              <w:left w:val="nil"/>
              <w:bottom w:val="single" w:color="auto" w:sz="4" w:space="0"/>
              <w:right w:val="single" w:color="auto" w:sz="12" w:space="0"/>
            </w:tcBorders>
            <w:noWrap/>
            <w:vAlign w:val="center"/>
          </w:tcPr>
          <w:p w14:paraId="6211F3E1">
            <w:pPr>
              <w:spacing w:line="240" w:lineRule="auto"/>
              <w:ind w:firstLine="0" w:firstLineChars="0"/>
              <w:jc w:val="center"/>
              <w:rPr>
                <w:rFonts w:cs="Times New Roman"/>
                <w:sz w:val="21"/>
              </w:rPr>
            </w:pPr>
            <w:r>
              <w:rPr>
                <w:rFonts w:cs="Times New Roman"/>
                <w:sz w:val="21"/>
              </w:rPr>
              <w:t>5.98</w:t>
            </w:r>
          </w:p>
        </w:tc>
      </w:tr>
      <w:tr w14:paraId="3086FCB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5410FE5">
            <w:pPr>
              <w:spacing w:line="240" w:lineRule="auto"/>
              <w:ind w:firstLine="0" w:firstLineChars="0"/>
              <w:jc w:val="center"/>
              <w:rPr>
                <w:rFonts w:cs="Times New Roman"/>
                <w:sz w:val="21"/>
              </w:rPr>
            </w:pPr>
            <w:r>
              <w:rPr>
                <w:rFonts w:cs="Times New Roman"/>
                <w:sz w:val="21"/>
              </w:rPr>
              <w:t>100</w:t>
            </w:r>
          </w:p>
        </w:tc>
        <w:tc>
          <w:tcPr>
            <w:tcW w:w="1124" w:type="pct"/>
            <w:tcBorders>
              <w:top w:val="single" w:color="auto" w:sz="4" w:space="0"/>
              <w:left w:val="nil"/>
              <w:bottom w:val="single" w:color="auto" w:sz="4" w:space="0"/>
              <w:right w:val="single" w:color="auto" w:sz="4" w:space="0"/>
            </w:tcBorders>
            <w:noWrap/>
            <w:vAlign w:val="center"/>
          </w:tcPr>
          <w:p w14:paraId="3D94C479">
            <w:pPr>
              <w:spacing w:line="240" w:lineRule="auto"/>
              <w:ind w:firstLine="0" w:firstLineChars="0"/>
              <w:jc w:val="center"/>
              <w:rPr>
                <w:rFonts w:cs="Times New Roman"/>
                <w:sz w:val="21"/>
              </w:rPr>
            </w:pPr>
            <w:r>
              <w:rPr>
                <w:rFonts w:cs="Times New Roman"/>
                <w:sz w:val="21"/>
              </w:rPr>
              <w:t>0.0160</w:t>
            </w:r>
          </w:p>
        </w:tc>
        <w:tc>
          <w:tcPr>
            <w:tcW w:w="1123" w:type="pct"/>
            <w:tcBorders>
              <w:top w:val="single" w:color="auto" w:sz="4" w:space="0"/>
              <w:left w:val="nil"/>
              <w:bottom w:val="single" w:color="auto" w:sz="4" w:space="0"/>
              <w:right w:val="single" w:color="auto" w:sz="4" w:space="0"/>
            </w:tcBorders>
            <w:noWrap/>
            <w:vAlign w:val="center"/>
          </w:tcPr>
          <w:p w14:paraId="763AC6A2">
            <w:pPr>
              <w:spacing w:line="240" w:lineRule="auto"/>
              <w:ind w:firstLine="0" w:firstLineChars="0"/>
              <w:jc w:val="center"/>
              <w:rPr>
                <w:rFonts w:cs="Times New Roman"/>
                <w:sz w:val="21"/>
              </w:rPr>
            </w:pPr>
            <w:r>
              <w:rPr>
                <w:rFonts w:cs="Times New Roman"/>
                <w:sz w:val="21"/>
              </w:rPr>
              <w:t>0.0336</w:t>
            </w:r>
          </w:p>
        </w:tc>
        <w:tc>
          <w:tcPr>
            <w:tcW w:w="1123" w:type="pct"/>
            <w:tcBorders>
              <w:top w:val="single" w:color="auto" w:sz="4" w:space="0"/>
              <w:left w:val="nil"/>
              <w:bottom w:val="single" w:color="auto" w:sz="4" w:space="0"/>
              <w:right w:val="single" w:color="auto" w:sz="4" w:space="0"/>
            </w:tcBorders>
            <w:noWrap/>
            <w:vAlign w:val="center"/>
          </w:tcPr>
          <w:p w14:paraId="2E6F12B0">
            <w:pPr>
              <w:spacing w:line="240" w:lineRule="auto"/>
              <w:ind w:firstLine="0" w:firstLineChars="0"/>
              <w:jc w:val="center"/>
              <w:rPr>
                <w:rFonts w:cs="Times New Roman"/>
                <w:sz w:val="21"/>
              </w:rPr>
            </w:pPr>
            <w:r>
              <w:rPr>
                <w:rFonts w:cs="Times New Roman"/>
                <w:sz w:val="21"/>
              </w:rPr>
              <w:t>0.05390</w:t>
            </w:r>
          </w:p>
        </w:tc>
        <w:tc>
          <w:tcPr>
            <w:tcW w:w="1124" w:type="pct"/>
            <w:tcBorders>
              <w:top w:val="single" w:color="auto" w:sz="4" w:space="0"/>
              <w:left w:val="nil"/>
              <w:bottom w:val="single" w:color="auto" w:sz="4" w:space="0"/>
              <w:right w:val="single" w:color="auto" w:sz="12" w:space="0"/>
            </w:tcBorders>
            <w:noWrap/>
            <w:vAlign w:val="center"/>
          </w:tcPr>
          <w:p w14:paraId="359D581B">
            <w:pPr>
              <w:spacing w:line="240" w:lineRule="auto"/>
              <w:ind w:firstLine="0" w:firstLineChars="0"/>
              <w:jc w:val="center"/>
              <w:rPr>
                <w:rFonts w:cs="Times New Roman"/>
                <w:sz w:val="21"/>
              </w:rPr>
            </w:pPr>
            <w:r>
              <w:rPr>
                <w:rFonts w:cs="Times New Roman"/>
                <w:sz w:val="21"/>
              </w:rPr>
              <w:t>0.09480</w:t>
            </w:r>
          </w:p>
        </w:tc>
      </w:tr>
      <w:tr w14:paraId="0039B439">
        <w:tblPrEx>
          <w:tblCellMar>
            <w:top w:w="0" w:type="dxa"/>
            <w:left w:w="108" w:type="dxa"/>
            <w:bottom w:w="0" w:type="dxa"/>
            <w:right w:w="108" w:type="dxa"/>
          </w:tblCellMar>
        </w:tblPrEx>
        <w:trPr>
          <w:trHeight w:val="397" w:hRule="atLeast"/>
        </w:trPr>
        <w:tc>
          <w:tcPr>
            <w:tcW w:w="506" w:type="pct"/>
            <w:tcBorders>
              <w:top w:val="single" w:color="auto" w:sz="4" w:space="0"/>
              <w:left w:val="single" w:color="auto" w:sz="12" w:space="0"/>
              <w:bottom w:val="single" w:color="auto" w:sz="4" w:space="0"/>
              <w:right w:val="single" w:color="auto" w:sz="4" w:space="0"/>
            </w:tcBorders>
            <w:noWrap/>
            <w:vAlign w:val="center"/>
          </w:tcPr>
          <w:p w14:paraId="7400D20E">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4" w:space="0"/>
              <w:right w:val="single" w:color="auto" w:sz="4" w:space="0"/>
            </w:tcBorders>
            <w:noWrap/>
            <w:vAlign w:val="center"/>
          </w:tcPr>
          <w:p w14:paraId="17398EB2">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7809387D">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0A251A5A">
            <w:pPr>
              <w:spacing w:line="240" w:lineRule="auto"/>
              <w:ind w:firstLine="0" w:firstLineChars="0"/>
              <w:jc w:val="center"/>
              <w:rPr>
                <w:rFonts w:cs="Times New Roman"/>
                <w:sz w:val="21"/>
              </w:rPr>
            </w:pPr>
            <w:r>
              <w:rPr>
                <w:rFonts w:cs="Times New Roman"/>
                <w:sz w:val="21"/>
              </w:rPr>
              <w:t>0.00000</w:t>
            </w:r>
          </w:p>
        </w:tc>
        <w:tc>
          <w:tcPr>
            <w:tcW w:w="1124" w:type="pct"/>
            <w:tcBorders>
              <w:top w:val="single" w:color="auto" w:sz="4" w:space="0"/>
              <w:left w:val="nil"/>
              <w:bottom w:val="single" w:color="auto" w:sz="4" w:space="0"/>
              <w:right w:val="single" w:color="auto" w:sz="12" w:space="0"/>
            </w:tcBorders>
            <w:noWrap/>
            <w:vAlign w:val="center"/>
          </w:tcPr>
          <w:p w14:paraId="44EDEFC1">
            <w:pPr>
              <w:spacing w:line="240" w:lineRule="auto"/>
              <w:ind w:firstLine="0" w:firstLineChars="0"/>
              <w:jc w:val="center"/>
              <w:rPr>
                <w:rFonts w:cs="Times New Roman"/>
                <w:sz w:val="21"/>
              </w:rPr>
            </w:pPr>
            <w:r>
              <w:rPr>
                <w:rFonts w:cs="Times New Roman"/>
                <w:sz w:val="21"/>
              </w:rPr>
              <w:t>0.00000</w:t>
            </w:r>
          </w:p>
        </w:tc>
      </w:tr>
      <w:tr w14:paraId="64F99CBE">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746B2760">
            <w:pPr>
              <w:spacing w:line="240" w:lineRule="auto"/>
              <w:ind w:firstLine="0" w:firstLineChars="0"/>
              <w:jc w:val="center"/>
              <w:rPr>
                <w:rFonts w:cs="Times New Roman"/>
                <w:sz w:val="21"/>
              </w:rPr>
            </w:pPr>
            <w:r>
              <w:rPr>
                <w:rFonts w:cs="Times New Roman"/>
                <w:sz w:val="21"/>
              </w:rPr>
              <w:t>3650d</w:t>
            </w:r>
          </w:p>
        </w:tc>
      </w:tr>
      <w:tr w14:paraId="7761E43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B1B2618">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4E15DC03">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775C560A">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65EB63D8">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732A06BC">
            <w:pPr>
              <w:spacing w:line="240" w:lineRule="auto"/>
              <w:ind w:firstLine="0" w:firstLineChars="0"/>
              <w:jc w:val="center"/>
              <w:rPr>
                <w:rFonts w:cs="Times New Roman"/>
                <w:sz w:val="21"/>
              </w:rPr>
            </w:pPr>
            <w:r>
              <w:rPr>
                <w:rFonts w:cs="Times New Roman"/>
                <w:sz w:val="21"/>
              </w:rPr>
              <w:t>7.5</w:t>
            </w:r>
          </w:p>
        </w:tc>
      </w:tr>
      <w:tr w14:paraId="01666DEA">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069BD7A">
            <w:pPr>
              <w:spacing w:line="240" w:lineRule="auto"/>
              <w:ind w:firstLine="0" w:firstLineChars="0"/>
              <w:jc w:val="center"/>
              <w:rPr>
                <w:rFonts w:cs="Times New Roman"/>
                <w:sz w:val="21"/>
              </w:rPr>
            </w:pPr>
            <w:r>
              <w:rPr>
                <w:rFonts w:cs="Times New Roman"/>
                <w:sz w:val="21"/>
              </w:rPr>
              <w:t>0</w:t>
            </w:r>
          </w:p>
        </w:tc>
        <w:tc>
          <w:tcPr>
            <w:tcW w:w="1124" w:type="pct"/>
            <w:tcBorders>
              <w:top w:val="single" w:color="auto" w:sz="4" w:space="0"/>
              <w:left w:val="nil"/>
              <w:bottom w:val="single" w:color="auto" w:sz="4" w:space="0"/>
              <w:right w:val="single" w:color="auto" w:sz="4" w:space="0"/>
            </w:tcBorders>
            <w:noWrap/>
            <w:vAlign w:val="center"/>
          </w:tcPr>
          <w:p w14:paraId="16B62204">
            <w:pPr>
              <w:spacing w:line="240" w:lineRule="auto"/>
              <w:ind w:firstLine="0" w:firstLineChars="0"/>
              <w:jc w:val="center"/>
              <w:rPr>
                <w:rFonts w:cs="Times New Roman"/>
                <w:sz w:val="21"/>
              </w:rPr>
            </w:pPr>
            <w:r>
              <w:rPr>
                <w:rFonts w:cs="Times New Roman"/>
                <w:sz w:val="21"/>
              </w:rPr>
              <w:t>0.00293</w:t>
            </w:r>
          </w:p>
        </w:tc>
        <w:tc>
          <w:tcPr>
            <w:tcW w:w="1123" w:type="pct"/>
            <w:tcBorders>
              <w:top w:val="single" w:color="auto" w:sz="4" w:space="0"/>
              <w:left w:val="nil"/>
              <w:bottom w:val="single" w:color="auto" w:sz="4" w:space="0"/>
              <w:right w:val="single" w:color="auto" w:sz="4" w:space="0"/>
            </w:tcBorders>
            <w:noWrap/>
            <w:vAlign w:val="center"/>
          </w:tcPr>
          <w:p w14:paraId="6BB1CE90">
            <w:pPr>
              <w:spacing w:line="240" w:lineRule="auto"/>
              <w:ind w:firstLine="0" w:firstLineChars="0"/>
              <w:jc w:val="center"/>
              <w:rPr>
                <w:rFonts w:cs="Times New Roman"/>
                <w:sz w:val="21"/>
              </w:rPr>
            </w:pPr>
            <w:r>
              <w:rPr>
                <w:rFonts w:cs="Times New Roman"/>
                <w:sz w:val="21"/>
              </w:rPr>
              <w:t>0.00314</w:t>
            </w:r>
          </w:p>
        </w:tc>
        <w:tc>
          <w:tcPr>
            <w:tcW w:w="1123" w:type="pct"/>
            <w:tcBorders>
              <w:top w:val="single" w:color="auto" w:sz="4" w:space="0"/>
              <w:left w:val="nil"/>
              <w:bottom w:val="single" w:color="auto" w:sz="4" w:space="0"/>
              <w:right w:val="single" w:color="auto" w:sz="4" w:space="0"/>
            </w:tcBorders>
            <w:noWrap/>
            <w:vAlign w:val="center"/>
          </w:tcPr>
          <w:p w14:paraId="778CACCB">
            <w:pPr>
              <w:spacing w:line="240" w:lineRule="auto"/>
              <w:ind w:firstLine="0" w:firstLineChars="0"/>
              <w:jc w:val="center"/>
              <w:rPr>
                <w:rFonts w:cs="Times New Roman"/>
                <w:sz w:val="21"/>
              </w:rPr>
            </w:pPr>
            <w:r>
              <w:rPr>
                <w:rFonts w:cs="Times New Roman"/>
                <w:sz w:val="21"/>
              </w:rPr>
              <w:t>0.00327</w:t>
            </w:r>
          </w:p>
        </w:tc>
        <w:tc>
          <w:tcPr>
            <w:tcW w:w="1124" w:type="pct"/>
            <w:tcBorders>
              <w:top w:val="single" w:color="auto" w:sz="4" w:space="0"/>
              <w:left w:val="nil"/>
              <w:bottom w:val="single" w:color="auto" w:sz="4" w:space="0"/>
              <w:right w:val="single" w:color="auto" w:sz="12" w:space="0"/>
            </w:tcBorders>
            <w:noWrap/>
            <w:vAlign w:val="center"/>
          </w:tcPr>
          <w:p w14:paraId="51FC4AA1">
            <w:pPr>
              <w:spacing w:line="240" w:lineRule="auto"/>
              <w:ind w:firstLine="0" w:firstLineChars="0"/>
              <w:jc w:val="center"/>
              <w:rPr>
                <w:rFonts w:cs="Times New Roman"/>
                <w:sz w:val="21"/>
              </w:rPr>
            </w:pPr>
            <w:r>
              <w:rPr>
                <w:rFonts w:cs="Times New Roman"/>
                <w:sz w:val="21"/>
              </w:rPr>
              <w:t>0.00341</w:t>
            </w:r>
          </w:p>
        </w:tc>
      </w:tr>
      <w:tr w14:paraId="3EB0F99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A4A49A7">
            <w:pPr>
              <w:spacing w:line="240" w:lineRule="auto"/>
              <w:ind w:firstLine="0" w:firstLineChars="0"/>
              <w:jc w:val="center"/>
              <w:rPr>
                <w:rFonts w:cs="Times New Roman"/>
                <w:sz w:val="21"/>
              </w:rPr>
            </w:pPr>
            <w:r>
              <w:rPr>
                <w:rFonts w:cs="Times New Roman"/>
                <w:sz w:val="21"/>
              </w:rPr>
              <w:t>30</w:t>
            </w:r>
          </w:p>
        </w:tc>
        <w:tc>
          <w:tcPr>
            <w:tcW w:w="1124" w:type="pct"/>
            <w:tcBorders>
              <w:top w:val="single" w:color="auto" w:sz="4" w:space="0"/>
              <w:left w:val="nil"/>
              <w:bottom w:val="single" w:color="auto" w:sz="4" w:space="0"/>
              <w:right w:val="single" w:color="auto" w:sz="4" w:space="0"/>
            </w:tcBorders>
            <w:noWrap/>
            <w:vAlign w:val="center"/>
          </w:tcPr>
          <w:p w14:paraId="15972B6B">
            <w:pPr>
              <w:spacing w:line="240" w:lineRule="auto"/>
              <w:ind w:firstLine="0" w:firstLineChars="0"/>
              <w:jc w:val="center"/>
              <w:rPr>
                <w:rFonts w:cs="Times New Roman"/>
                <w:sz w:val="21"/>
              </w:rPr>
            </w:pPr>
            <w:r>
              <w:rPr>
                <w:rFonts w:cs="Times New Roman"/>
                <w:sz w:val="21"/>
              </w:rPr>
              <w:t>0.00849</w:t>
            </w:r>
          </w:p>
        </w:tc>
        <w:tc>
          <w:tcPr>
            <w:tcW w:w="1123" w:type="pct"/>
            <w:tcBorders>
              <w:top w:val="single" w:color="auto" w:sz="4" w:space="0"/>
              <w:left w:val="nil"/>
              <w:bottom w:val="single" w:color="auto" w:sz="4" w:space="0"/>
              <w:right w:val="single" w:color="auto" w:sz="4" w:space="0"/>
            </w:tcBorders>
            <w:noWrap/>
            <w:vAlign w:val="center"/>
          </w:tcPr>
          <w:p w14:paraId="022C0D33">
            <w:pPr>
              <w:spacing w:line="240" w:lineRule="auto"/>
              <w:ind w:firstLine="0" w:firstLineChars="0"/>
              <w:jc w:val="center"/>
              <w:rPr>
                <w:rFonts w:cs="Times New Roman"/>
                <w:sz w:val="21"/>
              </w:rPr>
            </w:pPr>
            <w:r>
              <w:rPr>
                <w:rFonts w:cs="Times New Roman"/>
                <w:sz w:val="21"/>
              </w:rPr>
              <w:t>0.00963</w:t>
            </w:r>
          </w:p>
        </w:tc>
        <w:tc>
          <w:tcPr>
            <w:tcW w:w="1123" w:type="pct"/>
            <w:tcBorders>
              <w:top w:val="single" w:color="auto" w:sz="4" w:space="0"/>
              <w:left w:val="nil"/>
              <w:bottom w:val="single" w:color="auto" w:sz="4" w:space="0"/>
              <w:right w:val="single" w:color="auto" w:sz="4" w:space="0"/>
            </w:tcBorders>
            <w:noWrap/>
            <w:vAlign w:val="center"/>
          </w:tcPr>
          <w:p w14:paraId="36439589">
            <w:pPr>
              <w:spacing w:line="240" w:lineRule="auto"/>
              <w:ind w:firstLine="0" w:firstLineChars="0"/>
              <w:jc w:val="center"/>
              <w:rPr>
                <w:rFonts w:cs="Times New Roman"/>
                <w:sz w:val="21"/>
              </w:rPr>
            </w:pPr>
            <w:r>
              <w:rPr>
                <w:rFonts w:cs="Times New Roman"/>
                <w:sz w:val="21"/>
              </w:rPr>
              <w:t>0.01041</w:t>
            </w:r>
          </w:p>
        </w:tc>
        <w:tc>
          <w:tcPr>
            <w:tcW w:w="1124" w:type="pct"/>
            <w:tcBorders>
              <w:top w:val="single" w:color="auto" w:sz="4" w:space="0"/>
              <w:left w:val="nil"/>
              <w:bottom w:val="single" w:color="auto" w:sz="4" w:space="0"/>
              <w:right w:val="single" w:color="auto" w:sz="12" w:space="0"/>
            </w:tcBorders>
            <w:noWrap/>
            <w:vAlign w:val="center"/>
          </w:tcPr>
          <w:p w14:paraId="244F73D5">
            <w:pPr>
              <w:spacing w:line="240" w:lineRule="auto"/>
              <w:ind w:firstLine="0" w:firstLineChars="0"/>
              <w:jc w:val="center"/>
              <w:rPr>
                <w:rFonts w:cs="Times New Roman"/>
                <w:sz w:val="21"/>
              </w:rPr>
            </w:pPr>
            <w:r>
              <w:rPr>
                <w:rFonts w:cs="Times New Roman"/>
                <w:sz w:val="21"/>
              </w:rPr>
              <w:t>0.01139</w:t>
            </w:r>
          </w:p>
        </w:tc>
      </w:tr>
      <w:tr w14:paraId="29002BAB">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26455E3">
            <w:pPr>
              <w:spacing w:line="240" w:lineRule="auto"/>
              <w:ind w:firstLine="0" w:firstLineChars="0"/>
              <w:jc w:val="center"/>
              <w:rPr>
                <w:rFonts w:cs="Times New Roman"/>
                <w:sz w:val="21"/>
              </w:rPr>
            </w:pPr>
            <w:r>
              <w:rPr>
                <w:rFonts w:cs="Times New Roman"/>
                <w:sz w:val="21"/>
              </w:rPr>
              <w:t>50</w:t>
            </w:r>
          </w:p>
        </w:tc>
        <w:tc>
          <w:tcPr>
            <w:tcW w:w="1124" w:type="pct"/>
            <w:tcBorders>
              <w:top w:val="single" w:color="auto" w:sz="4" w:space="0"/>
              <w:left w:val="nil"/>
              <w:bottom w:val="single" w:color="auto" w:sz="4" w:space="0"/>
              <w:right w:val="single" w:color="auto" w:sz="4" w:space="0"/>
            </w:tcBorders>
            <w:noWrap/>
            <w:vAlign w:val="center"/>
          </w:tcPr>
          <w:p w14:paraId="0813768F">
            <w:pPr>
              <w:spacing w:line="240" w:lineRule="auto"/>
              <w:ind w:firstLine="0" w:firstLineChars="0"/>
              <w:jc w:val="center"/>
              <w:rPr>
                <w:rFonts w:cs="Times New Roman"/>
                <w:sz w:val="21"/>
              </w:rPr>
            </w:pPr>
            <w:r>
              <w:rPr>
                <w:rFonts w:cs="Times New Roman"/>
                <w:sz w:val="21"/>
              </w:rPr>
              <w:t>0.01328</w:t>
            </w:r>
          </w:p>
        </w:tc>
        <w:tc>
          <w:tcPr>
            <w:tcW w:w="1123" w:type="pct"/>
            <w:tcBorders>
              <w:top w:val="single" w:color="auto" w:sz="4" w:space="0"/>
              <w:left w:val="nil"/>
              <w:bottom w:val="single" w:color="auto" w:sz="4" w:space="0"/>
              <w:right w:val="single" w:color="auto" w:sz="4" w:space="0"/>
            </w:tcBorders>
            <w:noWrap/>
            <w:vAlign w:val="center"/>
          </w:tcPr>
          <w:p w14:paraId="7299CBB2">
            <w:pPr>
              <w:spacing w:line="240" w:lineRule="auto"/>
              <w:ind w:firstLine="0" w:firstLineChars="0"/>
              <w:jc w:val="center"/>
              <w:rPr>
                <w:rFonts w:cs="Times New Roman"/>
                <w:sz w:val="21"/>
              </w:rPr>
            </w:pPr>
            <w:r>
              <w:rPr>
                <w:rFonts w:cs="Times New Roman"/>
                <w:sz w:val="21"/>
              </w:rPr>
              <w:t>0.01564</w:t>
            </w:r>
          </w:p>
        </w:tc>
        <w:tc>
          <w:tcPr>
            <w:tcW w:w="1123" w:type="pct"/>
            <w:tcBorders>
              <w:top w:val="single" w:color="auto" w:sz="4" w:space="0"/>
              <w:left w:val="nil"/>
              <w:bottom w:val="single" w:color="auto" w:sz="4" w:space="0"/>
              <w:right w:val="single" w:color="auto" w:sz="4" w:space="0"/>
            </w:tcBorders>
            <w:noWrap/>
            <w:vAlign w:val="center"/>
          </w:tcPr>
          <w:p w14:paraId="516BECED">
            <w:pPr>
              <w:spacing w:line="240" w:lineRule="auto"/>
              <w:ind w:firstLine="0" w:firstLineChars="0"/>
              <w:jc w:val="center"/>
              <w:rPr>
                <w:rFonts w:cs="Times New Roman"/>
                <w:sz w:val="21"/>
              </w:rPr>
            </w:pPr>
            <w:r>
              <w:rPr>
                <w:rFonts w:cs="Times New Roman"/>
                <w:sz w:val="21"/>
              </w:rPr>
              <w:t>0.01733</w:t>
            </w:r>
          </w:p>
        </w:tc>
        <w:tc>
          <w:tcPr>
            <w:tcW w:w="1124" w:type="pct"/>
            <w:tcBorders>
              <w:top w:val="single" w:color="auto" w:sz="4" w:space="0"/>
              <w:left w:val="nil"/>
              <w:bottom w:val="single" w:color="auto" w:sz="4" w:space="0"/>
              <w:right w:val="single" w:color="auto" w:sz="12" w:space="0"/>
            </w:tcBorders>
            <w:noWrap/>
            <w:vAlign w:val="center"/>
          </w:tcPr>
          <w:p w14:paraId="58AFA4DC">
            <w:pPr>
              <w:spacing w:line="240" w:lineRule="auto"/>
              <w:ind w:firstLine="0" w:firstLineChars="0"/>
              <w:jc w:val="center"/>
              <w:rPr>
                <w:rFonts w:cs="Times New Roman"/>
                <w:sz w:val="21"/>
              </w:rPr>
            </w:pPr>
            <w:r>
              <w:rPr>
                <w:rFonts w:cs="Times New Roman"/>
                <w:sz w:val="21"/>
              </w:rPr>
              <w:t>0.01957</w:t>
            </w:r>
          </w:p>
        </w:tc>
      </w:tr>
      <w:tr w14:paraId="47D61CC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A3002DD">
            <w:pPr>
              <w:spacing w:line="240" w:lineRule="auto"/>
              <w:ind w:firstLine="0" w:firstLineChars="0"/>
              <w:jc w:val="center"/>
              <w:rPr>
                <w:rFonts w:cs="Times New Roman"/>
                <w:sz w:val="21"/>
              </w:rPr>
            </w:pPr>
            <w:r>
              <w:rPr>
                <w:rFonts w:cs="Times New Roman"/>
                <w:sz w:val="21"/>
              </w:rPr>
              <w:t>100</w:t>
            </w:r>
          </w:p>
        </w:tc>
        <w:tc>
          <w:tcPr>
            <w:tcW w:w="1124" w:type="pct"/>
            <w:tcBorders>
              <w:top w:val="single" w:color="auto" w:sz="4" w:space="0"/>
              <w:left w:val="nil"/>
              <w:bottom w:val="single" w:color="auto" w:sz="4" w:space="0"/>
              <w:right w:val="single" w:color="auto" w:sz="4" w:space="0"/>
            </w:tcBorders>
            <w:noWrap/>
            <w:vAlign w:val="center"/>
          </w:tcPr>
          <w:p w14:paraId="36B3EEC3">
            <w:pPr>
              <w:spacing w:line="240" w:lineRule="auto"/>
              <w:ind w:firstLine="0" w:firstLineChars="0"/>
              <w:jc w:val="center"/>
              <w:rPr>
                <w:rFonts w:cs="Times New Roman"/>
                <w:sz w:val="21"/>
              </w:rPr>
            </w:pPr>
            <w:r>
              <w:rPr>
                <w:rFonts w:cs="Times New Roman"/>
                <w:sz w:val="21"/>
              </w:rPr>
              <w:t>0.01623</w:t>
            </w:r>
          </w:p>
        </w:tc>
        <w:tc>
          <w:tcPr>
            <w:tcW w:w="1123" w:type="pct"/>
            <w:tcBorders>
              <w:top w:val="single" w:color="auto" w:sz="4" w:space="0"/>
              <w:left w:val="nil"/>
              <w:bottom w:val="single" w:color="auto" w:sz="4" w:space="0"/>
              <w:right w:val="single" w:color="auto" w:sz="4" w:space="0"/>
            </w:tcBorders>
            <w:noWrap/>
            <w:vAlign w:val="center"/>
          </w:tcPr>
          <w:p w14:paraId="53C84DA3">
            <w:pPr>
              <w:spacing w:line="240" w:lineRule="auto"/>
              <w:ind w:firstLine="0" w:firstLineChars="0"/>
              <w:jc w:val="center"/>
              <w:rPr>
                <w:rFonts w:cs="Times New Roman"/>
                <w:sz w:val="21"/>
              </w:rPr>
            </w:pPr>
            <w:r>
              <w:rPr>
                <w:rFonts w:cs="Times New Roman"/>
                <w:sz w:val="21"/>
              </w:rPr>
              <w:t>0.02100</w:t>
            </w:r>
          </w:p>
        </w:tc>
        <w:tc>
          <w:tcPr>
            <w:tcW w:w="1123" w:type="pct"/>
            <w:tcBorders>
              <w:top w:val="single" w:color="auto" w:sz="4" w:space="0"/>
              <w:left w:val="nil"/>
              <w:bottom w:val="single" w:color="auto" w:sz="4" w:space="0"/>
              <w:right w:val="single" w:color="auto" w:sz="4" w:space="0"/>
            </w:tcBorders>
            <w:noWrap/>
            <w:vAlign w:val="center"/>
          </w:tcPr>
          <w:p w14:paraId="4AE025CC">
            <w:pPr>
              <w:spacing w:line="240" w:lineRule="auto"/>
              <w:ind w:firstLine="0" w:firstLineChars="0"/>
              <w:jc w:val="center"/>
              <w:rPr>
                <w:rFonts w:cs="Times New Roman"/>
                <w:sz w:val="21"/>
              </w:rPr>
            </w:pPr>
            <w:r>
              <w:rPr>
                <w:rFonts w:cs="Times New Roman"/>
                <w:sz w:val="21"/>
              </w:rPr>
              <w:t>0.02479</w:t>
            </w:r>
          </w:p>
        </w:tc>
        <w:tc>
          <w:tcPr>
            <w:tcW w:w="1124" w:type="pct"/>
            <w:tcBorders>
              <w:top w:val="single" w:color="auto" w:sz="4" w:space="0"/>
              <w:left w:val="nil"/>
              <w:bottom w:val="single" w:color="auto" w:sz="4" w:space="0"/>
              <w:right w:val="single" w:color="auto" w:sz="12" w:space="0"/>
            </w:tcBorders>
            <w:noWrap/>
            <w:vAlign w:val="center"/>
          </w:tcPr>
          <w:p w14:paraId="56C816B9">
            <w:pPr>
              <w:spacing w:line="240" w:lineRule="auto"/>
              <w:ind w:firstLine="0" w:firstLineChars="0"/>
              <w:jc w:val="center"/>
              <w:rPr>
                <w:rFonts w:cs="Times New Roman"/>
                <w:sz w:val="21"/>
              </w:rPr>
            </w:pPr>
            <w:r>
              <w:rPr>
                <w:rFonts w:cs="Times New Roman"/>
                <w:sz w:val="21"/>
              </w:rPr>
              <w:t>0.03028</w:t>
            </w:r>
          </w:p>
        </w:tc>
      </w:tr>
      <w:tr w14:paraId="6E44A6F0">
        <w:tblPrEx>
          <w:tblCellMar>
            <w:top w:w="0" w:type="dxa"/>
            <w:left w:w="108" w:type="dxa"/>
            <w:bottom w:w="0" w:type="dxa"/>
            <w:right w:w="108" w:type="dxa"/>
          </w:tblCellMar>
        </w:tblPrEx>
        <w:trPr>
          <w:trHeight w:val="397" w:hRule="atLeast"/>
        </w:trPr>
        <w:tc>
          <w:tcPr>
            <w:tcW w:w="506" w:type="pct"/>
            <w:tcBorders>
              <w:top w:val="single" w:color="auto" w:sz="4" w:space="0"/>
              <w:left w:val="single" w:color="auto" w:sz="12" w:space="0"/>
              <w:bottom w:val="single" w:color="auto" w:sz="4" w:space="0"/>
              <w:right w:val="single" w:color="auto" w:sz="4" w:space="0"/>
            </w:tcBorders>
            <w:noWrap/>
            <w:vAlign w:val="center"/>
          </w:tcPr>
          <w:p w14:paraId="22A58032">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12" w:space="0"/>
              <w:right w:val="single" w:color="auto" w:sz="4" w:space="0"/>
            </w:tcBorders>
            <w:noWrap/>
            <w:vAlign w:val="center"/>
          </w:tcPr>
          <w:p w14:paraId="482C77E0">
            <w:pPr>
              <w:spacing w:line="240" w:lineRule="auto"/>
              <w:ind w:firstLine="0" w:firstLineChars="0"/>
              <w:jc w:val="center"/>
              <w:rPr>
                <w:rFonts w:cs="Times New Roman"/>
                <w:sz w:val="21"/>
              </w:rPr>
            </w:pPr>
            <w:r>
              <w:rPr>
                <w:rFonts w:cs="Times New Roman"/>
                <w:sz w:val="21"/>
              </w:rPr>
              <w:t>0.00048</w:t>
            </w:r>
          </w:p>
        </w:tc>
        <w:tc>
          <w:tcPr>
            <w:tcW w:w="1123" w:type="pct"/>
            <w:tcBorders>
              <w:top w:val="single" w:color="auto" w:sz="4" w:space="0"/>
              <w:left w:val="nil"/>
              <w:bottom w:val="single" w:color="auto" w:sz="12" w:space="0"/>
              <w:right w:val="single" w:color="auto" w:sz="4" w:space="0"/>
            </w:tcBorders>
            <w:noWrap/>
            <w:vAlign w:val="center"/>
          </w:tcPr>
          <w:p w14:paraId="24F87EC6">
            <w:pPr>
              <w:spacing w:line="240" w:lineRule="auto"/>
              <w:ind w:firstLine="0" w:firstLineChars="0"/>
              <w:jc w:val="center"/>
              <w:rPr>
                <w:rFonts w:cs="Times New Roman"/>
                <w:sz w:val="21"/>
              </w:rPr>
            </w:pPr>
            <w:r>
              <w:rPr>
                <w:rFonts w:cs="Times New Roman"/>
                <w:sz w:val="21"/>
              </w:rPr>
              <w:t>0.00075</w:t>
            </w:r>
          </w:p>
        </w:tc>
        <w:tc>
          <w:tcPr>
            <w:tcW w:w="1123" w:type="pct"/>
            <w:tcBorders>
              <w:top w:val="single" w:color="auto" w:sz="4" w:space="0"/>
              <w:left w:val="nil"/>
              <w:bottom w:val="single" w:color="auto" w:sz="12" w:space="0"/>
              <w:right w:val="single" w:color="auto" w:sz="4" w:space="0"/>
            </w:tcBorders>
            <w:noWrap/>
            <w:vAlign w:val="center"/>
          </w:tcPr>
          <w:p w14:paraId="60484700">
            <w:pPr>
              <w:spacing w:line="240" w:lineRule="auto"/>
              <w:ind w:firstLine="0" w:firstLineChars="0"/>
              <w:jc w:val="center"/>
              <w:rPr>
                <w:rFonts w:cs="Times New Roman"/>
                <w:sz w:val="21"/>
              </w:rPr>
            </w:pPr>
            <w:r>
              <w:rPr>
                <w:rFonts w:cs="Times New Roman"/>
                <w:sz w:val="21"/>
              </w:rPr>
              <w:t>0.00010</w:t>
            </w:r>
          </w:p>
        </w:tc>
        <w:tc>
          <w:tcPr>
            <w:tcW w:w="1124" w:type="pct"/>
            <w:tcBorders>
              <w:top w:val="single" w:color="auto" w:sz="4" w:space="0"/>
              <w:left w:val="nil"/>
              <w:bottom w:val="single" w:color="auto" w:sz="12" w:space="0"/>
              <w:right w:val="single" w:color="auto" w:sz="12" w:space="0"/>
            </w:tcBorders>
            <w:noWrap/>
            <w:vAlign w:val="center"/>
          </w:tcPr>
          <w:p w14:paraId="0B124B53">
            <w:pPr>
              <w:spacing w:line="240" w:lineRule="auto"/>
              <w:ind w:firstLine="0" w:firstLineChars="0"/>
              <w:jc w:val="center"/>
              <w:rPr>
                <w:rFonts w:cs="Times New Roman"/>
                <w:sz w:val="21"/>
              </w:rPr>
            </w:pPr>
            <w:r>
              <w:rPr>
                <w:rFonts w:cs="Times New Roman"/>
                <w:sz w:val="21"/>
              </w:rPr>
              <w:t>0.00143</w:t>
            </w:r>
          </w:p>
        </w:tc>
      </w:tr>
      <w:bookmarkEnd w:id="707"/>
    </w:tbl>
    <w:p w14:paraId="4CB94ECA">
      <w:pPr>
        <w:ind w:firstLine="519"/>
        <w:rPr>
          <w:rFonts w:cs="Times New Roman"/>
        </w:rPr>
      </w:pPr>
    </w:p>
    <w:p w14:paraId="17E3D134">
      <w:pPr>
        <w:keepLines/>
        <w:ind w:firstLine="562" w:firstLineChars="0"/>
        <w:jc w:val="center"/>
        <w:outlineLvl w:val="4"/>
        <w:rPr>
          <w:rFonts w:cs="Times New Roman"/>
          <w:b/>
          <w:bCs/>
          <w:sz w:val="21"/>
          <w:szCs w:val="28"/>
        </w:rPr>
      </w:pPr>
      <w:r>
        <w:rPr>
          <w:rFonts w:cs="Times New Roman"/>
          <w:b/>
          <w:bCs/>
          <w:sz w:val="21"/>
          <w:szCs w:val="28"/>
        </w:rPr>
        <w:t>表5.2-5  不同时刻</w:t>
      </w:r>
      <w:r>
        <w:rPr>
          <w:rFonts w:hint="eastAsia" w:cs="Times New Roman"/>
          <w:b/>
          <w:bCs/>
          <w:sz w:val="21"/>
          <w:szCs w:val="28"/>
        </w:rPr>
        <w:t>管线</w:t>
      </w:r>
      <w:r>
        <w:rPr>
          <w:rFonts w:cs="Times New Roman"/>
          <w:b/>
          <w:bCs/>
          <w:sz w:val="21"/>
          <w:szCs w:val="28"/>
        </w:rPr>
        <w:t>X/Y处的氯化物的浓度（mg/L）</w:t>
      </w:r>
    </w:p>
    <w:tbl>
      <w:tblPr>
        <w:tblStyle w:val="29"/>
        <w:tblW w:w="5000" w:type="pct"/>
        <w:tblInd w:w="0" w:type="dxa"/>
        <w:tblLayout w:type="autofit"/>
        <w:tblCellMar>
          <w:top w:w="0" w:type="dxa"/>
          <w:left w:w="108" w:type="dxa"/>
          <w:bottom w:w="0" w:type="dxa"/>
          <w:right w:w="108" w:type="dxa"/>
        </w:tblCellMar>
      </w:tblPr>
      <w:tblGrid>
        <w:gridCol w:w="863"/>
        <w:gridCol w:w="1917"/>
        <w:gridCol w:w="1915"/>
        <w:gridCol w:w="1915"/>
        <w:gridCol w:w="1918"/>
      </w:tblGrid>
      <w:tr w14:paraId="7023807A">
        <w:tblPrEx>
          <w:tblCellMar>
            <w:top w:w="0" w:type="dxa"/>
            <w:left w:w="108" w:type="dxa"/>
            <w:bottom w:w="0" w:type="dxa"/>
            <w:right w:w="108" w:type="dxa"/>
          </w:tblCellMar>
        </w:tblPrEx>
        <w:trPr>
          <w:trHeight w:val="397" w:hRule="atLeast"/>
        </w:trPr>
        <w:tc>
          <w:tcPr>
            <w:tcW w:w="5000" w:type="pct"/>
            <w:gridSpan w:val="5"/>
            <w:tcBorders>
              <w:top w:val="single" w:color="auto" w:sz="12" w:space="0"/>
              <w:left w:val="single" w:color="auto" w:sz="12" w:space="0"/>
              <w:bottom w:val="single" w:color="auto" w:sz="4" w:space="0"/>
              <w:right w:val="single" w:color="auto" w:sz="12" w:space="0"/>
            </w:tcBorders>
            <w:noWrap/>
            <w:vAlign w:val="center"/>
          </w:tcPr>
          <w:p w14:paraId="633B88E0">
            <w:pPr>
              <w:spacing w:line="240" w:lineRule="auto"/>
              <w:ind w:firstLine="0" w:firstLineChars="0"/>
              <w:jc w:val="center"/>
              <w:rPr>
                <w:rFonts w:cs="Times New Roman"/>
                <w:sz w:val="21"/>
              </w:rPr>
            </w:pPr>
            <w:r>
              <w:rPr>
                <w:rFonts w:cs="Times New Roman"/>
                <w:sz w:val="21"/>
              </w:rPr>
              <w:t>100d</w:t>
            </w:r>
          </w:p>
        </w:tc>
      </w:tr>
      <w:tr w14:paraId="6073EC3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1948053">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7670A50E">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3BBF68A8">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280436E0">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14A4E861">
            <w:pPr>
              <w:spacing w:line="240" w:lineRule="auto"/>
              <w:ind w:firstLine="0" w:firstLineChars="0"/>
              <w:jc w:val="center"/>
              <w:rPr>
                <w:rFonts w:cs="Times New Roman"/>
                <w:sz w:val="21"/>
              </w:rPr>
            </w:pPr>
            <w:r>
              <w:rPr>
                <w:rFonts w:cs="Times New Roman"/>
                <w:sz w:val="21"/>
              </w:rPr>
              <w:t>7.5</w:t>
            </w:r>
          </w:p>
        </w:tc>
      </w:tr>
      <w:tr w14:paraId="1B031FA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D806CAB">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2A2CC10D">
            <w:pPr>
              <w:spacing w:line="240" w:lineRule="auto"/>
              <w:ind w:firstLine="0" w:firstLineChars="0"/>
              <w:jc w:val="center"/>
              <w:rPr>
                <w:rFonts w:cs="Times New Roman"/>
                <w:b/>
                <w:bCs/>
                <w:sz w:val="21"/>
              </w:rPr>
            </w:pPr>
            <w:r>
              <w:rPr>
                <w:rFonts w:cs="Times New Roman"/>
                <w:b/>
                <w:bCs/>
                <w:sz w:val="21"/>
              </w:rPr>
              <w:t>2574.64</w:t>
            </w:r>
          </w:p>
        </w:tc>
        <w:tc>
          <w:tcPr>
            <w:tcW w:w="1123" w:type="pct"/>
            <w:tcBorders>
              <w:top w:val="nil"/>
              <w:left w:val="nil"/>
              <w:bottom w:val="single" w:color="auto" w:sz="4" w:space="0"/>
              <w:right w:val="single" w:color="auto" w:sz="4" w:space="0"/>
            </w:tcBorders>
            <w:noWrap/>
            <w:vAlign w:val="center"/>
          </w:tcPr>
          <w:p w14:paraId="294123DF">
            <w:pPr>
              <w:spacing w:line="240" w:lineRule="auto"/>
              <w:ind w:firstLine="0" w:firstLineChars="0"/>
              <w:jc w:val="center"/>
              <w:rPr>
                <w:rFonts w:cs="Times New Roman"/>
                <w:b/>
                <w:bCs/>
                <w:sz w:val="21"/>
              </w:rPr>
            </w:pPr>
            <w:r>
              <w:rPr>
                <w:rFonts w:cs="Times New Roman"/>
                <w:b/>
                <w:bCs/>
                <w:sz w:val="21"/>
              </w:rPr>
              <w:t>2260.45</w:t>
            </w:r>
          </w:p>
        </w:tc>
        <w:tc>
          <w:tcPr>
            <w:tcW w:w="1123" w:type="pct"/>
            <w:tcBorders>
              <w:top w:val="nil"/>
              <w:left w:val="nil"/>
              <w:bottom w:val="single" w:color="auto" w:sz="4" w:space="0"/>
              <w:right w:val="single" w:color="auto" w:sz="4" w:space="0"/>
            </w:tcBorders>
            <w:noWrap/>
            <w:vAlign w:val="center"/>
          </w:tcPr>
          <w:p w14:paraId="1DD66097">
            <w:pPr>
              <w:spacing w:line="240" w:lineRule="auto"/>
              <w:ind w:firstLine="0" w:firstLineChars="0"/>
              <w:jc w:val="center"/>
              <w:rPr>
                <w:rFonts w:cs="Times New Roman"/>
                <w:b/>
                <w:bCs/>
                <w:sz w:val="21"/>
              </w:rPr>
            </w:pPr>
            <w:r>
              <w:rPr>
                <w:rFonts w:cs="Times New Roman"/>
                <w:b/>
                <w:bCs/>
                <w:sz w:val="21"/>
              </w:rPr>
              <w:t>1650.13</w:t>
            </w:r>
          </w:p>
        </w:tc>
        <w:tc>
          <w:tcPr>
            <w:tcW w:w="1124" w:type="pct"/>
            <w:tcBorders>
              <w:top w:val="nil"/>
              <w:left w:val="nil"/>
              <w:bottom w:val="single" w:color="auto" w:sz="4" w:space="0"/>
              <w:right w:val="single" w:color="auto" w:sz="12" w:space="0"/>
            </w:tcBorders>
            <w:noWrap/>
            <w:vAlign w:val="center"/>
          </w:tcPr>
          <w:p w14:paraId="14A29F8F">
            <w:pPr>
              <w:spacing w:line="240" w:lineRule="auto"/>
              <w:ind w:firstLine="0" w:firstLineChars="0"/>
              <w:jc w:val="center"/>
              <w:rPr>
                <w:rFonts w:cs="Times New Roman"/>
                <w:b/>
                <w:bCs/>
                <w:sz w:val="21"/>
              </w:rPr>
            </w:pPr>
            <w:r>
              <w:rPr>
                <w:rFonts w:cs="Times New Roman"/>
                <w:b/>
                <w:bCs/>
                <w:sz w:val="21"/>
              </w:rPr>
              <w:t>861.60</w:t>
            </w:r>
          </w:p>
        </w:tc>
      </w:tr>
      <w:tr w14:paraId="2673710D">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50E35EF">
            <w:pPr>
              <w:spacing w:line="240" w:lineRule="auto"/>
              <w:ind w:firstLine="0" w:firstLineChars="0"/>
              <w:jc w:val="center"/>
              <w:rPr>
                <w:rFonts w:cs="Times New Roman"/>
                <w:sz w:val="21"/>
              </w:rPr>
            </w:pPr>
            <w:r>
              <w:rPr>
                <w:rFonts w:cs="Times New Roman"/>
                <w:sz w:val="21"/>
              </w:rPr>
              <w:t>15</w:t>
            </w:r>
          </w:p>
        </w:tc>
        <w:tc>
          <w:tcPr>
            <w:tcW w:w="1124" w:type="pct"/>
            <w:tcBorders>
              <w:top w:val="nil"/>
              <w:left w:val="nil"/>
              <w:bottom w:val="single" w:color="auto" w:sz="4" w:space="0"/>
              <w:right w:val="single" w:color="auto" w:sz="4" w:space="0"/>
            </w:tcBorders>
            <w:noWrap/>
            <w:vAlign w:val="center"/>
          </w:tcPr>
          <w:p w14:paraId="168FE2EA">
            <w:pPr>
              <w:spacing w:line="240" w:lineRule="auto"/>
              <w:ind w:firstLine="0" w:firstLineChars="0"/>
              <w:jc w:val="center"/>
              <w:rPr>
                <w:rFonts w:cs="Times New Roman"/>
                <w:b/>
                <w:bCs/>
                <w:sz w:val="21"/>
              </w:rPr>
            </w:pPr>
            <w:r>
              <w:rPr>
                <w:rFonts w:cs="Times New Roman"/>
                <w:b/>
                <w:bCs/>
                <w:sz w:val="21"/>
              </w:rPr>
              <w:t>679.92</w:t>
            </w:r>
          </w:p>
        </w:tc>
        <w:tc>
          <w:tcPr>
            <w:tcW w:w="1123" w:type="pct"/>
            <w:tcBorders>
              <w:top w:val="nil"/>
              <w:left w:val="nil"/>
              <w:bottom w:val="single" w:color="auto" w:sz="4" w:space="0"/>
              <w:right w:val="single" w:color="auto" w:sz="4" w:space="0"/>
            </w:tcBorders>
            <w:noWrap/>
            <w:vAlign w:val="center"/>
          </w:tcPr>
          <w:p w14:paraId="648A22B2">
            <w:pPr>
              <w:spacing w:line="240" w:lineRule="auto"/>
              <w:ind w:firstLine="0" w:firstLineChars="0"/>
              <w:jc w:val="center"/>
              <w:rPr>
                <w:rFonts w:cs="Times New Roman"/>
                <w:b/>
                <w:bCs/>
                <w:sz w:val="21"/>
              </w:rPr>
            </w:pPr>
            <w:r>
              <w:rPr>
                <w:rFonts w:cs="Times New Roman"/>
                <w:b/>
                <w:bCs/>
                <w:sz w:val="21"/>
              </w:rPr>
              <w:t>1413.31</w:t>
            </w:r>
          </w:p>
        </w:tc>
        <w:tc>
          <w:tcPr>
            <w:tcW w:w="1123" w:type="pct"/>
            <w:tcBorders>
              <w:top w:val="nil"/>
              <w:left w:val="nil"/>
              <w:bottom w:val="single" w:color="auto" w:sz="4" w:space="0"/>
              <w:right w:val="single" w:color="auto" w:sz="4" w:space="0"/>
            </w:tcBorders>
            <w:noWrap/>
            <w:vAlign w:val="center"/>
          </w:tcPr>
          <w:p w14:paraId="2C106E4D">
            <w:pPr>
              <w:spacing w:line="240" w:lineRule="auto"/>
              <w:ind w:firstLine="0" w:firstLineChars="0"/>
              <w:jc w:val="center"/>
              <w:rPr>
                <w:rFonts w:cs="Times New Roman"/>
                <w:b/>
                <w:bCs/>
                <w:sz w:val="21"/>
              </w:rPr>
            </w:pPr>
            <w:r>
              <w:rPr>
                <w:rFonts w:cs="Times New Roman"/>
                <w:b/>
                <w:bCs/>
                <w:sz w:val="21"/>
              </w:rPr>
              <w:t>2052.29</w:t>
            </w:r>
          </w:p>
        </w:tc>
        <w:tc>
          <w:tcPr>
            <w:tcW w:w="1124" w:type="pct"/>
            <w:tcBorders>
              <w:top w:val="nil"/>
              <w:left w:val="nil"/>
              <w:bottom w:val="single" w:color="auto" w:sz="4" w:space="0"/>
              <w:right w:val="single" w:color="auto" w:sz="12" w:space="0"/>
            </w:tcBorders>
            <w:noWrap/>
            <w:vAlign w:val="center"/>
          </w:tcPr>
          <w:p w14:paraId="557F443D">
            <w:pPr>
              <w:spacing w:line="240" w:lineRule="auto"/>
              <w:ind w:firstLine="0" w:firstLineChars="0"/>
              <w:jc w:val="center"/>
              <w:rPr>
                <w:rFonts w:cs="Times New Roman"/>
                <w:b/>
                <w:bCs/>
                <w:sz w:val="21"/>
              </w:rPr>
            </w:pPr>
            <w:r>
              <w:rPr>
                <w:rFonts w:hint="eastAsia" w:cs="Times New Roman"/>
                <w:b/>
                <w:bCs/>
                <w:sz w:val="21"/>
              </w:rPr>
              <w:t>2531.46</w:t>
            </w:r>
          </w:p>
        </w:tc>
      </w:tr>
      <w:tr w14:paraId="5EE1FDF4">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24DA7E1">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2C9EAB25">
            <w:pPr>
              <w:spacing w:line="240" w:lineRule="auto"/>
              <w:ind w:firstLine="0" w:firstLineChars="0"/>
              <w:jc w:val="center"/>
              <w:rPr>
                <w:rFonts w:cs="Times New Roman"/>
                <w:sz w:val="21"/>
              </w:rPr>
            </w:pPr>
            <w:r>
              <w:rPr>
                <w:rFonts w:cs="Times New Roman"/>
                <w:sz w:val="21"/>
              </w:rPr>
              <w:t>1.73</w:t>
            </w:r>
          </w:p>
        </w:tc>
        <w:tc>
          <w:tcPr>
            <w:tcW w:w="1123" w:type="pct"/>
            <w:tcBorders>
              <w:top w:val="nil"/>
              <w:left w:val="nil"/>
              <w:bottom w:val="single" w:color="auto" w:sz="4" w:space="0"/>
              <w:right w:val="single" w:color="auto" w:sz="4" w:space="0"/>
            </w:tcBorders>
            <w:noWrap/>
            <w:vAlign w:val="center"/>
          </w:tcPr>
          <w:p w14:paraId="106EB450">
            <w:pPr>
              <w:spacing w:line="240" w:lineRule="auto"/>
              <w:ind w:firstLine="0" w:firstLineChars="0"/>
              <w:jc w:val="center"/>
              <w:rPr>
                <w:rFonts w:cs="Times New Roman"/>
                <w:b/>
                <w:bCs/>
                <w:sz w:val="21"/>
              </w:rPr>
            </w:pPr>
            <w:r>
              <w:rPr>
                <w:rFonts w:cs="Times New Roman"/>
                <w:sz w:val="21"/>
              </w:rPr>
              <w:t>12.0</w:t>
            </w:r>
          </w:p>
        </w:tc>
        <w:tc>
          <w:tcPr>
            <w:tcW w:w="1123" w:type="pct"/>
            <w:tcBorders>
              <w:top w:val="nil"/>
              <w:left w:val="nil"/>
              <w:bottom w:val="single" w:color="auto" w:sz="4" w:space="0"/>
              <w:right w:val="single" w:color="auto" w:sz="4" w:space="0"/>
            </w:tcBorders>
            <w:noWrap/>
            <w:vAlign w:val="center"/>
          </w:tcPr>
          <w:p w14:paraId="57EDD0E0">
            <w:pPr>
              <w:spacing w:line="240" w:lineRule="auto"/>
              <w:ind w:firstLine="0" w:firstLineChars="0"/>
              <w:jc w:val="center"/>
              <w:rPr>
                <w:rFonts w:cs="Times New Roman"/>
                <w:sz w:val="21"/>
              </w:rPr>
            </w:pPr>
            <w:r>
              <w:rPr>
                <w:rFonts w:cs="Times New Roman"/>
                <w:sz w:val="21"/>
              </w:rPr>
              <w:t>34.6</w:t>
            </w:r>
          </w:p>
        </w:tc>
        <w:tc>
          <w:tcPr>
            <w:tcW w:w="1124" w:type="pct"/>
            <w:tcBorders>
              <w:top w:val="nil"/>
              <w:left w:val="nil"/>
              <w:bottom w:val="single" w:color="auto" w:sz="4" w:space="0"/>
              <w:right w:val="single" w:color="auto" w:sz="12" w:space="0"/>
            </w:tcBorders>
            <w:noWrap/>
            <w:vAlign w:val="center"/>
          </w:tcPr>
          <w:p w14:paraId="42A66FCF">
            <w:pPr>
              <w:spacing w:line="240" w:lineRule="auto"/>
              <w:ind w:firstLine="0" w:firstLineChars="0"/>
              <w:jc w:val="center"/>
              <w:rPr>
                <w:rFonts w:cs="Times New Roman"/>
                <w:sz w:val="21"/>
              </w:rPr>
            </w:pPr>
            <w:r>
              <w:rPr>
                <w:rFonts w:cs="Times New Roman"/>
                <w:sz w:val="21"/>
              </w:rPr>
              <w:t>101</w:t>
            </w:r>
          </w:p>
        </w:tc>
      </w:tr>
      <w:tr w14:paraId="382E607C">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A07202C">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42196287">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12E45E4">
            <w:pPr>
              <w:spacing w:line="240" w:lineRule="auto"/>
              <w:ind w:firstLine="0" w:firstLineChars="0"/>
              <w:jc w:val="center"/>
              <w:rPr>
                <w:rFonts w:cs="Times New Roman"/>
                <w:sz w:val="21"/>
              </w:rPr>
            </w:pPr>
            <w:r>
              <w:rPr>
                <w:rFonts w:cs="Times New Roman"/>
                <w:sz w:val="21"/>
              </w:rPr>
              <w:t>0.00003</w:t>
            </w:r>
          </w:p>
        </w:tc>
        <w:tc>
          <w:tcPr>
            <w:tcW w:w="1123" w:type="pct"/>
            <w:tcBorders>
              <w:top w:val="nil"/>
              <w:left w:val="nil"/>
              <w:bottom w:val="single" w:color="auto" w:sz="4" w:space="0"/>
              <w:right w:val="single" w:color="auto" w:sz="4" w:space="0"/>
            </w:tcBorders>
            <w:noWrap/>
            <w:vAlign w:val="center"/>
          </w:tcPr>
          <w:p w14:paraId="4CC21A72">
            <w:pPr>
              <w:spacing w:line="240" w:lineRule="auto"/>
              <w:ind w:firstLine="0" w:firstLineChars="0"/>
              <w:jc w:val="center"/>
              <w:rPr>
                <w:rFonts w:cs="Times New Roman"/>
                <w:sz w:val="21"/>
              </w:rPr>
            </w:pPr>
            <w:r>
              <w:rPr>
                <w:rFonts w:cs="Times New Roman"/>
                <w:sz w:val="21"/>
              </w:rPr>
              <w:t>0.00019</w:t>
            </w:r>
          </w:p>
        </w:tc>
        <w:tc>
          <w:tcPr>
            <w:tcW w:w="1124" w:type="pct"/>
            <w:tcBorders>
              <w:top w:val="nil"/>
              <w:left w:val="nil"/>
              <w:bottom w:val="single" w:color="auto" w:sz="4" w:space="0"/>
              <w:right w:val="single" w:color="auto" w:sz="12" w:space="0"/>
            </w:tcBorders>
            <w:noWrap/>
            <w:vAlign w:val="center"/>
          </w:tcPr>
          <w:p w14:paraId="06ACC6CF">
            <w:pPr>
              <w:spacing w:line="240" w:lineRule="auto"/>
              <w:ind w:firstLine="0" w:firstLineChars="0"/>
              <w:jc w:val="center"/>
              <w:rPr>
                <w:rFonts w:cs="Times New Roman"/>
                <w:sz w:val="21"/>
              </w:rPr>
            </w:pPr>
            <w:r>
              <w:rPr>
                <w:rFonts w:cs="Times New Roman"/>
                <w:sz w:val="21"/>
              </w:rPr>
              <w:t>0.0017</w:t>
            </w:r>
          </w:p>
        </w:tc>
      </w:tr>
      <w:tr w14:paraId="01BBF3A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639A6FE">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53B19602">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4A716093">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CFF0F64">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32B3E786">
            <w:pPr>
              <w:spacing w:line="240" w:lineRule="auto"/>
              <w:ind w:firstLine="0" w:firstLineChars="0"/>
              <w:jc w:val="center"/>
              <w:rPr>
                <w:rFonts w:cs="Times New Roman"/>
                <w:sz w:val="21"/>
              </w:rPr>
            </w:pPr>
            <w:r>
              <w:rPr>
                <w:rFonts w:cs="Times New Roman"/>
                <w:sz w:val="21"/>
              </w:rPr>
              <w:t>0.00000</w:t>
            </w:r>
          </w:p>
        </w:tc>
      </w:tr>
      <w:tr w14:paraId="5ED73A80">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38FD812">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5618B3F6">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253B3300">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246E71B5">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2EA76129">
            <w:pPr>
              <w:spacing w:line="240" w:lineRule="auto"/>
              <w:ind w:firstLine="0" w:firstLineChars="0"/>
              <w:jc w:val="center"/>
              <w:rPr>
                <w:rFonts w:cs="Times New Roman"/>
                <w:sz w:val="21"/>
              </w:rPr>
            </w:pPr>
            <w:r>
              <w:rPr>
                <w:rFonts w:cs="Times New Roman"/>
                <w:sz w:val="21"/>
              </w:rPr>
              <w:t>0.00000</w:t>
            </w:r>
          </w:p>
        </w:tc>
      </w:tr>
      <w:tr w14:paraId="78BDEA4B">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5D7268F9">
            <w:pPr>
              <w:spacing w:line="240" w:lineRule="auto"/>
              <w:ind w:firstLine="0" w:firstLineChars="0"/>
              <w:jc w:val="center"/>
              <w:rPr>
                <w:rFonts w:cs="Times New Roman"/>
                <w:sz w:val="21"/>
              </w:rPr>
            </w:pPr>
            <w:r>
              <w:rPr>
                <w:rFonts w:cs="Times New Roman"/>
                <w:sz w:val="21"/>
              </w:rPr>
              <w:t>500d</w:t>
            </w:r>
          </w:p>
        </w:tc>
      </w:tr>
      <w:tr w14:paraId="727EBDA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2DD33B8">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19EA002C">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2E3FB29B">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54F7C414">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5922556B">
            <w:pPr>
              <w:spacing w:line="240" w:lineRule="auto"/>
              <w:ind w:firstLine="0" w:firstLineChars="0"/>
              <w:jc w:val="center"/>
              <w:rPr>
                <w:rFonts w:cs="Times New Roman"/>
                <w:sz w:val="21"/>
              </w:rPr>
            </w:pPr>
            <w:r>
              <w:rPr>
                <w:rFonts w:cs="Times New Roman"/>
                <w:sz w:val="21"/>
              </w:rPr>
              <w:t>7.5</w:t>
            </w:r>
          </w:p>
        </w:tc>
      </w:tr>
      <w:tr w14:paraId="7EED73D3">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3257F9E">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49DDBA11">
            <w:pPr>
              <w:spacing w:line="240" w:lineRule="auto"/>
              <w:ind w:firstLine="0" w:firstLineChars="0"/>
              <w:jc w:val="center"/>
              <w:rPr>
                <w:rFonts w:cs="Times New Roman"/>
                <w:sz w:val="21"/>
              </w:rPr>
            </w:pPr>
            <w:r>
              <w:rPr>
                <w:rFonts w:cs="Times New Roman"/>
                <w:sz w:val="21"/>
              </w:rPr>
              <w:t>220.09</w:t>
            </w:r>
          </w:p>
        </w:tc>
        <w:tc>
          <w:tcPr>
            <w:tcW w:w="1123" w:type="pct"/>
            <w:tcBorders>
              <w:top w:val="nil"/>
              <w:left w:val="nil"/>
              <w:bottom w:val="single" w:color="auto" w:sz="4" w:space="0"/>
              <w:right w:val="single" w:color="auto" w:sz="4" w:space="0"/>
            </w:tcBorders>
            <w:noWrap/>
            <w:vAlign w:val="center"/>
          </w:tcPr>
          <w:p w14:paraId="61F6E992">
            <w:pPr>
              <w:spacing w:line="240" w:lineRule="auto"/>
              <w:ind w:firstLine="0" w:firstLineChars="0"/>
              <w:jc w:val="center"/>
              <w:rPr>
                <w:rFonts w:cs="Times New Roman"/>
                <w:sz w:val="21"/>
              </w:rPr>
            </w:pPr>
            <w:r>
              <w:rPr>
                <w:rFonts w:cs="Times New Roman"/>
                <w:sz w:val="21"/>
              </w:rPr>
              <w:t>227.69</w:t>
            </w:r>
          </w:p>
        </w:tc>
        <w:tc>
          <w:tcPr>
            <w:tcW w:w="1123" w:type="pct"/>
            <w:tcBorders>
              <w:top w:val="nil"/>
              <w:left w:val="nil"/>
              <w:bottom w:val="single" w:color="auto" w:sz="4" w:space="0"/>
              <w:right w:val="single" w:color="auto" w:sz="4" w:space="0"/>
            </w:tcBorders>
            <w:noWrap/>
            <w:vAlign w:val="center"/>
          </w:tcPr>
          <w:p w14:paraId="38FBB6E2">
            <w:pPr>
              <w:spacing w:line="240" w:lineRule="auto"/>
              <w:ind w:firstLine="0" w:firstLineChars="0"/>
              <w:jc w:val="center"/>
              <w:rPr>
                <w:rFonts w:cs="Times New Roman"/>
                <w:sz w:val="21"/>
              </w:rPr>
            </w:pPr>
            <w:r>
              <w:rPr>
                <w:rFonts w:cs="Times New Roman"/>
                <w:sz w:val="21"/>
              </w:rPr>
              <w:t>222.53</w:t>
            </w:r>
          </w:p>
        </w:tc>
        <w:tc>
          <w:tcPr>
            <w:tcW w:w="1124" w:type="pct"/>
            <w:tcBorders>
              <w:top w:val="nil"/>
              <w:left w:val="nil"/>
              <w:bottom w:val="single" w:color="auto" w:sz="4" w:space="0"/>
              <w:right w:val="single" w:color="auto" w:sz="12" w:space="0"/>
            </w:tcBorders>
            <w:noWrap/>
            <w:vAlign w:val="center"/>
          </w:tcPr>
          <w:p w14:paraId="6AD46071">
            <w:pPr>
              <w:spacing w:line="240" w:lineRule="auto"/>
              <w:ind w:firstLine="0" w:firstLineChars="0"/>
              <w:jc w:val="center"/>
              <w:rPr>
                <w:rFonts w:cs="Times New Roman"/>
                <w:b/>
                <w:bCs/>
                <w:sz w:val="21"/>
              </w:rPr>
            </w:pPr>
            <w:r>
              <w:rPr>
                <w:rFonts w:cs="Times New Roman"/>
                <w:sz w:val="21"/>
              </w:rPr>
              <w:t>205.43</w:t>
            </w:r>
          </w:p>
        </w:tc>
      </w:tr>
      <w:tr w14:paraId="109635C6">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1F25E1F">
            <w:pPr>
              <w:spacing w:line="240" w:lineRule="auto"/>
              <w:ind w:firstLine="0" w:firstLineChars="0"/>
              <w:jc w:val="center"/>
              <w:rPr>
                <w:rFonts w:cs="Times New Roman"/>
                <w:sz w:val="21"/>
              </w:rPr>
            </w:pPr>
            <w:r>
              <w:rPr>
                <w:rFonts w:cs="Times New Roman"/>
                <w:sz w:val="21"/>
              </w:rPr>
              <w:t>15</w:t>
            </w:r>
          </w:p>
        </w:tc>
        <w:tc>
          <w:tcPr>
            <w:tcW w:w="1124" w:type="pct"/>
            <w:tcBorders>
              <w:top w:val="nil"/>
              <w:left w:val="nil"/>
              <w:bottom w:val="single" w:color="auto" w:sz="4" w:space="0"/>
              <w:right w:val="single" w:color="auto" w:sz="4" w:space="0"/>
            </w:tcBorders>
            <w:noWrap/>
            <w:vAlign w:val="center"/>
          </w:tcPr>
          <w:p w14:paraId="1AD0FD44">
            <w:pPr>
              <w:spacing w:line="240" w:lineRule="auto"/>
              <w:ind w:firstLine="0" w:firstLineChars="0"/>
              <w:jc w:val="center"/>
              <w:rPr>
                <w:rFonts w:cs="Times New Roman"/>
                <w:b/>
                <w:bCs/>
                <w:sz w:val="21"/>
              </w:rPr>
            </w:pPr>
            <w:r>
              <w:rPr>
                <w:rFonts w:cs="Times New Roman"/>
                <w:b/>
                <w:bCs/>
                <w:sz w:val="21"/>
              </w:rPr>
              <w:t>274.07</w:t>
            </w:r>
          </w:p>
        </w:tc>
        <w:tc>
          <w:tcPr>
            <w:tcW w:w="1123" w:type="pct"/>
            <w:tcBorders>
              <w:top w:val="nil"/>
              <w:left w:val="nil"/>
              <w:bottom w:val="single" w:color="auto" w:sz="4" w:space="0"/>
              <w:right w:val="single" w:color="auto" w:sz="4" w:space="0"/>
            </w:tcBorders>
            <w:noWrap/>
            <w:vAlign w:val="center"/>
          </w:tcPr>
          <w:p w14:paraId="70E8013A">
            <w:pPr>
              <w:spacing w:line="240" w:lineRule="auto"/>
              <w:ind w:firstLine="0" w:firstLineChars="0"/>
              <w:jc w:val="center"/>
              <w:rPr>
                <w:rFonts w:cs="Times New Roman"/>
                <w:b/>
                <w:bCs/>
                <w:sz w:val="21"/>
              </w:rPr>
            </w:pPr>
            <w:r>
              <w:rPr>
                <w:rFonts w:cs="Times New Roman"/>
                <w:b/>
                <w:bCs/>
                <w:sz w:val="21"/>
              </w:rPr>
              <w:t>348.52</w:t>
            </w:r>
          </w:p>
        </w:tc>
        <w:tc>
          <w:tcPr>
            <w:tcW w:w="1123" w:type="pct"/>
            <w:tcBorders>
              <w:top w:val="nil"/>
              <w:left w:val="nil"/>
              <w:bottom w:val="single" w:color="auto" w:sz="4" w:space="0"/>
              <w:right w:val="single" w:color="auto" w:sz="4" w:space="0"/>
            </w:tcBorders>
            <w:noWrap/>
            <w:vAlign w:val="center"/>
          </w:tcPr>
          <w:p w14:paraId="72A62C8C">
            <w:pPr>
              <w:spacing w:line="240" w:lineRule="auto"/>
              <w:ind w:firstLine="0" w:firstLineChars="0"/>
              <w:jc w:val="center"/>
              <w:rPr>
                <w:rFonts w:cs="Times New Roman"/>
                <w:b/>
                <w:bCs/>
                <w:sz w:val="21"/>
              </w:rPr>
            </w:pPr>
            <w:r>
              <w:rPr>
                <w:rFonts w:cs="Times New Roman"/>
                <w:b/>
                <w:bCs/>
                <w:sz w:val="21"/>
              </w:rPr>
              <w:t>390.84</w:t>
            </w:r>
          </w:p>
        </w:tc>
        <w:tc>
          <w:tcPr>
            <w:tcW w:w="1124" w:type="pct"/>
            <w:tcBorders>
              <w:top w:val="nil"/>
              <w:left w:val="nil"/>
              <w:bottom w:val="single" w:color="auto" w:sz="4" w:space="0"/>
              <w:right w:val="single" w:color="auto" w:sz="12" w:space="0"/>
            </w:tcBorders>
            <w:noWrap/>
            <w:vAlign w:val="center"/>
          </w:tcPr>
          <w:p w14:paraId="440E947C">
            <w:pPr>
              <w:spacing w:line="240" w:lineRule="auto"/>
              <w:ind w:firstLine="0" w:firstLineChars="0"/>
              <w:jc w:val="center"/>
              <w:rPr>
                <w:rFonts w:cs="Times New Roman"/>
                <w:b/>
                <w:bCs/>
                <w:sz w:val="21"/>
              </w:rPr>
            </w:pPr>
            <w:r>
              <w:rPr>
                <w:rFonts w:cs="Times New Roman"/>
                <w:b/>
                <w:bCs/>
                <w:sz w:val="21"/>
              </w:rPr>
              <w:t>428.49</w:t>
            </w:r>
          </w:p>
        </w:tc>
      </w:tr>
      <w:tr w14:paraId="4A6A11B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BE6C0A7">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1FD8C99C">
            <w:pPr>
              <w:spacing w:line="240" w:lineRule="auto"/>
              <w:ind w:firstLine="0" w:firstLineChars="0"/>
              <w:jc w:val="center"/>
              <w:rPr>
                <w:rFonts w:cs="Times New Roman"/>
                <w:sz w:val="21"/>
              </w:rPr>
            </w:pPr>
            <w:r>
              <w:rPr>
                <w:rFonts w:cs="Times New Roman"/>
                <w:sz w:val="21"/>
              </w:rPr>
              <w:t>144.38</w:t>
            </w:r>
          </w:p>
        </w:tc>
        <w:tc>
          <w:tcPr>
            <w:tcW w:w="1123" w:type="pct"/>
            <w:tcBorders>
              <w:top w:val="nil"/>
              <w:left w:val="nil"/>
              <w:bottom w:val="single" w:color="auto" w:sz="4" w:space="0"/>
              <w:right w:val="single" w:color="auto" w:sz="4" w:space="0"/>
            </w:tcBorders>
            <w:noWrap/>
            <w:vAlign w:val="center"/>
          </w:tcPr>
          <w:p w14:paraId="34098CB2">
            <w:pPr>
              <w:spacing w:line="240" w:lineRule="auto"/>
              <w:ind w:firstLine="0" w:firstLineChars="0"/>
              <w:jc w:val="center"/>
              <w:rPr>
                <w:rFonts w:cs="Times New Roman"/>
                <w:sz w:val="21"/>
              </w:rPr>
            </w:pPr>
            <w:r>
              <w:rPr>
                <w:rFonts w:cs="Times New Roman"/>
                <w:sz w:val="21"/>
              </w:rPr>
              <w:t>225.67</w:t>
            </w:r>
          </w:p>
        </w:tc>
        <w:tc>
          <w:tcPr>
            <w:tcW w:w="1123" w:type="pct"/>
            <w:tcBorders>
              <w:top w:val="nil"/>
              <w:left w:val="nil"/>
              <w:bottom w:val="single" w:color="auto" w:sz="4" w:space="0"/>
              <w:right w:val="single" w:color="auto" w:sz="4" w:space="0"/>
            </w:tcBorders>
            <w:noWrap/>
            <w:vAlign w:val="center"/>
          </w:tcPr>
          <w:p w14:paraId="45E1CCE0">
            <w:pPr>
              <w:spacing w:line="240" w:lineRule="auto"/>
              <w:ind w:firstLine="0" w:firstLineChars="0"/>
              <w:jc w:val="center"/>
              <w:rPr>
                <w:rFonts w:cs="Times New Roman"/>
                <w:b/>
                <w:bCs/>
                <w:sz w:val="21"/>
              </w:rPr>
            </w:pPr>
            <w:r>
              <w:rPr>
                <w:rFonts w:cs="Times New Roman"/>
                <w:b/>
                <w:bCs/>
                <w:sz w:val="21"/>
              </w:rPr>
              <w:t>290.39</w:t>
            </w:r>
          </w:p>
        </w:tc>
        <w:tc>
          <w:tcPr>
            <w:tcW w:w="1124" w:type="pct"/>
            <w:tcBorders>
              <w:top w:val="nil"/>
              <w:left w:val="nil"/>
              <w:bottom w:val="single" w:color="auto" w:sz="4" w:space="0"/>
              <w:right w:val="single" w:color="auto" w:sz="12" w:space="0"/>
            </w:tcBorders>
            <w:noWrap/>
            <w:vAlign w:val="center"/>
          </w:tcPr>
          <w:p w14:paraId="69D79BBD">
            <w:pPr>
              <w:spacing w:line="240" w:lineRule="auto"/>
              <w:ind w:firstLine="0" w:firstLineChars="0"/>
              <w:jc w:val="center"/>
              <w:rPr>
                <w:rFonts w:cs="Times New Roman"/>
                <w:b/>
                <w:bCs/>
                <w:sz w:val="21"/>
              </w:rPr>
            </w:pPr>
            <w:r>
              <w:rPr>
                <w:rFonts w:cs="Times New Roman"/>
                <w:b/>
                <w:bCs/>
                <w:sz w:val="21"/>
              </w:rPr>
              <w:t>378.09</w:t>
            </w:r>
          </w:p>
        </w:tc>
      </w:tr>
      <w:tr w14:paraId="33032E2C">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496BCBD">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23FA4FEA">
            <w:pPr>
              <w:spacing w:line="240" w:lineRule="auto"/>
              <w:ind w:firstLine="0" w:firstLineChars="0"/>
              <w:jc w:val="center"/>
              <w:rPr>
                <w:rFonts w:cs="Times New Roman"/>
                <w:sz w:val="21"/>
              </w:rPr>
            </w:pPr>
            <w:r>
              <w:rPr>
                <w:rFonts w:cs="Times New Roman"/>
                <w:sz w:val="21"/>
              </w:rPr>
              <w:t>16.1</w:t>
            </w:r>
          </w:p>
        </w:tc>
        <w:tc>
          <w:tcPr>
            <w:tcW w:w="1123" w:type="pct"/>
            <w:tcBorders>
              <w:top w:val="nil"/>
              <w:left w:val="nil"/>
              <w:bottom w:val="single" w:color="auto" w:sz="4" w:space="0"/>
              <w:right w:val="single" w:color="auto" w:sz="4" w:space="0"/>
            </w:tcBorders>
            <w:noWrap/>
            <w:vAlign w:val="center"/>
          </w:tcPr>
          <w:p w14:paraId="46C3A947">
            <w:pPr>
              <w:spacing w:line="240" w:lineRule="auto"/>
              <w:ind w:firstLine="0" w:firstLineChars="0"/>
              <w:jc w:val="center"/>
              <w:rPr>
                <w:rFonts w:cs="Times New Roman"/>
                <w:sz w:val="21"/>
              </w:rPr>
            </w:pPr>
            <w:r>
              <w:rPr>
                <w:rFonts w:cs="Times New Roman"/>
                <w:sz w:val="21"/>
              </w:rPr>
              <w:t>33.2</w:t>
            </w:r>
          </w:p>
        </w:tc>
        <w:tc>
          <w:tcPr>
            <w:tcW w:w="1123" w:type="pct"/>
            <w:tcBorders>
              <w:top w:val="nil"/>
              <w:left w:val="nil"/>
              <w:bottom w:val="single" w:color="auto" w:sz="4" w:space="0"/>
              <w:right w:val="single" w:color="auto" w:sz="4" w:space="0"/>
            </w:tcBorders>
            <w:noWrap/>
            <w:vAlign w:val="center"/>
          </w:tcPr>
          <w:p w14:paraId="33E94B40">
            <w:pPr>
              <w:spacing w:line="240" w:lineRule="auto"/>
              <w:ind w:firstLine="0" w:firstLineChars="0"/>
              <w:jc w:val="center"/>
              <w:rPr>
                <w:rFonts w:cs="Times New Roman"/>
                <w:sz w:val="21"/>
              </w:rPr>
            </w:pPr>
            <w:r>
              <w:rPr>
                <w:rFonts w:cs="Times New Roman"/>
                <w:sz w:val="21"/>
              </w:rPr>
              <w:t>51.3</w:t>
            </w:r>
          </w:p>
        </w:tc>
        <w:tc>
          <w:tcPr>
            <w:tcW w:w="1124" w:type="pct"/>
            <w:tcBorders>
              <w:top w:val="nil"/>
              <w:left w:val="nil"/>
              <w:bottom w:val="single" w:color="auto" w:sz="4" w:space="0"/>
              <w:right w:val="single" w:color="auto" w:sz="12" w:space="0"/>
            </w:tcBorders>
            <w:noWrap/>
            <w:vAlign w:val="center"/>
          </w:tcPr>
          <w:p w14:paraId="6E90695F">
            <w:pPr>
              <w:spacing w:line="240" w:lineRule="auto"/>
              <w:ind w:firstLine="0" w:firstLineChars="0"/>
              <w:jc w:val="center"/>
              <w:rPr>
                <w:rFonts w:cs="Times New Roman"/>
                <w:sz w:val="21"/>
              </w:rPr>
            </w:pPr>
            <w:r>
              <w:rPr>
                <w:rFonts w:cs="Times New Roman"/>
                <w:sz w:val="21"/>
              </w:rPr>
              <w:t>83.9</w:t>
            </w:r>
          </w:p>
        </w:tc>
      </w:tr>
      <w:tr w14:paraId="62DDF2D0">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36EE4C4">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5006B177">
            <w:pPr>
              <w:spacing w:line="240" w:lineRule="auto"/>
              <w:ind w:firstLine="0" w:firstLineChars="0"/>
              <w:jc w:val="center"/>
              <w:rPr>
                <w:rFonts w:cs="Times New Roman"/>
                <w:sz w:val="21"/>
              </w:rPr>
            </w:pPr>
            <w:r>
              <w:rPr>
                <w:rFonts w:cs="Times New Roman"/>
                <w:sz w:val="21"/>
              </w:rPr>
              <w:t>0.00008</w:t>
            </w:r>
          </w:p>
        </w:tc>
        <w:tc>
          <w:tcPr>
            <w:tcW w:w="1123" w:type="pct"/>
            <w:tcBorders>
              <w:top w:val="nil"/>
              <w:left w:val="nil"/>
              <w:bottom w:val="single" w:color="auto" w:sz="4" w:space="0"/>
              <w:right w:val="single" w:color="auto" w:sz="4" w:space="0"/>
            </w:tcBorders>
            <w:noWrap/>
            <w:vAlign w:val="center"/>
          </w:tcPr>
          <w:p w14:paraId="4778764D">
            <w:pPr>
              <w:spacing w:line="240" w:lineRule="auto"/>
              <w:ind w:firstLine="0" w:firstLineChars="0"/>
              <w:jc w:val="center"/>
              <w:rPr>
                <w:rFonts w:cs="Times New Roman"/>
                <w:sz w:val="21"/>
              </w:rPr>
            </w:pPr>
            <w:r>
              <w:rPr>
                <w:rFonts w:cs="Times New Roman"/>
                <w:sz w:val="21"/>
              </w:rPr>
              <w:t>0.00034</w:t>
            </w:r>
          </w:p>
        </w:tc>
        <w:tc>
          <w:tcPr>
            <w:tcW w:w="1123" w:type="pct"/>
            <w:tcBorders>
              <w:top w:val="nil"/>
              <w:left w:val="nil"/>
              <w:bottom w:val="single" w:color="auto" w:sz="4" w:space="0"/>
              <w:right w:val="single" w:color="auto" w:sz="4" w:space="0"/>
            </w:tcBorders>
            <w:noWrap/>
            <w:vAlign w:val="center"/>
          </w:tcPr>
          <w:p w14:paraId="564C3F88">
            <w:pPr>
              <w:spacing w:line="240" w:lineRule="auto"/>
              <w:ind w:firstLine="0" w:firstLineChars="0"/>
              <w:jc w:val="center"/>
              <w:rPr>
                <w:rFonts w:cs="Times New Roman"/>
                <w:sz w:val="21"/>
              </w:rPr>
            </w:pPr>
            <w:r>
              <w:rPr>
                <w:rFonts w:cs="Times New Roman"/>
                <w:sz w:val="21"/>
              </w:rPr>
              <w:t>0.00083</w:t>
            </w:r>
          </w:p>
        </w:tc>
        <w:tc>
          <w:tcPr>
            <w:tcW w:w="1124" w:type="pct"/>
            <w:tcBorders>
              <w:top w:val="nil"/>
              <w:left w:val="nil"/>
              <w:bottom w:val="single" w:color="auto" w:sz="4" w:space="0"/>
              <w:right w:val="single" w:color="auto" w:sz="12" w:space="0"/>
            </w:tcBorders>
            <w:noWrap/>
            <w:vAlign w:val="center"/>
          </w:tcPr>
          <w:p w14:paraId="1D90E3DD">
            <w:pPr>
              <w:spacing w:line="240" w:lineRule="auto"/>
              <w:ind w:firstLine="0" w:firstLineChars="0"/>
              <w:jc w:val="center"/>
              <w:rPr>
                <w:rFonts w:cs="Times New Roman"/>
                <w:sz w:val="21"/>
              </w:rPr>
            </w:pPr>
            <w:r>
              <w:rPr>
                <w:rFonts w:cs="Times New Roman"/>
                <w:sz w:val="21"/>
              </w:rPr>
              <w:t>0.00242</w:t>
            </w:r>
          </w:p>
        </w:tc>
      </w:tr>
      <w:tr w14:paraId="6CC028F2">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DDB4325">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728EE477">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5A175485">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06E15751">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577F04EA">
            <w:pPr>
              <w:spacing w:line="240" w:lineRule="auto"/>
              <w:ind w:firstLine="0" w:firstLineChars="0"/>
              <w:jc w:val="center"/>
              <w:rPr>
                <w:rFonts w:cs="Times New Roman"/>
                <w:sz w:val="21"/>
              </w:rPr>
            </w:pPr>
            <w:r>
              <w:rPr>
                <w:rFonts w:cs="Times New Roman"/>
                <w:sz w:val="21"/>
              </w:rPr>
              <w:t>0.00000</w:t>
            </w:r>
          </w:p>
        </w:tc>
      </w:tr>
      <w:tr w14:paraId="279DE616">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28ADF596">
            <w:pPr>
              <w:spacing w:line="240" w:lineRule="auto"/>
              <w:ind w:firstLine="0" w:firstLineChars="0"/>
              <w:jc w:val="center"/>
              <w:rPr>
                <w:rFonts w:cs="Times New Roman"/>
                <w:sz w:val="21"/>
              </w:rPr>
            </w:pPr>
            <w:r>
              <w:rPr>
                <w:rFonts w:cs="Times New Roman"/>
                <w:sz w:val="21"/>
              </w:rPr>
              <w:t>1000d</w:t>
            </w:r>
          </w:p>
        </w:tc>
      </w:tr>
      <w:tr w14:paraId="2199F4B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D7B0088">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563F7045">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0F40F0E2">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5AFF5EC1">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7F699C52">
            <w:pPr>
              <w:spacing w:line="240" w:lineRule="auto"/>
              <w:ind w:firstLine="0" w:firstLineChars="0"/>
              <w:jc w:val="center"/>
              <w:rPr>
                <w:rFonts w:cs="Times New Roman"/>
                <w:sz w:val="21"/>
              </w:rPr>
            </w:pPr>
            <w:r>
              <w:rPr>
                <w:rFonts w:cs="Times New Roman"/>
                <w:sz w:val="21"/>
              </w:rPr>
              <w:t>7.5</w:t>
            </w:r>
          </w:p>
        </w:tc>
      </w:tr>
      <w:tr w14:paraId="767B1226">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D6C4743">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235785A7">
            <w:pPr>
              <w:spacing w:line="240" w:lineRule="auto"/>
              <w:ind w:firstLine="0" w:firstLineChars="0"/>
              <w:jc w:val="center"/>
              <w:rPr>
                <w:rFonts w:cs="Times New Roman"/>
                <w:b/>
                <w:bCs/>
                <w:sz w:val="21"/>
              </w:rPr>
            </w:pPr>
            <w:r>
              <w:rPr>
                <w:rFonts w:cs="Times New Roman"/>
                <w:sz w:val="21"/>
              </w:rPr>
              <w:t>38.03</w:t>
            </w:r>
          </w:p>
        </w:tc>
        <w:tc>
          <w:tcPr>
            <w:tcW w:w="1123" w:type="pct"/>
            <w:tcBorders>
              <w:top w:val="nil"/>
              <w:left w:val="nil"/>
              <w:bottom w:val="single" w:color="auto" w:sz="4" w:space="0"/>
              <w:right w:val="single" w:color="auto" w:sz="4" w:space="0"/>
            </w:tcBorders>
            <w:noWrap/>
            <w:vAlign w:val="center"/>
          </w:tcPr>
          <w:p w14:paraId="00913B06">
            <w:pPr>
              <w:spacing w:line="240" w:lineRule="auto"/>
              <w:ind w:firstLine="0" w:firstLineChars="0"/>
              <w:jc w:val="center"/>
              <w:rPr>
                <w:rFonts w:cs="Times New Roman"/>
                <w:b/>
                <w:bCs/>
                <w:sz w:val="21"/>
              </w:rPr>
            </w:pPr>
            <w:r>
              <w:rPr>
                <w:rFonts w:cs="Times New Roman"/>
                <w:sz w:val="21"/>
              </w:rPr>
              <w:t>40.2</w:t>
            </w:r>
          </w:p>
        </w:tc>
        <w:tc>
          <w:tcPr>
            <w:tcW w:w="1123" w:type="pct"/>
            <w:tcBorders>
              <w:top w:val="nil"/>
              <w:left w:val="nil"/>
              <w:bottom w:val="single" w:color="auto" w:sz="4" w:space="0"/>
              <w:right w:val="single" w:color="auto" w:sz="4" w:space="0"/>
            </w:tcBorders>
            <w:noWrap/>
            <w:vAlign w:val="center"/>
          </w:tcPr>
          <w:p w14:paraId="2DF693FC">
            <w:pPr>
              <w:spacing w:line="240" w:lineRule="auto"/>
              <w:ind w:firstLine="0" w:firstLineChars="0"/>
              <w:jc w:val="center"/>
              <w:rPr>
                <w:rFonts w:cs="Times New Roman"/>
                <w:b/>
                <w:bCs/>
                <w:sz w:val="21"/>
              </w:rPr>
            </w:pPr>
            <w:r>
              <w:rPr>
                <w:rFonts w:cs="Times New Roman"/>
                <w:sz w:val="21"/>
              </w:rPr>
              <w:t>40.71</w:t>
            </w:r>
          </w:p>
        </w:tc>
        <w:tc>
          <w:tcPr>
            <w:tcW w:w="1124" w:type="pct"/>
            <w:tcBorders>
              <w:top w:val="nil"/>
              <w:left w:val="nil"/>
              <w:bottom w:val="single" w:color="auto" w:sz="4" w:space="0"/>
              <w:right w:val="single" w:color="auto" w:sz="12" w:space="0"/>
            </w:tcBorders>
            <w:noWrap/>
            <w:vAlign w:val="center"/>
          </w:tcPr>
          <w:p w14:paraId="1BD7328D">
            <w:pPr>
              <w:spacing w:line="240" w:lineRule="auto"/>
              <w:ind w:firstLine="0" w:firstLineChars="0"/>
              <w:jc w:val="center"/>
              <w:rPr>
                <w:rFonts w:cs="Times New Roman"/>
                <w:sz w:val="21"/>
              </w:rPr>
            </w:pPr>
            <w:r>
              <w:rPr>
                <w:rFonts w:cs="Times New Roman"/>
                <w:sz w:val="21"/>
              </w:rPr>
              <w:t>40.35</w:t>
            </w:r>
          </w:p>
        </w:tc>
      </w:tr>
      <w:tr w14:paraId="5E4CDCA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6500BF8">
            <w:pPr>
              <w:spacing w:line="240" w:lineRule="auto"/>
              <w:ind w:firstLine="0" w:firstLineChars="0"/>
              <w:jc w:val="center"/>
              <w:rPr>
                <w:rFonts w:cs="Times New Roman"/>
                <w:sz w:val="21"/>
              </w:rPr>
            </w:pPr>
            <w:r>
              <w:rPr>
                <w:rFonts w:cs="Times New Roman"/>
                <w:sz w:val="21"/>
              </w:rPr>
              <w:t>15</w:t>
            </w:r>
          </w:p>
        </w:tc>
        <w:tc>
          <w:tcPr>
            <w:tcW w:w="1124" w:type="pct"/>
            <w:tcBorders>
              <w:top w:val="nil"/>
              <w:left w:val="nil"/>
              <w:bottom w:val="single" w:color="auto" w:sz="4" w:space="0"/>
              <w:right w:val="single" w:color="auto" w:sz="4" w:space="0"/>
            </w:tcBorders>
            <w:noWrap/>
            <w:vAlign w:val="center"/>
          </w:tcPr>
          <w:p w14:paraId="32E95392">
            <w:pPr>
              <w:spacing w:line="240" w:lineRule="auto"/>
              <w:ind w:firstLine="0" w:firstLineChars="0"/>
              <w:jc w:val="center"/>
              <w:rPr>
                <w:rFonts w:cs="Times New Roman"/>
                <w:b/>
                <w:bCs/>
                <w:sz w:val="21"/>
              </w:rPr>
            </w:pPr>
            <w:r>
              <w:rPr>
                <w:rFonts w:cs="Times New Roman"/>
                <w:sz w:val="21"/>
              </w:rPr>
              <w:t>58.7</w:t>
            </w:r>
          </w:p>
        </w:tc>
        <w:tc>
          <w:tcPr>
            <w:tcW w:w="1123" w:type="pct"/>
            <w:tcBorders>
              <w:top w:val="nil"/>
              <w:left w:val="nil"/>
              <w:bottom w:val="single" w:color="auto" w:sz="4" w:space="0"/>
              <w:right w:val="single" w:color="auto" w:sz="4" w:space="0"/>
            </w:tcBorders>
            <w:noWrap/>
            <w:vAlign w:val="center"/>
          </w:tcPr>
          <w:p w14:paraId="6CC607BC">
            <w:pPr>
              <w:spacing w:line="240" w:lineRule="auto"/>
              <w:ind w:firstLine="0" w:firstLineChars="0"/>
              <w:jc w:val="center"/>
              <w:rPr>
                <w:rFonts w:cs="Times New Roman"/>
                <w:b/>
                <w:bCs/>
                <w:sz w:val="21"/>
              </w:rPr>
            </w:pPr>
            <w:r>
              <w:rPr>
                <w:rFonts w:cs="Times New Roman"/>
                <w:sz w:val="21"/>
              </w:rPr>
              <w:t>68.75</w:t>
            </w:r>
          </w:p>
        </w:tc>
        <w:tc>
          <w:tcPr>
            <w:tcW w:w="1123" w:type="pct"/>
            <w:tcBorders>
              <w:top w:val="nil"/>
              <w:left w:val="nil"/>
              <w:bottom w:val="single" w:color="auto" w:sz="4" w:space="0"/>
              <w:right w:val="single" w:color="auto" w:sz="4" w:space="0"/>
            </w:tcBorders>
            <w:noWrap/>
            <w:vAlign w:val="center"/>
          </w:tcPr>
          <w:p w14:paraId="6E2A6353">
            <w:pPr>
              <w:spacing w:line="240" w:lineRule="auto"/>
              <w:ind w:firstLine="0" w:firstLineChars="0"/>
              <w:jc w:val="center"/>
              <w:rPr>
                <w:rFonts w:cs="Times New Roman"/>
                <w:b/>
                <w:bCs/>
                <w:sz w:val="21"/>
              </w:rPr>
            </w:pPr>
            <w:r>
              <w:rPr>
                <w:rFonts w:cs="Times New Roman"/>
                <w:sz w:val="21"/>
              </w:rPr>
              <w:t>74.65</w:t>
            </w:r>
          </w:p>
        </w:tc>
        <w:tc>
          <w:tcPr>
            <w:tcW w:w="1124" w:type="pct"/>
            <w:tcBorders>
              <w:top w:val="nil"/>
              <w:left w:val="nil"/>
              <w:bottom w:val="single" w:color="auto" w:sz="4" w:space="0"/>
              <w:right w:val="single" w:color="auto" w:sz="12" w:space="0"/>
            </w:tcBorders>
            <w:noWrap/>
            <w:vAlign w:val="center"/>
          </w:tcPr>
          <w:p w14:paraId="535D2927">
            <w:pPr>
              <w:spacing w:line="240" w:lineRule="auto"/>
              <w:ind w:firstLine="0" w:firstLineChars="0"/>
              <w:jc w:val="center"/>
              <w:rPr>
                <w:rFonts w:cs="Times New Roman"/>
                <w:b/>
                <w:bCs/>
                <w:sz w:val="21"/>
              </w:rPr>
            </w:pPr>
            <w:r>
              <w:rPr>
                <w:rFonts w:cs="Times New Roman"/>
                <w:sz w:val="21"/>
              </w:rPr>
              <w:t>80.64</w:t>
            </w:r>
          </w:p>
        </w:tc>
      </w:tr>
      <w:tr w14:paraId="76234A7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C76ED59">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310E14FD">
            <w:pPr>
              <w:spacing w:line="240" w:lineRule="auto"/>
              <w:ind w:firstLine="0" w:firstLineChars="0"/>
              <w:jc w:val="center"/>
              <w:rPr>
                <w:rFonts w:cs="Times New Roman"/>
                <w:sz w:val="21"/>
              </w:rPr>
            </w:pPr>
            <w:r>
              <w:rPr>
                <w:rFonts w:cs="Times New Roman"/>
                <w:sz w:val="21"/>
              </w:rPr>
              <w:t>58.97</w:t>
            </w:r>
          </w:p>
        </w:tc>
        <w:tc>
          <w:tcPr>
            <w:tcW w:w="1123" w:type="pct"/>
            <w:tcBorders>
              <w:top w:val="nil"/>
              <w:left w:val="nil"/>
              <w:bottom w:val="single" w:color="auto" w:sz="4" w:space="0"/>
              <w:right w:val="single" w:color="auto" w:sz="4" w:space="0"/>
            </w:tcBorders>
            <w:noWrap/>
            <w:vAlign w:val="center"/>
          </w:tcPr>
          <w:p w14:paraId="78A542A3">
            <w:pPr>
              <w:spacing w:line="240" w:lineRule="auto"/>
              <w:ind w:firstLine="0" w:firstLineChars="0"/>
              <w:jc w:val="center"/>
              <w:rPr>
                <w:rFonts w:cs="Times New Roman"/>
                <w:b/>
                <w:bCs/>
                <w:sz w:val="21"/>
              </w:rPr>
            </w:pPr>
            <w:r>
              <w:rPr>
                <w:rFonts w:cs="Times New Roman"/>
                <w:sz w:val="21"/>
              </w:rPr>
              <w:t>76.55</w:t>
            </w:r>
          </w:p>
        </w:tc>
        <w:tc>
          <w:tcPr>
            <w:tcW w:w="1123" w:type="pct"/>
            <w:tcBorders>
              <w:top w:val="nil"/>
              <w:left w:val="nil"/>
              <w:bottom w:val="single" w:color="auto" w:sz="4" w:space="0"/>
              <w:right w:val="single" w:color="auto" w:sz="4" w:space="0"/>
            </w:tcBorders>
            <w:noWrap/>
            <w:vAlign w:val="center"/>
          </w:tcPr>
          <w:p w14:paraId="13DF3E5F">
            <w:pPr>
              <w:spacing w:line="240" w:lineRule="auto"/>
              <w:ind w:firstLine="0" w:firstLineChars="0"/>
              <w:jc w:val="center"/>
              <w:rPr>
                <w:rFonts w:cs="Times New Roman"/>
                <w:sz w:val="21"/>
              </w:rPr>
            </w:pPr>
            <w:r>
              <w:rPr>
                <w:rFonts w:hint="eastAsia" w:cs="Times New Roman"/>
                <w:sz w:val="21"/>
              </w:rPr>
              <w:t>8</w:t>
            </w:r>
            <w:r>
              <w:rPr>
                <w:rFonts w:cs="Times New Roman"/>
                <w:sz w:val="21"/>
              </w:rPr>
              <w:t>9.0</w:t>
            </w:r>
          </w:p>
        </w:tc>
        <w:tc>
          <w:tcPr>
            <w:tcW w:w="1124" w:type="pct"/>
            <w:tcBorders>
              <w:top w:val="nil"/>
              <w:left w:val="nil"/>
              <w:bottom w:val="single" w:color="auto" w:sz="4" w:space="0"/>
              <w:right w:val="single" w:color="auto" w:sz="12" w:space="0"/>
            </w:tcBorders>
            <w:noWrap/>
            <w:vAlign w:val="center"/>
          </w:tcPr>
          <w:p w14:paraId="503509E8">
            <w:pPr>
              <w:spacing w:line="240" w:lineRule="auto"/>
              <w:ind w:firstLine="0" w:firstLineChars="0"/>
              <w:jc w:val="center"/>
              <w:rPr>
                <w:rFonts w:cs="Times New Roman"/>
                <w:b/>
                <w:bCs/>
                <w:sz w:val="21"/>
              </w:rPr>
            </w:pPr>
            <w:r>
              <w:rPr>
                <w:rFonts w:cs="Times New Roman"/>
                <w:sz w:val="21"/>
              </w:rPr>
              <w:t>104.81</w:t>
            </w:r>
          </w:p>
        </w:tc>
      </w:tr>
      <w:tr w14:paraId="4BD7D1CA">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1414F84">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59D0250D">
            <w:pPr>
              <w:spacing w:line="240" w:lineRule="auto"/>
              <w:ind w:firstLine="0" w:firstLineChars="0"/>
              <w:jc w:val="center"/>
              <w:rPr>
                <w:rFonts w:cs="Times New Roman"/>
                <w:sz w:val="21"/>
              </w:rPr>
            </w:pPr>
            <w:r>
              <w:rPr>
                <w:rFonts w:cs="Times New Roman"/>
                <w:sz w:val="21"/>
              </w:rPr>
              <w:t>30.4</w:t>
            </w:r>
          </w:p>
        </w:tc>
        <w:tc>
          <w:tcPr>
            <w:tcW w:w="1123" w:type="pct"/>
            <w:tcBorders>
              <w:top w:val="nil"/>
              <w:left w:val="nil"/>
              <w:bottom w:val="single" w:color="auto" w:sz="4" w:space="0"/>
              <w:right w:val="single" w:color="auto" w:sz="4" w:space="0"/>
            </w:tcBorders>
            <w:noWrap/>
            <w:vAlign w:val="center"/>
          </w:tcPr>
          <w:p w14:paraId="3C716B43">
            <w:pPr>
              <w:spacing w:line="240" w:lineRule="auto"/>
              <w:ind w:firstLine="0" w:firstLineChars="0"/>
              <w:jc w:val="center"/>
              <w:rPr>
                <w:rFonts w:cs="Times New Roman"/>
                <w:sz w:val="21"/>
              </w:rPr>
            </w:pPr>
            <w:r>
              <w:rPr>
                <w:rFonts w:cs="Times New Roman"/>
                <w:sz w:val="21"/>
              </w:rPr>
              <w:t>45.2</w:t>
            </w:r>
          </w:p>
        </w:tc>
        <w:tc>
          <w:tcPr>
            <w:tcW w:w="1123" w:type="pct"/>
            <w:tcBorders>
              <w:top w:val="nil"/>
              <w:left w:val="nil"/>
              <w:bottom w:val="single" w:color="auto" w:sz="4" w:space="0"/>
              <w:right w:val="single" w:color="auto" w:sz="4" w:space="0"/>
            </w:tcBorders>
            <w:noWrap/>
            <w:vAlign w:val="center"/>
          </w:tcPr>
          <w:p w14:paraId="251F779D">
            <w:pPr>
              <w:spacing w:line="240" w:lineRule="auto"/>
              <w:ind w:firstLine="0" w:firstLineChars="0"/>
              <w:jc w:val="center"/>
              <w:rPr>
                <w:rFonts w:cs="Times New Roman"/>
                <w:sz w:val="21"/>
              </w:rPr>
            </w:pPr>
            <w:r>
              <w:rPr>
                <w:rFonts w:cs="Times New Roman"/>
                <w:sz w:val="21"/>
              </w:rPr>
              <w:t>57.7</w:t>
            </w:r>
          </w:p>
        </w:tc>
        <w:tc>
          <w:tcPr>
            <w:tcW w:w="1124" w:type="pct"/>
            <w:tcBorders>
              <w:top w:val="nil"/>
              <w:left w:val="nil"/>
              <w:bottom w:val="single" w:color="auto" w:sz="4" w:space="0"/>
              <w:right w:val="single" w:color="auto" w:sz="12" w:space="0"/>
            </w:tcBorders>
            <w:noWrap/>
            <w:vAlign w:val="center"/>
          </w:tcPr>
          <w:p w14:paraId="00DFA23D">
            <w:pPr>
              <w:spacing w:line="240" w:lineRule="auto"/>
              <w:ind w:firstLine="0" w:firstLineChars="0"/>
              <w:jc w:val="center"/>
              <w:rPr>
                <w:rFonts w:cs="Times New Roman"/>
                <w:sz w:val="21"/>
              </w:rPr>
            </w:pPr>
            <w:r>
              <w:rPr>
                <w:rFonts w:cs="Times New Roman"/>
                <w:sz w:val="21"/>
              </w:rPr>
              <w:t>76.1</w:t>
            </w:r>
          </w:p>
        </w:tc>
      </w:tr>
      <w:tr w14:paraId="284D43F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C72C4DE">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7F25B023">
            <w:pPr>
              <w:spacing w:line="240" w:lineRule="auto"/>
              <w:ind w:firstLine="0" w:firstLineChars="0"/>
              <w:jc w:val="center"/>
              <w:rPr>
                <w:rFonts w:cs="Times New Roman"/>
                <w:sz w:val="21"/>
              </w:rPr>
            </w:pPr>
            <w:r>
              <w:rPr>
                <w:rFonts w:cs="Times New Roman"/>
                <w:sz w:val="21"/>
              </w:rPr>
              <w:t>0.204</w:t>
            </w:r>
          </w:p>
        </w:tc>
        <w:tc>
          <w:tcPr>
            <w:tcW w:w="1123" w:type="pct"/>
            <w:tcBorders>
              <w:top w:val="nil"/>
              <w:left w:val="nil"/>
              <w:bottom w:val="single" w:color="auto" w:sz="4" w:space="0"/>
              <w:right w:val="single" w:color="auto" w:sz="4" w:space="0"/>
            </w:tcBorders>
            <w:noWrap/>
            <w:vAlign w:val="center"/>
          </w:tcPr>
          <w:p w14:paraId="5E7E5F05">
            <w:pPr>
              <w:spacing w:line="240" w:lineRule="auto"/>
              <w:ind w:firstLine="0" w:firstLineChars="0"/>
              <w:jc w:val="center"/>
              <w:rPr>
                <w:rFonts w:cs="Times New Roman"/>
                <w:sz w:val="21"/>
              </w:rPr>
            </w:pPr>
            <w:r>
              <w:rPr>
                <w:rFonts w:cs="Times New Roman"/>
                <w:sz w:val="21"/>
              </w:rPr>
              <w:t>0.428</w:t>
            </w:r>
          </w:p>
        </w:tc>
        <w:tc>
          <w:tcPr>
            <w:tcW w:w="1123" w:type="pct"/>
            <w:tcBorders>
              <w:top w:val="nil"/>
              <w:left w:val="nil"/>
              <w:bottom w:val="single" w:color="auto" w:sz="4" w:space="0"/>
              <w:right w:val="single" w:color="auto" w:sz="4" w:space="0"/>
            </w:tcBorders>
            <w:noWrap/>
            <w:vAlign w:val="center"/>
          </w:tcPr>
          <w:p w14:paraId="686E3C97">
            <w:pPr>
              <w:spacing w:line="240" w:lineRule="auto"/>
              <w:ind w:firstLine="0" w:firstLineChars="0"/>
              <w:jc w:val="center"/>
              <w:rPr>
                <w:rFonts w:cs="Times New Roman"/>
                <w:sz w:val="21"/>
              </w:rPr>
            </w:pPr>
            <w:r>
              <w:rPr>
                <w:rFonts w:cs="Times New Roman"/>
                <w:sz w:val="21"/>
              </w:rPr>
              <w:t>0.687</w:t>
            </w:r>
          </w:p>
        </w:tc>
        <w:tc>
          <w:tcPr>
            <w:tcW w:w="1124" w:type="pct"/>
            <w:tcBorders>
              <w:top w:val="nil"/>
              <w:left w:val="nil"/>
              <w:bottom w:val="single" w:color="auto" w:sz="4" w:space="0"/>
              <w:right w:val="single" w:color="auto" w:sz="12" w:space="0"/>
            </w:tcBorders>
            <w:noWrap/>
            <w:vAlign w:val="center"/>
          </w:tcPr>
          <w:p w14:paraId="4804B406">
            <w:pPr>
              <w:spacing w:line="240" w:lineRule="auto"/>
              <w:ind w:firstLine="0" w:firstLineChars="0"/>
              <w:jc w:val="center"/>
              <w:rPr>
                <w:rFonts w:cs="Times New Roman"/>
                <w:sz w:val="21"/>
              </w:rPr>
            </w:pPr>
            <w:r>
              <w:rPr>
                <w:rFonts w:cs="Times New Roman"/>
                <w:sz w:val="21"/>
              </w:rPr>
              <w:t>1.21</w:t>
            </w:r>
          </w:p>
        </w:tc>
      </w:tr>
      <w:tr w14:paraId="2C4FE9C4">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145D5E6">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44D64175">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6B792920">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609B3FF6">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24D55245">
            <w:pPr>
              <w:spacing w:line="240" w:lineRule="auto"/>
              <w:ind w:firstLine="0" w:firstLineChars="0"/>
              <w:jc w:val="center"/>
              <w:rPr>
                <w:rFonts w:cs="Times New Roman"/>
                <w:sz w:val="21"/>
              </w:rPr>
            </w:pPr>
            <w:r>
              <w:rPr>
                <w:rFonts w:cs="Times New Roman"/>
                <w:sz w:val="21"/>
              </w:rPr>
              <w:t>0.00000</w:t>
            </w:r>
          </w:p>
        </w:tc>
      </w:tr>
      <w:tr w14:paraId="31A1192B">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0B250DC7">
            <w:pPr>
              <w:spacing w:line="240" w:lineRule="auto"/>
              <w:ind w:firstLine="0" w:firstLineChars="0"/>
              <w:jc w:val="center"/>
              <w:rPr>
                <w:rFonts w:cs="Times New Roman"/>
                <w:sz w:val="21"/>
              </w:rPr>
            </w:pPr>
            <w:r>
              <w:rPr>
                <w:rFonts w:cs="Times New Roman"/>
                <w:sz w:val="21"/>
              </w:rPr>
              <w:t>3650d</w:t>
            </w:r>
          </w:p>
        </w:tc>
      </w:tr>
      <w:tr w14:paraId="54F09D3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673636B">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5B75FCA9">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50BFCD85">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5DFDAC15">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0FEDBC1A">
            <w:pPr>
              <w:spacing w:line="240" w:lineRule="auto"/>
              <w:ind w:firstLine="0" w:firstLineChars="0"/>
              <w:jc w:val="center"/>
              <w:rPr>
                <w:rFonts w:cs="Times New Roman"/>
                <w:sz w:val="21"/>
              </w:rPr>
            </w:pPr>
            <w:r>
              <w:rPr>
                <w:rFonts w:cs="Times New Roman"/>
                <w:sz w:val="21"/>
              </w:rPr>
              <w:t>7.5</w:t>
            </w:r>
          </w:p>
        </w:tc>
      </w:tr>
      <w:tr w14:paraId="4F47812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39C4838">
            <w:pPr>
              <w:spacing w:line="240" w:lineRule="auto"/>
              <w:ind w:firstLine="0" w:firstLineChars="0"/>
              <w:jc w:val="center"/>
              <w:rPr>
                <w:rFonts w:cs="Times New Roman"/>
                <w:sz w:val="21"/>
              </w:rPr>
            </w:pPr>
            <w:r>
              <w:rPr>
                <w:rFonts w:cs="Times New Roman"/>
                <w:sz w:val="21"/>
              </w:rPr>
              <w:t>0</w:t>
            </w:r>
          </w:p>
        </w:tc>
        <w:tc>
          <w:tcPr>
            <w:tcW w:w="1124" w:type="pct"/>
            <w:tcBorders>
              <w:top w:val="single" w:color="auto" w:sz="4" w:space="0"/>
              <w:left w:val="nil"/>
              <w:bottom w:val="single" w:color="auto" w:sz="4" w:space="0"/>
              <w:right w:val="single" w:color="auto" w:sz="4" w:space="0"/>
            </w:tcBorders>
            <w:noWrap/>
            <w:vAlign w:val="center"/>
          </w:tcPr>
          <w:p w14:paraId="10A664F9">
            <w:pPr>
              <w:spacing w:line="240" w:lineRule="auto"/>
              <w:ind w:firstLine="0" w:firstLineChars="0"/>
              <w:jc w:val="center"/>
              <w:rPr>
                <w:rFonts w:cs="Times New Roman"/>
                <w:sz w:val="21"/>
              </w:rPr>
            </w:pPr>
            <w:r>
              <w:rPr>
                <w:rFonts w:cs="Times New Roman"/>
                <w:sz w:val="21"/>
              </w:rPr>
              <w:t>0.03734</w:t>
            </w:r>
          </w:p>
        </w:tc>
        <w:tc>
          <w:tcPr>
            <w:tcW w:w="1123" w:type="pct"/>
            <w:tcBorders>
              <w:top w:val="single" w:color="auto" w:sz="4" w:space="0"/>
              <w:left w:val="nil"/>
              <w:bottom w:val="single" w:color="auto" w:sz="4" w:space="0"/>
              <w:right w:val="single" w:color="auto" w:sz="4" w:space="0"/>
            </w:tcBorders>
            <w:noWrap/>
            <w:vAlign w:val="center"/>
          </w:tcPr>
          <w:p w14:paraId="51172DC6">
            <w:pPr>
              <w:spacing w:line="240" w:lineRule="auto"/>
              <w:ind w:firstLine="0" w:firstLineChars="0"/>
              <w:jc w:val="center"/>
              <w:rPr>
                <w:rFonts w:cs="Times New Roman"/>
                <w:sz w:val="21"/>
              </w:rPr>
            </w:pPr>
            <w:r>
              <w:rPr>
                <w:rFonts w:cs="Times New Roman"/>
                <w:sz w:val="21"/>
              </w:rPr>
              <w:t>0.04003</w:t>
            </w:r>
          </w:p>
        </w:tc>
        <w:tc>
          <w:tcPr>
            <w:tcW w:w="1123" w:type="pct"/>
            <w:tcBorders>
              <w:top w:val="single" w:color="auto" w:sz="4" w:space="0"/>
              <w:left w:val="nil"/>
              <w:bottom w:val="single" w:color="auto" w:sz="4" w:space="0"/>
              <w:right w:val="single" w:color="auto" w:sz="4" w:space="0"/>
            </w:tcBorders>
            <w:noWrap/>
            <w:vAlign w:val="center"/>
          </w:tcPr>
          <w:p w14:paraId="2FA9A3A2">
            <w:pPr>
              <w:spacing w:line="240" w:lineRule="auto"/>
              <w:ind w:firstLine="0" w:firstLineChars="0"/>
              <w:jc w:val="center"/>
              <w:rPr>
                <w:rFonts w:cs="Times New Roman"/>
                <w:sz w:val="21"/>
              </w:rPr>
            </w:pPr>
            <w:r>
              <w:rPr>
                <w:rFonts w:cs="Times New Roman"/>
                <w:sz w:val="21"/>
              </w:rPr>
              <w:t>0.04166</w:t>
            </w:r>
          </w:p>
        </w:tc>
        <w:tc>
          <w:tcPr>
            <w:tcW w:w="1124" w:type="pct"/>
            <w:tcBorders>
              <w:top w:val="single" w:color="auto" w:sz="4" w:space="0"/>
              <w:left w:val="nil"/>
              <w:bottom w:val="single" w:color="auto" w:sz="4" w:space="0"/>
              <w:right w:val="single" w:color="auto" w:sz="12" w:space="0"/>
            </w:tcBorders>
            <w:noWrap/>
            <w:vAlign w:val="center"/>
          </w:tcPr>
          <w:p w14:paraId="2AEA2DCA">
            <w:pPr>
              <w:spacing w:line="240" w:lineRule="auto"/>
              <w:ind w:firstLine="0" w:firstLineChars="0"/>
              <w:jc w:val="center"/>
              <w:rPr>
                <w:rFonts w:cs="Times New Roman"/>
                <w:sz w:val="21"/>
              </w:rPr>
            </w:pPr>
            <w:r>
              <w:rPr>
                <w:rFonts w:cs="Times New Roman"/>
                <w:sz w:val="21"/>
              </w:rPr>
              <w:t>0.04349</w:t>
            </w:r>
          </w:p>
        </w:tc>
      </w:tr>
      <w:tr w14:paraId="7C6B5A6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C6B8A8B">
            <w:pPr>
              <w:spacing w:line="240" w:lineRule="auto"/>
              <w:ind w:firstLine="0" w:firstLineChars="0"/>
              <w:jc w:val="center"/>
              <w:rPr>
                <w:rFonts w:cs="Times New Roman"/>
                <w:sz w:val="21"/>
              </w:rPr>
            </w:pPr>
            <w:r>
              <w:rPr>
                <w:rFonts w:cs="Times New Roman"/>
                <w:sz w:val="21"/>
              </w:rPr>
              <w:t>15</w:t>
            </w:r>
          </w:p>
        </w:tc>
        <w:tc>
          <w:tcPr>
            <w:tcW w:w="1124" w:type="pct"/>
            <w:tcBorders>
              <w:top w:val="single" w:color="auto" w:sz="4" w:space="0"/>
              <w:left w:val="nil"/>
              <w:bottom w:val="single" w:color="auto" w:sz="4" w:space="0"/>
              <w:right w:val="single" w:color="auto" w:sz="4" w:space="0"/>
            </w:tcBorders>
            <w:noWrap/>
            <w:vAlign w:val="center"/>
          </w:tcPr>
          <w:p w14:paraId="2CEBC05F">
            <w:pPr>
              <w:spacing w:line="240" w:lineRule="auto"/>
              <w:ind w:firstLine="0" w:firstLineChars="0"/>
              <w:jc w:val="center"/>
              <w:rPr>
                <w:rFonts w:cs="Times New Roman"/>
                <w:sz w:val="21"/>
              </w:rPr>
            </w:pPr>
            <w:r>
              <w:rPr>
                <w:rFonts w:cs="Times New Roman"/>
                <w:sz w:val="21"/>
              </w:rPr>
              <w:t>0.06741</w:t>
            </w:r>
          </w:p>
        </w:tc>
        <w:tc>
          <w:tcPr>
            <w:tcW w:w="1123" w:type="pct"/>
            <w:tcBorders>
              <w:top w:val="single" w:color="auto" w:sz="4" w:space="0"/>
              <w:left w:val="nil"/>
              <w:bottom w:val="single" w:color="auto" w:sz="4" w:space="0"/>
              <w:right w:val="single" w:color="auto" w:sz="4" w:space="0"/>
            </w:tcBorders>
            <w:noWrap/>
            <w:vAlign w:val="center"/>
          </w:tcPr>
          <w:p w14:paraId="52D98D79">
            <w:pPr>
              <w:spacing w:line="240" w:lineRule="auto"/>
              <w:ind w:firstLine="0" w:firstLineChars="0"/>
              <w:jc w:val="center"/>
              <w:rPr>
                <w:rFonts w:cs="Times New Roman"/>
                <w:sz w:val="21"/>
              </w:rPr>
            </w:pPr>
            <w:r>
              <w:rPr>
                <w:rFonts w:cs="Times New Roman"/>
                <w:sz w:val="21"/>
              </w:rPr>
              <w:t>0.07432</w:t>
            </w:r>
          </w:p>
        </w:tc>
        <w:tc>
          <w:tcPr>
            <w:tcW w:w="1123" w:type="pct"/>
            <w:tcBorders>
              <w:top w:val="single" w:color="auto" w:sz="4" w:space="0"/>
              <w:left w:val="nil"/>
              <w:bottom w:val="single" w:color="auto" w:sz="4" w:space="0"/>
              <w:right w:val="single" w:color="auto" w:sz="4" w:space="0"/>
            </w:tcBorders>
            <w:noWrap/>
            <w:vAlign w:val="center"/>
          </w:tcPr>
          <w:p w14:paraId="67BB4AFD">
            <w:pPr>
              <w:spacing w:line="240" w:lineRule="auto"/>
              <w:ind w:firstLine="0" w:firstLineChars="0"/>
              <w:jc w:val="center"/>
              <w:rPr>
                <w:rFonts w:cs="Times New Roman"/>
                <w:sz w:val="21"/>
              </w:rPr>
            </w:pPr>
            <w:r>
              <w:rPr>
                <w:rFonts w:cs="Times New Roman"/>
                <w:sz w:val="21"/>
              </w:rPr>
              <w:t>0.07883</w:t>
            </w:r>
          </w:p>
        </w:tc>
        <w:tc>
          <w:tcPr>
            <w:tcW w:w="1124" w:type="pct"/>
            <w:tcBorders>
              <w:top w:val="single" w:color="auto" w:sz="4" w:space="0"/>
              <w:left w:val="nil"/>
              <w:bottom w:val="single" w:color="auto" w:sz="4" w:space="0"/>
              <w:right w:val="single" w:color="auto" w:sz="12" w:space="0"/>
            </w:tcBorders>
            <w:noWrap/>
            <w:vAlign w:val="center"/>
          </w:tcPr>
          <w:p w14:paraId="6578966E">
            <w:pPr>
              <w:spacing w:line="240" w:lineRule="auto"/>
              <w:ind w:firstLine="0" w:firstLineChars="0"/>
              <w:jc w:val="center"/>
              <w:rPr>
                <w:rFonts w:cs="Times New Roman"/>
                <w:sz w:val="21"/>
              </w:rPr>
            </w:pPr>
            <w:r>
              <w:rPr>
                <w:rFonts w:cs="Times New Roman"/>
                <w:sz w:val="21"/>
              </w:rPr>
              <w:t>0.08425</w:t>
            </w:r>
          </w:p>
        </w:tc>
      </w:tr>
      <w:tr w14:paraId="3EFB53B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A08110C">
            <w:pPr>
              <w:spacing w:line="240" w:lineRule="auto"/>
              <w:ind w:firstLine="0" w:firstLineChars="0"/>
              <w:jc w:val="center"/>
              <w:rPr>
                <w:rFonts w:cs="Times New Roman"/>
                <w:sz w:val="21"/>
              </w:rPr>
            </w:pPr>
            <w:r>
              <w:rPr>
                <w:rFonts w:cs="Times New Roman"/>
                <w:sz w:val="21"/>
              </w:rPr>
              <w:t>30</w:t>
            </w:r>
          </w:p>
        </w:tc>
        <w:tc>
          <w:tcPr>
            <w:tcW w:w="1124" w:type="pct"/>
            <w:tcBorders>
              <w:top w:val="single" w:color="auto" w:sz="4" w:space="0"/>
              <w:left w:val="nil"/>
              <w:bottom w:val="single" w:color="auto" w:sz="4" w:space="0"/>
              <w:right w:val="single" w:color="auto" w:sz="4" w:space="0"/>
            </w:tcBorders>
            <w:noWrap/>
            <w:vAlign w:val="center"/>
          </w:tcPr>
          <w:p w14:paraId="364173BC">
            <w:pPr>
              <w:spacing w:line="240" w:lineRule="auto"/>
              <w:ind w:firstLine="0" w:firstLineChars="0"/>
              <w:jc w:val="center"/>
              <w:rPr>
                <w:rFonts w:cs="Times New Roman"/>
                <w:sz w:val="21"/>
              </w:rPr>
            </w:pPr>
            <w:r>
              <w:rPr>
                <w:rFonts w:cs="Times New Roman"/>
                <w:sz w:val="21"/>
              </w:rPr>
              <w:t>0.10815</w:t>
            </w:r>
          </w:p>
        </w:tc>
        <w:tc>
          <w:tcPr>
            <w:tcW w:w="1123" w:type="pct"/>
            <w:tcBorders>
              <w:top w:val="single" w:color="auto" w:sz="4" w:space="0"/>
              <w:left w:val="nil"/>
              <w:bottom w:val="single" w:color="auto" w:sz="4" w:space="0"/>
              <w:right w:val="single" w:color="auto" w:sz="4" w:space="0"/>
            </w:tcBorders>
            <w:noWrap/>
            <w:vAlign w:val="center"/>
          </w:tcPr>
          <w:p w14:paraId="18AA3792">
            <w:pPr>
              <w:spacing w:line="240" w:lineRule="auto"/>
              <w:ind w:firstLine="0" w:firstLineChars="0"/>
              <w:jc w:val="center"/>
              <w:rPr>
                <w:rFonts w:cs="Times New Roman"/>
                <w:sz w:val="21"/>
              </w:rPr>
            </w:pPr>
            <w:r>
              <w:rPr>
                <w:rFonts w:cs="Times New Roman"/>
                <w:sz w:val="21"/>
              </w:rPr>
              <w:t>0.12266</w:t>
            </w:r>
          </w:p>
        </w:tc>
        <w:tc>
          <w:tcPr>
            <w:tcW w:w="1123" w:type="pct"/>
            <w:tcBorders>
              <w:top w:val="single" w:color="auto" w:sz="4" w:space="0"/>
              <w:left w:val="nil"/>
              <w:bottom w:val="single" w:color="auto" w:sz="4" w:space="0"/>
              <w:right w:val="single" w:color="auto" w:sz="4" w:space="0"/>
            </w:tcBorders>
            <w:noWrap/>
            <w:vAlign w:val="center"/>
          </w:tcPr>
          <w:p w14:paraId="790EA7E0">
            <w:pPr>
              <w:spacing w:line="240" w:lineRule="auto"/>
              <w:ind w:firstLine="0" w:firstLineChars="0"/>
              <w:jc w:val="center"/>
              <w:rPr>
                <w:rFonts w:cs="Times New Roman"/>
                <w:sz w:val="21"/>
              </w:rPr>
            </w:pPr>
            <w:r>
              <w:rPr>
                <w:rFonts w:cs="Times New Roman"/>
                <w:sz w:val="21"/>
              </w:rPr>
              <w:t>0.13257</w:t>
            </w:r>
          </w:p>
        </w:tc>
        <w:tc>
          <w:tcPr>
            <w:tcW w:w="1124" w:type="pct"/>
            <w:tcBorders>
              <w:top w:val="single" w:color="auto" w:sz="4" w:space="0"/>
              <w:left w:val="nil"/>
              <w:bottom w:val="single" w:color="auto" w:sz="4" w:space="0"/>
              <w:right w:val="single" w:color="auto" w:sz="12" w:space="0"/>
            </w:tcBorders>
            <w:noWrap/>
            <w:vAlign w:val="center"/>
          </w:tcPr>
          <w:p w14:paraId="3BDB51F3">
            <w:pPr>
              <w:spacing w:line="240" w:lineRule="auto"/>
              <w:ind w:firstLine="0" w:firstLineChars="0"/>
              <w:jc w:val="center"/>
              <w:rPr>
                <w:rFonts w:cs="Times New Roman"/>
                <w:sz w:val="21"/>
              </w:rPr>
            </w:pPr>
            <w:r>
              <w:rPr>
                <w:rFonts w:cs="Times New Roman"/>
                <w:sz w:val="21"/>
              </w:rPr>
              <w:t>0.14506</w:t>
            </w:r>
          </w:p>
        </w:tc>
      </w:tr>
      <w:tr w14:paraId="4CC57657">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3DB5DFB">
            <w:pPr>
              <w:spacing w:line="240" w:lineRule="auto"/>
              <w:ind w:firstLine="0" w:firstLineChars="0"/>
              <w:jc w:val="center"/>
              <w:rPr>
                <w:rFonts w:cs="Times New Roman"/>
                <w:sz w:val="21"/>
              </w:rPr>
            </w:pPr>
            <w:r>
              <w:rPr>
                <w:rFonts w:cs="Times New Roman"/>
                <w:sz w:val="21"/>
              </w:rPr>
              <w:t>50</w:t>
            </w:r>
          </w:p>
        </w:tc>
        <w:tc>
          <w:tcPr>
            <w:tcW w:w="1124" w:type="pct"/>
            <w:tcBorders>
              <w:top w:val="single" w:color="auto" w:sz="4" w:space="0"/>
              <w:left w:val="nil"/>
              <w:bottom w:val="single" w:color="auto" w:sz="4" w:space="0"/>
              <w:right w:val="single" w:color="auto" w:sz="4" w:space="0"/>
            </w:tcBorders>
            <w:noWrap/>
            <w:vAlign w:val="center"/>
          </w:tcPr>
          <w:p w14:paraId="5691354A">
            <w:pPr>
              <w:spacing w:line="240" w:lineRule="auto"/>
              <w:ind w:firstLine="0" w:firstLineChars="0"/>
              <w:jc w:val="center"/>
              <w:rPr>
                <w:rFonts w:cs="Times New Roman"/>
                <w:sz w:val="21"/>
              </w:rPr>
            </w:pPr>
            <w:r>
              <w:rPr>
                <w:rFonts w:cs="Times New Roman"/>
                <w:sz w:val="21"/>
              </w:rPr>
              <w:t>0.16910</w:t>
            </w:r>
          </w:p>
        </w:tc>
        <w:tc>
          <w:tcPr>
            <w:tcW w:w="1123" w:type="pct"/>
            <w:tcBorders>
              <w:top w:val="single" w:color="auto" w:sz="4" w:space="0"/>
              <w:left w:val="nil"/>
              <w:bottom w:val="single" w:color="auto" w:sz="4" w:space="0"/>
              <w:right w:val="single" w:color="auto" w:sz="4" w:space="0"/>
            </w:tcBorders>
            <w:noWrap/>
            <w:vAlign w:val="center"/>
          </w:tcPr>
          <w:p w14:paraId="3D76F69A">
            <w:pPr>
              <w:spacing w:line="240" w:lineRule="auto"/>
              <w:ind w:firstLine="0" w:firstLineChars="0"/>
              <w:jc w:val="center"/>
              <w:rPr>
                <w:rFonts w:cs="Times New Roman"/>
                <w:sz w:val="21"/>
              </w:rPr>
            </w:pPr>
            <w:r>
              <w:rPr>
                <w:rFonts w:cs="Times New Roman"/>
                <w:sz w:val="21"/>
              </w:rPr>
              <w:t>0.19916</w:t>
            </w:r>
          </w:p>
        </w:tc>
        <w:tc>
          <w:tcPr>
            <w:tcW w:w="1123" w:type="pct"/>
            <w:tcBorders>
              <w:top w:val="single" w:color="auto" w:sz="4" w:space="0"/>
              <w:left w:val="nil"/>
              <w:bottom w:val="single" w:color="auto" w:sz="4" w:space="0"/>
              <w:right w:val="single" w:color="auto" w:sz="4" w:space="0"/>
            </w:tcBorders>
            <w:noWrap/>
            <w:vAlign w:val="center"/>
          </w:tcPr>
          <w:p w14:paraId="75E569AE">
            <w:pPr>
              <w:spacing w:line="240" w:lineRule="auto"/>
              <w:ind w:firstLine="0" w:firstLineChars="0"/>
              <w:jc w:val="center"/>
              <w:rPr>
                <w:rFonts w:cs="Times New Roman"/>
                <w:sz w:val="21"/>
              </w:rPr>
            </w:pPr>
            <w:r>
              <w:rPr>
                <w:rFonts w:cs="Times New Roman"/>
                <w:sz w:val="21"/>
              </w:rPr>
              <w:t>0.22072</w:t>
            </w:r>
          </w:p>
        </w:tc>
        <w:tc>
          <w:tcPr>
            <w:tcW w:w="1124" w:type="pct"/>
            <w:tcBorders>
              <w:top w:val="single" w:color="auto" w:sz="4" w:space="0"/>
              <w:left w:val="nil"/>
              <w:bottom w:val="single" w:color="auto" w:sz="4" w:space="0"/>
              <w:right w:val="single" w:color="auto" w:sz="12" w:space="0"/>
            </w:tcBorders>
            <w:noWrap/>
            <w:vAlign w:val="center"/>
          </w:tcPr>
          <w:p w14:paraId="08B802B4">
            <w:pPr>
              <w:spacing w:line="240" w:lineRule="auto"/>
              <w:ind w:firstLine="0" w:firstLineChars="0"/>
              <w:jc w:val="center"/>
              <w:rPr>
                <w:rFonts w:cs="Times New Roman"/>
                <w:sz w:val="21"/>
              </w:rPr>
            </w:pPr>
            <w:r>
              <w:rPr>
                <w:rFonts w:cs="Times New Roman"/>
                <w:sz w:val="21"/>
              </w:rPr>
              <w:t>0.24924</w:t>
            </w:r>
          </w:p>
        </w:tc>
      </w:tr>
      <w:tr w14:paraId="08B2C02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46D8C16">
            <w:pPr>
              <w:spacing w:line="240" w:lineRule="auto"/>
              <w:ind w:firstLine="0" w:firstLineChars="0"/>
              <w:jc w:val="center"/>
              <w:rPr>
                <w:rFonts w:cs="Times New Roman"/>
                <w:sz w:val="21"/>
              </w:rPr>
            </w:pPr>
            <w:r>
              <w:rPr>
                <w:rFonts w:cs="Times New Roman"/>
                <w:sz w:val="21"/>
              </w:rPr>
              <w:t>100</w:t>
            </w:r>
          </w:p>
        </w:tc>
        <w:tc>
          <w:tcPr>
            <w:tcW w:w="1124" w:type="pct"/>
            <w:tcBorders>
              <w:top w:val="single" w:color="auto" w:sz="4" w:space="0"/>
              <w:left w:val="nil"/>
              <w:bottom w:val="single" w:color="auto" w:sz="4" w:space="0"/>
              <w:right w:val="single" w:color="auto" w:sz="4" w:space="0"/>
            </w:tcBorders>
            <w:noWrap/>
            <w:vAlign w:val="center"/>
          </w:tcPr>
          <w:p w14:paraId="3C3D6330">
            <w:pPr>
              <w:spacing w:line="240" w:lineRule="auto"/>
              <w:ind w:firstLine="0" w:firstLineChars="0"/>
              <w:jc w:val="center"/>
              <w:rPr>
                <w:rFonts w:cs="Times New Roman"/>
                <w:sz w:val="21"/>
              </w:rPr>
            </w:pPr>
            <w:r>
              <w:rPr>
                <w:rFonts w:cs="Times New Roman"/>
                <w:sz w:val="21"/>
              </w:rPr>
              <w:t>0.20673</w:t>
            </w:r>
          </w:p>
        </w:tc>
        <w:tc>
          <w:tcPr>
            <w:tcW w:w="1123" w:type="pct"/>
            <w:tcBorders>
              <w:top w:val="single" w:color="auto" w:sz="4" w:space="0"/>
              <w:left w:val="nil"/>
              <w:bottom w:val="single" w:color="auto" w:sz="4" w:space="0"/>
              <w:right w:val="single" w:color="auto" w:sz="4" w:space="0"/>
            </w:tcBorders>
            <w:noWrap/>
            <w:vAlign w:val="center"/>
          </w:tcPr>
          <w:p w14:paraId="1434A8AD">
            <w:pPr>
              <w:spacing w:line="240" w:lineRule="auto"/>
              <w:ind w:firstLine="0" w:firstLineChars="0"/>
              <w:jc w:val="center"/>
              <w:rPr>
                <w:rFonts w:cs="Times New Roman"/>
                <w:sz w:val="21"/>
              </w:rPr>
            </w:pPr>
            <w:r>
              <w:rPr>
                <w:rFonts w:cs="Times New Roman"/>
                <w:sz w:val="21"/>
              </w:rPr>
              <w:t>0.26753</w:t>
            </w:r>
          </w:p>
        </w:tc>
        <w:tc>
          <w:tcPr>
            <w:tcW w:w="1123" w:type="pct"/>
            <w:tcBorders>
              <w:top w:val="single" w:color="auto" w:sz="4" w:space="0"/>
              <w:left w:val="nil"/>
              <w:bottom w:val="single" w:color="auto" w:sz="4" w:space="0"/>
              <w:right w:val="single" w:color="auto" w:sz="4" w:space="0"/>
            </w:tcBorders>
            <w:noWrap/>
            <w:vAlign w:val="center"/>
          </w:tcPr>
          <w:p w14:paraId="2DD04789">
            <w:pPr>
              <w:spacing w:line="240" w:lineRule="auto"/>
              <w:ind w:firstLine="0" w:firstLineChars="0"/>
              <w:jc w:val="center"/>
              <w:rPr>
                <w:rFonts w:cs="Times New Roman"/>
                <w:sz w:val="21"/>
              </w:rPr>
            </w:pPr>
            <w:r>
              <w:rPr>
                <w:rFonts w:cs="Times New Roman"/>
                <w:sz w:val="21"/>
              </w:rPr>
              <w:t>0.31572</w:t>
            </w:r>
          </w:p>
        </w:tc>
        <w:tc>
          <w:tcPr>
            <w:tcW w:w="1124" w:type="pct"/>
            <w:tcBorders>
              <w:top w:val="single" w:color="auto" w:sz="4" w:space="0"/>
              <w:left w:val="nil"/>
              <w:bottom w:val="single" w:color="auto" w:sz="4" w:space="0"/>
              <w:right w:val="single" w:color="auto" w:sz="12" w:space="0"/>
            </w:tcBorders>
            <w:noWrap/>
            <w:vAlign w:val="center"/>
          </w:tcPr>
          <w:p w14:paraId="4117CCCE">
            <w:pPr>
              <w:spacing w:line="240" w:lineRule="auto"/>
              <w:ind w:firstLine="0" w:firstLineChars="0"/>
              <w:jc w:val="center"/>
              <w:rPr>
                <w:rFonts w:cs="Times New Roman"/>
                <w:sz w:val="21"/>
              </w:rPr>
            </w:pPr>
            <w:r>
              <w:rPr>
                <w:rFonts w:cs="Times New Roman"/>
                <w:sz w:val="21"/>
              </w:rPr>
              <w:t>0.31572</w:t>
            </w:r>
          </w:p>
        </w:tc>
      </w:tr>
      <w:tr w14:paraId="75F5FE2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1BCEFC2">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4" w:space="0"/>
              <w:right w:val="single" w:color="auto" w:sz="4" w:space="0"/>
            </w:tcBorders>
            <w:noWrap/>
            <w:vAlign w:val="center"/>
          </w:tcPr>
          <w:p w14:paraId="1A53D1A9">
            <w:pPr>
              <w:spacing w:line="240" w:lineRule="auto"/>
              <w:ind w:firstLine="0" w:firstLineChars="0"/>
              <w:jc w:val="center"/>
              <w:rPr>
                <w:rFonts w:cs="Times New Roman"/>
                <w:sz w:val="21"/>
              </w:rPr>
            </w:pPr>
            <w:r>
              <w:rPr>
                <w:rFonts w:cs="Times New Roman"/>
                <w:sz w:val="21"/>
              </w:rPr>
              <w:t>0.00608</w:t>
            </w:r>
          </w:p>
        </w:tc>
        <w:tc>
          <w:tcPr>
            <w:tcW w:w="1123" w:type="pct"/>
            <w:tcBorders>
              <w:top w:val="single" w:color="auto" w:sz="4" w:space="0"/>
              <w:left w:val="nil"/>
              <w:bottom w:val="single" w:color="auto" w:sz="4" w:space="0"/>
              <w:right w:val="single" w:color="auto" w:sz="4" w:space="0"/>
            </w:tcBorders>
            <w:noWrap/>
            <w:vAlign w:val="center"/>
          </w:tcPr>
          <w:p w14:paraId="669BAB4F">
            <w:pPr>
              <w:spacing w:line="240" w:lineRule="auto"/>
              <w:ind w:firstLine="0" w:firstLineChars="0"/>
              <w:jc w:val="center"/>
              <w:rPr>
                <w:rFonts w:cs="Times New Roman"/>
                <w:sz w:val="21"/>
              </w:rPr>
            </w:pPr>
            <w:r>
              <w:rPr>
                <w:rFonts w:cs="Times New Roman"/>
                <w:sz w:val="21"/>
              </w:rPr>
              <w:t>0.00950</w:t>
            </w:r>
          </w:p>
        </w:tc>
        <w:tc>
          <w:tcPr>
            <w:tcW w:w="1123" w:type="pct"/>
            <w:tcBorders>
              <w:top w:val="single" w:color="auto" w:sz="4" w:space="0"/>
              <w:left w:val="nil"/>
              <w:bottom w:val="single" w:color="auto" w:sz="4" w:space="0"/>
              <w:right w:val="single" w:color="auto" w:sz="4" w:space="0"/>
            </w:tcBorders>
            <w:noWrap/>
            <w:vAlign w:val="center"/>
          </w:tcPr>
          <w:p w14:paraId="1F7566F9">
            <w:pPr>
              <w:spacing w:line="240" w:lineRule="auto"/>
              <w:ind w:firstLine="0" w:firstLineChars="0"/>
              <w:jc w:val="center"/>
              <w:rPr>
                <w:rFonts w:cs="Times New Roman"/>
                <w:sz w:val="21"/>
              </w:rPr>
            </w:pPr>
            <w:r>
              <w:rPr>
                <w:rFonts w:cs="Times New Roman"/>
                <w:sz w:val="21"/>
              </w:rPr>
              <w:t>0.01271</w:t>
            </w:r>
          </w:p>
        </w:tc>
        <w:tc>
          <w:tcPr>
            <w:tcW w:w="1124" w:type="pct"/>
            <w:tcBorders>
              <w:top w:val="single" w:color="auto" w:sz="4" w:space="0"/>
              <w:left w:val="nil"/>
              <w:bottom w:val="single" w:color="auto" w:sz="4" w:space="0"/>
              <w:right w:val="single" w:color="auto" w:sz="12" w:space="0"/>
            </w:tcBorders>
            <w:noWrap/>
            <w:vAlign w:val="center"/>
          </w:tcPr>
          <w:p w14:paraId="5F488EE8">
            <w:pPr>
              <w:spacing w:line="240" w:lineRule="auto"/>
              <w:ind w:firstLine="0" w:firstLineChars="0"/>
              <w:jc w:val="center"/>
              <w:rPr>
                <w:rFonts w:cs="Times New Roman"/>
                <w:sz w:val="21"/>
              </w:rPr>
            </w:pPr>
            <w:r>
              <w:rPr>
                <w:rFonts w:cs="Times New Roman"/>
                <w:sz w:val="21"/>
              </w:rPr>
              <w:t>0.01816</w:t>
            </w:r>
          </w:p>
        </w:tc>
      </w:tr>
    </w:tbl>
    <w:p w14:paraId="0CD4A125">
      <w:pPr>
        <w:keepLines/>
        <w:ind w:firstLine="562" w:firstLineChars="0"/>
        <w:jc w:val="center"/>
        <w:outlineLvl w:val="4"/>
        <w:rPr>
          <w:rFonts w:cs="Times New Roman"/>
          <w:b/>
          <w:bCs/>
          <w:sz w:val="21"/>
          <w:szCs w:val="28"/>
        </w:rPr>
      </w:pPr>
      <w:r>
        <w:rPr>
          <w:rFonts w:cs="Times New Roman"/>
          <w:b/>
          <w:bCs/>
          <w:sz w:val="21"/>
          <w:szCs w:val="28"/>
        </w:rPr>
        <w:t>表5.2-6  不同时刻</w:t>
      </w:r>
      <w:r>
        <w:rPr>
          <w:rFonts w:hint="eastAsia" w:cs="Times New Roman"/>
          <w:b/>
          <w:bCs/>
          <w:sz w:val="21"/>
          <w:szCs w:val="28"/>
        </w:rPr>
        <w:t>管线</w:t>
      </w:r>
      <w:r>
        <w:rPr>
          <w:rFonts w:cs="Times New Roman"/>
          <w:b/>
          <w:bCs/>
          <w:sz w:val="21"/>
          <w:szCs w:val="28"/>
        </w:rPr>
        <w:t>X/Y处的硫酸盐的浓度（mg/L）</w:t>
      </w:r>
    </w:p>
    <w:tbl>
      <w:tblPr>
        <w:tblStyle w:val="29"/>
        <w:tblW w:w="5000" w:type="pct"/>
        <w:tblInd w:w="0" w:type="dxa"/>
        <w:tblLayout w:type="autofit"/>
        <w:tblCellMar>
          <w:top w:w="0" w:type="dxa"/>
          <w:left w:w="108" w:type="dxa"/>
          <w:bottom w:w="0" w:type="dxa"/>
          <w:right w:w="108" w:type="dxa"/>
        </w:tblCellMar>
      </w:tblPr>
      <w:tblGrid>
        <w:gridCol w:w="863"/>
        <w:gridCol w:w="1917"/>
        <w:gridCol w:w="1915"/>
        <w:gridCol w:w="1915"/>
        <w:gridCol w:w="1918"/>
      </w:tblGrid>
      <w:tr w14:paraId="0D6456F7">
        <w:tblPrEx>
          <w:tblCellMar>
            <w:top w:w="0" w:type="dxa"/>
            <w:left w:w="108" w:type="dxa"/>
            <w:bottom w:w="0" w:type="dxa"/>
            <w:right w:w="108" w:type="dxa"/>
          </w:tblCellMar>
        </w:tblPrEx>
        <w:trPr>
          <w:trHeight w:val="397" w:hRule="atLeast"/>
        </w:trPr>
        <w:tc>
          <w:tcPr>
            <w:tcW w:w="5000" w:type="pct"/>
            <w:gridSpan w:val="5"/>
            <w:tcBorders>
              <w:top w:val="single" w:color="auto" w:sz="12" w:space="0"/>
              <w:left w:val="single" w:color="auto" w:sz="12" w:space="0"/>
              <w:bottom w:val="single" w:color="auto" w:sz="4" w:space="0"/>
              <w:right w:val="single" w:color="auto" w:sz="12" w:space="0"/>
            </w:tcBorders>
            <w:noWrap/>
            <w:vAlign w:val="center"/>
          </w:tcPr>
          <w:p w14:paraId="41DEA59D">
            <w:pPr>
              <w:spacing w:line="240" w:lineRule="auto"/>
              <w:ind w:firstLine="0" w:firstLineChars="0"/>
              <w:jc w:val="center"/>
              <w:rPr>
                <w:rFonts w:cs="Times New Roman"/>
                <w:sz w:val="21"/>
              </w:rPr>
            </w:pPr>
            <w:r>
              <w:rPr>
                <w:rFonts w:cs="Times New Roman"/>
                <w:sz w:val="21"/>
              </w:rPr>
              <w:t>100d</w:t>
            </w:r>
          </w:p>
        </w:tc>
      </w:tr>
      <w:tr w14:paraId="4A4F0A5D">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097ABC6">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4267EDFC">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486F21C6">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1CE9375E">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6B749B08">
            <w:pPr>
              <w:spacing w:line="240" w:lineRule="auto"/>
              <w:ind w:firstLine="0" w:firstLineChars="0"/>
              <w:jc w:val="center"/>
              <w:rPr>
                <w:rFonts w:cs="Times New Roman"/>
                <w:sz w:val="21"/>
              </w:rPr>
            </w:pPr>
            <w:r>
              <w:rPr>
                <w:rFonts w:cs="Times New Roman"/>
                <w:sz w:val="21"/>
              </w:rPr>
              <w:t>7.5</w:t>
            </w:r>
          </w:p>
        </w:tc>
      </w:tr>
      <w:tr w14:paraId="06CDE1C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ED9268E">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608943D2">
            <w:pPr>
              <w:spacing w:line="240" w:lineRule="auto"/>
              <w:ind w:firstLine="0" w:firstLineChars="0"/>
              <w:jc w:val="center"/>
              <w:rPr>
                <w:rFonts w:cs="Times New Roman"/>
                <w:sz w:val="21"/>
              </w:rPr>
            </w:pPr>
            <w:r>
              <w:rPr>
                <w:rFonts w:cs="Times New Roman"/>
                <w:sz w:val="21"/>
              </w:rPr>
              <w:t>138.31</w:t>
            </w:r>
          </w:p>
        </w:tc>
        <w:tc>
          <w:tcPr>
            <w:tcW w:w="1123" w:type="pct"/>
            <w:tcBorders>
              <w:top w:val="nil"/>
              <w:left w:val="nil"/>
              <w:bottom w:val="single" w:color="auto" w:sz="4" w:space="0"/>
              <w:right w:val="single" w:color="auto" w:sz="4" w:space="0"/>
            </w:tcBorders>
            <w:noWrap/>
            <w:vAlign w:val="center"/>
          </w:tcPr>
          <w:p w14:paraId="6117E0DE">
            <w:pPr>
              <w:spacing w:line="240" w:lineRule="auto"/>
              <w:ind w:firstLine="0" w:firstLineChars="0"/>
              <w:jc w:val="center"/>
              <w:rPr>
                <w:rFonts w:cs="Times New Roman"/>
                <w:sz w:val="21"/>
              </w:rPr>
            </w:pPr>
            <w:r>
              <w:rPr>
                <w:rFonts w:cs="Times New Roman"/>
                <w:sz w:val="21"/>
              </w:rPr>
              <w:t>121.43</w:t>
            </w:r>
          </w:p>
        </w:tc>
        <w:tc>
          <w:tcPr>
            <w:tcW w:w="1123" w:type="pct"/>
            <w:tcBorders>
              <w:top w:val="nil"/>
              <w:left w:val="nil"/>
              <w:bottom w:val="single" w:color="auto" w:sz="4" w:space="0"/>
              <w:right w:val="single" w:color="auto" w:sz="4" w:space="0"/>
            </w:tcBorders>
            <w:noWrap/>
            <w:vAlign w:val="center"/>
          </w:tcPr>
          <w:p w14:paraId="49FB87F0">
            <w:pPr>
              <w:spacing w:line="240" w:lineRule="auto"/>
              <w:ind w:firstLine="0" w:firstLineChars="0"/>
              <w:jc w:val="center"/>
              <w:rPr>
                <w:rFonts w:cs="Times New Roman"/>
                <w:sz w:val="21"/>
              </w:rPr>
            </w:pPr>
            <w:r>
              <w:rPr>
                <w:rFonts w:cs="Times New Roman"/>
                <w:sz w:val="21"/>
              </w:rPr>
              <w:t>88.64</w:t>
            </w:r>
          </w:p>
        </w:tc>
        <w:tc>
          <w:tcPr>
            <w:tcW w:w="1124" w:type="pct"/>
            <w:tcBorders>
              <w:top w:val="nil"/>
              <w:left w:val="nil"/>
              <w:bottom w:val="single" w:color="auto" w:sz="4" w:space="0"/>
              <w:right w:val="single" w:color="auto" w:sz="12" w:space="0"/>
            </w:tcBorders>
            <w:noWrap/>
            <w:vAlign w:val="center"/>
          </w:tcPr>
          <w:p w14:paraId="745447E3">
            <w:pPr>
              <w:spacing w:line="240" w:lineRule="auto"/>
              <w:ind w:firstLine="0" w:firstLineChars="0"/>
              <w:jc w:val="center"/>
              <w:rPr>
                <w:rFonts w:cs="Times New Roman"/>
                <w:sz w:val="21"/>
              </w:rPr>
            </w:pPr>
            <w:r>
              <w:rPr>
                <w:rFonts w:cs="Times New Roman"/>
                <w:sz w:val="21"/>
              </w:rPr>
              <w:t>46.28</w:t>
            </w:r>
          </w:p>
        </w:tc>
      </w:tr>
      <w:tr w14:paraId="289DAB6A">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E426F9F">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3838F92C">
            <w:pPr>
              <w:spacing w:line="240" w:lineRule="auto"/>
              <w:ind w:firstLine="0" w:firstLineChars="0"/>
              <w:jc w:val="center"/>
              <w:rPr>
                <w:rFonts w:cs="Times New Roman"/>
                <w:sz w:val="21"/>
              </w:rPr>
            </w:pPr>
            <w:r>
              <w:rPr>
                <w:rFonts w:cs="Times New Roman"/>
                <w:sz w:val="21"/>
              </w:rPr>
              <w:t>0.0931</w:t>
            </w:r>
          </w:p>
        </w:tc>
        <w:tc>
          <w:tcPr>
            <w:tcW w:w="1123" w:type="pct"/>
            <w:tcBorders>
              <w:top w:val="nil"/>
              <w:left w:val="nil"/>
              <w:bottom w:val="single" w:color="auto" w:sz="4" w:space="0"/>
              <w:right w:val="single" w:color="auto" w:sz="4" w:space="0"/>
            </w:tcBorders>
            <w:noWrap/>
            <w:vAlign w:val="center"/>
          </w:tcPr>
          <w:p w14:paraId="0342761F">
            <w:pPr>
              <w:spacing w:line="240" w:lineRule="auto"/>
              <w:ind w:firstLine="0" w:firstLineChars="0"/>
              <w:jc w:val="center"/>
              <w:rPr>
                <w:rFonts w:cs="Times New Roman"/>
                <w:sz w:val="21"/>
              </w:rPr>
            </w:pPr>
            <w:r>
              <w:rPr>
                <w:rFonts w:cs="Times New Roman"/>
                <w:sz w:val="21"/>
              </w:rPr>
              <w:t>0.643</w:t>
            </w:r>
          </w:p>
        </w:tc>
        <w:tc>
          <w:tcPr>
            <w:tcW w:w="1123" w:type="pct"/>
            <w:tcBorders>
              <w:top w:val="nil"/>
              <w:left w:val="nil"/>
              <w:bottom w:val="single" w:color="auto" w:sz="4" w:space="0"/>
              <w:right w:val="single" w:color="auto" w:sz="4" w:space="0"/>
            </w:tcBorders>
            <w:noWrap/>
            <w:vAlign w:val="center"/>
          </w:tcPr>
          <w:p w14:paraId="05E1F3F0">
            <w:pPr>
              <w:spacing w:line="240" w:lineRule="auto"/>
              <w:ind w:firstLine="0" w:firstLineChars="0"/>
              <w:jc w:val="center"/>
              <w:rPr>
                <w:rFonts w:cs="Times New Roman"/>
                <w:sz w:val="21"/>
              </w:rPr>
            </w:pPr>
            <w:r>
              <w:rPr>
                <w:rFonts w:cs="Times New Roman"/>
                <w:sz w:val="21"/>
              </w:rPr>
              <w:t>1.86</w:t>
            </w:r>
          </w:p>
        </w:tc>
        <w:tc>
          <w:tcPr>
            <w:tcW w:w="1124" w:type="pct"/>
            <w:tcBorders>
              <w:top w:val="nil"/>
              <w:left w:val="nil"/>
              <w:bottom w:val="single" w:color="auto" w:sz="4" w:space="0"/>
              <w:right w:val="single" w:color="auto" w:sz="12" w:space="0"/>
            </w:tcBorders>
            <w:noWrap/>
            <w:vAlign w:val="center"/>
          </w:tcPr>
          <w:p w14:paraId="773232A0">
            <w:pPr>
              <w:spacing w:line="240" w:lineRule="auto"/>
              <w:ind w:firstLine="0" w:firstLineChars="0"/>
              <w:jc w:val="center"/>
              <w:rPr>
                <w:rFonts w:cs="Times New Roman"/>
                <w:sz w:val="21"/>
              </w:rPr>
            </w:pPr>
            <w:r>
              <w:rPr>
                <w:rFonts w:cs="Times New Roman"/>
                <w:sz w:val="21"/>
              </w:rPr>
              <w:t>5.41</w:t>
            </w:r>
          </w:p>
        </w:tc>
      </w:tr>
      <w:tr w14:paraId="6808E57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3261AEA">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6C2DE9C3">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34B1977C">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72A59E2">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486AC858">
            <w:pPr>
              <w:spacing w:line="240" w:lineRule="auto"/>
              <w:ind w:firstLine="0" w:firstLineChars="0"/>
              <w:jc w:val="center"/>
              <w:rPr>
                <w:rFonts w:cs="Times New Roman"/>
                <w:sz w:val="21"/>
              </w:rPr>
            </w:pPr>
            <w:r>
              <w:rPr>
                <w:rFonts w:cs="Times New Roman"/>
                <w:sz w:val="21"/>
              </w:rPr>
              <w:t>0.00009</w:t>
            </w:r>
          </w:p>
        </w:tc>
      </w:tr>
      <w:tr w14:paraId="6D23AD1A">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BCD220D">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7D59B7E6">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36D45C7B">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8FD2C8B">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19DF2864">
            <w:pPr>
              <w:spacing w:line="240" w:lineRule="auto"/>
              <w:ind w:firstLine="0" w:firstLineChars="0"/>
              <w:jc w:val="center"/>
              <w:rPr>
                <w:rFonts w:cs="Times New Roman"/>
                <w:sz w:val="21"/>
              </w:rPr>
            </w:pPr>
            <w:r>
              <w:rPr>
                <w:rFonts w:cs="Times New Roman"/>
                <w:sz w:val="21"/>
              </w:rPr>
              <w:t>0.00000</w:t>
            </w:r>
          </w:p>
        </w:tc>
      </w:tr>
      <w:tr w14:paraId="66137254">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F118E0E">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7745AF2B">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26B7A9A4">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5D8D3864">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715CAD24">
            <w:pPr>
              <w:spacing w:line="240" w:lineRule="auto"/>
              <w:ind w:firstLine="0" w:firstLineChars="0"/>
              <w:jc w:val="center"/>
              <w:rPr>
                <w:rFonts w:cs="Times New Roman"/>
                <w:sz w:val="21"/>
              </w:rPr>
            </w:pPr>
            <w:r>
              <w:rPr>
                <w:rFonts w:cs="Times New Roman"/>
                <w:sz w:val="21"/>
              </w:rPr>
              <w:t>0.00000</w:t>
            </w:r>
          </w:p>
        </w:tc>
      </w:tr>
      <w:tr w14:paraId="507D2B06">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502D0FFA">
            <w:pPr>
              <w:spacing w:line="240" w:lineRule="auto"/>
              <w:ind w:firstLine="0" w:firstLineChars="0"/>
              <w:jc w:val="center"/>
              <w:rPr>
                <w:rFonts w:cs="Times New Roman"/>
                <w:sz w:val="21"/>
              </w:rPr>
            </w:pPr>
            <w:r>
              <w:rPr>
                <w:rFonts w:cs="Times New Roman"/>
                <w:sz w:val="21"/>
              </w:rPr>
              <w:t>500d</w:t>
            </w:r>
          </w:p>
        </w:tc>
      </w:tr>
      <w:tr w14:paraId="1693F40D">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AD6C592">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688987EE">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0A6FB9E8">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491C5CC2">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2AEC49C1">
            <w:pPr>
              <w:spacing w:line="240" w:lineRule="auto"/>
              <w:ind w:firstLine="0" w:firstLineChars="0"/>
              <w:jc w:val="center"/>
              <w:rPr>
                <w:rFonts w:cs="Times New Roman"/>
                <w:sz w:val="21"/>
              </w:rPr>
            </w:pPr>
            <w:r>
              <w:rPr>
                <w:rFonts w:cs="Times New Roman"/>
                <w:sz w:val="21"/>
              </w:rPr>
              <w:t>7.5</w:t>
            </w:r>
          </w:p>
        </w:tc>
      </w:tr>
      <w:tr w14:paraId="1AC0DE1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E839078">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6A51473C">
            <w:pPr>
              <w:spacing w:line="240" w:lineRule="auto"/>
              <w:ind w:firstLine="0" w:firstLineChars="0"/>
              <w:jc w:val="center"/>
              <w:rPr>
                <w:rFonts w:cs="Times New Roman"/>
                <w:sz w:val="21"/>
              </w:rPr>
            </w:pPr>
            <w:r>
              <w:rPr>
                <w:rFonts w:cs="Times New Roman"/>
                <w:sz w:val="21"/>
              </w:rPr>
              <w:t>11.8</w:t>
            </w:r>
          </w:p>
        </w:tc>
        <w:tc>
          <w:tcPr>
            <w:tcW w:w="1123" w:type="pct"/>
            <w:tcBorders>
              <w:top w:val="nil"/>
              <w:left w:val="nil"/>
              <w:bottom w:val="single" w:color="auto" w:sz="4" w:space="0"/>
              <w:right w:val="single" w:color="auto" w:sz="4" w:space="0"/>
            </w:tcBorders>
            <w:noWrap/>
            <w:vAlign w:val="center"/>
          </w:tcPr>
          <w:p w14:paraId="405BDC27">
            <w:pPr>
              <w:spacing w:line="240" w:lineRule="auto"/>
              <w:ind w:firstLine="0" w:firstLineChars="0"/>
              <w:jc w:val="center"/>
              <w:rPr>
                <w:rFonts w:cs="Times New Roman"/>
                <w:sz w:val="21"/>
              </w:rPr>
            </w:pPr>
            <w:r>
              <w:rPr>
                <w:rFonts w:cs="Times New Roman"/>
                <w:sz w:val="21"/>
              </w:rPr>
              <w:t>12.2</w:t>
            </w:r>
          </w:p>
        </w:tc>
        <w:tc>
          <w:tcPr>
            <w:tcW w:w="1123" w:type="pct"/>
            <w:tcBorders>
              <w:top w:val="nil"/>
              <w:left w:val="nil"/>
              <w:bottom w:val="single" w:color="auto" w:sz="4" w:space="0"/>
              <w:right w:val="single" w:color="auto" w:sz="4" w:space="0"/>
            </w:tcBorders>
            <w:noWrap/>
            <w:vAlign w:val="center"/>
          </w:tcPr>
          <w:p w14:paraId="0415FA5D">
            <w:pPr>
              <w:spacing w:line="240" w:lineRule="auto"/>
              <w:ind w:firstLine="0" w:firstLineChars="0"/>
              <w:jc w:val="center"/>
              <w:rPr>
                <w:rFonts w:cs="Times New Roman"/>
                <w:sz w:val="21"/>
              </w:rPr>
            </w:pPr>
            <w:r>
              <w:rPr>
                <w:rFonts w:cs="Times New Roman"/>
                <w:sz w:val="21"/>
              </w:rPr>
              <w:t>12.0</w:t>
            </w:r>
          </w:p>
        </w:tc>
        <w:tc>
          <w:tcPr>
            <w:tcW w:w="1124" w:type="pct"/>
            <w:tcBorders>
              <w:top w:val="nil"/>
              <w:left w:val="nil"/>
              <w:bottom w:val="single" w:color="auto" w:sz="4" w:space="0"/>
              <w:right w:val="single" w:color="auto" w:sz="12" w:space="0"/>
            </w:tcBorders>
            <w:noWrap/>
            <w:vAlign w:val="center"/>
          </w:tcPr>
          <w:p w14:paraId="743A68BD">
            <w:pPr>
              <w:spacing w:line="240" w:lineRule="auto"/>
              <w:ind w:firstLine="0" w:firstLineChars="0"/>
              <w:jc w:val="center"/>
              <w:rPr>
                <w:rFonts w:cs="Times New Roman"/>
                <w:sz w:val="21"/>
              </w:rPr>
            </w:pPr>
            <w:r>
              <w:rPr>
                <w:rFonts w:cs="Times New Roman"/>
                <w:sz w:val="21"/>
              </w:rPr>
              <w:t>11.0</w:t>
            </w:r>
          </w:p>
        </w:tc>
      </w:tr>
      <w:tr w14:paraId="3DBBBEC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96373E2">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5ABA3D7A">
            <w:pPr>
              <w:spacing w:line="240" w:lineRule="auto"/>
              <w:ind w:firstLine="0" w:firstLineChars="0"/>
              <w:jc w:val="center"/>
              <w:rPr>
                <w:rFonts w:cs="Times New Roman"/>
                <w:sz w:val="21"/>
              </w:rPr>
            </w:pPr>
            <w:r>
              <w:rPr>
                <w:rFonts w:cs="Times New Roman"/>
                <w:sz w:val="21"/>
              </w:rPr>
              <w:t>7.76</w:t>
            </w:r>
          </w:p>
        </w:tc>
        <w:tc>
          <w:tcPr>
            <w:tcW w:w="1123" w:type="pct"/>
            <w:tcBorders>
              <w:top w:val="nil"/>
              <w:left w:val="nil"/>
              <w:bottom w:val="single" w:color="auto" w:sz="4" w:space="0"/>
              <w:right w:val="single" w:color="auto" w:sz="4" w:space="0"/>
            </w:tcBorders>
            <w:noWrap/>
            <w:vAlign w:val="center"/>
          </w:tcPr>
          <w:p w14:paraId="7CF4F3E1">
            <w:pPr>
              <w:spacing w:line="240" w:lineRule="auto"/>
              <w:ind w:firstLine="0" w:firstLineChars="0"/>
              <w:jc w:val="center"/>
              <w:rPr>
                <w:rFonts w:cs="Times New Roman"/>
                <w:sz w:val="21"/>
              </w:rPr>
            </w:pPr>
            <w:r>
              <w:rPr>
                <w:rFonts w:cs="Times New Roman"/>
                <w:sz w:val="21"/>
              </w:rPr>
              <w:t>12.1</w:t>
            </w:r>
          </w:p>
        </w:tc>
        <w:tc>
          <w:tcPr>
            <w:tcW w:w="1123" w:type="pct"/>
            <w:tcBorders>
              <w:top w:val="nil"/>
              <w:left w:val="nil"/>
              <w:bottom w:val="single" w:color="auto" w:sz="4" w:space="0"/>
              <w:right w:val="single" w:color="auto" w:sz="4" w:space="0"/>
            </w:tcBorders>
            <w:noWrap/>
            <w:vAlign w:val="center"/>
          </w:tcPr>
          <w:p w14:paraId="313B7D04">
            <w:pPr>
              <w:spacing w:line="240" w:lineRule="auto"/>
              <w:ind w:firstLine="0" w:firstLineChars="0"/>
              <w:jc w:val="center"/>
              <w:rPr>
                <w:rFonts w:cs="Times New Roman"/>
                <w:sz w:val="21"/>
              </w:rPr>
            </w:pPr>
            <w:r>
              <w:rPr>
                <w:rFonts w:cs="Times New Roman"/>
                <w:sz w:val="21"/>
              </w:rPr>
              <w:t>15.6</w:t>
            </w:r>
          </w:p>
        </w:tc>
        <w:tc>
          <w:tcPr>
            <w:tcW w:w="1124" w:type="pct"/>
            <w:tcBorders>
              <w:top w:val="nil"/>
              <w:left w:val="nil"/>
              <w:bottom w:val="single" w:color="auto" w:sz="4" w:space="0"/>
              <w:right w:val="single" w:color="auto" w:sz="12" w:space="0"/>
            </w:tcBorders>
            <w:noWrap/>
            <w:vAlign w:val="center"/>
          </w:tcPr>
          <w:p w14:paraId="7C4C9153">
            <w:pPr>
              <w:spacing w:line="240" w:lineRule="auto"/>
              <w:ind w:firstLine="0" w:firstLineChars="0"/>
              <w:jc w:val="center"/>
              <w:rPr>
                <w:rFonts w:cs="Times New Roman"/>
                <w:sz w:val="21"/>
              </w:rPr>
            </w:pPr>
            <w:r>
              <w:rPr>
                <w:rFonts w:cs="Times New Roman"/>
                <w:sz w:val="21"/>
              </w:rPr>
              <w:t>20.3</w:t>
            </w:r>
          </w:p>
        </w:tc>
      </w:tr>
      <w:tr w14:paraId="7BF4D45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B8A3CD7">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68324096">
            <w:pPr>
              <w:spacing w:line="240" w:lineRule="auto"/>
              <w:ind w:firstLine="0" w:firstLineChars="0"/>
              <w:jc w:val="center"/>
              <w:rPr>
                <w:rFonts w:cs="Times New Roman"/>
                <w:sz w:val="21"/>
              </w:rPr>
            </w:pPr>
            <w:r>
              <w:rPr>
                <w:rFonts w:cs="Times New Roman"/>
                <w:sz w:val="21"/>
              </w:rPr>
              <w:t>0.866</w:t>
            </w:r>
          </w:p>
        </w:tc>
        <w:tc>
          <w:tcPr>
            <w:tcW w:w="1123" w:type="pct"/>
            <w:tcBorders>
              <w:top w:val="nil"/>
              <w:left w:val="nil"/>
              <w:bottom w:val="single" w:color="auto" w:sz="4" w:space="0"/>
              <w:right w:val="single" w:color="auto" w:sz="4" w:space="0"/>
            </w:tcBorders>
            <w:noWrap/>
            <w:vAlign w:val="center"/>
          </w:tcPr>
          <w:p w14:paraId="3F3AAF79">
            <w:pPr>
              <w:spacing w:line="240" w:lineRule="auto"/>
              <w:ind w:firstLine="0" w:firstLineChars="0"/>
              <w:jc w:val="center"/>
              <w:rPr>
                <w:rFonts w:cs="Times New Roman"/>
                <w:sz w:val="21"/>
              </w:rPr>
            </w:pPr>
            <w:r>
              <w:rPr>
                <w:rFonts w:cs="Times New Roman"/>
                <w:sz w:val="21"/>
              </w:rPr>
              <w:t>1.78</w:t>
            </w:r>
          </w:p>
        </w:tc>
        <w:tc>
          <w:tcPr>
            <w:tcW w:w="1123" w:type="pct"/>
            <w:tcBorders>
              <w:top w:val="nil"/>
              <w:left w:val="nil"/>
              <w:bottom w:val="single" w:color="auto" w:sz="4" w:space="0"/>
              <w:right w:val="single" w:color="auto" w:sz="4" w:space="0"/>
            </w:tcBorders>
            <w:noWrap/>
            <w:vAlign w:val="center"/>
          </w:tcPr>
          <w:p w14:paraId="3909F07B">
            <w:pPr>
              <w:spacing w:line="240" w:lineRule="auto"/>
              <w:ind w:firstLine="0" w:firstLineChars="0"/>
              <w:jc w:val="center"/>
              <w:rPr>
                <w:rFonts w:cs="Times New Roman"/>
                <w:sz w:val="21"/>
              </w:rPr>
            </w:pPr>
            <w:r>
              <w:rPr>
                <w:rFonts w:cs="Times New Roman"/>
                <w:sz w:val="21"/>
              </w:rPr>
              <w:t>2.75</w:t>
            </w:r>
          </w:p>
        </w:tc>
        <w:tc>
          <w:tcPr>
            <w:tcW w:w="1124" w:type="pct"/>
            <w:tcBorders>
              <w:top w:val="nil"/>
              <w:left w:val="nil"/>
              <w:bottom w:val="single" w:color="auto" w:sz="4" w:space="0"/>
              <w:right w:val="single" w:color="auto" w:sz="12" w:space="0"/>
            </w:tcBorders>
            <w:noWrap/>
            <w:vAlign w:val="center"/>
          </w:tcPr>
          <w:p w14:paraId="66669C85">
            <w:pPr>
              <w:spacing w:line="240" w:lineRule="auto"/>
              <w:ind w:firstLine="0" w:firstLineChars="0"/>
              <w:jc w:val="center"/>
              <w:rPr>
                <w:rFonts w:cs="Times New Roman"/>
                <w:sz w:val="21"/>
              </w:rPr>
            </w:pPr>
            <w:r>
              <w:rPr>
                <w:rFonts w:cs="Times New Roman"/>
                <w:sz w:val="21"/>
              </w:rPr>
              <w:t>4.51</w:t>
            </w:r>
          </w:p>
        </w:tc>
      </w:tr>
      <w:tr w14:paraId="143B8CE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FCC1207">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45B31B01">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0C48C477">
            <w:pPr>
              <w:spacing w:line="240" w:lineRule="auto"/>
              <w:ind w:firstLine="0" w:firstLineChars="0"/>
              <w:jc w:val="center"/>
              <w:rPr>
                <w:rFonts w:cs="Times New Roman"/>
                <w:sz w:val="21"/>
              </w:rPr>
            </w:pPr>
            <w:r>
              <w:rPr>
                <w:rFonts w:cs="Times New Roman"/>
                <w:sz w:val="21"/>
              </w:rPr>
              <w:t>0.00002</w:t>
            </w:r>
          </w:p>
        </w:tc>
        <w:tc>
          <w:tcPr>
            <w:tcW w:w="1123" w:type="pct"/>
            <w:tcBorders>
              <w:top w:val="nil"/>
              <w:left w:val="nil"/>
              <w:bottom w:val="single" w:color="auto" w:sz="4" w:space="0"/>
              <w:right w:val="single" w:color="auto" w:sz="4" w:space="0"/>
            </w:tcBorders>
            <w:noWrap/>
            <w:vAlign w:val="center"/>
          </w:tcPr>
          <w:p w14:paraId="191E59DF">
            <w:pPr>
              <w:spacing w:line="240" w:lineRule="auto"/>
              <w:ind w:firstLine="0" w:firstLineChars="0"/>
              <w:jc w:val="center"/>
              <w:rPr>
                <w:rFonts w:cs="Times New Roman"/>
                <w:sz w:val="21"/>
              </w:rPr>
            </w:pPr>
            <w:r>
              <w:rPr>
                <w:rFonts w:cs="Times New Roman"/>
                <w:sz w:val="21"/>
              </w:rPr>
              <w:t>0.00004</w:t>
            </w:r>
          </w:p>
        </w:tc>
        <w:tc>
          <w:tcPr>
            <w:tcW w:w="1124" w:type="pct"/>
            <w:tcBorders>
              <w:top w:val="nil"/>
              <w:left w:val="nil"/>
              <w:bottom w:val="single" w:color="auto" w:sz="4" w:space="0"/>
              <w:right w:val="single" w:color="auto" w:sz="12" w:space="0"/>
            </w:tcBorders>
            <w:noWrap/>
            <w:vAlign w:val="center"/>
          </w:tcPr>
          <w:p w14:paraId="523C6CF1">
            <w:pPr>
              <w:spacing w:line="240" w:lineRule="auto"/>
              <w:ind w:firstLine="0" w:firstLineChars="0"/>
              <w:jc w:val="center"/>
              <w:rPr>
                <w:rFonts w:cs="Times New Roman"/>
                <w:sz w:val="21"/>
              </w:rPr>
            </w:pPr>
            <w:r>
              <w:rPr>
                <w:rFonts w:cs="Times New Roman"/>
                <w:sz w:val="21"/>
              </w:rPr>
              <w:t>0.00013</w:t>
            </w:r>
          </w:p>
        </w:tc>
      </w:tr>
      <w:tr w14:paraId="3983EBD8">
        <w:tblPrEx>
          <w:tblCellMar>
            <w:top w:w="0" w:type="dxa"/>
            <w:left w:w="108" w:type="dxa"/>
            <w:bottom w:w="0" w:type="dxa"/>
            <w:right w:w="108" w:type="dxa"/>
          </w:tblCellMar>
        </w:tblPrEx>
        <w:trPr>
          <w:trHeight w:val="397" w:hRule="atLeast"/>
        </w:trPr>
        <w:tc>
          <w:tcPr>
            <w:tcW w:w="506" w:type="pct"/>
            <w:tcBorders>
              <w:top w:val="single" w:color="auto" w:sz="4" w:space="0"/>
              <w:left w:val="single" w:color="auto" w:sz="12" w:space="0"/>
              <w:bottom w:val="single" w:color="auto" w:sz="4" w:space="0"/>
              <w:right w:val="single" w:color="auto" w:sz="4" w:space="0"/>
            </w:tcBorders>
            <w:noWrap/>
            <w:vAlign w:val="center"/>
          </w:tcPr>
          <w:p w14:paraId="734920DF">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4" w:space="0"/>
              <w:right w:val="single" w:color="auto" w:sz="4" w:space="0"/>
            </w:tcBorders>
            <w:noWrap/>
            <w:vAlign w:val="center"/>
          </w:tcPr>
          <w:p w14:paraId="1B585741">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6712D383">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0FCDFB4F">
            <w:pPr>
              <w:spacing w:line="240" w:lineRule="auto"/>
              <w:ind w:firstLine="0" w:firstLineChars="0"/>
              <w:jc w:val="center"/>
              <w:rPr>
                <w:rFonts w:cs="Times New Roman"/>
                <w:sz w:val="21"/>
              </w:rPr>
            </w:pPr>
            <w:r>
              <w:rPr>
                <w:rFonts w:cs="Times New Roman"/>
                <w:sz w:val="21"/>
              </w:rPr>
              <w:t>0.00000</w:t>
            </w:r>
          </w:p>
        </w:tc>
        <w:tc>
          <w:tcPr>
            <w:tcW w:w="1124" w:type="pct"/>
            <w:tcBorders>
              <w:top w:val="single" w:color="auto" w:sz="4" w:space="0"/>
              <w:left w:val="nil"/>
              <w:bottom w:val="single" w:color="auto" w:sz="4" w:space="0"/>
              <w:right w:val="single" w:color="auto" w:sz="12" w:space="0"/>
            </w:tcBorders>
            <w:noWrap/>
            <w:vAlign w:val="center"/>
          </w:tcPr>
          <w:p w14:paraId="7C60D314">
            <w:pPr>
              <w:spacing w:line="240" w:lineRule="auto"/>
              <w:ind w:firstLine="0" w:firstLineChars="0"/>
              <w:jc w:val="center"/>
              <w:rPr>
                <w:rFonts w:cs="Times New Roman"/>
                <w:sz w:val="21"/>
              </w:rPr>
            </w:pPr>
            <w:r>
              <w:rPr>
                <w:rFonts w:cs="Times New Roman"/>
                <w:sz w:val="21"/>
              </w:rPr>
              <w:t>0.00000</w:t>
            </w:r>
          </w:p>
        </w:tc>
      </w:tr>
      <w:tr w14:paraId="2E202DC7">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552705FF">
            <w:pPr>
              <w:spacing w:line="240" w:lineRule="auto"/>
              <w:ind w:firstLine="0" w:firstLineChars="0"/>
              <w:jc w:val="center"/>
              <w:rPr>
                <w:rFonts w:cs="Times New Roman"/>
                <w:sz w:val="21"/>
              </w:rPr>
            </w:pPr>
            <w:r>
              <w:rPr>
                <w:rFonts w:cs="Times New Roman"/>
                <w:sz w:val="21"/>
              </w:rPr>
              <w:t>1000d</w:t>
            </w:r>
          </w:p>
        </w:tc>
      </w:tr>
      <w:tr w14:paraId="19C1BBE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1783864">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78B5B092">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086F3490">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7A484C08">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1D717625">
            <w:pPr>
              <w:spacing w:line="240" w:lineRule="auto"/>
              <w:ind w:firstLine="0" w:firstLineChars="0"/>
              <w:jc w:val="center"/>
              <w:rPr>
                <w:rFonts w:cs="Times New Roman"/>
                <w:sz w:val="21"/>
              </w:rPr>
            </w:pPr>
            <w:r>
              <w:rPr>
                <w:rFonts w:cs="Times New Roman"/>
                <w:sz w:val="21"/>
              </w:rPr>
              <w:t>7.5</w:t>
            </w:r>
          </w:p>
        </w:tc>
      </w:tr>
      <w:tr w14:paraId="68BCF77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05EF365">
            <w:pPr>
              <w:spacing w:line="240" w:lineRule="auto"/>
              <w:ind w:firstLine="0" w:firstLineChars="0"/>
              <w:jc w:val="center"/>
              <w:rPr>
                <w:rFonts w:cs="Times New Roman"/>
                <w:sz w:val="21"/>
              </w:rPr>
            </w:pPr>
            <w:r>
              <w:rPr>
                <w:rFonts w:cs="Times New Roman"/>
                <w:sz w:val="21"/>
              </w:rPr>
              <w:t>0</w:t>
            </w:r>
          </w:p>
        </w:tc>
        <w:tc>
          <w:tcPr>
            <w:tcW w:w="1124" w:type="pct"/>
            <w:tcBorders>
              <w:top w:val="single" w:color="auto" w:sz="4" w:space="0"/>
              <w:left w:val="nil"/>
              <w:bottom w:val="single" w:color="auto" w:sz="4" w:space="0"/>
              <w:right w:val="single" w:color="auto" w:sz="4" w:space="0"/>
            </w:tcBorders>
            <w:noWrap/>
            <w:vAlign w:val="center"/>
          </w:tcPr>
          <w:p w14:paraId="7A654AAE">
            <w:pPr>
              <w:spacing w:line="240" w:lineRule="auto"/>
              <w:ind w:firstLine="0" w:firstLineChars="0"/>
              <w:jc w:val="center"/>
              <w:rPr>
                <w:rFonts w:cs="Times New Roman"/>
                <w:sz w:val="21"/>
              </w:rPr>
            </w:pPr>
            <w:r>
              <w:rPr>
                <w:rFonts w:cs="Times New Roman"/>
                <w:sz w:val="21"/>
              </w:rPr>
              <w:t>2.04</w:t>
            </w:r>
          </w:p>
        </w:tc>
        <w:tc>
          <w:tcPr>
            <w:tcW w:w="1123" w:type="pct"/>
            <w:tcBorders>
              <w:top w:val="single" w:color="auto" w:sz="4" w:space="0"/>
              <w:left w:val="nil"/>
              <w:bottom w:val="single" w:color="auto" w:sz="4" w:space="0"/>
              <w:right w:val="single" w:color="auto" w:sz="4" w:space="0"/>
            </w:tcBorders>
            <w:noWrap/>
            <w:vAlign w:val="center"/>
          </w:tcPr>
          <w:p w14:paraId="3DFA256A">
            <w:pPr>
              <w:spacing w:line="240" w:lineRule="auto"/>
              <w:ind w:firstLine="0" w:firstLineChars="0"/>
              <w:jc w:val="center"/>
              <w:rPr>
                <w:rFonts w:cs="Times New Roman"/>
                <w:sz w:val="21"/>
              </w:rPr>
            </w:pPr>
            <w:r>
              <w:rPr>
                <w:rFonts w:cs="Times New Roman"/>
                <w:sz w:val="21"/>
              </w:rPr>
              <w:t>2.16</w:t>
            </w:r>
          </w:p>
        </w:tc>
        <w:tc>
          <w:tcPr>
            <w:tcW w:w="1123" w:type="pct"/>
            <w:tcBorders>
              <w:top w:val="single" w:color="auto" w:sz="4" w:space="0"/>
              <w:left w:val="nil"/>
              <w:bottom w:val="single" w:color="auto" w:sz="4" w:space="0"/>
              <w:right w:val="single" w:color="auto" w:sz="4" w:space="0"/>
            </w:tcBorders>
            <w:noWrap/>
            <w:vAlign w:val="center"/>
          </w:tcPr>
          <w:p w14:paraId="01EB58A0">
            <w:pPr>
              <w:spacing w:line="240" w:lineRule="auto"/>
              <w:ind w:firstLine="0" w:firstLineChars="0"/>
              <w:jc w:val="center"/>
              <w:rPr>
                <w:rFonts w:cs="Times New Roman"/>
                <w:sz w:val="21"/>
              </w:rPr>
            </w:pPr>
            <w:r>
              <w:rPr>
                <w:rFonts w:cs="Times New Roman"/>
                <w:sz w:val="21"/>
              </w:rPr>
              <w:t>2.19</w:t>
            </w:r>
          </w:p>
        </w:tc>
        <w:tc>
          <w:tcPr>
            <w:tcW w:w="1124" w:type="pct"/>
            <w:tcBorders>
              <w:top w:val="single" w:color="auto" w:sz="4" w:space="0"/>
              <w:left w:val="nil"/>
              <w:bottom w:val="single" w:color="auto" w:sz="4" w:space="0"/>
              <w:right w:val="single" w:color="auto" w:sz="12" w:space="0"/>
            </w:tcBorders>
            <w:noWrap/>
            <w:vAlign w:val="center"/>
          </w:tcPr>
          <w:p w14:paraId="3D1852AA">
            <w:pPr>
              <w:spacing w:line="240" w:lineRule="auto"/>
              <w:ind w:firstLine="0" w:firstLineChars="0"/>
              <w:jc w:val="center"/>
              <w:rPr>
                <w:rFonts w:cs="Times New Roman"/>
                <w:sz w:val="21"/>
              </w:rPr>
            </w:pPr>
            <w:r>
              <w:rPr>
                <w:rFonts w:cs="Times New Roman"/>
                <w:sz w:val="21"/>
              </w:rPr>
              <w:t>2.17</w:t>
            </w:r>
          </w:p>
        </w:tc>
      </w:tr>
      <w:tr w14:paraId="281763C4">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5227A39">
            <w:pPr>
              <w:spacing w:line="240" w:lineRule="auto"/>
              <w:ind w:firstLine="0" w:firstLineChars="0"/>
              <w:jc w:val="center"/>
              <w:rPr>
                <w:rFonts w:cs="Times New Roman"/>
                <w:sz w:val="21"/>
              </w:rPr>
            </w:pPr>
            <w:r>
              <w:rPr>
                <w:rFonts w:cs="Times New Roman"/>
                <w:sz w:val="21"/>
              </w:rPr>
              <w:t>30</w:t>
            </w:r>
          </w:p>
        </w:tc>
        <w:tc>
          <w:tcPr>
            <w:tcW w:w="1124" w:type="pct"/>
            <w:tcBorders>
              <w:top w:val="single" w:color="auto" w:sz="4" w:space="0"/>
              <w:left w:val="nil"/>
              <w:bottom w:val="single" w:color="auto" w:sz="4" w:space="0"/>
              <w:right w:val="single" w:color="auto" w:sz="4" w:space="0"/>
            </w:tcBorders>
            <w:noWrap/>
            <w:vAlign w:val="center"/>
          </w:tcPr>
          <w:p w14:paraId="61F777FE">
            <w:pPr>
              <w:spacing w:line="240" w:lineRule="auto"/>
              <w:ind w:firstLine="0" w:firstLineChars="0"/>
              <w:jc w:val="center"/>
              <w:rPr>
                <w:rFonts w:cs="Times New Roman"/>
                <w:sz w:val="21"/>
              </w:rPr>
            </w:pPr>
            <w:r>
              <w:rPr>
                <w:rFonts w:cs="Times New Roman"/>
                <w:sz w:val="21"/>
              </w:rPr>
              <w:t>3.17</w:t>
            </w:r>
          </w:p>
        </w:tc>
        <w:tc>
          <w:tcPr>
            <w:tcW w:w="1123" w:type="pct"/>
            <w:tcBorders>
              <w:top w:val="single" w:color="auto" w:sz="4" w:space="0"/>
              <w:left w:val="nil"/>
              <w:bottom w:val="single" w:color="auto" w:sz="4" w:space="0"/>
              <w:right w:val="single" w:color="auto" w:sz="4" w:space="0"/>
            </w:tcBorders>
            <w:noWrap/>
            <w:vAlign w:val="center"/>
          </w:tcPr>
          <w:p w14:paraId="7B66E147">
            <w:pPr>
              <w:spacing w:line="240" w:lineRule="auto"/>
              <w:ind w:firstLine="0" w:firstLineChars="0"/>
              <w:jc w:val="center"/>
              <w:rPr>
                <w:rFonts w:cs="Times New Roman"/>
                <w:sz w:val="21"/>
              </w:rPr>
            </w:pPr>
            <w:r>
              <w:rPr>
                <w:rFonts w:cs="Times New Roman"/>
                <w:sz w:val="21"/>
              </w:rPr>
              <w:t>4.11</w:t>
            </w:r>
          </w:p>
        </w:tc>
        <w:tc>
          <w:tcPr>
            <w:tcW w:w="1123" w:type="pct"/>
            <w:tcBorders>
              <w:top w:val="single" w:color="auto" w:sz="4" w:space="0"/>
              <w:left w:val="nil"/>
              <w:bottom w:val="single" w:color="auto" w:sz="4" w:space="0"/>
              <w:right w:val="single" w:color="auto" w:sz="4" w:space="0"/>
            </w:tcBorders>
            <w:noWrap/>
            <w:vAlign w:val="center"/>
          </w:tcPr>
          <w:p w14:paraId="1839C55B">
            <w:pPr>
              <w:spacing w:line="240" w:lineRule="auto"/>
              <w:ind w:firstLine="0" w:firstLineChars="0"/>
              <w:jc w:val="center"/>
              <w:rPr>
                <w:rFonts w:cs="Times New Roman"/>
                <w:sz w:val="21"/>
              </w:rPr>
            </w:pPr>
            <w:r>
              <w:rPr>
                <w:rFonts w:cs="Times New Roman"/>
                <w:sz w:val="21"/>
              </w:rPr>
              <w:t>4.78</w:t>
            </w:r>
          </w:p>
        </w:tc>
        <w:tc>
          <w:tcPr>
            <w:tcW w:w="1124" w:type="pct"/>
            <w:tcBorders>
              <w:top w:val="single" w:color="auto" w:sz="4" w:space="0"/>
              <w:left w:val="nil"/>
              <w:bottom w:val="single" w:color="auto" w:sz="4" w:space="0"/>
              <w:right w:val="single" w:color="auto" w:sz="12" w:space="0"/>
            </w:tcBorders>
            <w:noWrap/>
            <w:vAlign w:val="center"/>
          </w:tcPr>
          <w:p w14:paraId="07E96820">
            <w:pPr>
              <w:spacing w:line="240" w:lineRule="auto"/>
              <w:ind w:firstLine="0" w:firstLineChars="0"/>
              <w:jc w:val="center"/>
              <w:rPr>
                <w:rFonts w:cs="Times New Roman"/>
                <w:sz w:val="21"/>
              </w:rPr>
            </w:pPr>
            <w:r>
              <w:rPr>
                <w:rFonts w:cs="Times New Roman"/>
                <w:sz w:val="21"/>
              </w:rPr>
              <w:t>5.63</w:t>
            </w:r>
          </w:p>
        </w:tc>
      </w:tr>
      <w:tr w14:paraId="1DA3A9BD">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06043F9">
            <w:pPr>
              <w:spacing w:line="240" w:lineRule="auto"/>
              <w:ind w:firstLine="0" w:firstLineChars="0"/>
              <w:jc w:val="center"/>
              <w:rPr>
                <w:rFonts w:cs="Times New Roman"/>
                <w:sz w:val="21"/>
              </w:rPr>
            </w:pPr>
            <w:r>
              <w:rPr>
                <w:rFonts w:cs="Times New Roman"/>
                <w:sz w:val="21"/>
              </w:rPr>
              <w:t>50</w:t>
            </w:r>
          </w:p>
        </w:tc>
        <w:tc>
          <w:tcPr>
            <w:tcW w:w="1124" w:type="pct"/>
            <w:tcBorders>
              <w:top w:val="single" w:color="auto" w:sz="4" w:space="0"/>
              <w:left w:val="nil"/>
              <w:bottom w:val="single" w:color="auto" w:sz="4" w:space="0"/>
              <w:right w:val="single" w:color="auto" w:sz="4" w:space="0"/>
            </w:tcBorders>
            <w:noWrap/>
            <w:vAlign w:val="center"/>
          </w:tcPr>
          <w:p w14:paraId="2EA49B7E">
            <w:pPr>
              <w:spacing w:line="240" w:lineRule="auto"/>
              <w:ind w:firstLine="0" w:firstLineChars="0"/>
              <w:jc w:val="center"/>
              <w:rPr>
                <w:rFonts w:cs="Times New Roman"/>
                <w:sz w:val="21"/>
              </w:rPr>
            </w:pPr>
            <w:r>
              <w:rPr>
                <w:rFonts w:cs="Times New Roman"/>
                <w:sz w:val="21"/>
              </w:rPr>
              <w:t>1.63</w:t>
            </w:r>
          </w:p>
        </w:tc>
        <w:tc>
          <w:tcPr>
            <w:tcW w:w="1123" w:type="pct"/>
            <w:tcBorders>
              <w:top w:val="single" w:color="auto" w:sz="4" w:space="0"/>
              <w:left w:val="nil"/>
              <w:bottom w:val="single" w:color="auto" w:sz="4" w:space="0"/>
              <w:right w:val="single" w:color="auto" w:sz="4" w:space="0"/>
            </w:tcBorders>
            <w:noWrap/>
            <w:vAlign w:val="center"/>
          </w:tcPr>
          <w:p w14:paraId="192EA50D">
            <w:pPr>
              <w:spacing w:line="240" w:lineRule="auto"/>
              <w:ind w:firstLine="0" w:firstLineChars="0"/>
              <w:jc w:val="center"/>
              <w:rPr>
                <w:rFonts w:cs="Times New Roman"/>
                <w:sz w:val="21"/>
              </w:rPr>
            </w:pPr>
            <w:r>
              <w:rPr>
                <w:rFonts w:cs="Times New Roman"/>
                <w:sz w:val="21"/>
              </w:rPr>
              <w:t>2.43</w:t>
            </w:r>
          </w:p>
        </w:tc>
        <w:tc>
          <w:tcPr>
            <w:tcW w:w="1123" w:type="pct"/>
            <w:tcBorders>
              <w:top w:val="single" w:color="auto" w:sz="4" w:space="0"/>
              <w:left w:val="nil"/>
              <w:bottom w:val="single" w:color="auto" w:sz="4" w:space="0"/>
              <w:right w:val="single" w:color="auto" w:sz="4" w:space="0"/>
            </w:tcBorders>
            <w:noWrap/>
            <w:vAlign w:val="center"/>
          </w:tcPr>
          <w:p w14:paraId="2E285DBE">
            <w:pPr>
              <w:spacing w:line="240" w:lineRule="auto"/>
              <w:ind w:firstLine="0" w:firstLineChars="0"/>
              <w:jc w:val="center"/>
              <w:rPr>
                <w:rFonts w:cs="Times New Roman"/>
                <w:sz w:val="21"/>
              </w:rPr>
            </w:pPr>
            <w:r>
              <w:rPr>
                <w:rFonts w:cs="Times New Roman"/>
                <w:sz w:val="21"/>
              </w:rPr>
              <w:t>3.10</w:t>
            </w:r>
          </w:p>
        </w:tc>
        <w:tc>
          <w:tcPr>
            <w:tcW w:w="1124" w:type="pct"/>
            <w:tcBorders>
              <w:top w:val="single" w:color="auto" w:sz="4" w:space="0"/>
              <w:left w:val="nil"/>
              <w:bottom w:val="single" w:color="auto" w:sz="4" w:space="0"/>
              <w:right w:val="single" w:color="auto" w:sz="12" w:space="0"/>
            </w:tcBorders>
            <w:noWrap/>
            <w:vAlign w:val="center"/>
          </w:tcPr>
          <w:p w14:paraId="20E7604D">
            <w:pPr>
              <w:spacing w:line="240" w:lineRule="auto"/>
              <w:ind w:firstLine="0" w:firstLineChars="0"/>
              <w:jc w:val="center"/>
              <w:rPr>
                <w:rFonts w:cs="Times New Roman"/>
                <w:sz w:val="21"/>
              </w:rPr>
            </w:pPr>
            <w:r>
              <w:rPr>
                <w:rFonts w:cs="Times New Roman"/>
                <w:sz w:val="21"/>
              </w:rPr>
              <w:t>4.09</w:t>
            </w:r>
          </w:p>
        </w:tc>
      </w:tr>
      <w:tr w14:paraId="1A1CD62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B36C305">
            <w:pPr>
              <w:spacing w:line="240" w:lineRule="auto"/>
              <w:ind w:firstLine="0" w:firstLineChars="0"/>
              <w:jc w:val="center"/>
              <w:rPr>
                <w:rFonts w:cs="Times New Roman"/>
                <w:sz w:val="21"/>
              </w:rPr>
            </w:pPr>
            <w:r>
              <w:rPr>
                <w:rFonts w:cs="Times New Roman"/>
                <w:sz w:val="21"/>
              </w:rPr>
              <w:t>100</w:t>
            </w:r>
          </w:p>
        </w:tc>
        <w:tc>
          <w:tcPr>
            <w:tcW w:w="1124" w:type="pct"/>
            <w:tcBorders>
              <w:top w:val="single" w:color="auto" w:sz="4" w:space="0"/>
              <w:left w:val="nil"/>
              <w:bottom w:val="single" w:color="auto" w:sz="4" w:space="0"/>
              <w:right w:val="single" w:color="auto" w:sz="4" w:space="0"/>
            </w:tcBorders>
            <w:noWrap/>
            <w:vAlign w:val="center"/>
          </w:tcPr>
          <w:p w14:paraId="365466CA">
            <w:pPr>
              <w:spacing w:line="240" w:lineRule="auto"/>
              <w:ind w:firstLine="0" w:firstLineChars="0"/>
              <w:jc w:val="center"/>
              <w:rPr>
                <w:rFonts w:cs="Times New Roman"/>
                <w:sz w:val="21"/>
              </w:rPr>
            </w:pPr>
            <w:r>
              <w:rPr>
                <w:rFonts w:cs="Times New Roman"/>
                <w:sz w:val="21"/>
              </w:rPr>
              <w:t>0.0110</w:t>
            </w:r>
          </w:p>
        </w:tc>
        <w:tc>
          <w:tcPr>
            <w:tcW w:w="1123" w:type="pct"/>
            <w:tcBorders>
              <w:top w:val="single" w:color="auto" w:sz="4" w:space="0"/>
              <w:left w:val="nil"/>
              <w:bottom w:val="single" w:color="auto" w:sz="4" w:space="0"/>
              <w:right w:val="single" w:color="auto" w:sz="4" w:space="0"/>
            </w:tcBorders>
            <w:noWrap/>
            <w:vAlign w:val="center"/>
          </w:tcPr>
          <w:p w14:paraId="4B5C9FAF">
            <w:pPr>
              <w:spacing w:line="240" w:lineRule="auto"/>
              <w:ind w:firstLine="0" w:firstLineChars="0"/>
              <w:jc w:val="center"/>
              <w:rPr>
                <w:rFonts w:cs="Times New Roman"/>
                <w:sz w:val="21"/>
              </w:rPr>
            </w:pPr>
            <w:r>
              <w:rPr>
                <w:rFonts w:cs="Times New Roman"/>
                <w:sz w:val="21"/>
              </w:rPr>
              <w:t>0.0230</w:t>
            </w:r>
          </w:p>
        </w:tc>
        <w:tc>
          <w:tcPr>
            <w:tcW w:w="1123" w:type="pct"/>
            <w:tcBorders>
              <w:top w:val="single" w:color="auto" w:sz="4" w:space="0"/>
              <w:left w:val="nil"/>
              <w:bottom w:val="single" w:color="auto" w:sz="4" w:space="0"/>
              <w:right w:val="single" w:color="auto" w:sz="4" w:space="0"/>
            </w:tcBorders>
            <w:noWrap/>
            <w:vAlign w:val="center"/>
          </w:tcPr>
          <w:p w14:paraId="4A5FEDE3">
            <w:pPr>
              <w:spacing w:line="240" w:lineRule="auto"/>
              <w:ind w:firstLine="0" w:firstLineChars="0"/>
              <w:jc w:val="center"/>
              <w:rPr>
                <w:rFonts w:cs="Times New Roman"/>
                <w:sz w:val="21"/>
              </w:rPr>
            </w:pPr>
            <w:r>
              <w:rPr>
                <w:rFonts w:cs="Times New Roman"/>
                <w:sz w:val="21"/>
              </w:rPr>
              <w:t>0.0369</w:t>
            </w:r>
          </w:p>
        </w:tc>
        <w:tc>
          <w:tcPr>
            <w:tcW w:w="1124" w:type="pct"/>
            <w:tcBorders>
              <w:top w:val="single" w:color="auto" w:sz="4" w:space="0"/>
              <w:left w:val="nil"/>
              <w:bottom w:val="single" w:color="auto" w:sz="4" w:space="0"/>
              <w:right w:val="single" w:color="auto" w:sz="12" w:space="0"/>
            </w:tcBorders>
            <w:noWrap/>
            <w:vAlign w:val="center"/>
          </w:tcPr>
          <w:p w14:paraId="6440A897">
            <w:pPr>
              <w:spacing w:line="240" w:lineRule="auto"/>
              <w:ind w:firstLine="0" w:firstLineChars="0"/>
              <w:jc w:val="center"/>
              <w:rPr>
                <w:rFonts w:cs="Times New Roman"/>
                <w:sz w:val="21"/>
              </w:rPr>
            </w:pPr>
            <w:r>
              <w:rPr>
                <w:rFonts w:cs="Times New Roman"/>
                <w:sz w:val="21"/>
              </w:rPr>
              <w:t>0.0648</w:t>
            </w:r>
          </w:p>
        </w:tc>
      </w:tr>
      <w:tr w14:paraId="35CC435F">
        <w:tblPrEx>
          <w:tblCellMar>
            <w:top w:w="0" w:type="dxa"/>
            <w:left w:w="108" w:type="dxa"/>
            <w:bottom w:w="0" w:type="dxa"/>
            <w:right w:w="108" w:type="dxa"/>
          </w:tblCellMar>
        </w:tblPrEx>
        <w:trPr>
          <w:trHeight w:val="397" w:hRule="atLeast"/>
        </w:trPr>
        <w:tc>
          <w:tcPr>
            <w:tcW w:w="506" w:type="pct"/>
            <w:tcBorders>
              <w:top w:val="single" w:color="auto" w:sz="4" w:space="0"/>
              <w:left w:val="single" w:color="auto" w:sz="12" w:space="0"/>
              <w:bottom w:val="single" w:color="auto" w:sz="4" w:space="0"/>
              <w:right w:val="single" w:color="auto" w:sz="4" w:space="0"/>
            </w:tcBorders>
            <w:noWrap/>
            <w:vAlign w:val="center"/>
          </w:tcPr>
          <w:p w14:paraId="1D658797">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4" w:space="0"/>
              <w:right w:val="single" w:color="auto" w:sz="4" w:space="0"/>
            </w:tcBorders>
            <w:noWrap/>
            <w:vAlign w:val="center"/>
          </w:tcPr>
          <w:p w14:paraId="258FB29D">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3C2CB56F">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7D9FE0F9">
            <w:pPr>
              <w:spacing w:line="240" w:lineRule="auto"/>
              <w:ind w:firstLine="0" w:firstLineChars="0"/>
              <w:jc w:val="center"/>
              <w:rPr>
                <w:rFonts w:cs="Times New Roman"/>
                <w:sz w:val="21"/>
              </w:rPr>
            </w:pPr>
            <w:r>
              <w:rPr>
                <w:rFonts w:cs="Times New Roman"/>
                <w:sz w:val="21"/>
              </w:rPr>
              <w:t>0.00000</w:t>
            </w:r>
          </w:p>
        </w:tc>
        <w:tc>
          <w:tcPr>
            <w:tcW w:w="1124" w:type="pct"/>
            <w:tcBorders>
              <w:top w:val="single" w:color="auto" w:sz="4" w:space="0"/>
              <w:left w:val="nil"/>
              <w:bottom w:val="single" w:color="auto" w:sz="4" w:space="0"/>
              <w:right w:val="single" w:color="auto" w:sz="12" w:space="0"/>
            </w:tcBorders>
            <w:noWrap/>
            <w:vAlign w:val="center"/>
          </w:tcPr>
          <w:p w14:paraId="217CA4D5">
            <w:pPr>
              <w:spacing w:line="240" w:lineRule="auto"/>
              <w:ind w:firstLine="0" w:firstLineChars="0"/>
              <w:jc w:val="center"/>
              <w:rPr>
                <w:rFonts w:cs="Times New Roman"/>
                <w:sz w:val="21"/>
              </w:rPr>
            </w:pPr>
            <w:r>
              <w:rPr>
                <w:rFonts w:cs="Times New Roman"/>
                <w:sz w:val="21"/>
              </w:rPr>
              <w:t>0.00000</w:t>
            </w:r>
          </w:p>
        </w:tc>
      </w:tr>
      <w:tr w14:paraId="55E4F47D">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7E1EB8FF">
            <w:pPr>
              <w:spacing w:line="240" w:lineRule="auto"/>
              <w:ind w:firstLine="0" w:firstLineChars="0"/>
              <w:jc w:val="center"/>
              <w:rPr>
                <w:rFonts w:cs="Times New Roman"/>
                <w:sz w:val="21"/>
              </w:rPr>
            </w:pPr>
            <w:r>
              <w:rPr>
                <w:rFonts w:cs="Times New Roman"/>
                <w:sz w:val="21"/>
              </w:rPr>
              <w:t>3650d</w:t>
            </w:r>
          </w:p>
        </w:tc>
      </w:tr>
      <w:tr w14:paraId="442FF85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F7C1AF9">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37555472">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0B71823F">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617C5FA3">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14624C99">
            <w:pPr>
              <w:spacing w:line="240" w:lineRule="auto"/>
              <w:ind w:firstLine="0" w:firstLineChars="0"/>
              <w:jc w:val="center"/>
              <w:rPr>
                <w:rFonts w:cs="Times New Roman"/>
                <w:sz w:val="21"/>
              </w:rPr>
            </w:pPr>
            <w:r>
              <w:rPr>
                <w:rFonts w:cs="Times New Roman"/>
                <w:sz w:val="21"/>
              </w:rPr>
              <w:t>7.5</w:t>
            </w:r>
          </w:p>
        </w:tc>
      </w:tr>
      <w:tr w14:paraId="5F0939D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4064AB3">
            <w:pPr>
              <w:spacing w:line="240" w:lineRule="auto"/>
              <w:ind w:firstLine="0" w:firstLineChars="0"/>
              <w:jc w:val="center"/>
              <w:rPr>
                <w:rFonts w:cs="Times New Roman"/>
                <w:sz w:val="21"/>
              </w:rPr>
            </w:pPr>
            <w:r>
              <w:rPr>
                <w:rFonts w:cs="Times New Roman"/>
                <w:sz w:val="21"/>
              </w:rPr>
              <w:t>0</w:t>
            </w:r>
          </w:p>
        </w:tc>
        <w:tc>
          <w:tcPr>
            <w:tcW w:w="1124" w:type="pct"/>
            <w:tcBorders>
              <w:top w:val="single" w:color="auto" w:sz="4" w:space="0"/>
              <w:left w:val="nil"/>
              <w:bottom w:val="single" w:color="auto" w:sz="4" w:space="0"/>
              <w:right w:val="single" w:color="auto" w:sz="4" w:space="0"/>
            </w:tcBorders>
            <w:noWrap/>
            <w:vAlign w:val="center"/>
          </w:tcPr>
          <w:p w14:paraId="5BDE45C9">
            <w:pPr>
              <w:spacing w:line="240" w:lineRule="auto"/>
              <w:ind w:firstLine="0" w:firstLineChars="0"/>
              <w:jc w:val="center"/>
              <w:rPr>
                <w:rFonts w:cs="Times New Roman"/>
                <w:sz w:val="21"/>
              </w:rPr>
            </w:pPr>
            <w:r>
              <w:rPr>
                <w:rFonts w:cs="Times New Roman"/>
                <w:sz w:val="21"/>
              </w:rPr>
              <w:t>0.00201</w:t>
            </w:r>
          </w:p>
        </w:tc>
        <w:tc>
          <w:tcPr>
            <w:tcW w:w="1123" w:type="pct"/>
            <w:tcBorders>
              <w:top w:val="single" w:color="auto" w:sz="4" w:space="0"/>
              <w:left w:val="nil"/>
              <w:bottom w:val="single" w:color="auto" w:sz="4" w:space="0"/>
              <w:right w:val="single" w:color="auto" w:sz="4" w:space="0"/>
            </w:tcBorders>
            <w:noWrap/>
            <w:vAlign w:val="center"/>
          </w:tcPr>
          <w:p w14:paraId="5A085FE9">
            <w:pPr>
              <w:spacing w:line="240" w:lineRule="auto"/>
              <w:ind w:firstLine="0" w:firstLineChars="0"/>
              <w:jc w:val="center"/>
              <w:rPr>
                <w:rFonts w:cs="Times New Roman"/>
                <w:sz w:val="21"/>
              </w:rPr>
            </w:pPr>
            <w:r>
              <w:rPr>
                <w:rFonts w:cs="Times New Roman"/>
                <w:sz w:val="21"/>
              </w:rPr>
              <w:t>0.00215</w:t>
            </w:r>
          </w:p>
        </w:tc>
        <w:tc>
          <w:tcPr>
            <w:tcW w:w="1123" w:type="pct"/>
            <w:tcBorders>
              <w:top w:val="single" w:color="auto" w:sz="4" w:space="0"/>
              <w:left w:val="nil"/>
              <w:bottom w:val="single" w:color="auto" w:sz="4" w:space="0"/>
              <w:right w:val="single" w:color="auto" w:sz="4" w:space="0"/>
            </w:tcBorders>
            <w:noWrap/>
            <w:vAlign w:val="center"/>
          </w:tcPr>
          <w:p w14:paraId="4A9751C6">
            <w:pPr>
              <w:spacing w:line="240" w:lineRule="auto"/>
              <w:ind w:firstLine="0" w:firstLineChars="0"/>
              <w:jc w:val="center"/>
              <w:rPr>
                <w:rFonts w:cs="Times New Roman"/>
                <w:sz w:val="21"/>
              </w:rPr>
            </w:pPr>
            <w:r>
              <w:rPr>
                <w:rFonts w:cs="Times New Roman"/>
                <w:sz w:val="21"/>
              </w:rPr>
              <w:t>0.00224</w:t>
            </w:r>
          </w:p>
        </w:tc>
        <w:tc>
          <w:tcPr>
            <w:tcW w:w="1124" w:type="pct"/>
            <w:tcBorders>
              <w:top w:val="single" w:color="auto" w:sz="4" w:space="0"/>
              <w:left w:val="nil"/>
              <w:bottom w:val="single" w:color="auto" w:sz="4" w:space="0"/>
              <w:right w:val="single" w:color="auto" w:sz="12" w:space="0"/>
            </w:tcBorders>
            <w:noWrap/>
            <w:vAlign w:val="center"/>
          </w:tcPr>
          <w:p w14:paraId="2EFB022F">
            <w:pPr>
              <w:spacing w:line="240" w:lineRule="auto"/>
              <w:ind w:firstLine="0" w:firstLineChars="0"/>
              <w:jc w:val="center"/>
              <w:rPr>
                <w:rFonts w:cs="Times New Roman"/>
                <w:sz w:val="21"/>
              </w:rPr>
            </w:pPr>
            <w:r>
              <w:rPr>
                <w:rFonts w:cs="Times New Roman"/>
                <w:sz w:val="21"/>
              </w:rPr>
              <w:t>0.00234</w:t>
            </w:r>
          </w:p>
        </w:tc>
      </w:tr>
      <w:tr w14:paraId="30A53C0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B731C72">
            <w:pPr>
              <w:spacing w:line="240" w:lineRule="auto"/>
              <w:ind w:firstLine="0" w:firstLineChars="0"/>
              <w:jc w:val="center"/>
              <w:rPr>
                <w:rFonts w:cs="Times New Roman"/>
                <w:sz w:val="21"/>
              </w:rPr>
            </w:pPr>
            <w:r>
              <w:rPr>
                <w:rFonts w:cs="Times New Roman"/>
                <w:sz w:val="21"/>
              </w:rPr>
              <w:t>30</w:t>
            </w:r>
          </w:p>
        </w:tc>
        <w:tc>
          <w:tcPr>
            <w:tcW w:w="1124" w:type="pct"/>
            <w:tcBorders>
              <w:top w:val="single" w:color="auto" w:sz="4" w:space="0"/>
              <w:left w:val="nil"/>
              <w:bottom w:val="single" w:color="auto" w:sz="4" w:space="0"/>
              <w:right w:val="single" w:color="auto" w:sz="4" w:space="0"/>
            </w:tcBorders>
            <w:noWrap/>
            <w:vAlign w:val="center"/>
          </w:tcPr>
          <w:p w14:paraId="286759E9">
            <w:pPr>
              <w:spacing w:line="240" w:lineRule="auto"/>
              <w:ind w:firstLine="0" w:firstLineChars="0"/>
              <w:jc w:val="center"/>
              <w:rPr>
                <w:rFonts w:cs="Times New Roman"/>
                <w:sz w:val="21"/>
              </w:rPr>
            </w:pPr>
            <w:r>
              <w:rPr>
                <w:rFonts w:cs="Times New Roman"/>
                <w:sz w:val="21"/>
              </w:rPr>
              <w:t>0.00581</w:t>
            </w:r>
          </w:p>
        </w:tc>
        <w:tc>
          <w:tcPr>
            <w:tcW w:w="1123" w:type="pct"/>
            <w:tcBorders>
              <w:top w:val="single" w:color="auto" w:sz="4" w:space="0"/>
              <w:left w:val="nil"/>
              <w:bottom w:val="single" w:color="auto" w:sz="4" w:space="0"/>
              <w:right w:val="single" w:color="auto" w:sz="4" w:space="0"/>
            </w:tcBorders>
            <w:noWrap/>
            <w:vAlign w:val="center"/>
          </w:tcPr>
          <w:p w14:paraId="05AD7DA8">
            <w:pPr>
              <w:spacing w:line="240" w:lineRule="auto"/>
              <w:ind w:firstLine="0" w:firstLineChars="0"/>
              <w:jc w:val="center"/>
              <w:rPr>
                <w:rFonts w:cs="Times New Roman"/>
                <w:sz w:val="21"/>
              </w:rPr>
            </w:pPr>
            <w:r>
              <w:rPr>
                <w:rFonts w:cs="Times New Roman"/>
                <w:sz w:val="21"/>
              </w:rPr>
              <w:t>0.00659</w:t>
            </w:r>
          </w:p>
        </w:tc>
        <w:tc>
          <w:tcPr>
            <w:tcW w:w="1123" w:type="pct"/>
            <w:tcBorders>
              <w:top w:val="single" w:color="auto" w:sz="4" w:space="0"/>
              <w:left w:val="nil"/>
              <w:bottom w:val="single" w:color="auto" w:sz="4" w:space="0"/>
              <w:right w:val="single" w:color="auto" w:sz="4" w:space="0"/>
            </w:tcBorders>
            <w:noWrap/>
            <w:vAlign w:val="center"/>
          </w:tcPr>
          <w:p w14:paraId="4ED4F555">
            <w:pPr>
              <w:spacing w:line="240" w:lineRule="auto"/>
              <w:ind w:firstLine="0" w:firstLineChars="0"/>
              <w:jc w:val="center"/>
              <w:rPr>
                <w:rFonts w:cs="Times New Roman"/>
                <w:sz w:val="21"/>
              </w:rPr>
            </w:pPr>
            <w:r>
              <w:rPr>
                <w:rFonts w:cs="Times New Roman"/>
                <w:sz w:val="21"/>
              </w:rPr>
              <w:t>0.00712</w:t>
            </w:r>
          </w:p>
        </w:tc>
        <w:tc>
          <w:tcPr>
            <w:tcW w:w="1124" w:type="pct"/>
            <w:tcBorders>
              <w:top w:val="single" w:color="auto" w:sz="4" w:space="0"/>
              <w:left w:val="nil"/>
              <w:bottom w:val="single" w:color="auto" w:sz="4" w:space="0"/>
              <w:right w:val="single" w:color="auto" w:sz="12" w:space="0"/>
            </w:tcBorders>
            <w:noWrap/>
            <w:vAlign w:val="center"/>
          </w:tcPr>
          <w:p w14:paraId="1E89969D">
            <w:pPr>
              <w:spacing w:line="240" w:lineRule="auto"/>
              <w:ind w:firstLine="0" w:firstLineChars="0"/>
              <w:jc w:val="center"/>
              <w:rPr>
                <w:rFonts w:cs="Times New Roman"/>
                <w:sz w:val="21"/>
              </w:rPr>
            </w:pPr>
            <w:r>
              <w:rPr>
                <w:rFonts w:cs="Times New Roman"/>
                <w:sz w:val="21"/>
              </w:rPr>
              <w:t>0.00779</w:t>
            </w:r>
          </w:p>
        </w:tc>
      </w:tr>
      <w:tr w14:paraId="7378CFB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08F9BC6">
            <w:pPr>
              <w:spacing w:line="240" w:lineRule="auto"/>
              <w:ind w:firstLine="0" w:firstLineChars="0"/>
              <w:jc w:val="center"/>
              <w:rPr>
                <w:rFonts w:cs="Times New Roman"/>
                <w:sz w:val="21"/>
              </w:rPr>
            </w:pPr>
            <w:r>
              <w:rPr>
                <w:rFonts w:cs="Times New Roman"/>
                <w:sz w:val="21"/>
              </w:rPr>
              <w:t>50</w:t>
            </w:r>
          </w:p>
        </w:tc>
        <w:tc>
          <w:tcPr>
            <w:tcW w:w="1124" w:type="pct"/>
            <w:tcBorders>
              <w:top w:val="single" w:color="auto" w:sz="4" w:space="0"/>
              <w:left w:val="nil"/>
              <w:bottom w:val="single" w:color="auto" w:sz="4" w:space="0"/>
              <w:right w:val="single" w:color="auto" w:sz="4" w:space="0"/>
            </w:tcBorders>
            <w:noWrap/>
            <w:vAlign w:val="center"/>
          </w:tcPr>
          <w:p w14:paraId="1CEAF713">
            <w:pPr>
              <w:spacing w:line="240" w:lineRule="auto"/>
              <w:ind w:firstLine="0" w:firstLineChars="0"/>
              <w:jc w:val="center"/>
              <w:rPr>
                <w:rFonts w:cs="Times New Roman"/>
                <w:sz w:val="21"/>
              </w:rPr>
            </w:pPr>
            <w:r>
              <w:rPr>
                <w:rFonts w:cs="Times New Roman"/>
                <w:sz w:val="21"/>
              </w:rPr>
              <w:t>0.00908</w:t>
            </w:r>
          </w:p>
        </w:tc>
        <w:tc>
          <w:tcPr>
            <w:tcW w:w="1123" w:type="pct"/>
            <w:tcBorders>
              <w:top w:val="single" w:color="auto" w:sz="4" w:space="0"/>
              <w:left w:val="nil"/>
              <w:bottom w:val="single" w:color="auto" w:sz="4" w:space="0"/>
              <w:right w:val="single" w:color="auto" w:sz="4" w:space="0"/>
            </w:tcBorders>
            <w:noWrap/>
            <w:vAlign w:val="center"/>
          </w:tcPr>
          <w:p w14:paraId="5DA3C5FA">
            <w:pPr>
              <w:spacing w:line="240" w:lineRule="auto"/>
              <w:ind w:firstLine="0" w:firstLineChars="0"/>
              <w:jc w:val="center"/>
              <w:rPr>
                <w:rFonts w:cs="Times New Roman"/>
                <w:sz w:val="21"/>
              </w:rPr>
            </w:pPr>
            <w:r>
              <w:rPr>
                <w:rFonts w:cs="Times New Roman"/>
                <w:sz w:val="21"/>
              </w:rPr>
              <w:t>0.01070</w:t>
            </w:r>
          </w:p>
        </w:tc>
        <w:tc>
          <w:tcPr>
            <w:tcW w:w="1123" w:type="pct"/>
            <w:tcBorders>
              <w:top w:val="single" w:color="auto" w:sz="4" w:space="0"/>
              <w:left w:val="nil"/>
              <w:bottom w:val="single" w:color="auto" w:sz="4" w:space="0"/>
              <w:right w:val="single" w:color="auto" w:sz="4" w:space="0"/>
            </w:tcBorders>
            <w:noWrap/>
            <w:vAlign w:val="center"/>
          </w:tcPr>
          <w:p w14:paraId="0E7BA1EA">
            <w:pPr>
              <w:spacing w:line="240" w:lineRule="auto"/>
              <w:ind w:firstLine="0" w:firstLineChars="0"/>
              <w:jc w:val="center"/>
              <w:rPr>
                <w:rFonts w:cs="Times New Roman"/>
                <w:sz w:val="21"/>
              </w:rPr>
            </w:pPr>
            <w:r>
              <w:rPr>
                <w:rFonts w:cs="Times New Roman"/>
                <w:sz w:val="21"/>
              </w:rPr>
              <w:t>0.01186</w:t>
            </w:r>
          </w:p>
        </w:tc>
        <w:tc>
          <w:tcPr>
            <w:tcW w:w="1124" w:type="pct"/>
            <w:tcBorders>
              <w:top w:val="single" w:color="auto" w:sz="4" w:space="0"/>
              <w:left w:val="nil"/>
              <w:bottom w:val="single" w:color="auto" w:sz="4" w:space="0"/>
              <w:right w:val="single" w:color="auto" w:sz="12" w:space="0"/>
            </w:tcBorders>
            <w:noWrap/>
            <w:vAlign w:val="center"/>
          </w:tcPr>
          <w:p w14:paraId="1830DC0A">
            <w:pPr>
              <w:spacing w:line="240" w:lineRule="auto"/>
              <w:ind w:firstLine="0" w:firstLineChars="0"/>
              <w:jc w:val="center"/>
              <w:rPr>
                <w:rFonts w:cs="Times New Roman"/>
                <w:sz w:val="21"/>
              </w:rPr>
            </w:pPr>
            <w:r>
              <w:rPr>
                <w:rFonts w:cs="Times New Roman"/>
                <w:sz w:val="21"/>
              </w:rPr>
              <w:t>0.01339</w:t>
            </w:r>
          </w:p>
        </w:tc>
      </w:tr>
      <w:tr w14:paraId="4464E91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545475D">
            <w:pPr>
              <w:spacing w:line="240" w:lineRule="auto"/>
              <w:ind w:firstLine="0" w:firstLineChars="0"/>
              <w:jc w:val="center"/>
              <w:rPr>
                <w:rFonts w:cs="Times New Roman"/>
                <w:sz w:val="21"/>
              </w:rPr>
            </w:pPr>
            <w:r>
              <w:rPr>
                <w:rFonts w:cs="Times New Roman"/>
                <w:sz w:val="21"/>
              </w:rPr>
              <w:t>100</w:t>
            </w:r>
          </w:p>
        </w:tc>
        <w:tc>
          <w:tcPr>
            <w:tcW w:w="1124" w:type="pct"/>
            <w:tcBorders>
              <w:top w:val="single" w:color="auto" w:sz="4" w:space="0"/>
              <w:left w:val="nil"/>
              <w:bottom w:val="single" w:color="auto" w:sz="4" w:space="0"/>
              <w:right w:val="single" w:color="auto" w:sz="4" w:space="0"/>
            </w:tcBorders>
            <w:noWrap/>
            <w:vAlign w:val="center"/>
          </w:tcPr>
          <w:p w14:paraId="349C9F9E">
            <w:pPr>
              <w:spacing w:line="240" w:lineRule="auto"/>
              <w:ind w:firstLine="0" w:firstLineChars="0"/>
              <w:jc w:val="center"/>
              <w:rPr>
                <w:rFonts w:cs="Times New Roman"/>
                <w:sz w:val="21"/>
              </w:rPr>
            </w:pPr>
            <w:r>
              <w:rPr>
                <w:rFonts w:cs="Times New Roman"/>
                <w:sz w:val="21"/>
              </w:rPr>
              <w:t>0.01110</w:t>
            </w:r>
          </w:p>
        </w:tc>
        <w:tc>
          <w:tcPr>
            <w:tcW w:w="1123" w:type="pct"/>
            <w:tcBorders>
              <w:top w:val="single" w:color="auto" w:sz="4" w:space="0"/>
              <w:left w:val="nil"/>
              <w:bottom w:val="single" w:color="auto" w:sz="4" w:space="0"/>
              <w:right w:val="single" w:color="auto" w:sz="4" w:space="0"/>
            </w:tcBorders>
            <w:noWrap/>
            <w:vAlign w:val="center"/>
          </w:tcPr>
          <w:p w14:paraId="2D4747BD">
            <w:pPr>
              <w:spacing w:line="240" w:lineRule="auto"/>
              <w:ind w:firstLine="0" w:firstLineChars="0"/>
              <w:jc w:val="center"/>
              <w:rPr>
                <w:rFonts w:cs="Times New Roman"/>
                <w:sz w:val="21"/>
              </w:rPr>
            </w:pPr>
            <w:r>
              <w:rPr>
                <w:rFonts w:cs="Times New Roman"/>
                <w:sz w:val="21"/>
              </w:rPr>
              <w:t>0.01437</w:t>
            </w:r>
          </w:p>
        </w:tc>
        <w:tc>
          <w:tcPr>
            <w:tcW w:w="1123" w:type="pct"/>
            <w:tcBorders>
              <w:top w:val="single" w:color="auto" w:sz="4" w:space="0"/>
              <w:left w:val="nil"/>
              <w:bottom w:val="single" w:color="auto" w:sz="4" w:space="0"/>
              <w:right w:val="single" w:color="auto" w:sz="4" w:space="0"/>
            </w:tcBorders>
            <w:noWrap/>
            <w:vAlign w:val="center"/>
          </w:tcPr>
          <w:p w14:paraId="55FB8DF5">
            <w:pPr>
              <w:spacing w:line="240" w:lineRule="auto"/>
              <w:ind w:firstLine="0" w:firstLineChars="0"/>
              <w:jc w:val="center"/>
              <w:rPr>
                <w:rFonts w:cs="Times New Roman"/>
                <w:sz w:val="21"/>
              </w:rPr>
            </w:pPr>
            <w:r>
              <w:rPr>
                <w:rFonts w:cs="Times New Roman"/>
                <w:sz w:val="21"/>
              </w:rPr>
              <w:t>0.01696</w:t>
            </w:r>
          </w:p>
        </w:tc>
        <w:tc>
          <w:tcPr>
            <w:tcW w:w="1124" w:type="pct"/>
            <w:tcBorders>
              <w:top w:val="single" w:color="auto" w:sz="4" w:space="0"/>
              <w:left w:val="nil"/>
              <w:bottom w:val="single" w:color="auto" w:sz="4" w:space="0"/>
              <w:right w:val="single" w:color="auto" w:sz="12" w:space="0"/>
            </w:tcBorders>
            <w:noWrap/>
            <w:vAlign w:val="center"/>
          </w:tcPr>
          <w:p w14:paraId="02889AD2">
            <w:pPr>
              <w:spacing w:line="240" w:lineRule="auto"/>
              <w:ind w:firstLine="0" w:firstLineChars="0"/>
              <w:jc w:val="center"/>
              <w:rPr>
                <w:rFonts w:cs="Times New Roman"/>
                <w:sz w:val="21"/>
              </w:rPr>
            </w:pPr>
            <w:r>
              <w:rPr>
                <w:rFonts w:cs="Times New Roman"/>
                <w:sz w:val="21"/>
              </w:rPr>
              <w:t>0.02072</w:t>
            </w:r>
          </w:p>
        </w:tc>
      </w:tr>
      <w:tr w14:paraId="26CD267A">
        <w:tblPrEx>
          <w:tblCellMar>
            <w:top w:w="0" w:type="dxa"/>
            <w:left w:w="108" w:type="dxa"/>
            <w:bottom w:w="0" w:type="dxa"/>
            <w:right w:w="108" w:type="dxa"/>
          </w:tblCellMar>
        </w:tblPrEx>
        <w:trPr>
          <w:trHeight w:val="397" w:hRule="atLeast"/>
        </w:trPr>
        <w:tc>
          <w:tcPr>
            <w:tcW w:w="506" w:type="pct"/>
            <w:tcBorders>
              <w:top w:val="single" w:color="auto" w:sz="4" w:space="0"/>
              <w:left w:val="single" w:color="auto" w:sz="12" w:space="0"/>
              <w:bottom w:val="single" w:color="auto" w:sz="4" w:space="0"/>
              <w:right w:val="single" w:color="auto" w:sz="4" w:space="0"/>
            </w:tcBorders>
            <w:noWrap/>
            <w:vAlign w:val="center"/>
          </w:tcPr>
          <w:p w14:paraId="48DFF577">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12" w:space="0"/>
              <w:right w:val="single" w:color="auto" w:sz="4" w:space="0"/>
            </w:tcBorders>
            <w:noWrap/>
            <w:vAlign w:val="center"/>
          </w:tcPr>
          <w:p w14:paraId="5BE438C0">
            <w:pPr>
              <w:spacing w:line="240" w:lineRule="auto"/>
              <w:ind w:firstLine="0" w:firstLineChars="0"/>
              <w:jc w:val="center"/>
              <w:rPr>
                <w:rFonts w:cs="Times New Roman"/>
                <w:sz w:val="21"/>
              </w:rPr>
            </w:pPr>
            <w:r>
              <w:rPr>
                <w:rFonts w:cs="Times New Roman"/>
                <w:sz w:val="21"/>
              </w:rPr>
              <w:t>0.00033</w:t>
            </w:r>
          </w:p>
        </w:tc>
        <w:tc>
          <w:tcPr>
            <w:tcW w:w="1123" w:type="pct"/>
            <w:tcBorders>
              <w:top w:val="single" w:color="auto" w:sz="4" w:space="0"/>
              <w:left w:val="nil"/>
              <w:bottom w:val="single" w:color="auto" w:sz="12" w:space="0"/>
              <w:right w:val="single" w:color="auto" w:sz="4" w:space="0"/>
            </w:tcBorders>
            <w:noWrap/>
            <w:vAlign w:val="center"/>
          </w:tcPr>
          <w:p w14:paraId="2186EF92">
            <w:pPr>
              <w:spacing w:line="240" w:lineRule="auto"/>
              <w:ind w:firstLine="0" w:firstLineChars="0"/>
              <w:jc w:val="center"/>
              <w:rPr>
                <w:rFonts w:cs="Times New Roman"/>
                <w:sz w:val="21"/>
              </w:rPr>
            </w:pPr>
            <w:r>
              <w:rPr>
                <w:rFonts w:cs="Times New Roman"/>
                <w:sz w:val="21"/>
              </w:rPr>
              <w:t>0.00051</w:t>
            </w:r>
          </w:p>
        </w:tc>
        <w:tc>
          <w:tcPr>
            <w:tcW w:w="1123" w:type="pct"/>
            <w:tcBorders>
              <w:top w:val="single" w:color="auto" w:sz="4" w:space="0"/>
              <w:left w:val="nil"/>
              <w:bottom w:val="single" w:color="auto" w:sz="12" w:space="0"/>
              <w:right w:val="single" w:color="auto" w:sz="4" w:space="0"/>
            </w:tcBorders>
            <w:noWrap/>
            <w:vAlign w:val="center"/>
          </w:tcPr>
          <w:p w14:paraId="428F2804">
            <w:pPr>
              <w:spacing w:line="240" w:lineRule="auto"/>
              <w:ind w:firstLine="0" w:firstLineChars="0"/>
              <w:jc w:val="center"/>
              <w:rPr>
                <w:rFonts w:cs="Times New Roman"/>
                <w:sz w:val="21"/>
              </w:rPr>
            </w:pPr>
            <w:r>
              <w:rPr>
                <w:rFonts w:cs="Times New Roman"/>
                <w:sz w:val="21"/>
              </w:rPr>
              <w:t>0.00068</w:t>
            </w:r>
          </w:p>
        </w:tc>
        <w:tc>
          <w:tcPr>
            <w:tcW w:w="1124" w:type="pct"/>
            <w:tcBorders>
              <w:top w:val="single" w:color="auto" w:sz="4" w:space="0"/>
              <w:left w:val="nil"/>
              <w:bottom w:val="single" w:color="auto" w:sz="12" w:space="0"/>
              <w:right w:val="single" w:color="auto" w:sz="12" w:space="0"/>
            </w:tcBorders>
            <w:noWrap/>
            <w:vAlign w:val="center"/>
          </w:tcPr>
          <w:p w14:paraId="269359AC">
            <w:pPr>
              <w:spacing w:line="240" w:lineRule="auto"/>
              <w:ind w:firstLine="0" w:firstLineChars="0"/>
              <w:jc w:val="center"/>
              <w:rPr>
                <w:rFonts w:cs="Times New Roman"/>
                <w:sz w:val="21"/>
              </w:rPr>
            </w:pPr>
            <w:r>
              <w:rPr>
                <w:rFonts w:cs="Times New Roman"/>
                <w:sz w:val="21"/>
              </w:rPr>
              <w:t>0.00097</w:t>
            </w:r>
          </w:p>
        </w:tc>
      </w:tr>
    </w:tbl>
    <w:p w14:paraId="5B40743D">
      <w:pPr>
        <w:pStyle w:val="2"/>
        <w:ind w:firstLine="519"/>
      </w:pPr>
    </w:p>
    <w:p w14:paraId="4054727F">
      <w:pPr>
        <w:keepLines/>
        <w:ind w:firstLine="562" w:firstLineChars="0"/>
        <w:jc w:val="center"/>
        <w:outlineLvl w:val="4"/>
        <w:rPr>
          <w:rFonts w:cs="Times New Roman"/>
          <w:b/>
          <w:bCs/>
          <w:sz w:val="21"/>
          <w:szCs w:val="28"/>
        </w:rPr>
      </w:pPr>
      <w:r>
        <w:rPr>
          <w:rFonts w:cs="Times New Roman"/>
          <w:b/>
          <w:bCs/>
          <w:sz w:val="21"/>
          <w:szCs w:val="28"/>
        </w:rPr>
        <w:t>表5.2-7  不同时刻采卤</w:t>
      </w:r>
      <w:r>
        <w:rPr>
          <w:rFonts w:hint="eastAsia" w:cs="Times New Roman"/>
          <w:b/>
          <w:bCs/>
          <w:sz w:val="21"/>
          <w:szCs w:val="28"/>
        </w:rPr>
        <w:t>井</w:t>
      </w:r>
      <w:r>
        <w:rPr>
          <w:rFonts w:cs="Times New Roman"/>
          <w:b/>
          <w:bCs/>
          <w:sz w:val="21"/>
          <w:szCs w:val="28"/>
        </w:rPr>
        <w:t>X/Y处的氯化物的浓度（mg/L）</w:t>
      </w:r>
    </w:p>
    <w:tbl>
      <w:tblPr>
        <w:tblStyle w:val="29"/>
        <w:tblW w:w="5000" w:type="pct"/>
        <w:tblInd w:w="0" w:type="dxa"/>
        <w:tblLayout w:type="autofit"/>
        <w:tblCellMar>
          <w:top w:w="0" w:type="dxa"/>
          <w:left w:w="108" w:type="dxa"/>
          <w:bottom w:w="0" w:type="dxa"/>
          <w:right w:w="108" w:type="dxa"/>
        </w:tblCellMar>
      </w:tblPr>
      <w:tblGrid>
        <w:gridCol w:w="863"/>
        <w:gridCol w:w="1917"/>
        <w:gridCol w:w="1915"/>
        <w:gridCol w:w="1915"/>
        <w:gridCol w:w="1918"/>
      </w:tblGrid>
      <w:tr w14:paraId="044AC16B">
        <w:tblPrEx>
          <w:tblCellMar>
            <w:top w:w="0" w:type="dxa"/>
            <w:left w:w="108" w:type="dxa"/>
            <w:bottom w:w="0" w:type="dxa"/>
            <w:right w:w="108" w:type="dxa"/>
          </w:tblCellMar>
        </w:tblPrEx>
        <w:trPr>
          <w:trHeight w:val="397" w:hRule="atLeast"/>
        </w:trPr>
        <w:tc>
          <w:tcPr>
            <w:tcW w:w="5000" w:type="pct"/>
            <w:gridSpan w:val="5"/>
            <w:tcBorders>
              <w:top w:val="single" w:color="auto" w:sz="12" w:space="0"/>
              <w:left w:val="single" w:color="auto" w:sz="12" w:space="0"/>
              <w:bottom w:val="single" w:color="auto" w:sz="4" w:space="0"/>
              <w:right w:val="single" w:color="auto" w:sz="12" w:space="0"/>
            </w:tcBorders>
            <w:noWrap/>
            <w:vAlign w:val="center"/>
          </w:tcPr>
          <w:p w14:paraId="5B3F42DF">
            <w:pPr>
              <w:spacing w:line="240" w:lineRule="auto"/>
              <w:ind w:firstLine="0" w:firstLineChars="0"/>
              <w:jc w:val="center"/>
              <w:rPr>
                <w:rFonts w:cs="Times New Roman"/>
                <w:sz w:val="21"/>
              </w:rPr>
            </w:pPr>
            <w:r>
              <w:rPr>
                <w:rFonts w:cs="Times New Roman"/>
                <w:sz w:val="21"/>
              </w:rPr>
              <w:t>100d</w:t>
            </w:r>
          </w:p>
        </w:tc>
      </w:tr>
      <w:tr w14:paraId="74662B46">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F8788D6">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070621AC">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2C6A0E28">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3CB0DFF7">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26D12EA3">
            <w:pPr>
              <w:spacing w:line="240" w:lineRule="auto"/>
              <w:ind w:firstLine="0" w:firstLineChars="0"/>
              <w:jc w:val="center"/>
              <w:rPr>
                <w:rFonts w:cs="Times New Roman"/>
                <w:sz w:val="21"/>
              </w:rPr>
            </w:pPr>
            <w:r>
              <w:rPr>
                <w:rFonts w:cs="Times New Roman"/>
                <w:sz w:val="21"/>
              </w:rPr>
              <w:t>7.5</w:t>
            </w:r>
          </w:p>
        </w:tc>
      </w:tr>
      <w:tr w14:paraId="54267F2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4351144">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4DB81E78">
            <w:pPr>
              <w:spacing w:line="240" w:lineRule="auto"/>
              <w:ind w:firstLine="0" w:firstLineChars="0"/>
              <w:jc w:val="center"/>
              <w:rPr>
                <w:rFonts w:cs="Times New Roman"/>
                <w:b/>
                <w:bCs/>
                <w:sz w:val="21"/>
              </w:rPr>
            </w:pPr>
            <w:r>
              <w:rPr>
                <w:rFonts w:cs="Times New Roman"/>
                <w:b/>
                <w:bCs/>
                <w:sz w:val="21"/>
              </w:rPr>
              <w:t>925.59</w:t>
            </w:r>
          </w:p>
        </w:tc>
        <w:tc>
          <w:tcPr>
            <w:tcW w:w="1123" w:type="pct"/>
            <w:tcBorders>
              <w:top w:val="nil"/>
              <w:left w:val="nil"/>
              <w:bottom w:val="single" w:color="auto" w:sz="4" w:space="0"/>
              <w:right w:val="single" w:color="auto" w:sz="4" w:space="0"/>
            </w:tcBorders>
            <w:noWrap/>
            <w:vAlign w:val="center"/>
          </w:tcPr>
          <w:p w14:paraId="200B2A91">
            <w:pPr>
              <w:spacing w:line="240" w:lineRule="auto"/>
              <w:ind w:firstLine="0" w:firstLineChars="0"/>
              <w:jc w:val="center"/>
              <w:rPr>
                <w:rFonts w:cs="Times New Roman"/>
                <w:b/>
                <w:bCs/>
                <w:sz w:val="21"/>
              </w:rPr>
            </w:pPr>
            <w:r>
              <w:rPr>
                <w:rFonts w:cs="Times New Roman"/>
                <w:b/>
                <w:bCs/>
                <w:sz w:val="21"/>
              </w:rPr>
              <w:t>812.64</w:t>
            </w:r>
          </w:p>
        </w:tc>
        <w:tc>
          <w:tcPr>
            <w:tcW w:w="1123" w:type="pct"/>
            <w:tcBorders>
              <w:top w:val="nil"/>
              <w:left w:val="nil"/>
              <w:bottom w:val="single" w:color="auto" w:sz="4" w:space="0"/>
              <w:right w:val="single" w:color="auto" w:sz="4" w:space="0"/>
            </w:tcBorders>
            <w:noWrap/>
            <w:vAlign w:val="center"/>
          </w:tcPr>
          <w:p w14:paraId="78E09569">
            <w:pPr>
              <w:spacing w:line="240" w:lineRule="auto"/>
              <w:ind w:firstLine="0" w:firstLineChars="0"/>
              <w:jc w:val="center"/>
              <w:rPr>
                <w:rFonts w:cs="Times New Roman"/>
                <w:b/>
                <w:bCs/>
                <w:sz w:val="21"/>
              </w:rPr>
            </w:pPr>
            <w:r>
              <w:rPr>
                <w:rFonts w:cs="Times New Roman"/>
                <w:b/>
                <w:bCs/>
                <w:sz w:val="21"/>
              </w:rPr>
              <w:t>593.23</w:t>
            </w:r>
          </w:p>
        </w:tc>
        <w:tc>
          <w:tcPr>
            <w:tcW w:w="1124" w:type="pct"/>
            <w:tcBorders>
              <w:top w:val="nil"/>
              <w:left w:val="nil"/>
              <w:bottom w:val="single" w:color="auto" w:sz="4" w:space="0"/>
              <w:right w:val="single" w:color="auto" w:sz="12" w:space="0"/>
            </w:tcBorders>
            <w:noWrap/>
            <w:vAlign w:val="center"/>
          </w:tcPr>
          <w:p w14:paraId="52A29D85">
            <w:pPr>
              <w:spacing w:line="240" w:lineRule="auto"/>
              <w:ind w:firstLine="0" w:firstLineChars="0"/>
              <w:jc w:val="center"/>
              <w:rPr>
                <w:rFonts w:cs="Times New Roman"/>
                <w:b/>
                <w:bCs/>
                <w:sz w:val="21"/>
              </w:rPr>
            </w:pPr>
            <w:r>
              <w:rPr>
                <w:rFonts w:cs="Times New Roman"/>
                <w:b/>
                <w:bCs/>
                <w:sz w:val="21"/>
              </w:rPr>
              <w:t>309.75</w:t>
            </w:r>
          </w:p>
        </w:tc>
      </w:tr>
      <w:tr w14:paraId="48448D7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E1F6FB9">
            <w:pPr>
              <w:spacing w:line="240" w:lineRule="auto"/>
              <w:ind w:firstLine="0" w:firstLineChars="0"/>
              <w:jc w:val="center"/>
              <w:rPr>
                <w:rFonts w:cs="Times New Roman"/>
                <w:sz w:val="21"/>
              </w:rPr>
            </w:pPr>
            <w:r>
              <w:rPr>
                <w:rFonts w:cs="Times New Roman"/>
                <w:sz w:val="21"/>
              </w:rPr>
              <w:t>15</w:t>
            </w:r>
          </w:p>
        </w:tc>
        <w:tc>
          <w:tcPr>
            <w:tcW w:w="1124" w:type="pct"/>
            <w:tcBorders>
              <w:top w:val="nil"/>
              <w:left w:val="nil"/>
              <w:bottom w:val="single" w:color="auto" w:sz="4" w:space="0"/>
              <w:right w:val="single" w:color="auto" w:sz="4" w:space="0"/>
            </w:tcBorders>
            <w:noWrap/>
            <w:vAlign w:val="center"/>
          </w:tcPr>
          <w:p w14:paraId="6A7CDE75">
            <w:pPr>
              <w:spacing w:line="240" w:lineRule="auto"/>
              <w:ind w:firstLine="0" w:firstLineChars="0"/>
              <w:jc w:val="center"/>
              <w:rPr>
                <w:rFonts w:cs="Times New Roman"/>
                <w:sz w:val="21"/>
              </w:rPr>
            </w:pPr>
            <w:r>
              <w:rPr>
                <w:rFonts w:cs="Times New Roman"/>
                <w:sz w:val="21"/>
              </w:rPr>
              <w:t>206</w:t>
            </w:r>
          </w:p>
        </w:tc>
        <w:tc>
          <w:tcPr>
            <w:tcW w:w="1123" w:type="pct"/>
            <w:tcBorders>
              <w:top w:val="nil"/>
              <w:left w:val="nil"/>
              <w:bottom w:val="single" w:color="auto" w:sz="4" w:space="0"/>
              <w:right w:val="single" w:color="auto" w:sz="4" w:space="0"/>
            </w:tcBorders>
            <w:noWrap/>
            <w:vAlign w:val="center"/>
          </w:tcPr>
          <w:p w14:paraId="6C9DEE31">
            <w:pPr>
              <w:spacing w:line="240" w:lineRule="auto"/>
              <w:ind w:firstLine="0" w:firstLineChars="0"/>
              <w:jc w:val="center"/>
              <w:rPr>
                <w:rFonts w:cs="Times New Roman"/>
                <w:b/>
                <w:bCs/>
                <w:sz w:val="21"/>
              </w:rPr>
            </w:pPr>
            <w:r>
              <w:rPr>
                <w:rFonts w:cs="Times New Roman"/>
                <w:b/>
                <w:bCs/>
                <w:sz w:val="21"/>
              </w:rPr>
              <w:t>508.09</w:t>
            </w:r>
          </w:p>
        </w:tc>
        <w:tc>
          <w:tcPr>
            <w:tcW w:w="1123" w:type="pct"/>
            <w:tcBorders>
              <w:top w:val="nil"/>
              <w:left w:val="nil"/>
              <w:bottom w:val="single" w:color="auto" w:sz="4" w:space="0"/>
              <w:right w:val="single" w:color="auto" w:sz="4" w:space="0"/>
            </w:tcBorders>
            <w:noWrap/>
            <w:vAlign w:val="center"/>
          </w:tcPr>
          <w:p w14:paraId="03D11CA7">
            <w:pPr>
              <w:spacing w:line="240" w:lineRule="auto"/>
              <w:ind w:firstLine="0" w:firstLineChars="0"/>
              <w:jc w:val="center"/>
              <w:rPr>
                <w:rFonts w:cs="Times New Roman"/>
                <w:b/>
                <w:bCs/>
                <w:sz w:val="21"/>
              </w:rPr>
            </w:pPr>
            <w:r>
              <w:rPr>
                <w:rFonts w:cs="Times New Roman"/>
                <w:b/>
                <w:bCs/>
                <w:sz w:val="21"/>
              </w:rPr>
              <w:t>737.81</w:t>
            </w:r>
          </w:p>
        </w:tc>
        <w:tc>
          <w:tcPr>
            <w:tcW w:w="1124" w:type="pct"/>
            <w:tcBorders>
              <w:top w:val="nil"/>
              <w:left w:val="nil"/>
              <w:bottom w:val="single" w:color="auto" w:sz="4" w:space="0"/>
              <w:right w:val="single" w:color="auto" w:sz="12" w:space="0"/>
            </w:tcBorders>
            <w:noWrap/>
            <w:vAlign w:val="center"/>
          </w:tcPr>
          <w:p w14:paraId="0B52B748">
            <w:pPr>
              <w:spacing w:line="240" w:lineRule="auto"/>
              <w:ind w:firstLine="0" w:firstLineChars="0"/>
              <w:jc w:val="center"/>
              <w:rPr>
                <w:rFonts w:cs="Times New Roman"/>
                <w:b/>
                <w:bCs/>
                <w:sz w:val="21"/>
              </w:rPr>
            </w:pPr>
            <w:r>
              <w:rPr>
                <w:rFonts w:cs="Times New Roman"/>
                <w:b/>
                <w:bCs/>
                <w:sz w:val="21"/>
              </w:rPr>
              <w:t>910.07</w:t>
            </w:r>
          </w:p>
        </w:tc>
      </w:tr>
      <w:tr w14:paraId="3D019C98">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CE24587">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724EDEBA">
            <w:pPr>
              <w:spacing w:line="240" w:lineRule="auto"/>
              <w:ind w:firstLine="0" w:firstLineChars="0"/>
              <w:jc w:val="center"/>
              <w:rPr>
                <w:rFonts w:cs="Times New Roman"/>
                <w:sz w:val="21"/>
              </w:rPr>
            </w:pPr>
            <w:r>
              <w:rPr>
                <w:rFonts w:cs="Times New Roman"/>
                <w:sz w:val="21"/>
              </w:rPr>
              <w:t>0.623</w:t>
            </w:r>
          </w:p>
        </w:tc>
        <w:tc>
          <w:tcPr>
            <w:tcW w:w="1123" w:type="pct"/>
            <w:tcBorders>
              <w:top w:val="nil"/>
              <w:left w:val="nil"/>
              <w:bottom w:val="single" w:color="auto" w:sz="4" w:space="0"/>
              <w:right w:val="single" w:color="auto" w:sz="4" w:space="0"/>
            </w:tcBorders>
            <w:noWrap/>
            <w:vAlign w:val="center"/>
          </w:tcPr>
          <w:p w14:paraId="15D3AADA">
            <w:pPr>
              <w:spacing w:line="240" w:lineRule="auto"/>
              <w:ind w:firstLine="0" w:firstLineChars="0"/>
              <w:jc w:val="center"/>
              <w:rPr>
                <w:rFonts w:cs="Times New Roman"/>
                <w:b/>
                <w:bCs/>
                <w:sz w:val="21"/>
              </w:rPr>
            </w:pPr>
            <w:r>
              <w:rPr>
                <w:rFonts w:cs="Times New Roman"/>
                <w:sz w:val="21"/>
              </w:rPr>
              <w:t>4.30</w:t>
            </w:r>
          </w:p>
        </w:tc>
        <w:tc>
          <w:tcPr>
            <w:tcW w:w="1123" w:type="pct"/>
            <w:tcBorders>
              <w:top w:val="nil"/>
              <w:left w:val="nil"/>
              <w:bottom w:val="single" w:color="auto" w:sz="4" w:space="0"/>
              <w:right w:val="single" w:color="auto" w:sz="4" w:space="0"/>
            </w:tcBorders>
            <w:noWrap/>
            <w:vAlign w:val="center"/>
          </w:tcPr>
          <w:p w14:paraId="71FF1BEE">
            <w:pPr>
              <w:spacing w:line="240" w:lineRule="auto"/>
              <w:ind w:firstLine="0" w:firstLineChars="0"/>
              <w:jc w:val="center"/>
              <w:rPr>
                <w:rFonts w:cs="Times New Roman"/>
                <w:sz w:val="21"/>
              </w:rPr>
            </w:pPr>
            <w:r>
              <w:rPr>
                <w:rFonts w:cs="Times New Roman"/>
                <w:sz w:val="21"/>
              </w:rPr>
              <w:t>12.4</w:t>
            </w:r>
          </w:p>
        </w:tc>
        <w:tc>
          <w:tcPr>
            <w:tcW w:w="1124" w:type="pct"/>
            <w:tcBorders>
              <w:top w:val="nil"/>
              <w:left w:val="nil"/>
              <w:bottom w:val="single" w:color="auto" w:sz="4" w:space="0"/>
              <w:right w:val="single" w:color="auto" w:sz="12" w:space="0"/>
            </w:tcBorders>
            <w:noWrap/>
            <w:vAlign w:val="center"/>
          </w:tcPr>
          <w:p w14:paraId="5E1AED40">
            <w:pPr>
              <w:spacing w:line="240" w:lineRule="auto"/>
              <w:ind w:firstLine="0" w:firstLineChars="0"/>
              <w:jc w:val="center"/>
              <w:rPr>
                <w:rFonts w:cs="Times New Roman"/>
                <w:sz w:val="21"/>
              </w:rPr>
            </w:pPr>
            <w:r>
              <w:rPr>
                <w:rFonts w:cs="Times New Roman"/>
                <w:sz w:val="21"/>
              </w:rPr>
              <w:t>36.2</w:t>
            </w:r>
          </w:p>
        </w:tc>
      </w:tr>
      <w:tr w14:paraId="4343393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974A313">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6025D1D2">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1CD61081">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6B234226">
            <w:pPr>
              <w:spacing w:line="240" w:lineRule="auto"/>
              <w:ind w:firstLine="0" w:firstLineChars="0"/>
              <w:jc w:val="center"/>
              <w:rPr>
                <w:rFonts w:cs="Times New Roman"/>
                <w:sz w:val="21"/>
              </w:rPr>
            </w:pPr>
            <w:r>
              <w:rPr>
                <w:rFonts w:cs="Times New Roman"/>
                <w:sz w:val="21"/>
              </w:rPr>
              <w:t>0.00007</w:t>
            </w:r>
          </w:p>
        </w:tc>
        <w:tc>
          <w:tcPr>
            <w:tcW w:w="1124" w:type="pct"/>
            <w:tcBorders>
              <w:top w:val="nil"/>
              <w:left w:val="nil"/>
              <w:bottom w:val="single" w:color="auto" w:sz="4" w:space="0"/>
              <w:right w:val="single" w:color="auto" w:sz="12" w:space="0"/>
            </w:tcBorders>
            <w:noWrap/>
            <w:vAlign w:val="center"/>
          </w:tcPr>
          <w:p w14:paraId="0FA8B85B">
            <w:pPr>
              <w:spacing w:line="240" w:lineRule="auto"/>
              <w:ind w:firstLine="0" w:firstLineChars="0"/>
              <w:jc w:val="center"/>
              <w:rPr>
                <w:rFonts w:cs="Times New Roman"/>
                <w:sz w:val="21"/>
              </w:rPr>
            </w:pPr>
            <w:r>
              <w:rPr>
                <w:rFonts w:cs="Times New Roman"/>
                <w:sz w:val="21"/>
              </w:rPr>
              <w:t>0.00061</w:t>
            </w:r>
          </w:p>
        </w:tc>
      </w:tr>
      <w:tr w14:paraId="1EDD523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9F9C1DE">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6580B710">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18C0F49B">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503E79F">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4844C089">
            <w:pPr>
              <w:spacing w:line="240" w:lineRule="auto"/>
              <w:ind w:firstLine="0" w:firstLineChars="0"/>
              <w:jc w:val="center"/>
              <w:rPr>
                <w:rFonts w:cs="Times New Roman"/>
                <w:sz w:val="21"/>
              </w:rPr>
            </w:pPr>
            <w:r>
              <w:rPr>
                <w:rFonts w:cs="Times New Roman"/>
                <w:sz w:val="21"/>
              </w:rPr>
              <w:t>0.00000</w:t>
            </w:r>
          </w:p>
        </w:tc>
      </w:tr>
      <w:tr w14:paraId="0D3A3DC4">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9F551AA">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6A3A6F21">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1A3985DA">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2033B7E9">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389D9186">
            <w:pPr>
              <w:spacing w:line="240" w:lineRule="auto"/>
              <w:ind w:firstLine="0" w:firstLineChars="0"/>
              <w:jc w:val="center"/>
              <w:rPr>
                <w:rFonts w:cs="Times New Roman"/>
                <w:sz w:val="21"/>
              </w:rPr>
            </w:pPr>
            <w:r>
              <w:rPr>
                <w:rFonts w:cs="Times New Roman"/>
                <w:sz w:val="21"/>
              </w:rPr>
              <w:t>0.00000</w:t>
            </w:r>
          </w:p>
        </w:tc>
      </w:tr>
      <w:tr w14:paraId="6E8E533A">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231DCA81">
            <w:pPr>
              <w:spacing w:line="240" w:lineRule="auto"/>
              <w:ind w:firstLine="0" w:firstLineChars="0"/>
              <w:jc w:val="center"/>
              <w:rPr>
                <w:rFonts w:cs="Times New Roman"/>
                <w:sz w:val="21"/>
              </w:rPr>
            </w:pPr>
            <w:r>
              <w:rPr>
                <w:rFonts w:cs="Times New Roman"/>
                <w:sz w:val="21"/>
              </w:rPr>
              <w:t>500d</w:t>
            </w:r>
          </w:p>
        </w:tc>
      </w:tr>
      <w:tr w14:paraId="50CA453B">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89680AB">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6A6CBA17">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1195F35D">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3D3CB9CE">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13CE8AF1">
            <w:pPr>
              <w:spacing w:line="240" w:lineRule="auto"/>
              <w:ind w:firstLine="0" w:firstLineChars="0"/>
              <w:jc w:val="center"/>
              <w:rPr>
                <w:rFonts w:cs="Times New Roman"/>
                <w:sz w:val="21"/>
              </w:rPr>
            </w:pPr>
            <w:r>
              <w:rPr>
                <w:rFonts w:cs="Times New Roman"/>
                <w:sz w:val="21"/>
              </w:rPr>
              <w:t>7.5</w:t>
            </w:r>
          </w:p>
        </w:tc>
      </w:tr>
      <w:tr w14:paraId="16D58FA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AB6CF78">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15DE95CE">
            <w:pPr>
              <w:spacing w:line="240" w:lineRule="auto"/>
              <w:ind w:firstLine="0" w:firstLineChars="0"/>
              <w:jc w:val="center"/>
              <w:rPr>
                <w:rFonts w:cs="Times New Roman"/>
                <w:sz w:val="21"/>
              </w:rPr>
            </w:pPr>
            <w:r>
              <w:rPr>
                <w:rFonts w:cs="Times New Roman"/>
                <w:sz w:val="21"/>
              </w:rPr>
              <w:t>79.1</w:t>
            </w:r>
          </w:p>
        </w:tc>
        <w:tc>
          <w:tcPr>
            <w:tcW w:w="1123" w:type="pct"/>
            <w:tcBorders>
              <w:top w:val="nil"/>
              <w:left w:val="nil"/>
              <w:bottom w:val="single" w:color="auto" w:sz="4" w:space="0"/>
              <w:right w:val="single" w:color="auto" w:sz="4" w:space="0"/>
            </w:tcBorders>
            <w:noWrap/>
            <w:vAlign w:val="center"/>
          </w:tcPr>
          <w:p w14:paraId="3234C516">
            <w:pPr>
              <w:spacing w:line="240" w:lineRule="auto"/>
              <w:ind w:firstLine="0" w:firstLineChars="0"/>
              <w:jc w:val="center"/>
              <w:rPr>
                <w:rFonts w:cs="Times New Roman"/>
                <w:sz w:val="21"/>
              </w:rPr>
            </w:pPr>
            <w:r>
              <w:rPr>
                <w:rFonts w:cs="Times New Roman"/>
                <w:sz w:val="21"/>
              </w:rPr>
              <w:t>81.9</w:t>
            </w:r>
          </w:p>
        </w:tc>
        <w:tc>
          <w:tcPr>
            <w:tcW w:w="1123" w:type="pct"/>
            <w:tcBorders>
              <w:top w:val="nil"/>
              <w:left w:val="nil"/>
              <w:bottom w:val="single" w:color="auto" w:sz="4" w:space="0"/>
              <w:right w:val="single" w:color="auto" w:sz="4" w:space="0"/>
            </w:tcBorders>
            <w:noWrap/>
            <w:vAlign w:val="center"/>
          </w:tcPr>
          <w:p w14:paraId="5E9E398A">
            <w:pPr>
              <w:spacing w:line="240" w:lineRule="auto"/>
              <w:ind w:firstLine="0" w:firstLineChars="0"/>
              <w:jc w:val="center"/>
              <w:rPr>
                <w:rFonts w:cs="Times New Roman"/>
                <w:sz w:val="21"/>
              </w:rPr>
            </w:pPr>
            <w:r>
              <w:rPr>
                <w:rFonts w:cs="Times New Roman"/>
                <w:sz w:val="21"/>
              </w:rPr>
              <w:t>80.0</w:t>
            </w:r>
          </w:p>
        </w:tc>
        <w:tc>
          <w:tcPr>
            <w:tcW w:w="1124" w:type="pct"/>
            <w:tcBorders>
              <w:top w:val="nil"/>
              <w:left w:val="nil"/>
              <w:bottom w:val="single" w:color="auto" w:sz="4" w:space="0"/>
              <w:right w:val="single" w:color="auto" w:sz="12" w:space="0"/>
            </w:tcBorders>
            <w:noWrap/>
            <w:vAlign w:val="center"/>
          </w:tcPr>
          <w:p w14:paraId="3D4A4521">
            <w:pPr>
              <w:spacing w:line="240" w:lineRule="auto"/>
              <w:ind w:firstLine="0" w:firstLineChars="0"/>
              <w:jc w:val="center"/>
              <w:rPr>
                <w:rFonts w:cs="Times New Roman"/>
                <w:sz w:val="21"/>
              </w:rPr>
            </w:pPr>
            <w:r>
              <w:rPr>
                <w:rFonts w:cs="Times New Roman"/>
                <w:sz w:val="21"/>
              </w:rPr>
              <w:t>73.9</w:t>
            </w:r>
          </w:p>
        </w:tc>
      </w:tr>
      <w:tr w14:paraId="5A13DBF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6963C64">
            <w:pPr>
              <w:spacing w:line="240" w:lineRule="auto"/>
              <w:ind w:firstLine="0" w:firstLineChars="0"/>
              <w:jc w:val="center"/>
              <w:rPr>
                <w:rFonts w:cs="Times New Roman"/>
                <w:sz w:val="21"/>
              </w:rPr>
            </w:pPr>
            <w:r>
              <w:rPr>
                <w:rFonts w:cs="Times New Roman"/>
                <w:sz w:val="21"/>
              </w:rPr>
              <w:t>15</w:t>
            </w:r>
          </w:p>
        </w:tc>
        <w:tc>
          <w:tcPr>
            <w:tcW w:w="1124" w:type="pct"/>
            <w:tcBorders>
              <w:top w:val="nil"/>
              <w:left w:val="nil"/>
              <w:bottom w:val="single" w:color="auto" w:sz="4" w:space="0"/>
              <w:right w:val="single" w:color="auto" w:sz="4" w:space="0"/>
            </w:tcBorders>
            <w:noWrap/>
            <w:vAlign w:val="center"/>
          </w:tcPr>
          <w:p w14:paraId="34B5A115">
            <w:pPr>
              <w:spacing w:line="240" w:lineRule="auto"/>
              <w:ind w:firstLine="0" w:firstLineChars="0"/>
              <w:jc w:val="center"/>
              <w:rPr>
                <w:rFonts w:cs="Times New Roman"/>
                <w:sz w:val="21"/>
              </w:rPr>
            </w:pPr>
            <w:r>
              <w:rPr>
                <w:rFonts w:cs="Times New Roman"/>
                <w:sz w:val="21"/>
              </w:rPr>
              <w:t>98.5</w:t>
            </w:r>
          </w:p>
        </w:tc>
        <w:tc>
          <w:tcPr>
            <w:tcW w:w="1123" w:type="pct"/>
            <w:tcBorders>
              <w:top w:val="nil"/>
              <w:left w:val="nil"/>
              <w:bottom w:val="single" w:color="auto" w:sz="4" w:space="0"/>
              <w:right w:val="single" w:color="auto" w:sz="4" w:space="0"/>
            </w:tcBorders>
            <w:noWrap/>
            <w:vAlign w:val="center"/>
          </w:tcPr>
          <w:p w14:paraId="7AF653D3">
            <w:pPr>
              <w:spacing w:line="240" w:lineRule="auto"/>
              <w:ind w:firstLine="0" w:firstLineChars="0"/>
              <w:jc w:val="center"/>
              <w:rPr>
                <w:rFonts w:cs="Times New Roman"/>
                <w:sz w:val="21"/>
              </w:rPr>
            </w:pPr>
            <w:r>
              <w:rPr>
                <w:rFonts w:cs="Times New Roman"/>
                <w:sz w:val="21"/>
              </w:rPr>
              <w:t>125.29</w:t>
            </w:r>
          </w:p>
        </w:tc>
        <w:tc>
          <w:tcPr>
            <w:tcW w:w="1123" w:type="pct"/>
            <w:tcBorders>
              <w:top w:val="nil"/>
              <w:left w:val="nil"/>
              <w:bottom w:val="single" w:color="auto" w:sz="4" w:space="0"/>
              <w:right w:val="single" w:color="auto" w:sz="4" w:space="0"/>
            </w:tcBorders>
            <w:noWrap/>
            <w:vAlign w:val="center"/>
          </w:tcPr>
          <w:p w14:paraId="21448D40">
            <w:pPr>
              <w:spacing w:line="240" w:lineRule="auto"/>
              <w:ind w:firstLine="0" w:firstLineChars="0"/>
              <w:jc w:val="center"/>
              <w:rPr>
                <w:rFonts w:cs="Times New Roman"/>
                <w:sz w:val="21"/>
              </w:rPr>
            </w:pPr>
            <w:r>
              <w:rPr>
                <w:rFonts w:cs="Times New Roman"/>
                <w:sz w:val="21"/>
              </w:rPr>
              <w:t>140.51</w:t>
            </w:r>
          </w:p>
        </w:tc>
        <w:tc>
          <w:tcPr>
            <w:tcW w:w="1124" w:type="pct"/>
            <w:tcBorders>
              <w:top w:val="nil"/>
              <w:left w:val="nil"/>
              <w:bottom w:val="single" w:color="auto" w:sz="4" w:space="0"/>
              <w:right w:val="single" w:color="auto" w:sz="12" w:space="0"/>
            </w:tcBorders>
            <w:noWrap/>
            <w:vAlign w:val="center"/>
          </w:tcPr>
          <w:p w14:paraId="35D1BCCD">
            <w:pPr>
              <w:spacing w:line="240" w:lineRule="auto"/>
              <w:ind w:firstLine="0" w:firstLineChars="0"/>
              <w:jc w:val="center"/>
              <w:rPr>
                <w:rFonts w:cs="Times New Roman"/>
                <w:sz w:val="21"/>
              </w:rPr>
            </w:pPr>
            <w:r>
              <w:rPr>
                <w:rFonts w:cs="Times New Roman"/>
                <w:sz w:val="21"/>
              </w:rPr>
              <w:t>154.04</w:t>
            </w:r>
          </w:p>
        </w:tc>
      </w:tr>
      <w:tr w14:paraId="0A71340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FCB568E">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06C55181">
            <w:pPr>
              <w:spacing w:line="240" w:lineRule="auto"/>
              <w:ind w:firstLine="0" w:firstLineChars="0"/>
              <w:jc w:val="center"/>
              <w:rPr>
                <w:rFonts w:cs="Times New Roman"/>
                <w:sz w:val="21"/>
              </w:rPr>
            </w:pPr>
            <w:r>
              <w:rPr>
                <w:rFonts w:cs="Times New Roman"/>
                <w:sz w:val="21"/>
              </w:rPr>
              <w:t>51.9</w:t>
            </w:r>
          </w:p>
        </w:tc>
        <w:tc>
          <w:tcPr>
            <w:tcW w:w="1123" w:type="pct"/>
            <w:tcBorders>
              <w:top w:val="nil"/>
              <w:left w:val="nil"/>
              <w:bottom w:val="single" w:color="auto" w:sz="4" w:space="0"/>
              <w:right w:val="single" w:color="auto" w:sz="4" w:space="0"/>
            </w:tcBorders>
            <w:noWrap/>
            <w:vAlign w:val="center"/>
          </w:tcPr>
          <w:p w14:paraId="13333591">
            <w:pPr>
              <w:spacing w:line="240" w:lineRule="auto"/>
              <w:ind w:firstLine="0" w:firstLineChars="0"/>
              <w:jc w:val="center"/>
              <w:rPr>
                <w:rFonts w:cs="Times New Roman"/>
                <w:sz w:val="21"/>
              </w:rPr>
            </w:pPr>
            <w:r>
              <w:rPr>
                <w:rFonts w:cs="Times New Roman"/>
                <w:sz w:val="21"/>
              </w:rPr>
              <w:t>81.1</w:t>
            </w:r>
          </w:p>
        </w:tc>
        <w:tc>
          <w:tcPr>
            <w:tcW w:w="1123" w:type="pct"/>
            <w:tcBorders>
              <w:top w:val="nil"/>
              <w:left w:val="nil"/>
              <w:bottom w:val="single" w:color="auto" w:sz="4" w:space="0"/>
              <w:right w:val="single" w:color="auto" w:sz="4" w:space="0"/>
            </w:tcBorders>
            <w:noWrap/>
            <w:vAlign w:val="center"/>
          </w:tcPr>
          <w:p w14:paraId="628A8F10">
            <w:pPr>
              <w:spacing w:line="240" w:lineRule="auto"/>
              <w:ind w:firstLine="0" w:firstLineChars="0"/>
              <w:jc w:val="center"/>
              <w:rPr>
                <w:rFonts w:cs="Times New Roman"/>
                <w:sz w:val="21"/>
              </w:rPr>
            </w:pPr>
            <w:r>
              <w:rPr>
                <w:rFonts w:cs="Times New Roman"/>
                <w:sz w:val="21"/>
              </w:rPr>
              <w:t>104.4</w:t>
            </w:r>
          </w:p>
        </w:tc>
        <w:tc>
          <w:tcPr>
            <w:tcW w:w="1124" w:type="pct"/>
            <w:tcBorders>
              <w:top w:val="nil"/>
              <w:left w:val="nil"/>
              <w:bottom w:val="single" w:color="auto" w:sz="4" w:space="0"/>
              <w:right w:val="single" w:color="auto" w:sz="12" w:space="0"/>
            </w:tcBorders>
            <w:noWrap/>
            <w:vAlign w:val="center"/>
          </w:tcPr>
          <w:p w14:paraId="49C7629C">
            <w:pPr>
              <w:spacing w:line="240" w:lineRule="auto"/>
              <w:ind w:firstLine="0" w:firstLineChars="0"/>
              <w:jc w:val="center"/>
              <w:rPr>
                <w:rFonts w:cs="Times New Roman"/>
                <w:sz w:val="21"/>
              </w:rPr>
            </w:pPr>
            <w:r>
              <w:rPr>
                <w:rFonts w:cs="Times New Roman"/>
                <w:sz w:val="21"/>
              </w:rPr>
              <w:t>135.92</w:t>
            </w:r>
          </w:p>
        </w:tc>
      </w:tr>
      <w:tr w14:paraId="32616A3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5E62C6E">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40FD10F4">
            <w:pPr>
              <w:spacing w:line="240" w:lineRule="auto"/>
              <w:ind w:firstLine="0" w:firstLineChars="0"/>
              <w:jc w:val="center"/>
              <w:rPr>
                <w:rFonts w:cs="Times New Roman"/>
                <w:sz w:val="21"/>
              </w:rPr>
            </w:pPr>
            <w:r>
              <w:rPr>
                <w:rFonts w:cs="Times New Roman"/>
                <w:sz w:val="21"/>
              </w:rPr>
              <w:t>5.79</w:t>
            </w:r>
          </w:p>
        </w:tc>
        <w:tc>
          <w:tcPr>
            <w:tcW w:w="1123" w:type="pct"/>
            <w:tcBorders>
              <w:top w:val="nil"/>
              <w:left w:val="nil"/>
              <w:bottom w:val="single" w:color="auto" w:sz="4" w:space="0"/>
              <w:right w:val="single" w:color="auto" w:sz="4" w:space="0"/>
            </w:tcBorders>
            <w:noWrap/>
            <w:vAlign w:val="center"/>
          </w:tcPr>
          <w:p w14:paraId="4A9B923A">
            <w:pPr>
              <w:spacing w:line="240" w:lineRule="auto"/>
              <w:ind w:firstLine="0" w:firstLineChars="0"/>
              <w:jc w:val="center"/>
              <w:rPr>
                <w:rFonts w:cs="Times New Roman"/>
                <w:sz w:val="21"/>
              </w:rPr>
            </w:pPr>
            <w:r>
              <w:rPr>
                <w:rFonts w:cs="Times New Roman"/>
                <w:sz w:val="21"/>
              </w:rPr>
              <w:t>11.9</w:t>
            </w:r>
          </w:p>
        </w:tc>
        <w:tc>
          <w:tcPr>
            <w:tcW w:w="1123" w:type="pct"/>
            <w:tcBorders>
              <w:top w:val="nil"/>
              <w:left w:val="nil"/>
              <w:bottom w:val="single" w:color="auto" w:sz="4" w:space="0"/>
              <w:right w:val="single" w:color="auto" w:sz="4" w:space="0"/>
            </w:tcBorders>
            <w:noWrap/>
            <w:vAlign w:val="center"/>
          </w:tcPr>
          <w:p w14:paraId="24541482">
            <w:pPr>
              <w:spacing w:line="240" w:lineRule="auto"/>
              <w:ind w:firstLine="0" w:firstLineChars="0"/>
              <w:jc w:val="center"/>
              <w:rPr>
                <w:rFonts w:cs="Times New Roman"/>
                <w:sz w:val="21"/>
              </w:rPr>
            </w:pPr>
            <w:r>
              <w:rPr>
                <w:rFonts w:cs="Times New Roman"/>
                <w:sz w:val="21"/>
              </w:rPr>
              <w:t>18.4</w:t>
            </w:r>
          </w:p>
        </w:tc>
        <w:tc>
          <w:tcPr>
            <w:tcW w:w="1124" w:type="pct"/>
            <w:tcBorders>
              <w:top w:val="nil"/>
              <w:left w:val="nil"/>
              <w:bottom w:val="single" w:color="auto" w:sz="4" w:space="0"/>
              <w:right w:val="single" w:color="auto" w:sz="12" w:space="0"/>
            </w:tcBorders>
            <w:noWrap/>
            <w:vAlign w:val="center"/>
          </w:tcPr>
          <w:p w14:paraId="354C83BB">
            <w:pPr>
              <w:spacing w:line="240" w:lineRule="auto"/>
              <w:ind w:firstLine="0" w:firstLineChars="0"/>
              <w:jc w:val="center"/>
              <w:rPr>
                <w:rFonts w:cs="Times New Roman"/>
                <w:sz w:val="21"/>
              </w:rPr>
            </w:pPr>
            <w:r>
              <w:rPr>
                <w:rFonts w:cs="Times New Roman"/>
                <w:sz w:val="21"/>
              </w:rPr>
              <w:t>30.2</w:t>
            </w:r>
          </w:p>
        </w:tc>
      </w:tr>
      <w:tr w14:paraId="54F08F8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9763DCF">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691CED32">
            <w:pPr>
              <w:spacing w:line="240" w:lineRule="auto"/>
              <w:ind w:firstLine="0" w:firstLineChars="0"/>
              <w:jc w:val="center"/>
              <w:rPr>
                <w:rFonts w:cs="Times New Roman"/>
                <w:sz w:val="21"/>
              </w:rPr>
            </w:pPr>
            <w:r>
              <w:rPr>
                <w:rFonts w:cs="Times New Roman"/>
                <w:sz w:val="21"/>
              </w:rPr>
              <w:t>0.00003</w:t>
            </w:r>
          </w:p>
        </w:tc>
        <w:tc>
          <w:tcPr>
            <w:tcW w:w="1123" w:type="pct"/>
            <w:tcBorders>
              <w:top w:val="nil"/>
              <w:left w:val="nil"/>
              <w:bottom w:val="single" w:color="auto" w:sz="4" w:space="0"/>
              <w:right w:val="single" w:color="auto" w:sz="4" w:space="0"/>
            </w:tcBorders>
            <w:noWrap/>
            <w:vAlign w:val="center"/>
          </w:tcPr>
          <w:p w14:paraId="09DC58B4">
            <w:pPr>
              <w:spacing w:line="240" w:lineRule="auto"/>
              <w:ind w:firstLine="0" w:firstLineChars="0"/>
              <w:jc w:val="center"/>
              <w:rPr>
                <w:rFonts w:cs="Times New Roman"/>
                <w:sz w:val="21"/>
              </w:rPr>
            </w:pPr>
            <w:r>
              <w:rPr>
                <w:rFonts w:cs="Times New Roman"/>
                <w:sz w:val="21"/>
              </w:rPr>
              <w:t>0.00012</w:t>
            </w:r>
          </w:p>
        </w:tc>
        <w:tc>
          <w:tcPr>
            <w:tcW w:w="1123" w:type="pct"/>
            <w:tcBorders>
              <w:top w:val="nil"/>
              <w:left w:val="nil"/>
              <w:bottom w:val="single" w:color="auto" w:sz="4" w:space="0"/>
              <w:right w:val="single" w:color="auto" w:sz="4" w:space="0"/>
            </w:tcBorders>
            <w:noWrap/>
            <w:vAlign w:val="center"/>
          </w:tcPr>
          <w:p w14:paraId="2D1C6B7B">
            <w:pPr>
              <w:spacing w:line="240" w:lineRule="auto"/>
              <w:ind w:firstLine="0" w:firstLineChars="0"/>
              <w:jc w:val="center"/>
              <w:rPr>
                <w:rFonts w:cs="Times New Roman"/>
                <w:sz w:val="21"/>
              </w:rPr>
            </w:pPr>
            <w:r>
              <w:rPr>
                <w:rFonts w:cs="Times New Roman"/>
                <w:sz w:val="21"/>
              </w:rPr>
              <w:t>0.00030</w:t>
            </w:r>
          </w:p>
        </w:tc>
        <w:tc>
          <w:tcPr>
            <w:tcW w:w="1124" w:type="pct"/>
            <w:tcBorders>
              <w:top w:val="nil"/>
              <w:left w:val="nil"/>
              <w:bottom w:val="single" w:color="auto" w:sz="4" w:space="0"/>
              <w:right w:val="single" w:color="auto" w:sz="12" w:space="0"/>
            </w:tcBorders>
            <w:noWrap/>
            <w:vAlign w:val="center"/>
          </w:tcPr>
          <w:p w14:paraId="76AB7D4A">
            <w:pPr>
              <w:spacing w:line="240" w:lineRule="auto"/>
              <w:ind w:firstLine="0" w:firstLineChars="0"/>
              <w:jc w:val="center"/>
              <w:rPr>
                <w:rFonts w:cs="Times New Roman"/>
                <w:sz w:val="21"/>
              </w:rPr>
            </w:pPr>
            <w:r>
              <w:rPr>
                <w:rFonts w:cs="Times New Roman"/>
                <w:sz w:val="21"/>
              </w:rPr>
              <w:t>0.00087</w:t>
            </w:r>
          </w:p>
        </w:tc>
      </w:tr>
      <w:tr w14:paraId="30048995">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7CAA18E">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023B3D02">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07D14DD4">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44B7723">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02719E56">
            <w:pPr>
              <w:spacing w:line="240" w:lineRule="auto"/>
              <w:ind w:firstLine="0" w:firstLineChars="0"/>
              <w:jc w:val="center"/>
              <w:rPr>
                <w:rFonts w:cs="Times New Roman"/>
                <w:sz w:val="21"/>
              </w:rPr>
            </w:pPr>
            <w:r>
              <w:rPr>
                <w:rFonts w:cs="Times New Roman"/>
                <w:sz w:val="21"/>
              </w:rPr>
              <w:t>0.00000</w:t>
            </w:r>
          </w:p>
        </w:tc>
      </w:tr>
      <w:tr w14:paraId="3F3EFA6A">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270F2B81">
            <w:pPr>
              <w:spacing w:line="240" w:lineRule="auto"/>
              <w:ind w:firstLine="0" w:firstLineChars="0"/>
              <w:jc w:val="center"/>
              <w:rPr>
                <w:rFonts w:cs="Times New Roman"/>
                <w:sz w:val="21"/>
              </w:rPr>
            </w:pPr>
            <w:r>
              <w:rPr>
                <w:rFonts w:cs="Times New Roman"/>
                <w:sz w:val="21"/>
              </w:rPr>
              <w:t>1000d</w:t>
            </w:r>
          </w:p>
        </w:tc>
      </w:tr>
      <w:tr w14:paraId="0FFEAA02">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8EA941A">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08C25038">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723C87B2">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55882BE3">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61CF0588">
            <w:pPr>
              <w:spacing w:line="240" w:lineRule="auto"/>
              <w:ind w:firstLine="0" w:firstLineChars="0"/>
              <w:jc w:val="center"/>
              <w:rPr>
                <w:rFonts w:cs="Times New Roman"/>
                <w:sz w:val="21"/>
              </w:rPr>
            </w:pPr>
            <w:r>
              <w:rPr>
                <w:rFonts w:cs="Times New Roman"/>
                <w:sz w:val="21"/>
              </w:rPr>
              <w:t>7.5</w:t>
            </w:r>
          </w:p>
        </w:tc>
      </w:tr>
      <w:tr w14:paraId="7DC5608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729E5CF">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1535CBE6">
            <w:pPr>
              <w:spacing w:line="240" w:lineRule="auto"/>
              <w:ind w:firstLine="0" w:firstLineChars="0"/>
              <w:jc w:val="center"/>
              <w:rPr>
                <w:rFonts w:cs="Times New Roman"/>
                <w:b/>
                <w:bCs/>
                <w:sz w:val="21"/>
              </w:rPr>
            </w:pPr>
            <w:r>
              <w:rPr>
                <w:rFonts w:cs="Times New Roman"/>
                <w:sz w:val="21"/>
              </w:rPr>
              <w:t>13.7</w:t>
            </w:r>
          </w:p>
        </w:tc>
        <w:tc>
          <w:tcPr>
            <w:tcW w:w="1123" w:type="pct"/>
            <w:tcBorders>
              <w:top w:val="nil"/>
              <w:left w:val="nil"/>
              <w:bottom w:val="single" w:color="auto" w:sz="4" w:space="0"/>
              <w:right w:val="single" w:color="auto" w:sz="4" w:space="0"/>
            </w:tcBorders>
            <w:noWrap/>
            <w:vAlign w:val="center"/>
          </w:tcPr>
          <w:p w14:paraId="1D52D689">
            <w:pPr>
              <w:spacing w:line="240" w:lineRule="auto"/>
              <w:ind w:firstLine="0" w:firstLineChars="0"/>
              <w:jc w:val="center"/>
              <w:rPr>
                <w:rFonts w:cs="Times New Roman"/>
                <w:b/>
                <w:bCs/>
                <w:sz w:val="21"/>
              </w:rPr>
            </w:pPr>
            <w:r>
              <w:rPr>
                <w:rFonts w:cs="Times New Roman"/>
                <w:sz w:val="21"/>
              </w:rPr>
              <w:t>14.4</w:t>
            </w:r>
          </w:p>
        </w:tc>
        <w:tc>
          <w:tcPr>
            <w:tcW w:w="1123" w:type="pct"/>
            <w:tcBorders>
              <w:top w:val="nil"/>
              <w:left w:val="nil"/>
              <w:bottom w:val="single" w:color="auto" w:sz="4" w:space="0"/>
              <w:right w:val="single" w:color="auto" w:sz="4" w:space="0"/>
            </w:tcBorders>
            <w:noWrap/>
            <w:vAlign w:val="center"/>
          </w:tcPr>
          <w:p w14:paraId="76112A6B">
            <w:pPr>
              <w:spacing w:line="240" w:lineRule="auto"/>
              <w:ind w:firstLine="0" w:firstLineChars="0"/>
              <w:jc w:val="center"/>
              <w:rPr>
                <w:rFonts w:cs="Times New Roman"/>
                <w:b/>
                <w:bCs/>
                <w:sz w:val="21"/>
              </w:rPr>
            </w:pPr>
            <w:r>
              <w:rPr>
                <w:rFonts w:cs="Times New Roman"/>
                <w:sz w:val="21"/>
              </w:rPr>
              <w:t>14.6</w:t>
            </w:r>
          </w:p>
        </w:tc>
        <w:tc>
          <w:tcPr>
            <w:tcW w:w="1124" w:type="pct"/>
            <w:tcBorders>
              <w:top w:val="nil"/>
              <w:left w:val="nil"/>
              <w:bottom w:val="single" w:color="auto" w:sz="4" w:space="0"/>
              <w:right w:val="single" w:color="auto" w:sz="12" w:space="0"/>
            </w:tcBorders>
            <w:noWrap/>
            <w:vAlign w:val="center"/>
          </w:tcPr>
          <w:p w14:paraId="2B41FEB0">
            <w:pPr>
              <w:spacing w:line="240" w:lineRule="auto"/>
              <w:ind w:firstLine="0" w:firstLineChars="0"/>
              <w:jc w:val="center"/>
              <w:rPr>
                <w:rFonts w:cs="Times New Roman"/>
                <w:sz w:val="21"/>
              </w:rPr>
            </w:pPr>
            <w:r>
              <w:rPr>
                <w:rFonts w:cs="Times New Roman"/>
                <w:sz w:val="21"/>
              </w:rPr>
              <w:t>14.5</w:t>
            </w:r>
          </w:p>
        </w:tc>
      </w:tr>
      <w:tr w14:paraId="1904F9EB">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E678CB3">
            <w:pPr>
              <w:spacing w:line="240" w:lineRule="auto"/>
              <w:ind w:firstLine="0" w:firstLineChars="0"/>
              <w:jc w:val="center"/>
              <w:rPr>
                <w:rFonts w:cs="Times New Roman"/>
                <w:sz w:val="21"/>
              </w:rPr>
            </w:pPr>
            <w:r>
              <w:rPr>
                <w:rFonts w:cs="Times New Roman"/>
                <w:sz w:val="21"/>
              </w:rPr>
              <w:t>15</w:t>
            </w:r>
          </w:p>
        </w:tc>
        <w:tc>
          <w:tcPr>
            <w:tcW w:w="1124" w:type="pct"/>
            <w:tcBorders>
              <w:top w:val="nil"/>
              <w:left w:val="nil"/>
              <w:bottom w:val="single" w:color="auto" w:sz="4" w:space="0"/>
              <w:right w:val="single" w:color="auto" w:sz="4" w:space="0"/>
            </w:tcBorders>
            <w:noWrap/>
            <w:vAlign w:val="center"/>
          </w:tcPr>
          <w:p w14:paraId="33EC856F">
            <w:pPr>
              <w:spacing w:line="240" w:lineRule="auto"/>
              <w:ind w:firstLine="0" w:firstLineChars="0"/>
              <w:jc w:val="center"/>
              <w:rPr>
                <w:rFonts w:cs="Times New Roman"/>
                <w:b/>
                <w:bCs/>
                <w:sz w:val="21"/>
              </w:rPr>
            </w:pPr>
            <w:r>
              <w:rPr>
                <w:rFonts w:cs="Times New Roman"/>
                <w:sz w:val="21"/>
              </w:rPr>
              <w:t>21.1</w:t>
            </w:r>
          </w:p>
        </w:tc>
        <w:tc>
          <w:tcPr>
            <w:tcW w:w="1123" w:type="pct"/>
            <w:tcBorders>
              <w:top w:val="nil"/>
              <w:left w:val="nil"/>
              <w:bottom w:val="single" w:color="auto" w:sz="4" w:space="0"/>
              <w:right w:val="single" w:color="auto" w:sz="4" w:space="0"/>
            </w:tcBorders>
            <w:noWrap/>
            <w:vAlign w:val="center"/>
          </w:tcPr>
          <w:p w14:paraId="6A7BFC89">
            <w:pPr>
              <w:spacing w:line="240" w:lineRule="auto"/>
              <w:ind w:firstLine="0" w:firstLineChars="0"/>
              <w:jc w:val="center"/>
              <w:rPr>
                <w:rFonts w:cs="Times New Roman"/>
                <w:sz w:val="21"/>
              </w:rPr>
            </w:pPr>
            <w:r>
              <w:rPr>
                <w:rFonts w:hint="eastAsia" w:cs="Times New Roman"/>
                <w:sz w:val="21"/>
              </w:rPr>
              <w:t>2</w:t>
            </w:r>
            <w:r>
              <w:rPr>
                <w:rFonts w:cs="Times New Roman"/>
                <w:sz w:val="21"/>
              </w:rPr>
              <w:t>4.7</w:t>
            </w:r>
          </w:p>
        </w:tc>
        <w:tc>
          <w:tcPr>
            <w:tcW w:w="1123" w:type="pct"/>
            <w:tcBorders>
              <w:top w:val="nil"/>
              <w:left w:val="nil"/>
              <w:bottom w:val="single" w:color="auto" w:sz="4" w:space="0"/>
              <w:right w:val="single" w:color="auto" w:sz="4" w:space="0"/>
            </w:tcBorders>
            <w:noWrap/>
            <w:vAlign w:val="center"/>
          </w:tcPr>
          <w:p w14:paraId="3AD15017">
            <w:pPr>
              <w:spacing w:line="240" w:lineRule="auto"/>
              <w:ind w:firstLine="0" w:firstLineChars="0"/>
              <w:jc w:val="center"/>
              <w:rPr>
                <w:rFonts w:cs="Times New Roman"/>
                <w:b/>
                <w:bCs/>
                <w:sz w:val="21"/>
              </w:rPr>
            </w:pPr>
            <w:r>
              <w:rPr>
                <w:rFonts w:cs="Times New Roman"/>
                <w:sz w:val="21"/>
              </w:rPr>
              <w:t>26.8</w:t>
            </w:r>
          </w:p>
        </w:tc>
        <w:tc>
          <w:tcPr>
            <w:tcW w:w="1124" w:type="pct"/>
            <w:tcBorders>
              <w:top w:val="nil"/>
              <w:left w:val="nil"/>
              <w:bottom w:val="single" w:color="auto" w:sz="4" w:space="0"/>
              <w:right w:val="single" w:color="auto" w:sz="12" w:space="0"/>
            </w:tcBorders>
            <w:noWrap/>
            <w:vAlign w:val="center"/>
          </w:tcPr>
          <w:p w14:paraId="28EA57D3">
            <w:pPr>
              <w:spacing w:line="240" w:lineRule="auto"/>
              <w:ind w:firstLine="0" w:firstLineChars="0"/>
              <w:jc w:val="center"/>
              <w:rPr>
                <w:rFonts w:cs="Times New Roman"/>
                <w:b/>
                <w:bCs/>
                <w:sz w:val="21"/>
              </w:rPr>
            </w:pPr>
            <w:r>
              <w:rPr>
                <w:rFonts w:cs="Times New Roman"/>
                <w:sz w:val="21"/>
              </w:rPr>
              <w:t>29.0</w:t>
            </w:r>
          </w:p>
        </w:tc>
      </w:tr>
      <w:tr w14:paraId="790B9BCA">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0D839C9">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00DB9AD1">
            <w:pPr>
              <w:spacing w:line="240" w:lineRule="auto"/>
              <w:ind w:firstLine="0" w:firstLineChars="0"/>
              <w:jc w:val="center"/>
              <w:rPr>
                <w:rFonts w:cs="Times New Roman"/>
                <w:sz w:val="21"/>
              </w:rPr>
            </w:pPr>
            <w:r>
              <w:rPr>
                <w:rFonts w:cs="Times New Roman"/>
                <w:sz w:val="21"/>
              </w:rPr>
              <w:t>21.2</w:t>
            </w:r>
          </w:p>
        </w:tc>
        <w:tc>
          <w:tcPr>
            <w:tcW w:w="1123" w:type="pct"/>
            <w:tcBorders>
              <w:top w:val="nil"/>
              <w:left w:val="nil"/>
              <w:bottom w:val="single" w:color="auto" w:sz="4" w:space="0"/>
              <w:right w:val="single" w:color="auto" w:sz="4" w:space="0"/>
            </w:tcBorders>
            <w:noWrap/>
            <w:vAlign w:val="center"/>
          </w:tcPr>
          <w:p w14:paraId="4054117A">
            <w:pPr>
              <w:spacing w:line="240" w:lineRule="auto"/>
              <w:ind w:firstLine="0" w:firstLineChars="0"/>
              <w:jc w:val="center"/>
              <w:rPr>
                <w:rFonts w:cs="Times New Roman"/>
                <w:b/>
                <w:bCs/>
                <w:sz w:val="21"/>
              </w:rPr>
            </w:pPr>
            <w:r>
              <w:rPr>
                <w:rFonts w:cs="Times New Roman"/>
                <w:sz w:val="21"/>
              </w:rPr>
              <w:t>27.5</w:t>
            </w:r>
          </w:p>
        </w:tc>
        <w:tc>
          <w:tcPr>
            <w:tcW w:w="1123" w:type="pct"/>
            <w:tcBorders>
              <w:top w:val="nil"/>
              <w:left w:val="nil"/>
              <w:bottom w:val="single" w:color="auto" w:sz="4" w:space="0"/>
              <w:right w:val="single" w:color="auto" w:sz="4" w:space="0"/>
            </w:tcBorders>
            <w:noWrap/>
            <w:vAlign w:val="center"/>
          </w:tcPr>
          <w:p w14:paraId="5D498EF2">
            <w:pPr>
              <w:spacing w:line="240" w:lineRule="auto"/>
              <w:ind w:firstLine="0" w:firstLineChars="0"/>
              <w:jc w:val="center"/>
              <w:rPr>
                <w:rFonts w:cs="Times New Roman"/>
                <w:b/>
                <w:bCs/>
                <w:sz w:val="21"/>
              </w:rPr>
            </w:pPr>
            <w:r>
              <w:rPr>
                <w:rFonts w:cs="Times New Roman"/>
                <w:sz w:val="21"/>
              </w:rPr>
              <w:t>32.0</w:t>
            </w:r>
          </w:p>
        </w:tc>
        <w:tc>
          <w:tcPr>
            <w:tcW w:w="1124" w:type="pct"/>
            <w:tcBorders>
              <w:top w:val="nil"/>
              <w:left w:val="nil"/>
              <w:bottom w:val="single" w:color="auto" w:sz="4" w:space="0"/>
              <w:right w:val="single" w:color="auto" w:sz="12" w:space="0"/>
            </w:tcBorders>
            <w:noWrap/>
            <w:vAlign w:val="center"/>
          </w:tcPr>
          <w:p w14:paraId="6A6B8F51">
            <w:pPr>
              <w:spacing w:line="240" w:lineRule="auto"/>
              <w:ind w:firstLine="0" w:firstLineChars="0"/>
              <w:jc w:val="center"/>
              <w:rPr>
                <w:rFonts w:cs="Times New Roman"/>
                <w:b/>
                <w:bCs/>
                <w:sz w:val="21"/>
              </w:rPr>
            </w:pPr>
            <w:r>
              <w:rPr>
                <w:rFonts w:cs="Times New Roman"/>
                <w:sz w:val="21"/>
              </w:rPr>
              <w:t>37.7</w:t>
            </w:r>
          </w:p>
        </w:tc>
      </w:tr>
      <w:tr w14:paraId="00187211">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499FD35">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394F363B">
            <w:pPr>
              <w:spacing w:line="240" w:lineRule="auto"/>
              <w:ind w:firstLine="0" w:firstLineChars="0"/>
              <w:jc w:val="center"/>
              <w:rPr>
                <w:rFonts w:cs="Times New Roman"/>
                <w:sz w:val="21"/>
              </w:rPr>
            </w:pPr>
            <w:r>
              <w:rPr>
                <w:rFonts w:cs="Times New Roman"/>
                <w:sz w:val="21"/>
              </w:rPr>
              <w:t>10.9</w:t>
            </w:r>
          </w:p>
        </w:tc>
        <w:tc>
          <w:tcPr>
            <w:tcW w:w="1123" w:type="pct"/>
            <w:tcBorders>
              <w:top w:val="nil"/>
              <w:left w:val="nil"/>
              <w:bottom w:val="single" w:color="auto" w:sz="4" w:space="0"/>
              <w:right w:val="single" w:color="auto" w:sz="4" w:space="0"/>
            </w:tcBorders>
            <w:noWrap/>
            <w:vAlign w:val="center"/>
          </w:tcPr>
          <w:p w14:paraId="57FD9E1E">
            <w:pPr>
              <w:spacing w:line="240" w:lineRule="auto"/>
              <w:ind w:firstLine="0" w:firstLineChars="0"/>
              <w:jc w:val="center"/>
              <w:rPr>
                <w:rFonts w:cs="Times New Roman"/>
                <w:sz w:val="21"/>
              </w:rPr>
            </w:pPr>
            <w:r>
              <w:rPr>
                <w:rFonts w:cs="Times New Roman"/>
                <w:sz w:val="21"/>
              </w:rPr>
              <w:t>16.3</w:t>
            </w:r>
          </w:p>
        </w:tc>
        <w:tc>
          <w:tcPr>
            <w:tcW w:w="1123" w:type="pct"/>
            <w:tcBorders>
              <w:top w:val="nil"/>
              <w:left w:val="nil"/>
              <w:bottom w:val="single" w:color="auto" w:sz="4" w:space="0"/>
              <w:right w:val="single" w:color="auto" w:sz="4" w:space="0"/>
            </w:tcBorders>
            <w:noWrap/>
            <w:vAlign w:val="center"/>
          </w:tcPr>
          <w:p w14:paraId="6B01A227">
            <w:pPr>
              <w:spacing w:line="240" w:lineRule="auto"/>
              <w:ind w:firstLine="0" w:firstLineChars="0"/>
              <w:jc w:val="center"/>
              <w:rPr>
                <w:rFonts w:cs="Times New Roman"/>
                <w:sz w:val="21"/>
              </w:rPr>
            </w:pPr>
            <w:r>
              <w:rPr>
                <w:rFonts w:cs="Times New Roman"/>
                <w:sz w:val="21"/>
              </w:rPr>
              <w:t>20.7</w:t>
            </w:r>
          </w:p>
        </w:tc>
        <w:tc>
          <w:tcPr>
            <w:tcW w:w="1124" w:type="pct"/>
            <w:tcBorders>
              <w:top w:val="nil"/>
              <w:left w:val="nil"/>
              <w:bottom w:val="single" w:color="auto" w:sz="4" w:space="0"/>
              <w:right w:val="single" w:color="auto" w:sz="12" w:space="0"/>
            </w:tcBorders>
            <w:noWrap/>
            <w:vAlign w:val="center"/>
          </w:tcPr>
          <w:p w14:paraId="493D4C27">
            <w:pPr>
              <w:spacing w:line="240" w:lineRule="auto"/>
              <w:ind w:firstLine="0" w:firstLineChars="0"/>
              <w:jc w:val="center"/>
              <w:rPr>
                <w:rFonts w:cs="Times New Roman"/>
                <w:sz w:val="21"/>
              </w:rPr>
            </w:pPr>
            <w:r>
              <w:rPr>
                <w:rFonts w:cs="Times New Roman"/>
                <w:sz w:val="21"/>
              </w:rPr>
              <w:t>27.4</w:t>
            </w:r>
          </w:p>
        </w:tc>
      </w:tr>
      <w:tr w14:paraId="03C15E46">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77A52AC">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733E0A70">
            <w:pPr>
              <w:spacing w:line="240" w:lineRule="auto"/>
              <w:ind w:firstLine="0" w:firstLineChars="0"/>
              <w:jc w:val="center"/>
              <w:rPr>
                <w:rFonts w:cs="Times New Roman"/>
                <w:sz w:val="21"/>
              </w:rPr>
            </w:pPr>
            <w:r>
              <w:rPr>
                <w:rFonts w:cs="Times New Roman"/>
                <w:sz w:val="21"/>
              </w:rPr>
              <w:t>0.0733</w:t>
            </w:r>
          </w:p>
        </w:tc>
        <w:tc>
          <w:tcPr>
            <w:tcW w:w="1123" w:type="pct"/>
            <w:tcBorders>
              <w:top w:val="nil"/>
              <w:left w:val="nil"/>
              <w:bottom w:val="single" w:color="auto" w:sz="4" w:space="0"/>
              <w:right w:val="single" w:color="auto" w:sz="4" w:space="0"/>
            </w:tcBorders>
            <w:noWrap/>
            <w:vAlign w:val="center"/>
          </w:tcPr>
          <w:p w14:paraId="7368092E">
            <w:pPr>
              <w:spacing w:line="240" w:lineRule="auto"/>
              <w:ind w:firstLine="0" w:firstLineChars="0"/>
              <w:jc w:val="center"/>
              <w:rPr>
                <w:rFonts w:cs="Times New Roman"/>
                <w:sz w:val="21"/>
              </w:rPr>
            </w:pPr>
            <w:r>
              <w:rPr>
                <w:rFonts w:cs="Times New Roman"/>
                <w:sz w:val="21"/>
              </w:rPr>
              <w:t>0.154</w:t>
            </w:r>
          </w:p>
        </w:tc>
        <w:tc>
          <w:tcPr>
            <w:tcW w:w="1123" w:type="pct"/>
            <w:tcBorders>
              <w:top w:val="nil"/>
              <w:left w:val="nil"/>
              <w:bottom w:val="single" w:color="auto" w:sz="4" w:space="0"/>
              <w:right w:val="single" w:color="auto" w:sz="4" w:space="0"/>
            </w:tcBorders>
            <w:noWrap/>
            <w:vAlign w:val="center"/>
          </w:tcPr>
          <w:p w14:paraId="73D79049">
            <w:pPr>
              <w:spacing w:line="240" w:lineRule="auto"/>
              <w:ind w:firstLine="0" w:firstLineChars="0"/>
              <w:jc w:val="center"/>
              <w:rPr>
                <w:rFonts w:cs="Times New Roman"/>
                <w:sz w:val="21"/>
              </w:rPr>
            </w:pPr>
            <w:r>
              <w:rPr>
                <w:rFonts w:cs="Times New Roman"/>
                <w:sz w:val="21"/>
              </w:rPr>
              <w:t>0.247</w:t>
            </w:r>
          </w:p>
        </w:tc>
        <w:tc>
          <w:tcPr>
            <w:tcW w:w="1124" w:type="pct"/>
            <w:tcBorders>
              <w:top w:val="nil"/>
              <w:left w:val="nil"/>
              <w:bottom w:val="single" w:color="auto" w:sz="4" w:space="0"/>
              <w:right w:val="single" w:color="auto" w:sz="12" w:space="0"/>
            </w:tcBorders>
            <w:noWrap/>
            <w:vAlign w:val="center"/>
          </w:tcPr>
          <w:p w14:paraId="56291F59">
            <w:pPr>
              <w:spacing w:line="240" w:lineRule="auto"/>
              <w:ind w:firstLine="0" w:firstLineChars="0"/>
              <w:jc w:val="center"/>
              <w:rPr>
                <w:rFonts w:cs="Times New Roman"/>
                <w:sz w:val="21"/>
              </w:rPr>
            </w:pPr>
            <w:r>
              <w:rPr>
                <w:rFonts w:cs="Times New Roman"/>
                <w:sz w:val="21"/>
              </w:rPr>
              <w:t>0.434</w:t>
            </w:r>
          </w:p>
        </w:tc>
      </w:tr>
      <w:tr w14:paraId="54CE8F7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400084A">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0EF71745">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0FED003D">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268562E1">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0436A326">
            <w:pPr>
              <w:spacing w:line="240" w:lineRule="auto"/>
              <w:ind w:firstLine="0" w:firstLineChars="0"/>
              <w:jc w:val="center"/>
              <w:rPr>
                <w:rFonts w:cs="Times New Roman"/>
                <w:sz w:val="21"/>
              </w:rPr>
            </w:pPr>
            <w:r>
              <w:rPr>
                <w:rFonts w:cs="Times New Roman"/>
                <w:sz w:val="21"/>
              </w:rPr>
              <w:t>0.00000</w:t>
            </w:r>
          </w:p>
        </w:tc>
      </w:tr>
      <w:tr w14:paraId="7C7A6D3C">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0669FE24">
            <w:pPr>
              <w:spacing w:line="240" w:lineRule="auto"/>
              <w:ind w:firstLine="0" w:firstLineChars="0"/>
              <w:jc w:val="center"/>
              <w:rPr>
                <w:rFonts w:cs="Times New Roman"/>
                <w:sz w:val="21"/>
              </w:rPr>
            </w:pPr>
            <w:r>
              <w:rPr>
                <w:rFonts w:cs="Times New Roman"/>
                <w:sz w:val="21"/>
              </w:rPr>
              <w:t>3650d</w:t>
            </w:r>
          </w:p>
        </w:tc>
      </w:tr>
      <w:tr w14:paraId="0230AB3B">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36718DB">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0EB1D906">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1B01396E">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4CB71AA0">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5799DC87">
            <w:pPr>
              <w:spacing w:line="240" w:lineRule="auto"/>
              <w:ind w:firstLine="0" w:firstLineChars="0"/>
              <w:jc w:val="center"/>
              <w:rPr>
                <w:rFonts w:cs="Times New Roman"/>
                <w:sz w:val="21"/>
              </w:rPr>
            </w:pPr>
            <w:r>
              <w:rPr>
                <w:rFonts w:cs="Times New Roman"/>
                <w:sz w:val="21"/>
              </w:rPr>
              <w:t>7.5</w:t>
            </w:r>
          </w:p>
        </w:tc>
      </w:tr>
      <w:tr w14:paraId="7E272C7F">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1C1CFE2">
            <w:pPr>
              <w:spacing w:line="240" w:lineRule="auto"/>
              <w:ind w:firstLine="0" w:firstLineChars="0"/>
              <w:jc w:val="center"/>
              <w:rPr>
                <w:rFonts w:cs="Times New Roman"/>
                <w:sz w:val="21"/>
              </w:rPr>
            </w:pPr>
            <w:r>
              <w:rPr>
                <w:rFonts w:cs="Times New Roman"/>
                <w:sz w:val="21"/>
              </w:rPr>
              <w:t>0</w:t>
            </w:r>
          </w:p>
        </w:tc>
        <w:tc>
          <w:tcPr>
            <w:tcW w:w="1124" w:type="pct"/>
            <w:tcBorders>
              <w:top w:val="single" w:color="auto" w:sz="4" w:space="0"/>
              <w:left w:val="nil"/>
              <w:bottom w:val="single" w:color="auto" w:sz="4" w:space="0"/>
              <w:right w:val="single" w:color="auto" w:sz="4" w:space="0"/>
            </w:tcBorders>
            <w:noWrap/>
            <w:vAlign w:val="center"/>
          </w:tcPr>
          <w:p w14:paraId="46A70294">
            <w:pPr>
              <w:spacing w:line="240" w:lineRule="auto"/>
              <w:ind w:firstLine="0" w:firstLineChars="0"/>
              <w:jc w:val="center"/>
              <w:rPr>
                <w:rFonts w:cs="Times New Roman"/>
                <w:sz w:val="21"/>
              </w:rPr>
            </w:pPr>
            <w:r>
              <w:rPr>
                <w:rFonts w:cs="Times New Roman"/>
                <w:sz w:val="21"/>
              </w:rPr>
              <w:t>0.01343</w:t>
            </w:r>
          </w:p>
        </w:tc>
        <w:tc>
          <w:tcPr>
            <w:tcW w:w="1123" w:type="pct"/>
            <w:tcBorders>
              <w:top w:val="single" w:color="auto" w:sz="4" w:space="0"/>
              <w:left w:val="nil"/>
              <w:bottom w:val="single" w:color="auto" w:sz="4" w:space="0"/>
              <w:right w:val="single" w:color="auto" w:sz="4" w:space="0"/>
            </w:tcBorders>
            <w:noWrap/>
            <w:vAlign w:val="center"/>
          </w:tcPr>
          <w:p w14:paraId="2381A0D2">
            <w:pPr>
              <w:spacing w:line="240" w:lineRule="auto"/>
              <w:ind w:firstLine="0" w:firstLineChars="0"/>
              <w:jc w:val="center"/>
              <w:rPr>
                <w:rFonts w:cs="Times New Roman"/>
                <w:sz w:val="21"/>
              </w:rPr>
            </w:pPr>
            <w:r>
              <w:rPr>
                <w:rFonts w:cs="Times New Roman"/>
                <w:sz w:val="21"/>
              </w:rPr>
              <w:t>0.01439</w:t>
            </w:r>
          </w:p>
        </w:tc>
        <w:tc>
          <w:tcPr>
            <w:tcW w:w="1123" w:type="pct"/>
            <w:tcBorders>
              <w:top w:val="single" w:color="auto" w:sz="4" w:space="0"/>
              <w:left w:val="nil"/>
              <w:bottom w:val="single" w:color="auto" w:sz="4" w:space="0"/>
              <w:right w:val="single" w:color="auto" w:sz="4" w:space="0"/>
            </w:tcBorders>
            <w:noWrap/>
            <w:vAlign w:val="center"/>
          </w:tcPr>
          <w:p w14:paraId="4D2EAC74">
            <w:pPr>
              <w:spacing w:line="240" w:lineRule="auto"/>
              <w:ind w:firstLine="0" w:firstLineChars="0"/>
              <w:jc w:val="center"/>
              <w:rPr>
                <w:rFonts w:cs="Times New Roman"/>
                <w:sz w:val="21"/>
              </w:rPr>
            </w:pPr>
            <w:r>
              <w:rPr>
                <w:rFonts w:cs="Times New Roman"/>
                <w:sz w:val="21"/>
              </w:rPr>
              <w:t>0.01498</w:t>
            </w:r>
          </w:p>
        </w:tc>
        <w:tc>
          <w:tcPr>
            <w:tcW w:w="1124" w:type="pct"/>
            <w:tcBorders>
              <w:top w:val="single" w:color="auto" w:sz="4" w:space="0"/>
              <w:left w:val="nil"/>
              <w:bottom w:val="single" w:color="auto" w:sz="4" w:space="0"/>
              <w:right w:val="single" w:color="auto" w:sz="12" w:space="0"/>
            </w:tcBorders>
            <w:noWrap/>
            <w:vAlign w:val="center"/>
          </w:tcPr>
          <w:p w14:paraId="31E2B8CA">
            <w:pPr>
              <w:spacing w:line="240" w:lineRule="auto"/>
              <w:ind w:firstLine="0" w:firstLineChars="0"/>
              <w:jc w:val="center"/>
              <w:rPr>
                <w:rFonts w:cs="Times New Roman"/>
                <w:sz w:val="21"/>
              </w:rPr>
            </w:pPr>
            <w:r>
              <w:rPr>
                <w:rFonts w:cs="Times New Roman"/>
                <w:sz w:val="21"/>
              </w:rPr>
              <w:t>0.01563</w:t>
            </w:r>
          </w:p>
        </w:tc>
      </w:tr>
      <w:tr w14:paraId="74E548A2">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AA24314">
            <w:pPr>
              <w:spacing w:line="240" w:lineRule="auto"/>
              <w:ind w:firstLine="0" w:firstLineChars="0"/>
              <w:jc w:val="center"/>
              <w:rPr>
                <w:rFonts w:cs="Times New Roman"/>
                <w:sz w:val="21"/>
              </w:rPr>
            </w:pPr>
            <w:r>
              <w:rPr>
                <w:rFonts w:cs="Times New Roman"/>
                <w:sz w:val="21"/>
              </w:rPr>
              <w:t>15</w:t>
            </w:r>
          </w:p>
        </w:tc>
        <w:tc>
          <w:tcPr>
            <w:tcW w:w="1124" w:type="pct"/>
            <w:tcBorders>
              <w:top w:val="single" w:color="auto" w:sz="4" w:space="0"/>
              <w:left w:val="nil"/>
              <w:bottom w:val="single" w:color="auto" w:sz="4" w:space="0"/>
              <w:right w:val="single" w:color="auto" w:sz="4" w:space="0"/>
            </w:tcBorders>
            <w:noWrap/>
            <w:vAlign w:val="center"/>
          </w:tcPr>
          <w:p w14:paraId="2239E001">
            <w:pPr>
              <w:spacing w:line="240" w:lineRule="auto"/>
              <w:ind w:firstLine="0" w:firstLineChars="0"/>
              <w:jc w:val="center"/>
              <w:rPr>
                <w:rFonts w:cs="Times New Roman"/>
                <w:sz w:val="21"/>
              </w:rPr>
            </w:pPr>
            <w:r>
              <w:rPr>
                <w:rFonts w:cs="Times New Roman"/>
                <w:sz w:val="21"/>
              </w:rPr>
              <w:t>0.02423</w:t>
            </w:r>
          </w:p>
        </w:tc>
        <w:tc>
          <w:tcPr>
            <w:tcW w:w="1123" w:type="pct"/>
            <w:tcBorders>
              <w:top w:val="single" w:color="auto" w:sz="4" w:space="0"/>
              <w:left w:val="nil"/>
              <w:bottom w:val="single" w:color="auto" w:sz="4" w:space="0"/>
              <w:right w:val="single" w:color="auto" w:sz="4" w:space="0"/>
            </w:tcBorders>
            <w:noWrap/>
            <w:vAlign w:val="center"/>
          </w:tcPr>
          <w:p w14:paraId="72B0075F">
            <w:pPr>
              <w:spacing w:line="240" w:lineRule="auto"/>
              <w:ind w:firstLine="0" w:firstLineChars="0"/>
              <w:jc w:val="center"/>
              <w:rPr>
                <w:rFonts w:cs="Times New Roman"/>
                <w:sz w:val="21"/>
              </w:rPr>
            </w:pPr>
            <w:r>
              <w:rPr>
                <w:rFonts w:cs="Times New Roman"/>
                <w:sz w:val="21"/>
              </w:rPr>
              <w:t>0.02672</w:t>
            </w:r>
          </w:p>
        </w:tc>
        <w:tc>
          <w:tcPr>
            <w:tcW w:w="1123" w:type="pct"/>
            <w:tcBorders>
              <w:top w:val="single" w:color="auto" w:sz="4" w:space="0"/>
              <w:left w:val="nil"/>
              <w:bottom w:val="single" w:color="auto" w:sz="4" w:space="0"/>
              <w:right w:val="single" w:color="auto" w:sz="4" w:space="0"/>
            </w:tcBorders>
            <w:noWrap/>
            <w:vAlign w:val="center"/>
          </w:tcPr>
          <w:p w14:paraId="60960C7E">
            <w:pPr>
              <w:spacing w:line="240" w:lineRule="auto"/>
              <w:ind w:firstLine="0" w:firstLineChars="0"/>
              <w:jc w:val="center"/>
              <w:rPr>
                <w:rFonts w:cs="Times New Roman"/>
                <w:sz w:val="21"/>
              </w:rPr>
            </w:pPr>
            <w:r>
              <w:rPr>
                <w:rFonts w:cs="Times New Roman"/>
                <w:sz w:val="21"/>
              </w:rPr>
              <w:t>0.02834</w:t>
            </w:r>
          </w:p>
        </w:tc>
        <w:tc>
          <w:tcPr>
            <w:tcW w:w="1124" w:type="pct"/>
            <w:tcBorders>
              <w:top w:val="single" w:color="auto" w:sz="4" w:space="0"/>
              <w:left w:val="nil"/>
              <w:bottom w:val="single" w:color="auto" w:sz="4" w:space="0"/>
              <w:right w:val="single" w:color="auto" w:sz="12" w:space="0"/>
            </w:tcBorders>
            <w:noWrap/>
            <w:vAlign w:val="center"/>
          </w:tcPr>
          <w:p w14:paraId="6DE2E10D">
            <w:pPr>
              <w:spacing w:line="240" w:lineRule="auto"/>
              <w:ind w:firstLine="0" w:firstLineChars="0"/>
              <w:jc w:val="center"/>
              <w:rPr>
                <w:rFonts w:cs="Times New Roman"/>
                <w:sz w:val="21"/>
              </w:rPr>
            </w:pPr>
            <w:r>
              <w:rPr>
                <w:rFonts w:cs="Times New Roman"/>
                <w:sz w:val="21"/>
              </w:rPr>
              <w:t>0.03029</w:t>
            </w:r>
          </w:p>
        </w:tc>
      </w:tr>
      <w:tr w14:paraId="5328AC66">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65C394F">
            <w:pPr>
              <w:spacing w:line="240" w:lineRule="auto"/>
              <w:ind w:firstLine="0" w:firstLineChars="0"/>
              <w:jc w:val="center"/>
              <w:rPr>
                <w:rFonts w:cs="Times New Roman"/>
                <w:sz w:val="21"/>
              </w:rPr>
            </w:pPr>
            <w:r>
              <w:rPr>
                <w:rFonts w:cs="Times New Roman"/>
                <w:sz w:val="21"/>
              </w:rPr>
              <w:t>30</w:t>
            </w:r>
          </w:p>
        </w:tc>
        <w:tc>
          <w:tcPr>
            <w:tcW w:w="1124" w:type="pct"/>
            <w:tcBorders>
              <w:top w:val="single" w:color="auto" w:sz="4" w:space="0"/>
              <w:left w:val="nil"/>
              <w:bottom w:val="single" w:color="auto" w:sz="4" w:space="0"/>
              <w:right w:val="single" w:color="auto" w:sz="4" w:space="0"/>
            </w:tcBorders>
            <w:noWrap/>
            <w:vAlign w:val="center"/>
          </w:tcPr>
          <w:p w14:paraId="7C6D8486">
            <w:pPr>
              <w:spacing w:line="240" w:lineRule="auto"/>
              <w:ind w:firstLine="0" w:firstLineChars="0"/>
              <w:jc w:val="center"/>
              <w:rPr>
                <w:rFonts w:cs="Times New Roman"/>
                <w:sz w:val="21"/>
              </w:rPr>
            </w:pPr>
            <w:r>
              <w:rPr>
                <w:rFonts w:cs="Times New Roman"/>
                <w:sz w:val="21"/>
              </w:rPr>
              <w:t>0.03888</w:t>
            </w:r>
          </w:p>
        </w:tc>
        <w:tc>
          <w:tcPr>
            <w:tcW w:w="1123" w:type="pct"/>
            <w:tcBorders>
              <w:top w:val="single" w:color="auto" w:sz="4" w:space="0"/>
              <w:left w:val="nil"/>
              <w:bottom w:val="single" w:color="auto" w:sz="4" w:space="0"/>
              <w:right w:val="single" w:color="auto" w:sz="4" w:space="0"/>
            </w:tcBorders>
            <w:noWrap/>
            <w:vAlign w:val="center"/>
          </w:tcPr>
          <w:p w14:paraId="583ACBF5">
            <w:pPr>
              <w:spacing w:line="240" w:lineRule="auto"/>
              <w:ind w:firstLine="0" w:firstLineChars="0"/>
              <w:jc w:val="center"/>
              <w:rPr>
                <w:rFonts w:cs="Times New Roman"/>
                <w:sz w:val="21"/>
              </w:rPr>
            </w:pPr>
            <w:r>
              <w:rPr>
                <w:rFonts w:cs="Times New Roman"/>
                <w:sz w:val="21"/>
              </w:rPr>
              <w:t>0.04410</w:t>
            </w:r>
          </w:p>
        </w:tc>
        <w:tc>
          <w:tcPr>
            <w:tcW w:w="1123" w:type="pct"/>
            <w:tcBorders>
              <w:top w:val="single" w:color="auto" w:sz="4" w:space="0"/>
              <w:left w:val="nil"/>
              <w:bottom w:val="single" w:color="auto" w:sz="4" w:space="0"/>
              <w:right w:val="single" w:color="auto" w:sz="4" w:space="0"/>
            </w:tcBorders>
            <w:noWrap/>
            <w:vAlign w:val="center"/>
          </w:tcPr>
          <w:p w14:paraId="058C61F4">
            <w:pPr>
              <w:spacing w:line="240" w:lineRule="auto"/>
              <w:ind w:firstLine="0" w:firstLineChars="0"/>
              <w:jc w:val="center"/>
              <w:rPr>
                <w:rFonts w:cs="Times New Roman"/>
                <w:sz w:val="21"/>
              </w:rPr>
            </w:pPr>
            <w:r>
              <w:rPr>
                <w:rFonts w:cs="Times New Roman"/>
                <w:sz w:val="21"/>
              </w:rPr>
              <w:t>0.04766</w:t>
            </w:r>
          </w:p>
        </w:tc>
        <w:tc>
          <w:tcPr>
            <w:tcW w:w="1124" w:type="pct"/>
            <w:tcBorders>
              <w:top w:val="single" w:color="auto" w:sz="4" w:space="0"/>
              <w:left w:val="nil"/>
              <w:bottom w:val="single" w:color="auto" w:sz="4" w:space="0"/>
              <w:right w:val="single" w:color="auto" w:sz="12" w:space="0"/>
            </w:tcBorders>
            <w:noWrap/>
            <w:vAlign w:val="center"/>
          </w:tcPr>
          <w:p w14:paraId="5CC97BD5">
            <w:pPr>
              <w:spacing w:line="240" w:lineRule="auto"/>
              <w:ind w:firstLine="0" w:firstLineChars="0"/>
              <w:jc w:val="center"/>
              <w:rPr>
                <w:rFonts w:cs="Times New Roman"/>
                <w:sz w:val="21"/>
              </w:rPr>
            </w:pPr>
            <w:r>
              <w:rPr>
                <w:rFonts w:cs="Times New Roman"/>
                <w:sz w:val="21"/>
              </w:rPr>
              <w:t>0.05215</w:t>
            </w:r>
          </w:p>
        </w:tc>
      </w:tr>
      <w:tr w14:paraId="6B51A2B6">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C74D5BE">
            <w:pPr>
              <w:spacing w:line="240" w:lineRule="auto"/>
              <w:ind w:firstLine="0" w:firstLineChars="0"/>
              <w:jc w:val="center"/>
              <w:rPr>
                <w:rFonts w:cs="Times New Roman"/>
                <w:sz w:val="21"/>
              </w:rPr>
            </w:pPr>
            <w:r>
              <w:rPr>
                <w:rFonts w:cs="Times New Roman"/>
                <w:sz w:val="21"/>
              </w:rPr>
              <w:t>50</w:t>
            </w:r>
          </w:p>
        </w:tc>
        <w:tc>
          <w:tcPr>
            <w:tcW w:w="1124" w:type="pct"/>
            <w:tcBorders>
              <w:top w:val="single" w:color="auto" w:sz="4" w:space="0"/>
              <w:left w:val="nil"/>
              <w:bottom w:val="single" w:color="auto" w:sz="4" w:space="0"/>
              <w:right w:val="single" w:color="auto" w:sz="4" w:space="0"/>
            </w:tcBorders>
            <w:noWrap/>
            <w:vAlign w:val="center"/>
          </w:tcPr>
          <w:p w14:paraId="752573CE">
            <w:pPr>
              <w:spacing w:line="240" w:lineRule="auto"/>
              <w:ind w:firstLine="0" w:firstLineChars="0"/>
              <w:jc w:val="center"/>
              <w:rPr>
                <w:rFonts w:cs="Times New Roman"/>
                <w:sz w:val="21"/>
              </w:rPr>
            </w:pPr>
            <w:r>
              <w:rPr>
                <w:rFonts w:cs="Times New Roman"/>
                <w:sz w:val="21"/>
              </w:rPr>
              <w:t>0.06079</w:t>
            </w:r>
          </w:p>
        </w:tc>
        <w:tc>
          <w:tcPr>
            <w:tcW w:w="1123" w:type="pct"/>
            <w:tcBorders>
              <w:top w:val="single" w:color="auto" w:sz="4" w:space="0"/>
              <w:left w:val="nil"/>
              <w:bottom w:val="single" w:color="auto" w:sz="4" w:space="0"/>
              <w:right w:val="single" w:color="auto" w:sz="4" w:space="0"/>
            </w:tcBorders>
            <w:noWrap/>
            <w:vAlign w:val="center"/>
          </w:tcPr>
          <w:p w14:paraId="594315A2">
            <w:pPr>
              <w:spacing w:line="240" w:lineRule="auto"/>
              <w:ind w:firstLine="0" w:firstLineChars="0"/>
              <w:jc w:val="center"/>
              <w:rPr>
                <w:rFonts w:cs="Times New Roman"/>
                <w:sz w:val="21"/>
              </w:rPr>
            </w:pPr>
            <w:r>
              <w:rPr>
                <w:rFonts w:cs="Times New Roman"/>
                <w:sz w:val="21"/>
              </w:rPr>
              <w:t>0.07160</w:t>
            </w:r>
          </w:p>
        </w:tc>
        <w:tc>
          <w:tcPr>
            <w:tcW w:w="1123" w:type="pct"/>
            <w:tcBorders>
              <w:top w:val="single" w:color="auto" w:sz="4" w:space="0"/>
              <w:left w:val="nil"/>
              <w:bottom w:val="single" w:color="auto" w:sz="4" w:space="0"/>
              <w:right w:val="single" w:color="auto" w:sz="4" w:space="0"/>
            </w:tcBorders>
            <w:noWrap/>
            <w:vAlign w:val="center"/>
          </w:tcPr>
          <w:p w14:paraId="7C33D488">
            <w:pPr>
              <w:spacing w:line="240" w:lineRule="auto"/>
              <w:ind w:firstLine="0" w:firstLineChars="0"/>
              <w:jc w:val="center"/>
              <w:rPr>
                <w:rFonts w:cs="Times New Roman"/>
                <w:sz w:val="21"/>
              </w:rPr>
            </w:pPr>
            <w:r>
              <w:rPr>
                <w:rFonts w:cs="Times New Roman"/>
                <w:sz w:val="21"/>
              </w:rPr>
              <w:t>0.07935</w:t>
            </w:r>
          </w:p>
        </w:tc>
        <w:tc>
          <w:tcPr>
            <w:tcW w:w="1124" w:type="pct"/>
            <w:tcBorders>
              <w:top w:val="single" w:color="auto" w:sz="4" w:space="0"/>
              <w:left w:val="nil"/>
              <w:bottom w:val="single" w:color="auto" w:sz="4" w:space="0"/>
              <w:right w:val="single" w:color="auto" w:sz="12" w:space="0"/>
            </w:tcBorders>
            <w:noWrap/>
            <w:vAlign w:val="center"/>
          </w:tcPr>
          <w:p w14:paraId="529CCC13">
            <w:pPr>
              <w:spacing w:line="240" w:lineRule="auto"/>
              <w:ind w:firstLine="0" w:firstLineChars="0"/>
              <w:jc w:val="center"/>
              <w:rPr>
                <w:rFonts w:cs="Times New Roman"/>
                <w:sz w:val="21"/>
              </w:rPr>
            </w:pPr>
            <w:r>
              <w:rPr>
                <w:rFonts w:cs="Times New Roman"/>
                <w:sz w:val="21"/>
              </w:rPr>
              <w:t>0.08960</w:t>
            </w:r>
          </w:p>
        </w:tc>
      </w:tr>
      <w:tr w14:paraId="0B01C42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A50CB0D">
            <w:pPr>
              <w:spacing w:line="240" w:lineRule="auto"/>
              <w:ind w:firstLine="0" w:firstLineChars="0"/>
              <w:jc w:val="center"/>
              <w:rPr>
                <w:rFonts w:cs="Times New Roman"/>
                <w:sz w:val="21"/>
              </w:rPr>
            </w:pPr>
            <w:r>
              <w:rPr>
                <w:rFonts w:cs="Times New Roman"/>
                <w:sz w:val="21"/>
              </w:rPr>
              <w:t>100</w:t>
            </w:r>
          </w:p>
        </w:tc>
        <w:tc>
          <w:tcPr>
            <w:tcW w:w="1124" w:type="pct"/>
            <w:tcBorders>
              <w:top w:val="single" w:color="auto" w:sz="4" w:space="0"/>
              <w:left w:val="nil"/>
              <w:bottom w:val="single" w:color="auto" w:sz="4" w:space="0"/>
              <w:right w:val="single" w:color="auto" w:sz="4" w:space="0"/>
            </w:tcBorders>
            <w:noWrap/>
            <w:vAlign w:val="center"/>
          </w:tcPr>
          <w:p w14:paraId="28D72961">
            <w:pPr>
              <w:spacing w:line="240" w:lineRule="auto"/>
              <w:ind w:firstLine="0" w:firstLineChars="0"/>
              <w:jc w:val="center"/>
              <w:rPr>
                <w:rFonts w:cs="Times New Roman"/>
                <w:sz w:val="21"/>
              </w:rPr>
            </w:pPr>
            <w:r>
              <w:rPr>
                <w:rFonts w:cs="Times New Roman"/>
                <w:sz w:val="21"/>
              </w:rPr>
              <w:t>0.07432</w:t>
            </w:r>
          </w:p>
        </w:tc>
        <w:tc>
          <w:tcPr>
            <w:tcW w:w="1123" w:type="pct"/>
            <w:tcBorders>
              <w:top w:val="single" w:color="auto" w:sz="4" w:space="0"/>
              <w:left w:val="nil"/>
              <w:bottom w:val="single" w:color="auto" w:sz="4" w:space="0"/>
              <w:right w:val="single" w:color="auto" w:sz="4" w:space="0"/>
            </w:tcBorders>
            <w:noWrap/>
            <w:vAlign w:val="center"/>
          </w:tcPr>
          <w:p w14:paraId="46EBFF2E">
            <w:pPr>
              <w:spacing w:line="240" w:lineRule="auto"/>
              <w:ind w:firstLine="0" w:firstLineChars="0"/>
              <w:jc w:val="center"/>
              <w:rPr>
                <w:rFonts w:cs="Times New Roman"/>
                <w:sz w:val="21"/>
              </w:rPr>
            </w:pPr>
            <w:r>
              <w:rPr>
                <w:rFonts w:cs="Times New Roman"/>
                <w:sz w:val="21"/>
              </w:rPr>
              <w:t>0.09618</w:t>
            </w:r>
          </w:p>
        </w:tc>
        <w:tc>
          <w:tcPr>
            <w:tcW w:w="1123" w:type="pct"/>
            <w:tcBorders>
              <w:top w:val="single" w:color="auto" w:sz="4" w:space="0"/>
              <w:left w:val="nil"/>
              <w:bottom w:val="single" w:color="auto" w:sz="4" w:space="0"/>
              <w:right w:val="single" w:color="auto" w:sz="4" w:space="0"/>
            </w:tcBorders>
            <w:noWrap/>
            <w:vAlign w:val="center"/>
          </w:tcPr>
          <w:p w14:paraId="0C53083F">
            <w:pPr>
              <w:spacing w:line="240" w:lineRule="auto"/>
              <w:ind w:firstLine="0" w:firstLineChars="0"/>
              <w:jc w:val="center"/>
              <w:rPr>
                <w:rFonts w:cs="Times New Roman"/>
                <w:sz w:val="21"/>
              </w:rPr>
            </w:pPr>
            <w:r>
              <w:rPr>
                <w:rFonts w:cs="Times New Roman"/>
                <w:sz w:val="21"/>
              </w:rPr>
              <w:t>0.11350</w:t>
            </w:r>
          </w:p>
        </w:tc>
        <w:tc>
          <w:tcPr>
            <w:tcW w:w="1124" w:type="pct"/>
            <w:tcBorders>
              <w:top w:val="single" w:color="auto" w:sz="4" w:space="0"/>
              <w:left w:val="nil"/>
              <w:bottom w:val="single" w:color="auto" w:sz="4" w:space="0"/>
              <w:right w:val="single" w:color="auto" w:sz="12" w:space="0"/>
            </w:tcBorders>
            <w:noWrap/>
            <w:vAlign w:val="center"/>
          </w:tcPr>
          <w:p w14:paraId="1DCFDA35">
            <w:pPr>
              <w:spacing w:line="240" w:lineRule="auto"/>
              <w:ind w:firstLine="0" w:firstLineChars="0"/>
              <w:jc w:val="center"/>
              <w:rPr>
                <w:rFonts w:cs="Times New Roman"/>
                <w:sz w:val="21"/>
              </w:rPr>
            </w:pPr>
            <w:r>
              <w:rPr>
                <w:rFonts w:cs="Times New Roman"/>
                <w:sz w:val="21"/>
              </w:rPr>
              <w:t>0.11350</w:t>
            </w:r>
          </w:p>
        </w:tc>
      </w:tr>
      <w:tr w14:paraId="0C1AA24B">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7963AFA">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4" w:space="0"/>
              <w:right w:val="single" w:color="auto" w:sz="4" w:space="0"/>
            </w:tcBorders>
            <w:noWrap/>
            <w:vAlign w:val="center"/>
          </w:tcPr>
          <w:p w14:paraId="33882D05">
            <w:pPr>
              <w:spacing w:line="240" w:lineRule="auto"/>
              <w:ind w:firstLine="0" w:firstLineChars="0"/>
              <w:jc w:val="center"/>
              <w:rPr>
                <w:rFonts w:cs="Times New Roman"/>
                <w:sz w:val="21"/>
              </w:rPr>
            </w:pPr>
            <w:r>
              <w:rPr>
                <w:rFonts w:cs="Times New Roman"/>
                <w:sz w:val="21"/>
              </w:rPr>
              <w:t>0.00219</w:t>
            </w:r>
          </w:p>
        </w:tc>
        <w:tc>
          <w:tcPr>
            <w:tcW w:w="1123" w:type="pct"/>
            <w:tcBorders>
              <w:top w:val="single" w:color="auto" w:sz="4" w:space="0"/>
              <w:left w:val="nil"/>
              <w:bottom w:val="single" w:color="auto" w:sz="4" w:space="0"/>
              <w:right w:val="single" w:color="auto" w:sz="4" w:space="0"/>
            </w:tcBorders>
            <w:noWrap/>
            <w:vAlign w:val="center"/>
          </w:tcPr>
          <w:p w14:paraId="0D5120BB">
            <w:pPr>
              <w:spacing w:line="240" w:lineRule="auto"/>
              <w:ind w:firstLine="0" w:firstLineChars="0"/>
              <w:jc w:val="center"/>
              <w:rPr>
                <w:rFonts w:cs="Times New Roman"/>
                <w:sz w:val="21"/>
              </w:rPr>
            </w:pPr>
            <w:r>
              <w:rPr>
                <w:rFonts w:cs="Times New Roman"/>
                <w:sz w:val="21"/>
              </w:rPr>
              <w:t>0.00341</w:t>
            </w:r>
          </w:p>
        </w:tc>
        <w:tc>
          <w:tcPr>
            <w:tcW w:w="1123" w:type="pct"/>
            <w:tcBorders>
              <w:top w:val="single" w:color="auto" w:sz="4" w:space="0"/>
              <w:left w:val="nil"/>
              <w:bottom w:val="single" w:color="auto" w:sz="4" w:space="0"/>
              <w:right w:val="single" w:color="auto" w:sz="4" w:space="0"/>
            </w:tcBorders>
            <w:noWrap/>
            <w:vAlign w:val="center"/>
          </w:tcPr>
          <w:p w14:paraId="41E060A9">
            <w:pPr>
              <w:spacing w:line="240" w:lineRule="auto"/>
              <w:ind w:firstLine="0" w:firstLineChars="0"/>
              <w:jc w:val="center"/>
              <w:rPr>
                <w:rFonts w:cs="Times New Roman"/>
                <w:sz w:val="21"/>
              </w:rPr>
            </w:pPr>
            <w:r>
              <w:rPr>
                <w:rFonts w:cs="Times New Roman"/>
                <w:sz w:val="21"/>
              </w:rPr>
              <w:t>0.00457</w:t>
            </w:r>
          </w:p>
        </w:tc>
        <w:tc>
          <w:tcPr>
            <w:tcW w:w="1124" w:type="pct"/>
            <w:tcBorders>
              <w:top w:val="single" w:color="auto" w:sz="4" w:space="0"/>
              <w:left w:val="nil"/>
              <w:bottom w:val="single" w:color="auto" w:sz="4" w:space="0"/>
              <w:right w:val="single" w:color="auto" w:sz="12" w:space="0"/>
            </w:tcBorders>
            <w:noWrap/>
            <w:vAlign w:val="center"/>
          </w:tcPr>
          <w:p w14:paraId="0FD11064">
            <w:pPr>
              <w:spacing w:line="240" w:lineRule="auto"/>
              <w:ind w:firstLine="0" w:firstLineChars="0"/>
              <w:jc w:val="center"/>
              <w:rPr>
                <w:rFonts w:cs="Times New Roman"/>
                <w:sz w:val="21"/>
              </w:rPr>
            </w:pPr>
            <w:r>
              <w:rPr>
                <w:rFonts w:cs="Times New Roman"/>
                <w:sz w:val="21"/>
              </w:rPr>
              <w:t>0.00653</w:t>
            </w:r>
          </w:p>
        </w:tc>
      </w:tr>
    </w:tbl>
    <w:p w14:paraId="67A5EBE9">
      <w:pPr>
        <w:ind w:firstLine="519"/>
        <w:rPr>
          <w:rFonts w:cs="Times New Roman"/>
          <w:szCs w:val="24"/>
        </w:rPr>
      </w:pPr>
    </w:p>
    <w:p w14:paraId="1DB05495">
      <w:pPr>
        <w:keepLines/>
        <w:ind w:firstLine="562" w:firstLineChars="0"/>
        <w:jc w:val="center"/>
        <w:outlineLvl w:val="4"/>
        <w:rPr>
          <w:rFonts w:cs="Times New Roman"/>
          <w:b/>
          <w:bCs/>
          <w:sz w:val="21"/>
          <w:szCs w:val="28"/>
        </w:rPr>
      </w:pPr>
      <w:r>
        <w:rPr>
          <w:rFonts w:cs="Times New Roman"/>
          <w:b/>
          <w:bCs/>
          <w:sz w:val="21"/>
          <w:szCs w:val="28"/>
        </w:rPr>
        <w:t>表5.2-8  不同时刻采卤</w:t>
      </w:r>
      <w:r>
        <w:rPr>
          <w:rFonts w:hint="eastAsia" w:cs="Times New Roman"/>
          <w:b/>
          <w:bCs/>
          <w:sz w:val="21"/>
          <w:szCs w:val="28"/>
        </w:rPr>
        <w:t>井</w:t>
      </w:r>
      <w:r>
        <w:rPr>
          <w:rFonts w:cs="Times New Roman"/>
          <w:b/>
          <w:bCs/>
          <w:sz w:val="21"/>
          <w:szCs w:val="28"/>
        </w:rPr>
        <w:t>X/Y处的硫酸盐的浓度（mg/L）</w:t>
      </w:r>
    </w:p>
    <w:tbl>
      <w:tblPr>
        <w:tblStyle w:val="29"/>
        <w:tblW w:w="5000" w:type="pct"/>
        <w:tblInd w:w="0" w:type="dxa"/>
        <w:tblLayout w:type="autofit"/>
        <w:tblCellMar>
          <w:top w:w="0" w:type="dxa"/>
          <w:left w:w="108" w:type="dxa"/>
          <w:bottom w:w="0" w:type="dxa"/>
          <w:right w:w="108" w:type="dxa"/>
        </w:tblCellMar>
      </w:tblPr>
      <w:tblGrid>
        <w:gridCol w:w="863"/>
        <w:gridCol w:w="1917"/>
        <w:gridCol w:w="1915"/>
        <w:gridCol w:w="1915"/>
        <w:gridCol w:w="1918"/>
      </w:tblGrid>
      <w:tr w14:paraId="6B8008C4">
        <w:tblPrEx>
          <w:tblCellMar>
            <w:top w:w="0" w:type="dxa"/>
            <w:left w:w="108" w:type="dxa"/>
            <w:bottom w:w="0" w:type="dxa"/>
            <w:right w:w="108" w:type="dxa"/>
          </w:tblCellMar>
        </w:tblPrEx>
        <w:trPr>
          <w:trHeight w:val="397" w:hRule="atLeast"/>
        </w:trPr>
        <w:tc>
          <w:tcPr>
            <w:tcW w:w="5000" w:type="pct"/>
            <w:gridSpan w:val="5"/>
            <w:tcBorders>
              <w:top w:val="single" w:color="auto" w:sz="12" w:space="0"/>
              <w:left w:val="single" w:color="auto" w:sz="12" w:space="0"/>
              <w:bottom w:val="single" w:color="auto" w:sz="4" w:space="0"/>
              <w:right w:val="single" w:color="auto" w:sz="12" w:space="0"/>
            </w:tcBorders>
            <w:noWrap/>
            <w:vAlign w:val="center"/>
          </w:tcPr>
          <w:p w14:paraId="260FC7CF">
            <w:pPr>
              <w:spacing w:line="240" w:lineRule="auto"/>
              <w:ind w:firstLine="0" w:firstLineChars="0"/>
              <w:jc w:val="center"/>
              <w:rPr>
                <w:rFonts w:cs="Times New Roman"/>
                <w:sz w:val="21"/>
              </w:rPr>
            </w:pPr>
            <w:r>
              <w:rPr>
                <w:rFonts w:cs="Times New Roman"/>
                <w:sz w:val="21"/>
              </w:rPr>
              <w:t>100d</w:t>
            </w:r>
          </w:p>
        </w:tc>
      </w:tr>
      <w:tr w14:paraId="1D35B85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90008B4">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32F14907">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5576EA84">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04BDE85E">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551DE6EA">
            <w:pPr>
              <w:spacing w:line="240" w:lineRule="auto"/>
              <w:ind w:firstLine="0" w:firstLineChars="0"/>
              <w:jc w:val="center"/>
              <w:rPr>
                <w:rFonts w:cs="Times New Roman"/>
                <w:sz w:val="21"/>
              </w:rPr>
            </w:pPr>
            <w:r>
              <w:rPr>
                <w:rFonts w:cs="Times New Roman"/>
                <w:sz w:val="21"/>
              </w:rPr>
              <w:t>7.5</w:t>
            </w:r>
          </w:p>
        </w:tc>
      </w:tr>
      <w:tr w14:paraId="33776703">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221F78C">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1D23FD4D">
            <w:pPr>
              <w:spacing w:line="240" w:lineRule="auto"/>
              <w:ind w:firstLine="0" w:firstLineChars="0"/>
              <w:jc w:val="center"/>
              <w:rPr>
                <w:rFonts w:cs="Times New Roman"/>
                <w:sz w:val="21"/>
              </w:rPr>
            </w:pPr>
            <w:r>
              <w:rPr>
                <w:rFonts w:cs="Times New Roman"/>
                <w:sz w:val="21"/>
              </w:rPr>
              <w:t>60.6</w:t>
            </w:r>
          </w:p>
        </w:tc>
        <w:tc>
          <w:tcPr>
            <w:tcW w:w="1123" w:type="pct"/>
            <w:tcBorders>
              <w:top w:val="nil"/>
              <w:left w:val="nil"/>
              <w:bottom w:val="single" w:color="auto" w:sz="4" w:space="0"/>
              <w:right w:val="single" w:color="auto" w:sz="4" w:space="0"/>
            </w:tcBorders>
            <w:noWrap/>
            <w:vAlign w:val="center"/>
          </w:tcPr>
          <w:p w14:paraId="2B5374BE">
            <w:pPr>
              <w:spacing w:line="240" w:lineRule="auto"/>
              <w:ind w:firstLine="0" w:firstLineChars="0"/>
              <w:jc w:val="center"/>
              <w:rPr>
                <w:rFonts w:cs="Times New Roman"/>
                <w:sz w:val="21"/>
              </w:rPr>
            </w:pPr>
            <w:r>
              <w:rPr>
                <w:rFonts w:cs="Times New Roman"/>
                <w:sz w:val="21"/>
              </w:rPr>
              <w:t>53.2</w:t>
            </w:r>
          </w:p>
        </w:tc>
        <w:tc>
          <w:tcPr>
            <w:tcW w:w="1123" w:type="pct"/>
            <w:tcBorders>
              <w:top w:val="nil"/>
              <w:left w:val="nil"/>
              <w:bottom w:val="single" w:color="auto" w:sz="4" w:space="0"/>
              <w:right w:val="single" w:color="auto" w:sz="4" w:space="0"/>
            </w:tcBorders>
            <w:noWrap/>
            <w:vAlign w:val="center"/>
          </w:tcPr>
          <w:p w14:paraId="10562389">
            <w:pPr>
              <w:spacing w:line="240" w:lineRule="auto"/>
              <w:ind w:firstLine="0" w:firstLineChars="0"/>
              <w:jc w:val="center"/>
              <w:rPr>
                <w:rFonts w:cs="Times New Roman"/>
                <w:sz w:val="21"/>
              </w:rPr>
            </w:pPr>
            <w:r>
              <w:rPr>
                <w:rFonts w:hint="eastAsia" w:cs="Times New Roman"/>
                <w:sz w:val="21"/>
              </w:rPr>
              <w:t>3</w:t>
            </w:r>
            <w:r>
              <w:rPr>
                <w:rFonts w:cs="Times New Roman"/>
                <w:sz w:val="21"/>
              </w:rPr>
              <w:t>8.9</w:t>
            </w:r>
          </w:p>
        </w:tc>
        <w:tc>
          <w:tcPr>
            <w:tcW w:w="1124" w:type="pct"/>
            <w:tcBorders>
              <w:top w:val="nil"/>
              <w:left w:val="nil"/>
              <w:bottom w:val="single" w:color="auto" w:sz="4" w:space="0"/>
              <w:right w:val="single" w:color="auto" w:sz="12" w:space="0"/>
            </w:tcBorders>
            <w:noWrap/>
            <w:vAlign w:val="center"/>
          </w:tcPr>
          <w:p w14:paraId="4626D825">
            <w:pPr>
              <w:spacing w:line="240" w:lineRule="auto"/>
              <w:ind w:firstLine="0" w:firstLineChars="0"/>
              <w:jc w:val="center"/>
              <w:rPr>
                <w:rFonts w:cs="Times New Roman"/>
                <w:sz w:val="21"/>
              </w:rPr>
            </w:pPr>
            <w:r>
              <w:rPr>
                <w:rFonts w:cs="Times New Roman"/>
                <w:sz w:val="21"/>
              </w:rPr>
              <w:t>20.3</w:t>
            </w:r>
          </w:p>
        </w:tc>
      </w:tr>
      <w:tr w14:paraId="09D33C5F">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5C81448">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384F9DD8">
            <w:pPr>
              <w:spacing w:line="240" w:lineRule="auto"/>
              <w:ind w:firstLine="0" w:firstLineChars="0"/>
              <w:jc w:val="center"/>
              <w:rPr>
                <w:rFonts w:cs="Times New Roman"/>
                <w:sz w:val="21"/>
              </w:rPr>
            </w:pPr>
            <w:r>
              <w:rPr>
                <w:rFonts w:cs="Times New Roman"/>
                <w:sz w:val="21"/>
              </w:rPr>
              <w:t>0.0408</w:t>
            </w:r>
          </w:p>
        </w:tc>
        <w:tc>
          <w:tcPr>
            <w:tcW w:w="1123" w:type="pct"/>
            <w:tcBorders>
              <w:top w:val="nil"/>
              <w:left w:val="nil"/>
              <w:bottom w:val="single" w:color="auto" w:sz="4" w:space="0"/>
              <w:right w:val="single" w:color="auto" w:sz="4" w:space="0"/>
            </w:tcBorders>
            <w:noWrap/>
            <w:vAlign w:val="center"/>
          </w:tcPr>
          <w:p w14:paraId="33F76F6E">
            <w:pPr>
              <w:spacing w:line="240" w:lineRule="auto"/>
              <w:ind w:firstLine="0" w:firstLineChars="0"/>
              <w:jc w:val="center"/>
              <w:rPr>
                <w:rFonts w:cs="Times New Roman"/>
                <w:sz w:val="21"/>
              </w:rPr>
            </w:pPr>
            <w:r>
              <w:rPr>
                <w:rFonts w:cs="Times New Roman"/>
                <w:sz w:val="21"/>
              </w:rPr>
              <w:t>0.282</w:t>
            </w:r>
          </w:p>
        </w:tc>
        <w:tc>
          <w:tcPr>
            <w:tcW w:w="1123" w:type="pct"/>
            <w:tcBorders>
              <w:top w:val="nil"/>
              <w:left w:val="nil"/>
              <w:bottom w:val="single" w:color="auto" w:sz="4" w:space="0"/>
              <w:right w:val="single" w:color="auto" w:sz="4" w:space="0"/>
            </w:tcBorders>
            <w:noWrap/>
            <w:vAlign w:val="center"/>
          </w:tcPr>
          <w:p w14:paraId="6DCC3626">
            <w:pPr>
              <w:spacing w:line="240" w:lineRule="auto"/>
              <w:ind w:firstLine="0" w:firstLineChars="0"/>
              <w:jc w:val="center"/>
              <w:rPr>
                <w:rFonts w:cs="Times New Roman"/>
                <w:sz w:val="21"/>
              </w:rPr>
            </w:pPr>
            <w:r>
              <w:rPr>
                <w:rFonts w:cs="Times New Roman"/>
                <w:sz w:val="21"/>
              </w:rPr>
              <w:t>0.815</w:t>
            </w:r>
          </w:p>
        </w:tc>
        <w:tc>
          <w:tcPr>
            <w:tcW w:w="1124" w:type="pct"/>
            <w:tcBorders>
              <w:top w:val="nil"/>
              <w:left w:val="nil"/>
              <w:bottom w:val="single" w:color="auto" w:sz="4" w:space="0"/>
              <w:right w:val="single" w:color="auto" w:sz="12" w:space="0"/>
            </w:tcBorders>
            <w:noWrap/>
            <w:vAlign w:val="center"/>
          </w:tcPr>
          <w:p w14:paraId="7CB04296">
            <w:pPr>
              <w:spacing w:line="240" w:lineRule="auto"/>
              <w:ind w:firstLine="0" w:firstLineChars="0"/>
              <w:jc w:val="center"/>
              <w:rPr>
                <w:rFonts w:cs="Times New Roman"/>
                <w:sz w:val="21"/>
              </w:rPr>
            </w:pPr>
            <w:r>
              <w:rPr>
                <w:rFonts w:cs="Times New Roman"/>
                <w:sz w:val="21"/>
              </w:rPr>
              <w:t>2.37</w:t>
            </w:r>
          </w:p>
        </w:tc>
      </w:tr>
      <w:tr w14:paraId="6EA1927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51D58079">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630AFBDE">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1AEC8949">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259E8F4">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7EA9FB28">
            <w:pPr>
              <w:spacing w:line="240" w:lineRule="auto"/>
              <w:ind w:firstLine="0" w:firstLineChars="0"/>
              <w:jc w:val="center"/>
              <w:rPr>
                <w:rFonts w:cs="Times New Roman"/>
                <w:sz w:val="21"/>
              </w:rPr>
            </w:pPr>
            <w:r>
              <w:rPr>
                <w:rFonts w:cs="Times New Roman"/>
                <w:sz w:val="21"/>
              </w:rPr>
              <w:t>0.00004</w:t>
            </w:r>
          </w:p>
        </w:tc>
      </w:tr>
      <w:tr w14:paraId="21874124">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1F80A32">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297A29CF">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1E863046">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2D5B12C7">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428E1BCD">
            <w:pPr>
              <w:spacing w:line="240" w:lineRule="auto"/>
              <w:ind w:firstLine="0" w:firstLineChars="0"/>
              <w:jc w:val="center"/>
              <w:rPr>
                <w:rFonts w:cs="Times New Roman"/>
                <w:sz w:val="21"/>
              </w:rPr>
            </w:pPr>
            <w:r>
              <w:rPr>
                <w:rFonts w:cs="Times New Roman"/>
                <w:sz w:val="21"/>
              </w:rPr>
              <w:t>0.00000</w:t>
            </w:r>
          </w:p>
        </w:tc>
      </w:tr>
      <w:tr w14:paraId="540E412B">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14BEF8A">
            <w:pPr>
              <w:spacing w:line="240" w:lineRule="auto"/>
              <w:ind w:firstLine="0" w:firstLineChars="0"/>
              <w:jc w:val="center"/>
              <w:rPr>
                <w:rFonts w:cs="Times New Roman"/>
                <w:sz w:val="21"/>
              </w:rPr>
            </w:pPr>
            <w:r>
              <w:rPr>
                <w:rFonts w:cs="Times New Roman"/>
                <w:sz w:val="21"/>
              </w:rPr>
              <w:t>200</w:t>
            </w:r>
          </w:p>
        </w:tc>
        <w:tc>
          <w:tcPr>
            <w:tcW w:w="1124" w:type="pct"/>
            <w:tcBorders>
              <w:top w:val="nil"/>
              <w:left w:val="nil"/>
              <w:bottom w:val="single" w:color="auto" w:sz="4" w:space="0"/>
              <w:right w:val="single" w:color="auto" w:sz="4" w:space="0"/>
            </w:tcBorders>
            <w:noWrap/>
            <w:vAlign w:val="center"/>
          </w:tcPr>
          <w:p w14:paraId="1A47F002">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219F35F6">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65F63027">
            <w:pPr>
              <w:spacing w:line="240" w:lineRule="auto"/>
              <w:ind w:firstLine="0" w:firstLineChars="0"/>
              <w:jc w:val="center"/>
              <w:rPr>
                <w:rFonts w:cs="Times New Roman"/>
                <w:sz w:val="21"/>
              </w:rPr>
            </w:pPr>
            <w:r>
              <w:rPr>
                <w:rFonts w:cs="Times New Roman"/>
                <w:sz w:val="21"/>
              </w:rPr>
              <w:t>0.00000</w:t>
            </w:r>
          </w:p>
        </w:tc>
        <w:tc>
          <w:tcPr>
            <w:tcW w:w="1124" w:type="pct"/>
            <w:tcBorders>
              <w:top w:val="nil"/>
              <w:left w:val="nil"/>
              <w:bottom w:val="single" w:color="auto" w:sz="4" w:space="0"/>
              <w:right w:val="single" w:color="auto" w:sz="12" w:space="0"/>
            </w:tcBorders>
            <w:noWrap/>
            <w:vAlign w:val="center"/>
          </w:tcPr>
          <w:p w14:paraId="3CB2AC0F">
            <w:pPr>
              <w:spacing w:line="240" w:lineRule="auto"/>
              <w:ind w:firstLine="0" w:firstLineChars="0"/>
              <w:jc w:val="center"/>
              <w:rPr>
                <w:rFonts w:cs="Times New Roman"/>
                <w:sz w:val="21"/>
              </w:rPr>
            </w:pPr>
            <w:r>
              <w:rPr>
                <w:rFonts w:cs="Times New Roman"/>
                <w:sz w:val="21"/>
              </w:rPr>
              <w:t>0.00000</w:t>
            </w:r>
          </w:p>
        </w:tc>
      </w:tr>
      <w:tr w14:paraId="02BECAA6">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78B5DDE0">
            <w:pPr>
              <w:spacing w:line="240" w:lineRule="auto"/>
              <w:ind w:firstLine="0" w:firstLineChars="0"/>
              <w:jc w:val="center"/>
              <w:rPr>
                <w:rFonts w:cs="Times New Roman"/>
                <w:sz w:val="21"/>
              </w:rPr>
            </w:pPr>
            <w:r>
              <w:rPr>
                <w:rFonts w:cs="Times New Roman"/>
                <w:sz w:val="21"/>
              </w:rPr>
              <w:t>500d</w:t>
            </w:r>
          </w:p>
        </w:tc>
      </w:tr>
      <w:tr w14:paraId="1AF0FE7B">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5ADCB41">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5D167A73">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26A84E74">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3D61A71E">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461381EC">
            <w:pPr>
              <w:spacing w:line="240" w:lineRule="auto"/>
              <w:ind w:firstLine="0" w:firstLineChars="0"/>
              <w:jc w:val="center"/>
              <w:rPr>
                <w:rFonts w:cs="Times New Roman"/>
                <w:sz w:val="21"/>
              </w:rPr>
            </w:pPr>
            <w:r>
              <w:rPr>
                <w:rFonts w:cs="Times New Roman"/>
                <w:sz w:val="21"/>
              </w:rPr>
              <w:t>7.5</w:t>
            </w:r>
          </w:p>
        </w:tc>
      </w:tr>
      <w:tr w14:paraId="3484CB85">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2E9BBCF0">
            <w:pPr>
              <w:spacing w:line="240" w:lineRule="auto"/>
              <w:ind w:firstLine="0" w:firstLineChars="0"/>
              <w:jc w:val="center"/>
              <w:rPr>
                <w:rFonts w:cs="Times New Roman"/>
                <w:sz w:val="21"/>
              </w:rPr>
            </w:pPr>
            <w:r>
              <w:rPr>
                <w:rFonts w:cs="Times New Roman"/>
                <w:sz w:val="21"/>
              </w:rPr>
              <w:t>0</w:t>
            </w:r>
          </w:p>
        </w:tc>
        <w:tc>
          <w:tcPr>
            <w:tcW w:w="1124" w:type="pct"/>
            <w:tcBorders>
              <w:top w:val="nil"/>
              <w:left w:val="nil"/>
              <w:bottom w:val="single" w:color="auto" w:sz="4" w:space="0"/>
              <w:right w:val="single" w:color="auto" w:sz="4" w:space="0"/>
            </w:tcBorders>
            <w:noWrap/>
            <w:vAlign w:val="center"/>
          </w:tcPr>
          <w:p w14:paraId="782318F4">
            <w:pPr>
              <w:spacing w:line="240" w:lineRule="auto"/>
              <w:ind w:firstLine="0" w:firstLineChars="0"/>
              <w:jc w:val="center"/>
              <w:rPr>
                <w:rFonts w:cs="Times New Roman"/>
                <w:sz w:val="21"/>
              </w:rPr>
            </w:pPr>
            <w:r>
              <w:rPr>
                <w:rFonts w:cs="Times New Roman"/>
                <w:sz w:val="21"/>
              </w:rPr>
              <w:t>5.18</w:t>
            </w:r>
          </w:p>
        </w:tc>
        <w:tc>
          <w:tcPr>
            <w:tcW w:w="1123" w:type="pct"/>
            <w:tcBorders>
              <w:top w:val="nil"/>
              <w:left w:val="nil"/>
              <w:bottom w:val="single" w:color="auto" w:sz="4" w:space="0"/>
              <w:right w:val="single" w:color="auto" w:sz="4" w:space="0"/>
            </w:tcBorders>
            <w:noWrap/>
            <w:vAlign w:val="center"/>
          </w:tcPr>
          <w:p w14:paraId="4A758064">
            <w:pPr>
              <w:spacing w:line="240" w:lineRule="auto"/>
              <w:ind w:firstLine="0" w:firstLineChars="0"/>
              <w:jc w:val="center"/>
              <w:rPr>
                <w:rFonts w:cs="Times New Roman"/>
                <w:sz w:val="21"/>
              </w:rPr>
            </w:pPr>
            <w:r>
              <w:rPr>
                <w:rFonts w:cs="Times New Roman"/>
                <w:sz w:val="21"/>
              </w:rPr>
              <w:t>5.36</w:t>
            </w:r>
          </w:p>
        </w:tc>
        <w:tc>
          <w:tcPr>
            <w:tcW w:w="1123" w:type="pct"/>
            <w:tcBorders>
              <w:top w:val="nil"/>
              <w:left w:val="nil"/>
              <w:bottom w:val="single" w:color="auto" w:sz="4" w:space="0"/>
              <w:right w:val="single" w:color="auto" w:sz="4" w:space="0"/>
            </w:tcBorders>
            <w:noWrap/>
            <w:vAlign w:val="center"/>
          </w:tcPr>
          <w:p w14:paraId="02931D71">
            <w:pPr>
              <w:spacing w:line="240" w:lineRule="auto"/>
              <w:ind w:firstLine="0" w:firstLineChars="0"/>
              <w:jc w:val="center"/>
              <w:rPr>
                <w:rFonts w:cs="Times New Roman"/>
                <w:sz w:val="21"/>
              </w:rPr>
            </w:pPr>
            <w:r>
              <w:rPr>
                <w:rFonts w:cs="Times New Roman"/>
                <w:sz w:val="21"/>
              </w:rPr>
              <w:t>5.24</w:t>
            </w:r>
          </w:p>
        </w:tc>
        <w:tc>
          <w:tcPr>
            <w:tcW w:w="1124" w:type="pct"/>
            <w:tcBorders>
              <w:top w:val="nil"/>
              <w:left w:val="nil"/>
              <w:bottom w:val="single" w:color="auto" w:sz="4" w:space="0"/>
              <w:right w:val="single" w:color="auto" w:sz="12" w:space="0"/>
            </w:tcBorders>
            <w:noWrap/>
            <w:vAlign w:val="center"/>
          </w:tcPr>
          <w:p w14:paraId="46233E76">
            <w:pPr>
              <w:spacing w:line="240" w:lineRule="auto"/>
              <w:ind w:firstLine="0" w:firstLineChars="0"/>
              <w:jc w:val="center"/>
              <w:rPr>
                <w:rFonts w:cs="Times New Roman"/>
                <w:sz w:val="21"/>
              </w:rPr>
            </w:pPr>
            <w:r>
              <w:rPr>
                <w:rFonts w:cs="Times New Roman"/>
                <w:sz w:val="21"/>
              </w:rPr>
              <w:t>4.84</w:t>
            </w:r>
          </w:p>
        </w:tc>
      </w:tr>
      <w:tr w14:paraId="685E04A4">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F960B54">
            <w:pPr>
              <w:spacing w:line="240" w:lineRule="auto"/>
              <w:ind w:firstLine="0" w:firstLineChars="0"/>
              <w:jc w:val="center"/>
              <w:rPr>
                <w:rFonts w:cs="Times New Roman"/>
                <w:sz w:val="21"/>
              </w:rPr>
            </w:pPr>
            <w:r>
              <w:rPr>
                <w:rFonts w:cs="Times New Roman"/>
                <w:sz w:val="21"/>
              </w:rPr>
              <w:t>30</w:t>
            </w:r>
          </w:p>
        </w:tc>
        <w:tc>
          <w:tcPr>
            <w:tcW w:w="1124" w:type="pct"/>
            <w:tcBorders>
              <w:top w:val="nil"/>
              <w:left w:val="nil"/>
              <w:bottom w:val="single" w:color="auto" w:sz="4" w:space="0"/>
              <w:right w:val="single" w:color="auto" w:sz="4" w:space="0"/>
            </w:tcBorders>
            <w:noWrap/>
            <w:vAlign w:val="center"/>
          </w:tcPr>
          <w:p w14:paraId="7E398C2E">
            <w:pPr>
              <w:spacing w:line="240" w:lineRule="auto"/>
              <w:ind w:firstLine="0" w:firstLineChars="0"/>
              <w:jc w:val="center"/>
              <w:rPr>
                <w:rFonts w:cs="Times New Roman"/>
                <w:sz w:val="21"/>
              </w:rPr>
            </w:pPr>
            <w:r>
              <w:rPr>
                <w:rFonts w:cs="Times New Roman"/>
                <w:sz w:val="21"/>
              </w:rPr>
              <w:t>3.40</w:t>
            </w:r>
          </w:p>
        </w:tc>
        <w:tc>
          <w:tcPr>
            <w:tcW w:w="1123" w:type="pct"/>
            <w:tcBorders>
              <w:top w:val="nil"/>
              <w:left w:val="nil"/>
              <w:bottom w:val="single" w:color="auto" w:sz="4" w:space="0"/>
              <w:right w:val="single" w:color="auto" w:sz="4" w:space="0"/>
            </w:tcBorders>
            <w:noWrap/>
            <w:vAlign w:val="center"/>
          </w:tcPr>
          <w:p w14:paraId="4F5A9FFC">
            <w:pPr>
              <w:spacing w:line="240" w:lineRule="auto"/>
              <w:ind w:firstLine="0" w:firstLineChars="0"/>
              <w:jc w:val="center"/>
              <w:rPr>
                <w:rFonts w:cs="Times New Roman"/>
                <w:sz w:val="21"/>
              </w:rPr>
            </w:pPr>
            <w:r>
              <w:rPr>
                <w:rFonts w:cs="Times New Roman"/>
                <w:sz w:val="21"/>
              </w:rPr>
              <w:t>5.32</w:t>
            </w:r>
          </w:p>
        </w:tc>
        <w:tc>
          <w:tcPr>
            <w:tcW w:w="1123" w:type="pct"/>
            <w:tcBorders>
              <w:top w:val="nil"/>
              <w:left w:val="nil"/>
              <w:bottom w:val="single" w:color="auto" w:sz="4" w:space="0"/>
              <w:right w:val="single" w:color="auto" w:sz="4" w:space="0"/>
            </w:tcBorders>
            <w:noWrap/>
            <w:vAlign w:val="center"/>
          </w:tcPr>
          <w:p w14:paraId="50759FA7">
            <w:pPr>
              <w:spacing w:line="240" w:lineRule="auto"/>
              <w:ind w:firstLine="0" w:firstLineChars="0"/>
              <w:jc w:val="center"/>
              <w:rPr>
                <w:rFonts w:cs="Times New Roman"/>
                <w:sz w:val="21"/>
              </w:rPr>
            </w:pPr>
            <w:r>
              <w:rPr>
                <w:rFonts w:cs="Times New Roman"/>
                <w:sz w:val="21"/>
              </w:rPr>
              <w:t>6.84</w:t>
            </w:r>
          </w:p>
        </w:tc>
        <w:tc>
          <w:tcPr>
            <w:tcW w:w="1124" w:type="pct"/>
            <w:tcBorders>
              <w:top w:val="nil"/>
              <w:left w:val="nil"/>
              <w:bottom w:val="single" w:color="auto" w:sz="4" w:space="0"/>
              <w:right w:val="single" w:color="auto" w:sz="12" w:space="0"/>
            </w:tcBorders>
            <w:noWrap/>
            <w:vAlign w:val="center"/>
          </w:tcPr>
          <w:p w14:paraId="7C632F71">
            <w:pPr>
              <w:spacing w:line="240" w:lineRule="auto"/>
              <w:ind w:firstLine="0" w:firstLineChars="0"/>
              <w:jc w:val="center"/>
              <w:rPr>
                <w:rFonts w:cs="Times New Roman"/>
                <w:sz w:val="21"/>
              </w:rPr>
            </w:pPr>
            <w:r>
              <w:rPr>
                <w:rFonts w:cs="Times New Roman"/>
                <w:sz w:val="21"/>
              </w:rPr>
              <w:t>8.91</w:t>
            </w:r>
          </w:p>
        </w:tc>
      </w:tr>
      <w:tr w14:paraId="3A59E0E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5DE156B">
            <w:pPr>
              <w:spacing w:line="240" w:lineRule="auto"/>
              <w:ind w:firstLine="0" w:firstLineChars="0"/>
              <w:jc w:val="center"/>
              <w:rPr>
                <w:rFonts w:cs="Times New Roman"/>
                <w:sz w:val="21"/>
              </w:rPr>
            </w:pPr>
            <w:r>
              <w:rPr>
                <w:rFonts w:cs="Times New Roman"/>
                <w:sz w:val="21"/>
              </w:rPr>
              <w:t>50</w:t>
            </w:r>
          </w:p>
        </w:tc>
        <w:tc>
          <w:tcPr>
            <w:tcW w:w="1124" w:type="pct"/>
            <w:tcBorders>
              <w:top w:val="nil"/>
              <w:left w:val="nil"/>
              <w:bottom w:val="single" w:color="auto" w:sz="4" w:space="0"/>
              <w:right w:val="single" w:color="auto" w:sz="4" w:space="0"/>
            </w:tcBorders>
            <w:noWrap/>
            <w:vAlign w:val="center"/>
          </w:tcPr>
          <w:p w14:paraId="637E63A5">
            <w:pPr>
              <w:spacing w:line="240" w:lineRule="auto"/>
              <w:ind w:firstLine="0" w:firstLineChars="0"/>
              <w:jc w:val="center"/>
              <w:rPr>
                <w:rFonts w:cs="Times New Roman"/>
                <w:sz w:val="21"/>
              </w:rPr>
            </w:pPr>
            <w:r>
              <w:rPr>
                <w:rFonts w:cs="Times New Roman"/>
                <w:sz w:val="21"/>
              </w:rPr>
              <w:t>0.380</w:t>
            </w:r>
          </w:p>
        </w:tc>
        <w:tc>
          <w:tcPr>
            <w:tcW w:w="1123" w:type="pct"/>
            <w:tcBorders>
              <w:top w:val="nil"/>
              <w:left w:val="nil"/>
              <w:bottom w:val="single" w:color="auto" w:sz="4" w:space="0"/>
              <w:right w:val="single" w:color="auto" w:sz="4" w:space="0"/>
            </w:tcBorders>
            <w:noWrap/>
            <w:vAlign w:val="center"/>
          </w:tcPr>
          <w:p w14:paraId="031098CE">
            <w:pPr>
              <w:spacing w:line="240" w:lineRule="auto"/>
              <w:ind w:firstLine="0" w:firstLineChars="0"/>
              <w:jc w:val="center"/>
              <w:rPr>
                <w:rFonts w:cs="Times New Roman"/>
                <w:sz w:val="21"/>
              </w:rPr>
            </w:pPr>
            <w:r>
              <w:rPr>
                <w:rFonts w:cs="Times New Roman"/>
                <w:sz w:val="21"/>
              </w:rPr>
              <w:t>0.781</w:t>
            </w:r>
          </w:p>
        </w:tc>
        <w:tc>
          <w:tcPr>
            <w:tcW w:w="1123" w:type="pct"/>
            <w:tcBorders>
              <w:top w:val="nil"/>
              <w:left w:val="nil"/>
              <w:bottom w:val="single" w:color="auto" w:sz="4" w:space="0"/>
              <w:right w:val="single" w:color="auto" w:sz="4" w:space="0"/>
            </w:tcBorders>
            <w:noWrap/>
            <w:vAlign w:val="center"/>
          </w:tcPr>
          <w:p w14:paraId="07E74582">
            <w:pPr>
              <w:spacing w:line="240" w:lineRule="auto"/>
              <w:ind w:firstLine="0" w:firstLineChars="0"/>
              <w:jc w:val="center"/>
              <w:rPr>
                <w:rFonts w:cs="Times New Roman"/>
                <w:sz w:val="21"/>
              </w:rPr>
            </w:pPr>
            <w:r>
              <w:rPr>
                <w:rFonts w:cs="Times New Roman"/>
                <w:sz w:val="21"/>
              </w:rPr>
              <w:t>1.21</w:t>
            </w:r>
          </w:p>
        </w:tc>
        <w:tc>
          <w:tcPr>
            <w:tcW w:w="1124" w:type="pct"/>
            <w:tcBorders>
              <w:top w:val="nil"/>
              <w:left w:val="nil"/>
              <w:bottom w:val="single" w:color="auto" w:sz="4" w:space="0"/>
              <w:right w:val="single" w:color="auto" w:sz="12" w:space="0"/>
            </w:tcBorders>
            <w:noWrap/>
            <w:vAlign w:val="center"/>
          </w:tcPr>
          <w:p w14:paraId="579361BA">
            <w:pPr>
              <w:spacing w:line="240" w:lineRule="auto"/>
              <w:ind w:firstLine="0" w:firstLineChars="0"/>
              <w:jc w:val="center"/>
              <w:rPr>
                <w:rFonts w:cs="Times New Roman"/>
                <w:sz w:val="21"/>
              </w:rPr>
            </w:pPr>
            <w:r>
              <w:rPr>
                <w:rFonts w:cs="Times New Roman"/>
                <w:sz w:val="21"/>
              </w:rPr>
              <w:t>1.98</w:t>
            </w:r>
          </w:p>
        </w:tc>
      </w:tr>
      <w:tr w14:paraId="09CBD9C7">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30C90AF1">
            <w:pPr>
              <w:spacing w:line="240" w:lineRule="auto"/>
              <w:ind w:firstLine="0" w:firstLineChars="0"/>
              <w:jc w:val="center"/>
              <w:rPr>
                <w:rFonts w:cs="Times New Roman"/>
                <w:sz w:val="21"/>
              </w:rPr>
            </w:pPr>
            <w:r>
              <w:rPr>
                <w:rFonts w:cs="Times New Roman"/>
                <w:sz w:val="21"/>
              </w:rPr>
              <w:t>100</w:t>
            </w:r>
          </w:p>
        </w:tc>
        <w:tc>
          <w:tcPr>
            <w:tcW w:w="1124" w:type="pct"/>
            <w:tcBorders>
              <w:top w:val="nil"/>
              <w:left w:val="nil"/>
              <w:bottom w:val="single" w:color="auto" w:sz="4" w:space="0"/>
              <w:right w:val="single" w:color="auto" w:sz="4" w:space="0"/>
            </w:tcBorders>
            <w:noWrap/>
            <w:vAlign w:val="center"/>
          </w:tcPr>
          <w:p w14:paraId="02C50C7E">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047EB137">
            <w:pPr>
              <w:spacing w:line="240" w:lineRule="auto"/>
              <w:ind w:firstLine="0" w:firstLineChars="0"/>
              <w:jc w:val="center"/>
              <w:rPr>
                <w:rFonts w:cs="Times New Roman"/>
                <w:sz w:val="21"/>
              </w:rPr>
            </w:pPr>
            <w:r>
              <w:rPr>
                <w:rFonts w:cs="Times New Roman"/>
                <w:sz w:val="21"/>
              </w:rPr>
              <w:t>0.00000</w:t>
            </w:r>
          </w:p>
        </w:tc>
        <w:tc>
          <w:tcPr>
            <w:tcW w:w="1123" w:type="pct"/>
            <w:tcBorders>
              <w:top w:val="nil"/>
              <w:left w:val="nil"/>
              <w:bottom w:val="single" w:color="auto" w:sz="4" w:space="0"/>
              <w:right w:val="single" w:color="auto" w:sz="4" w:space="0"/>
            </w:tcBorders>
            <w:noWrap/>
            <w:vAlign w:val="center"/>
          </w:tcPr>
          <w:p w14:paraId="77CE37F9">
            <w:pPr>
              <w:spacing w:line="240" w:lineRule="auto"/>
              <w:ind w:firstLine="0" w:firstLineChars="0"/>
              <w:jc w:val="center"/>
              <w:rPr>
                <w:rFonts w:cs="Times New Roman"/>
                <w:sz w:val="21"/>
              </w:rPr>
            </w:pPr>
            <w:r>
              <w:rPr>
                <w:rFonts w:cs="Times New Roman"/>
                <w:sz w:val="21"/>
              </w:rPr>
              <w:t>0.00002</w:t>
            </w:r>
          </w:p>
        </w:tc>
        <w:tc>
          <w:tcPr>
            <w:tcW w:w="1124" w:type="pct"/>
            <w:tcBorders>
              <w:top w:val="nil"/>
              <w:left w:val="nil"/>
              <w:bottom w:val="single" w:color="auto" w:sz="4" w:space="0"/>
              <w:right w:val="single" w:color="auto" w:sz="12" w:space="0"/>
            </w:tcBorders>
            <w:noWrap/>
            <w:vAlign w:val="center"/>
          </w:tcPr>
          <w:p w14:paraId="1248DE84">
            <w:pPr>
              <w:spacing w:line="240" w:lineRule="auto"/>
              <w:ind w:firstLine="0" w:firstLineChars="0"/>
              <w:jc w:val="center"/>
              <w:rPr>
                <w:rFonts w:cs="Times New Roman"/>
                <w:sz w:val="21"/>
              </w:rPr>
            </w:pPr>
            <w:r>
              <w:rPr>
                <w:rFonts w:cs="Times New Roman"/>
                <w:sz w:val="21"/>
              </w:rPr>
              <w:t>0.00006</w:t>
            </w:r>
          </w:p>
        </w:tc>
      </w:tr>
      <w:tr w14:paraId="7ADB0F52">
        <w:tblPrEx>
          <w:tblCellMar>
            <w:top w:w="0" w:type="dxa"/>
            <w:left w:w="108" w:type="dxa"/>
            <w:bottom w:w="0" w:type="dxa"/>
            <w:right w:w="108" w:type="dxa"/>
          </w:tblCellMar>
        </w:tblPrEx>
        <w:trPr>
          <w:trHeight w:val="397" w:hRule="atLeast"/>
        </w:trPr>
        <w:tc>
          <w:tcPr>
            <w:tcW w:w="506" w:type="pct"/>
            <w:tcBorders>
              <w:top w:val="single" w:color="auto" w:sz="4" w:space="0"/>
              <w:left w:val="single" w:color="auto" w:sz="12" w:space="0"/>
              <w:bottom w:val="single" w:color="auto" w:sz="4" w:space="0"/>
              <w:right w:val="single" w:color="auto" w:sz="4" w:space="0"/>
            </w:tcBorders>
            <w:noWrap/>
            <w:vAlign w:val="center"/>
          </w:tcPr>
          <w:p w14:paraId="161A83E5">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4" w:space="0"/>
              <w:right w:val="single" w:color="auto" w:sz="4" w:space="0"/>
            </w:tcBorders>
            <w:noWrap/>
            <w:vAlign w:val="center"/>
          </w:tcPr>
          <w:p w14:paraId="53C40A1A">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681910E1">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16E15C33">
            <w:pPr>
              <w:spacing w:line="240" w:lineRule="auto"/>
              <w:ind w:firstLine="0" w:firstLineChars="0"/>
              <w:jc w:val="center"/>
              <w:rPr>
                <w:rFonts w:cs="Times New Roman"/>
                <w:sz w:val="21"/>
              </w:rPr>
            </w:pPr>
            <w:r>
              <w:rPr>
                <w:rFonts w:cs="Times New Roman"/>
                <w:sz w:val="21"/>
              </w:rPr>
              <w:t>0.00000</w:t>
            </w:r>
          </w:p>
        </w:tc>
        <w:tc>
          <w:tcPr>
            <w:tcW w:w="1124" w:type="pct"/>
            <w:tcBorders>
              <w:top w:val="single" w:color="auto" w:sz="4" w:space="0"/>
              <w:left w:val="nil"/>
              <w:bottom w:val="single" w:color="auto" w:sz="4" w:space="0"/>
              <w:right w:val="single" w:color="auto" w:sz="12" w:space="0"/>
            </w:tcBorders>
            <w:noWrap/>
            <w:vAlign w:val="center"/>
          </w:tcPr>
          <w:p w14:paraId="1CBC2785">
            <w:pPr>
              <w:spacing w:line="240" w:lineRule="auto"/>
              <w:ind w:firstLine="0" w:firstLineChars="0"/>
              <w:jc w:val="center"/>
              <w:rPr>
                <w:rFonts w:cs="Times New Roman"/>
                <w:sz w:val="21"/>
              </w:rPr>
            </w:pPr>
            <w:r>
              <w:rPr>
                <w:rFonts w:cs="Times New Roman"/>
                <w:sz w:val="21"/>
              </w:rPr>
              <w:t>0.00000</w:t>
            </w:r>
          </w:p>
        </w:tc>
      </w:tr>
      <w:tr w14:paraId="63EB5CD7">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3D69116E">
            <w:pPr>
              <w:spacing w:line="240" w:lineRule="auto"/>
              <w:ind w:firstLine="0" w:firstLineChars="0"/>
              <w:jc w:val="center"/>
              <w:rPr>
                <w:rFonts w:cs="Times New Roman"/>
                <w:sz w:val="21"/>
              </w:rPr>
            </w:pPr>
            <w:r>
              <w:rPr>
                <w:rFonts w:cs="Times New Roman"/>
                <w:sz w:val="21"/>
              </w:rPr>
              <w:t>1000d</w:t>
            </w:r>
          </w:p>
        </w:tc>
      </w:tr>
      <w:tr w14:paraId="3CA0610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0554B6A">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4A6144A9">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684E7949">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56C72BEF">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048C40AD">
            <w:pPr>
              <w:spacing w:line="240" w:lineRule="auto"/>
              <w:ind w:firstLine="0" w:firstLineChars="0"/>
              <w:jc w:val="center"/>
              <w:rPr>
                <w:rFonts w:cs="Times New Roman"/>
                <w:sz w:val="21"/>
              </w:rPr>
            </w:pPr>
            <w:r>
              <w:rPr>
                <w:rFonts w:cs="Times New Roman"/>
                <w:sz w:val="21"/>
              </w:rPr>
              <w:t>7.5</w:t>
            </w:r>
          </w:p>
        </w:tc>
      </w:tr>
      <w:tr w14:paraId="46261D3E">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939905A">
            <w:pPr>
              <w:spacing w:line="240" w:lineRule="auto"/>
              <w:ind w:firstLine="0" w:firstLineChars="0"/>
              <w:jc w:val="center"/>
              <w:rPr>
                <w:rFonts w:cs="Times New Roman"/>
                <w:sz w:val="21"/>
              </w:rPr>
            </w:pPr>
            <w:r>
              <w:rPr>
                <w:rFonts w:cs="Times New Roman"/>
                <w:sz w:val="21"/>
              </w:rPr>
              <w:t>0</w:t>
            </w:r>
          </w:p>
        </w:tc>
        <w:tc>
          <w:tcPr>
            <w:tcW w:w="1124" w:type="pct"/>
            <w:tcBorders>
              <w:top w:val="single" w:color="auto" w:sz="4" w:space="0"/>
              <w:left w:val="nil"/>
              <w:bottom w:val="single" w:color="auto" w:sz="4" w:space="0"/>
              <w:right w:val="single" w:color="auto" w:sz="4" w:space="0"/>
            </w:tcBorders>
            <w:noWrap/>
            <w:vAlign w:val="center"/>
          </w:tcPr>
          <w:p w14:paraId="7F94E470">
            <w:pPr>
              <w:spacing w:line="240" w:lineRule="auto"/>
              <w:ind w:firstLine="0" w:firstLineChars="0"/>
              <w:jc w:val="center"/>
              <w:rPr>
                <w:rFonts w:cs="Times New Roman"/>
                <w:sz w:val="21"/>
              </w:rPr>
            </w:pPr>
            <w:r>
              <w:rPr>
                <w:rFonts w:cs="Times New Roman"/>
                <w:sz w:val="21"/>
              </w:rPr>
              <w:t>0.896</w:t>
            </w:r>
          </w:p>
        </w:tc>
        <w:tc>
          <w:tcPr>
            <w:tcW w:w="1123" w:type="pct"/>
            <w:tcBorders>
              <w:top w:val="single" w:color="auto" w:sz="4" w:space="0"/>
              <w:left w:val="nil"/>
              <w:bottom w:val="single" w:color="auto" w:sz="4" w:space="0"/>
              <w:right w:val="single" w:color="auto" w:sz="4" w:space="0"/>
            </w:tcBorders>
            <w:noWrap/>
            <w:vAlign w:val="center"/>
          </w:tcPr>
          <w:p w14:paraId="4FEC2D63">
            <w:pPr>
              <w:spacing w:line="240" w:lineRule="auto"/>
              <w:ind w:firstLine="0" w:firstLineChars="0"/>
              <w:jc w:val="center"/>
              <w:rPr>
                <w:rFonts w:cs="Times New Roman"/>
                <w:sz w:val="21"/>
              </w:rPr>
            </w:pPr>
            <w:r>
              <w:rPr>
                <w:rFonts w:cs="Times New Roman"/>
                <w:sz w:val="21"/>
              </w:rPr>
              <w:t>0.946</w:t>
            </w:r>
          </w:p>
        </w:tc>
        <w:tc>
          <w:tcPr>
            <w:tcW w:w="1123" w:type="pct"/>
            <w:tcBorders>
              <w:top w:val="single" w:color="auto" w:sz="4" w:space="0"/>
              <w:left w:val="nil"/>
              <w:bottom w:val="single" w:color="auto" w:sz="4" w:space="0"/>
              <w:right w:val="single" w:color="auto" w:sz="4" w:space="0"/>
            </w:tcBorders>
            <w:noWrap/>
            <w:vAlign w:val="center"/>
          </w:tcPr>
          <w:p w14:paraId="04B44BF1">
            <w:pPr>
              <w:spacing w:line="240" w:lineRule="auto"/>
              <w:ind w:firstLine="0" w:firstLineChars="0"/>
              <w:jc w:val="center"/>
              <w:rPr>
                <w:rFonts w:cs="Times New Roman"/>
                <w:sz w:val="21"/>
              </w:rPr>
            </w:pPr>
            <w:r>
              <w:rPr>
                <w:rFonts w:cs="Times New Roman"/>
                <w:sz w:val="21"/>
              </w:rPr>
              <w:t>0.959</w:t>
            </w:r>
          </w:p>
        </w:tc>
        <w:tc>
          <w:tcPr>
            <w:tcW w:w="1124" w:type="pct"/>
            <w:tcBorders>
              <w:top w:val="single" w:color="auto" w:sz="4" w:space="0"/>
              <w:left w:val="nil"/>
              <w:bottom w:val="single" w:color="auto" w:sz="4" w:space="0"/>
              <w:right w:val="single" w:color="auto" w:sz="12" w:space="0"/>
            </w:tcBorders>
            <w:noWrap/>
            <w:vAlign w:val="center"/>
          </w:tcPr>
          <w:p w14:paraId="225AC329">
            <w:pPr>
              <w:spacing w:line="240" w:lineRule="auto"/>
              <w:ind w:firstLine="0" w:firstLineChars="0"/>
              <w:jc w:val="center"/>
              <w:rPr>
                <w:rFonts w:cs="Times New Roman"/>
                <w:sz w:val="21"/>
              </w:rPr>
            </w:pPr>
            <w:r>
              <w:rPr>
                <w:rFonts w:cs="Times New Roman"/>
                <w:sz w:val="21"/>
              </w:rPr>
              <w:t>0.950</w:t>
            </w:r>
          </w:p>
        </w:tc>
      </w:tr>
      <w:tr w14:paraId="584CD529">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09E5561">
            <w:pPr>
              <w:spacing w:line="240" w:lineRule="auto"/>
              <w:ind w:firstLine="0" w:firstLineChars="0"/>
              <w:jc w:val="center"/>
              <w:rPr>
                <w:rFonts w:cs="Times New Roman"/>
                <w:sz w:val="21"/>
              </w:rPr>
            </w:pPr>
            <w:r>
              <w:rPr>
                <w:rFonts w:cs="Times New Roman"/>
                <w:sz w:val="21"/>
              </w:rPr>
              <w:t>30</w:t>
            </w:r>
          </w:p>
        </w:tc>
        <w:tc>
          <w:tcPr>
            <w:tcW w:w="1124" w:type="pct"/>
            <w:tcBorders>
              <w:top w:val="single" w:color="auto" w:sz="4" w:space="0"/>
              <w:left w:val="nil"/>
              <w:bottom w:val="single" w:color="auto" w:sz="4" w:space="0"/>
              <w:right w:val="single" w:color="auto" w:sz="4" w:space="0"/>
            </w:tcBorders>
            <w:noWrap/>
            <w:vAlign w:val="center"/>
          </w:tcPr>
          <w:p w14:paraId="7A08D608">
            <w:pPr>
              <w:spacing w:line="240" w:lineRule="auto"/>
              <w:ind w:firstLine="0" w:firstLineChars="0"/>
              <w:jc w:val="center"/>
              <w:rPr>
                <w:rFonts w:cs="Times New Roman"/>
                <w:sz w:val="21"/>
              </w:rPr>
            </w:pPr>
            <w:r>
              <w:rPr>
                <w:rFonts w:cs="Times New Roman"/>
                <w:sz w:val="21"/>
              </w:rPr>
              <w:t>1.39</w:t>
            </w:r>
          </w:p>
        </w:tc>
        <w:tc>
          <w:tcPr>
            <w:tcW w:w="1123" w:type="pct"/>
            <w:tcBorders>
              <w:top w:val="single" w:color="auto" w:sz="4" w:space="0"/>
              <w:left w:val="nil"/>
              <w:bottom w:val="single" w:color="auto" w:sz="4" w:space="0"/>
              <w:right w:val="single" w:color="auto" w:sz="4" w:space="0"/>
            </w:tcBorders>
            <w:noWrap/>
            <w:vAlign w:val="center"/>
          </w:tcPr>
          <w:p w14:paraId="6A545193">
            <w:pPr>
              <w:spacing w:line="240" w:lineRule="auto"/>
              <w:ind w:firstLine="0" w:firstLineChars="0"/>
              <w:jc w:val="center"/>
              <w:rPr>
                <w:rFonts w:cs="Times New Roman"/>
                <w:sz w:val="21"/>
              </w:rPr>
            </w:pPr>
            <w:r>
              <w:rPr>
                <w:rFonts w:cs="Times New Roman"/>
                <w:sz w:val="21"/>
              </w:rPr>
              <w:t>1.80</w:t>
            </w:r>
          </w:p>
        </w:tc>
        <w:tc>
          <w:tcPr>
            <w:tcW w:w="1123" w:type="pct"/>
            <w:tcBorders>
              <w:top w:val="single" w:color="auto" w:sz="4" w:space="0"/>
              <w:left w:val="nil"/>
              <w:bottom w:val="single" w:color="auto" w:sz="4" w:space="0"/>
              <w:right w:val="single" w:color="auto" w:sz="4" w:space="0"/>
            </w:tcBorders>
            <w:noWrap/>
            <w:vAlign w:val="center"/>
          </w:tcPr>
          <w:p w14:paraId="4B9A4A54">
            <w:pPr>
              <w:spacing w:line="240" w:lineRule="auto"/>
              <w:ind w:firstLine="0" w:firstLineChars="0"/>
              <w:jc w:val="center"/>
              <w:rPr>
                <w:rFonts w:cs="Times New Roman"/>
                <w:sz w:val="21"/>
              </w:rPr>
            </w:pPr>
            <w:r>
              <w:rPr>
                <w:rFonts w:cs="Times New Roman"/>
                <w:sz w:val="21"/>
              </w:rPr>
              <w:t>2.10</w:t>
            </w:r>
          </w:p>
        </w:tc>
        <w:tc>
          <w:tcPr>
            <w:tcW w:w="1124" w:type="pct"/>
            <w:tcBorders>
              <w:top w:val="single" w:color="auto" w:sz="4" w:space="0"/>
              <w:left w:val="nil"/>
              <w:bottom w:val="single" w:color="auto" w:sz="4" w:space="0"/>
              <w:right w:val="single" w:color="auto" w:sz="12" w:space="0"/>
            </w:tcBorders>
            <w:noWrap/>
            <w:vAlign w:val="center"/>
          </w:tcPr>
          <w:p w14:paraId="50942D47">
            <w:pPr>
              <w:spacing w:line="240" w:lineRule="auto"/>
              <w:ind w:firstLine="0" w:firstLineChars="0"/>
              <w:jc w:val="center"/>
              <w:rPr>
                <w:rFonts w:cs="Times New Roman"/>
                <w:sz w:val="21"/>
              </w:rPr>
            </w:pPr>
            <w:r>
              <w:rPr>
                <w:rFonts w:cs="Times New Roman"/>
                <w:sz w:val="21"/>
              </w:rPr>
              <w:t>2.47</w:t>
            </w:r>
          </w:p>
        </w:tc>
      </w:tr>
      <w:tr w14:paraId="596BB43F">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4E4215BC">
            <w:pPr>
              <w:spacing w:line="240" w:lineRule="auto"/>
              <w:ind w:firstLine="0" w:firstLineChars="0"/>
              <w:jc w:val="center"/>
              <w:rPr>
                <w:rFonts w:cs="Times New Roman"/>
                <w:sz w:val="21"/>
              </w:rPr>
            </w:pPr>
            <w:r>
              <w:rPr>
                <w:rFonts w:cs="Times New Roman"/>
                <w:sz w:val="21"/>
              </w:rPr>
              <w:t>50</w:t>
            </w:r>
          </w:p>
        </w:tc>
        <w:tc>
          <w:tcPr>
            <w:tcW w:w="1124" w:type="pct"/>
            <w:tcBorders>
              <w:top w:val="single" w:color="auto" w:sz="4" w:space="0"/>
              <w:left w:val="nil"/>
              <w:bottom w:val="single" w:color="auto" w:sz="4" w:space="0"/>
              <w:right w:val="single" w:color="auto" w:sz="4" w:space="0"/>
            </w:tcBorders>
            <w:noWrap/>
            <w:vAlign w:val="center"/>
          </w:tcPr>
          <w:p w14:paraId="473133FD">
            <w:pPr>
              <w:spacing w:line="240" w:lineRule="auto"/>
              <w:ind w:firstLine="0" w:firstLineChars="0"/>
              <w:jc w:val="center"/>
              <w:rPr>
                <w:rFonts w:cs="Times New Roman"/>
                <w:sz w:val="21"/>
              </w:rPr>
            </w:pPr>
            <w:r>
              <w:rPr>
                <w:rFonts w:cs="Times New Roman"/>
                <w:sz w:val="21"/>
              </w:rPr>
              <w:t>0.716</w:t>
            </w:r>
          </w:p>
        </w:tc>
        <w:tc>
          <w:tcPr>
            <w:tcW w:w="1123" w:type="pct"/>
            <w:tcBorders>
              <w:top w:val="single" w:color="auto" w:sz="4" w:space="0"/>
              <w:left w:val="nil"/>
              <w:bottom w:val="single" w:color="auto" w:sz="4" w:space="0"/>
              <w:right w:val="single" w:color="auto" w:sz="4" w:space="0"/>
            </w:tcBorders>
            <w:noWrap/>
            <w:vAlign w:val="center"/>
          </w:tcPr>
          <w:p w14:paraId="78741A7B">
            <w:pPr>
              <w:spacing w:line="240" w:lineRule="auto"/>
              <w:ind w:firstLine="0" w:firstLineChars="0"/>
              <w:jc w:val="center"/>
              <w:rPr>
                <w:rFonts w:cs="Times New Roman"/>
                <w:sz w:val="21"/>
              </w:rPr>
            </w:pPr>
            <w:r>
              <w:rPr>
                <w:rFonts w:cs="Times New Roman"/>
                <w:sz w:val="21"/>
              </w:rPr>
              <w:t>1.07</w:t>
            </w:r>
          </w:p>
        </w:tc>
        <w:tc>
          <w:tcPr>
            <w:tcW w:w="1123" w:type="pct"/>
            <w:tcBorders>
              <w:top w:val="single" w:color="auto" w:sz="4" w:space="0"/>
              <w:left w:val="nil"/>
              <w:bottom w:val="single" w:color="auto" w:sz="4" w:space="0"/>
              <w:right w:val="single" w:color="auto" w:sz="4" w:space="0"/>
            </w:tcBorders>
            <w:noWrap/>
            <w:vAlign w:val="center"/>
          </w:tcPr>
          <w:p w14:paraId="037393B6">
            <w:pPr>
              <w:spacing w:line="240" w:lineRule="auto"/>
              <w:ind w:firstLine="0" w:firstLineChars="0"/>
              <w:jc w:val="center"/>
              <w:rPr>
                <w:rFonts w:cs="Times New Roman"/>
                <w:sz w:val="21"/>
              </w:rPr>
            </w:pPr>
            <w:r>
              <w:rPr>
                <w:rFonts w:cs="Times New Roman"/>
                <w:sz w:val="21"/>
              </w:rPr>
              <w:t>1.36</w:t>
            </w:r>
          </w:p>
        </w:tc>
        <w:tc>
          <w:tcPr>
            <w:tcW w:w="1124" w:type="pct"/>
            <w:tcBorders>
              <w:top w:val="single" w:color="auto" w:sz="4" w:space="0"/>
              <w:left w:val="nil"/>
              <w:bottom w:val="single" w:color="auto" w:sz="4" w:space="0"/>
              <w:right w:val="single" w:color="auto" w:sz="12" w:space="0"/>
            </w:tcBorders>
            <w:noWrap/>
            <w:vAlign w:val="center"/>
          </w:tcPr>
          <w:p w14:paraId="5DD2BFE2">
            <w:pPr>
              <w:spacing w:line="240" w:lineRule="auto"/>
              <w:ind w:firstLine="0" w:firstLineChars="0"/>
              <w:jc w:val="center"/>
              <w:rPr>
                <w:rFonts w:cs="Times New Roman"/>
                <w:sz w:val="21"/>
              </w:rPr>
            </w:pPr>
            <w:r>
              <w:rPr>
                <w:rFonts w:cs="Times New Roman"/>
                <w:sz w:val="21"/>
              </w:rPr>
              <w:t>1.79</w:t>
            </w:r>
          </w:p>
        </w:tc>
      </w:tr>
      <w:tr w14:paraId="35BB407B">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16E89583">
            <w:pPr>
              <w:spacing w:line="240" w:lineRule="auto"/>
              <w:ind w:firstLine="0" w:firstLineChars="0"/>
              <w:jc w:val="center"/>
              <w:rPr>
                <w:rFonts w:cs="Times New Roman"/>
                <w:sz w:val="21"/>
              </w:rPr>
            </w:pPr>
            <w:r>
              <w:rPr>
                <w:rFonts w:cs="Times New Roman"/>
                <w:sz w:val="21"/>
              </w:rPr>
              <w:t>100</w:t>
            </w:r>
          </w:p>
        </w:tc>
        <w:tc>
          <w:tcPr>
            <w:tcW w:w="1124" w:type="pct"/>
            <w:tcBorders>
              <w:top w:val="single" w:color="auto" w:sz="4" w:space="0"/>
              <w:left w:val="nil"/>
              <w:bottom w:val="single" w:color="auto" w:sz="4" w:space="0"/>
              <w:right w:val="single" w:color="auto" w:sz="4" w:space="0"/>
            </w:tcBorders>
            <w:noWrap/>
            <w:vAlign w:val="center"/>
          </w:tcPr>
          <w:p w14:paraId="6F860186">
            <w:pPr>
              <w:spacing w:line="240" w:lineRule="auto"/>
              <w:ind w:firstLine="0" w:firstLineChars="0"/>
              <w:jc w:val="center"/>
              <w:rPr>
                <w:rFonts w:cs="Times New Roman"/>
                <w:sz w:val="21"/>
              </w:rPr>
            </w:pPr>
            <w:r>
              <w:rPr>
                <w:rFonts w:cs="Times New Roman"/>
                <w:sz w:val="21"/>
              </w:rPr>
              <w:t>0.00480</w:t>
            </w:r>
          </w:p>
        </w:tc>
        <w:tc>
          <w:tcPr>
            <w:tcW w:w="1123" w:type="pct"/>
            <w:tcBorders>
              <w:top w:val="single" w:color="auto" w:sz="4" w:space="0"/>
              <w:left w:val="nil"/>
              <w:bottom w:val="single" w:color="auto" w:sz="4" w:space="0"/>
              <w:right w:val="single" w:color="auto" w:sz="4" w:space="0"/>
            </w:tcBorders>
            <w:noWrap/>
            <w:vAlign w:val="center"/>
          </w:tcPr>
          <w:p w14:paraId="0BA5FFA6">
            <w:pPr>
              <w:spacing w:line="240" w:lineRule="auto"/>
              <w:ind w:firstLine="0" w:firstLineChars="0"/>
              <w:jc w:val="center"/>
              <w:rPr>
                <w:rFonts w:cs="Times New Roman"/>
                <w:sz w:val="21"/>
              </w:rPr>
            </w:pPr>
            <w:r>
              <w:rPr>
                <w:rFonts w:cs="Times New Roman"/>
                <w:sz w:val="21"/>
              </w:rPr>
              <w:t>0.0101</w:t>
            </w:r>
          </w:p>
        </w:tc>
        <w:tc>
          <w:tcPr>
            <w:tcW w:w="1123" w:type="pct"/>
            <w:tcBorders>
              <w:top w:val="single" w:color="auto" w:sz="4" w:space="0"/>
              <w:left w:val="nil"/>
              <w:bottom w:val="single" w:color="auto" w:sz="4" w:space="0"/>
              <w:right w:val="single" w:color="auto" w:sz="4" w:space="0"/>
            </w:tcBorders>
            <w:noWrap/>
            <w:vAlign w:val="center"/>
          </w:tcPr>
          <w:p w14:paraId="77944C0D">
            <w:pPr>
              <w:spacing w:line="240" w:lineRule="auto"/>
              <w:ind w:firstLine="0" w:firstLineChars="0"/>
              <w:jc w:val="center"/>
              <w:rPr>
                <w:rFonts w:cs="Times New Roman"/>
                <w:sz w:val="21"/>
              </w:rPr>
            </w:pPr>
            <w:r>
              <w:rPr>
                <w:rFonts w:cs="Times New Roman"/>
                <w:sz w:val="21"/>
              </w:rPr>
              <w:t>0.0162</w:t>
            </w:r>
          </w:p>
        </w:tc>
        <w:tc>
          <w:tcPr>
            <w:tcW w:w="1124" w:type="pct"/>
            <w:tcBorders>
              <w:top w:val="single" w:color="auto" w:sz="4" w:space="0"/>
              <w:left w:val="nil"/>
              <w:bottom w:val="single" w:color="auto" w:sz="4" w:space="0"/>
              <w:right w:val="single" w:color="auto" w:sz="12" w:space="0"/>
            </w:tcBorders>
            <w:noWrap/>
            <w:vAlign w:val="center"/>
          </w:tcPr>
          <w:p w14:paraId="00C4026C">
            <w:pPr>
              <w:spacing w:line="240" w:lineRule="auto"/>
              <w:ind w:firstLine="0" w:firstLineChars="0"/>
              <w:jc w:val="center"/>
              <w:rPr>
                <w:rFonts w:cs="Times New Roman"/>
                <w:sz w:val="21"/>
              </w:rPr>
            </w:pPr>
            <w:r>
              <w:rPr>
                <w:rFonts w:cs="Times New Roman"/>
                <w:sz w:val="21"/>
              </w:rPr>
              <w:t>0.0284</w:t>
            </w:r>
          </w:p>
        </w:tc>
      </w:tr>
      <w:tr w14:paraId="7E1311CE">
        <w:tblPrEx>
          <w:tblCellMar>
            <w:top w:w="0" w:type="dxa"/>
            <w:left w:w="108" w:type="dxa"/>
            <w:bottom w:w="0" w:type="dxa"/>
            <w:right w:w="108" w:type="dxa"/>
          </w:tblCellMar>
        </w:tblPrEx>
        <w:trPr>
          <w:trHeight w:val="397" w:hRule="atLeast"/>
        </w:trPr>
        <w:tc>
          <w:tcPr>
            <w:tcW w:w="506" w:type="pct"/>
            <w:tcBorders>
              <w:top w:val="single" w:color="auto" w:sz="4" w:space="0"/>
              <w:left w:val="single" w:color="auto" w:sz="12" w:space="0"/>
              <w:bottom w:val="single" w:color="auto" w:sz="4" w:space="0"/>
              <w:right w:val="single" w:color="auto" w:sz="4" w:space="0"/>
            </w:tcBorders>
            <w:noWrap/>
            <w:vAlign w:val="center"/>
          </w:tcPr>
          <w:p w14:paraId="49BA6F67">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4" w:space="0"/>
              <w:right w:val="single" w:color="auto" w:sz="4" w:space="0"/>
            </w:tcBorders>
            <w:noWrap/>
            <w:vAlign w:val="center"/>
          </w:tcPr>
          <w:p w14:paraId="6C17819D">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37C390AC">
            <w:pPr>
              <w:spacing w:line="240" w:lineRule="auto"/>
              <w:ind w:firstLine="0" w:firstLineChars="0"/>
              <w:jc w:val="center"/>
              <w:rPr>
                <w:rFonts w:cs="Times New Roman"/>
                <w:sz w:val="21"/>
              </w:rPr>
            </w:pPr>
            <w:r>
              <w:rPr>
                <w:rFonts w:cs="Times New Roman"/>
                <w:sz w:val="21"/>
              </w:rPr>
              <w:t>0.00000</w:t>
            </w:r>
          </w:p>
        </w:tc>
        <w:tc>
          <w:tcPr>
            <w:tcW w:w="1123" w:type="pct"/>
            <w:tcBorders>
              <w:top w:val="single" w:color="auto" w:sz="4" w:space="0"/>
              <w:left w:val="nil"/>
              <w:bottom w:val="single" w:color="auto" w:sz="4" w:space="0"/>
              <w:right w:val="single" w:color="auto" w:sz="4" w:space="0"/>
            </w:tcBorders>
            <w:noWrap/>
            <w:vAlign w:val="center"/>
          </w:tcPr>
          <w:p w14:paraId="7B31F655">
            <w:pPr>
              <w:spacing w:line="240" w:lineRule="auto"/>
              <w:ind w:firstLine="0" w:firstLineChars="0"/>
              <w:jc w:val="center"/>
              <w:rPr>
                <w:rFonts w:cs="Times New Roman"/>
                <w:sz w:val="21"/>
              </w:rPr>
            </w:pPr>
            <w:r>
              <w:rPr>
                <w:rFonts w:cs="Times New Roman"/>
                <w:sz w:val="21"/>
              </w:rPr>
              <w:t>0.00000</w:t>
            </w:r>
          </w:p>
        </w:tc>
        <w:tc>
          <w:tcPr>
            <w:tcW w:w="1124" w:type="pct"/>
            <w:tcBorders>
              <w:top w:val="single" w:color="auto" w:sz="4" w:space="0"/>
              <w:left w:val="nil"/>
              <w:bottom w:val="single" w:color="auto" w:sz="4" w:space="0"/>
              <w:right w:val="single" w:color="auto" w:sz="12" w:space="0"/>
            </w:tcBorders>
            <w:noWrap/>
            <w:vAlign w:val="center"/>
          </w:tcPr>
          <w:p w14:paraId="630BE52C">
            <w:pPr>
              <w:spacing w:line="240" w:lineRule="auto"/>
              <w:ind w:firstLine="0" w:firstLineChars="0"/>
              <w:jc w:val="center"/>
              <w:rPr>
                <w:rFonts w:cs="Times New Roman"/>
                <w:sz w:val="21"/>
              </w:rPr>
            </w:pPr>
            <w:r>
              <w:rPr>
                <w:rFonts w:cs="Times New Roman"/>
                <w:sz w:val="21"/>
              </w:rPr>
              <w:t>0.00000</w:t>
            </w:r>
          </w:p>
        </w:tc>
      </w:tr>
      <w:tr w14:paraId="3A8F1C1D">
        <w:tblPrEx>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12" w:space="0"/>
              <w:bottom w:val="single" w:color="auto" w:sz="4" w:space="0"/>
              <w:right w:val="single" w:color="auto" w:sz="12" w:space="0"/>
            </w:tcBorders>
            <w:noWrap/>
            <w:vAlign w:val="center"/>
          </w:tcPr>
          <w:p w14:paraId="0C8F2CE3">
            <w:pPr>
              <w:spacing w:line="240" w:lineRule="auto"/>
              <w:ind w:firstLine="0" w:firstLineChars="0"/>
              <w:jc w:val="center"/>
              <w:rPr>
                <w:rFonts w:cs="Times New Roman"/>
                <w:sz w:val="21"/>
              </w:rPr>
            </w:pPr>
            <w:r>
              <w:rPr>
                <w:rFonts w:cs="Times New Roman"/>
                <w:sz w:val="21"/>
              </w:rPr>
              <w:t>3650d</w:t>
            </w:r>
          </w:p>
        </w:tc>
      </w:tr>
      <w:tr w14:paraId="47776DD4">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EB78C79">
            <w:pPr>
              <w:spacing w:line="240" w:lineRule="auto"/>
              <w:ind w:firstLine="0" w:firstLineChars="0"/>
              <w:jc w:val="center"/>
              <w:rPr>
                <w:rFonts w:cs="Times New Roman"/>
                <w:sz w:val="21"/>
              </w:rPr>
            </w:pPr>
            <w:r>
              <w:rPr>
                <w:rFonts w:cs="Times New Roman"/>
                <w:sz w:val="21"/>
              </w:rPr>
              <w:t>X\Y</w:t>
            </w:r>
          </w:p>
        </w:tc>
        <w:tc>
          <w:tcPr>
            <w:tcW w:w="1124" w:type="pct"/>
            <w:tcBorders>
              <w:top w:val="nil"/>
              <w:left w:val="nil"/>
              <w:bottom w:val="single" w:color="auto" w:sz="4" w:space="0"/>
              <w:right w:val="single" w:color="auto" w:sz="4" w:space="0"/>
            </w:tcBorders>
            <w:noWrap/>
            <w:vAlign w:val="center"/>
          </w:tcPr>
          <w:p w14:paraId="3B69D9B5">
            <w:pPr>
              <w:spacing w:line="240" w:lineRule="auto"/>
              <w:ind w:firstLine="0" w:firstLineChars="0"/>
              <w:jc w:val="center"/>
              <w:rPr>
                <w:rFonts w:cs="Times New Roman"/>
                <w:sz w:val="21"/>
              </w:rPr>
            </w:pPr>
            <w:r>
              <w:rPr>
                <w:rFonts w:cs="Times New Roman"/>
                <w:sz w:val="21"/>
              </w:rPr>
              <w:t>0</w:t>
            </w:r>
          </w:p>
        </w:tc>
        <w:tc>
          <w:tcPr>
            <w:tcW w:w="1123" w:type="pct"/>
            <w:tcBorders>
              <w:top w:val="nil"/>
              <w:left w:val="nil"/>
              <w:bottom w:val="single" w:color="auto" w:sz="4" w:space="0"/>
              <w:right w:val="single" w:color="auto" w:sz="4" w:space="0"/>
            </w:tcBorders>
            <w:noWrap/>
            <w:vAlign w:val="center"/>
          </w:tcPr>
          <w:p w14:paraId="7EE9A051">
            <w:pPr>
              <w:spacing w:line="240" w:lineRule="auto"/>
              <w:ind w:firstLine="0" w:firstLineChars="0"/>
              <w:jc w:val="center"/>
              <w:rPr>
                <w:rFonts w:cs="Times New Roman"/>
                <w:sz w:val="21"/>
              </w:rPr>
            </w:pPr>
            <w:r>
              <w:rPr>
                <w:rFonts w:cs="Times New Roman"/>
                <w:sz w:val="21"/>
              </w:rPr>
              <w:t>3</w:t>
            </w:r>
          </w:p>
        </w:tc>
        <w:tc>
          <w:tcPr>
            <w:tcW w:w="1123" w:type="pct"/>
            <w:tcBorders>
              <w:top w:val="nil"/>
              <w:left w:val="nil"/>
              <w:bottom w:val="single" w:color="auto" w:sz="4" w:space="0"/>
              <w:right w:val="single" w:color="auto" w:sz="4" w:space="0"/>
            </w:tcBorders>
            <w:noWrap/>
            <w:vAlign w:val="center"/>
          </w:tcPr>
          <w:p w14:paraId="21B2F3B1">
            <w:pPr>
              <w:spacing w:line="240" w:lineRule="auto"/>
              <w:ind w:firstLine="0" w:firstLineChars="0"/>
              <w:jc w:val="center"/>
              <w:rPr>
                <w:rFonts w:cs="Times New Roman"/>
                <w:sz w:val="21"/>
              </w:rPr>
            </w:pPr>
            <w:r>
              <w:rPr>
                <w:rFonts w:cs="Times New Roman"/>
                <w:sz w:val="21"/>
              </w:rPr>
              <w:t>5</w:t>
            </w:r>
          </w:p>
        </w:tc>
        <w:tc>
          <w:tcPr>
            <w:tcW w:w="1124" w:type="pct"/>
            <w:tcBorders>
              <w:top w:val="nil"/>
              <w:left w:val="nil"/>
              <w:bottom w:val="single" w:color="auto" w:sz="4" w:space="0"/>
              <w:right w:val="single" w:color="auto" w:sz="12" w:space="0"/>
            </w:tcBorders>
            <w:noWrap/>
            <w:vAlign w:val="center"/>
          </w:tcPr>
          <w:p w14:paraId="3E7E637F">
            <w:pPr>
              <w:spacing w:line="240" w:lineRule="auto"/>
              <w:ind w:firstLine="0" w:firstLineChars="0"/>
              <w:jc w:val="center"/>
              <w:rPr>
                <w:rFonts w:cs="Times New Roman"/>
                <w:sz w:val="21"/>
              </w:rPr>
            </w:pPr>
            <w:r>
              <w:rPr>
                <w:rFonts w:cs="Times New Roman"/>
                <w:sz w:val="21"/>
              </w:rPr>
              <w:t>7.5</w:t>
            </w:r>
          </w:p>
        </w:tc>
      </w:tr>
      <w:tr w14:paraId="3D0C1BC7">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7F2ACAA4">
            <w:pPr>
              <w:spacing w:line="240" w:lineRule="auto"/>
              <w:ind w:firstLine="0" w:firstLineChars="0"/>
              <w:jc w:val="center"/>
              <w:rPr>
                <w:rFonts w:cs="Times New Roman"/>
                <w:sz w:val="21"/>
              </w:rPr>
            </w:pPr>
            <w:r>
              <w:rPr>
                <w:rFonts w:cs="Times New Roman"/>
                <w:sz w:val="21"/>
              </w:rPr>
              <w:t>0</w:t>
            </w:r>
          </w:p>
        </w:tc>
        <w:tc>
          <w:tcPr>
            <w:tcW w:w="1124" w:type="pct"/>
            <w:tcBorders>
              <w:top w:val="single" w:color="auto" w:sz="4" w:space="0"/>
              <w:left w:val="nil"/>
              <w:bottom w:val="single" w:color="auto" w:sz="4" w:space="0"/>
              <w:right w:val="single" w:color="auto" w:sz="4" w:space="0"/>
            </w:tcBorders>
            <w:noWrap/>
            <w:vAlign w:val="center"/>
          </w:tcPr>
          <w:p w14:paraId="44B493FB">
            <w:pPr>
              <w:spacing w:line="240" w:lineRule="auto"/>
              <w:ind w:firstLine="0" w:firstLineChars="0"/>
              <w:jc w:val="center"/>
              <w:rPr>
                <w:rFonts w:cs="Times New Roman"/>
                <w:sz w:val="21"/>
              </w:rPr>
            </w:pPr>
            <w:r>
              <w:rPr>
                <w:rFonts w:cs="Times New Roman"/>
                <w:sz w:val="21"/>
              </w:rPr>
              <w:t>0.00088</w:t>
            </w:r>
          </w:p>
        </w:tc>
        <w:tc>
          <w:tcPr>
            <w:tcW w:w="1123" w:type="pct"/>
            <w:tcBorders>
              <w:top w:val="single" w:color="auto" w:sz="4" w:space="0"/>
              <w:left w:val="nil"/>
              <w:bottom w:val="single" w:color="auto" w:sz="4" w:space="0"/>
              <w:right w:val="single" w:color="auto" w:sz="4" w:space="0"/>
            </w:tcBorders>
            <w:noWrap/>
            <w:vAlign w:val="center"/>
          </w:tcPr>
          <w:p w14:paraId="2A352F50">
            <w:pPr>
              <w:spacing w:line="240" w:lineRule="auto"/>
              <w:ind w:firstLine="0" w:firstLineChars="0"/>
              <w:jc w:val="center"/>
              <w:rPr>
                <w:rFonts w:cs="Times New Roman"/>
                <w:sz w:val="21"/>
              </w:rPr>
            </w:pPr>
            <w:r>
              <w:rPr>
                <w:rFonts w:cs="Times New Roman"/>
                <w:sz w:val="21"/>
              </w:rPr>
              <w:t>0.00094</w:t>
            </w:r>
          </w:p>
        </w:tc>
        <w:tc>
          <w:tcPr>
            <w:tcW w:w="1123" w:type="pct"/>
            <w:tcBorders>
              <w:top w:val="single" w:color="auto" w:sz="4" w:space="0"/>
              <w:left w:val="nil"/>
              <w:bottom w:val="single" w:color="auto" w:sz="4" w:space="0"/>
              <w:right w:val="single" w:color="auto" w:sz="4" w:space="0"/>
            </w:tcBorders>
            <w:noWrap/>
            <w:vAlign w:val="center"/>
          </w:tcPr>
          <w:p w14:paraId="6D51FB04">
            <w:pPr>
              <w:spacing w:line="240" w:lineRule="auto"/>
              <w:ind w:firstLine="0" w:firstLineChars="0"/>
              <w:jc w:val="center"/>
              <w:rPr>
                <w:rFonts w:cs="Times New Roman"/>
                <w:sz w:val="21"/>
              </w:rPr>
            </w:pPr>
            <w:r>
              <w:rPr>
                <w:rFonts w:cs="Times New Roman"/>
                <w:sz w:val="21"/>
              </w:rPr>
              <w:t>0.00098</w:t>
            </w:r>
          </w:p>
        </w:tc>
        <w:tc>
          <w:tcPr>
            <w:tcW w:w="1124" w:type="pct"/>
            <w:tcBorders>
              <w:top w:val="single" w:color="auto" w:sz="4" w:space="0"/>
              <w:left w:val="nil"/>
              <w:bottom w:val="single" w:color="auto" w:sz="4" w:space="0"/>
              <w:right w:val="single" w:color="auto" w:sz="12" w:space="0"/>
            </w:tcBorders>
            <w:noWrap/>
            <w:vAlign w:val="center"/>
          </w:tcPr>
          <w:p w14:paraId="07281C78">
            <w:pPr>
              <w:spacing w:line="240" w:lineRule="auto"/>
              <w:ind w:firstLine="0" w:firstLineChars="0"/>
              <w:jc w:val="center"/>
              <w:rPr>
                <w:rFonts w:cs="Times New Roman"/>
                <w:sz w:val="21"/>
              </w:rPr>
            </w:pPr>
            <w:r>
              <w:rPr>
                <w:rFonts w:cs="Times New Roman"/>
                <w:sz w:val="21"/>
              </w:rPr>
              <w:t>0.00102</w:t>
            </w:r>
          </w:p>
        </w:tc>
      </w:tr>
      <w:tr w14:paraId="544A518B">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08AF3407">
            <w:pPr>
              <w:spacing w:line="240" w:lineRule="auto"/>
              <w:ind w:firstLine="0" w:firstLineChars="0"/>
              <w:jc w:val="center"/>
              <w:rPr>
                <w:rFonts w:cs="Times New Roman"/>
                <w:sz w:val="21"/>
              </w:rPr>
            </w:pPr>
            <w:r>
              <w:rPr>
                <w:rFonts w:cs="Times New Roman"/>
                <w:sz w:val="21"/>
              </w:rPr>
              <w:t>30</w:t>
            </w:r>
          </w:p>
        </w:tc>
        <w:tc>
          <w:tcPr>
            <w:tcW w:w="1124" w:type="pct"/>
            <w:tcBorders>
              <w:top w:val="single" w:color="auto" w:sz="4" w:space="0"/>
              <w:left w:val="nil"/>
              <w:bottom w:val="single" w:color="auto" w:sz="4" w:space="0"/>
              <w:right w:val="single" w:color="auto" w:sz="4" w:space="0"/>
            </w:tcBorders>
            <w:noWrap/>
            <w:vAlign w:val="center"/>
          </w:tcPr>
          <w:p w14:paraId="3717B02B">
            <w:pPr>
              <w:spacing w:line="240" w:lineRule="auto"/>
              <w:ind w:firstLine="0" w:firstLineChars="0"/>
              <w:jc w:val="center"/>
              <w:rPr>
                <w:rFonts w:cs="Times New Roman"/>
                <w:sz w:val="21"/>
              </w:rPr>
            </w:pPr>
            <w:r>
              <w:rPr>
                <w:rFonts w:cs="Times New Roman"/>
                <w:sz w:val="21"/>
              </w:rPr>
              <w:t>0.00255</w:t>
            </w:r>
          </w:p>
        </w:tc>
        <w:tc>
          <w:tcPr>
            <w:tcW w:w="1123" w:type="pct"/>
            <w:tcBorders>
              <w:top w:val="single" w:color="auto" w:sz="4" w:space="0"/>
              <w:left w:val="nil"/>
              <w:bottom w:val="single" w:color="auto" w:sz="4" w:space="0"/>
              <w:right w:val="single" w:color="auto" w:sz="4" w:space="0"/>
            </w:tcBorders>
            <w:noWrap/>
            <w:vAlign w:val="center"/>
          </w:tcPr>
          <w:p w14:paraId="70CCF1D1">
            <w:pPr>
              <w:spacing w:line="240" w:lineRule="auto"/>
              <w:ind w:firstLine="0" w:firstLineChars="0"/>
              <w:jc w:val="center"/>
              <w:rPr>
                <w:rFonts w:cs="Times New Roman"/>
                <w:sz w:val="21"/>
              </w:rPr>
            </w:pPr>
            <w:r>
              <w:rPr>
                <w:rFonts w:cs="Times New Roman"/>
                <w:sz w:val="21"/>
              </w:rPr>
              <w:t>0.00289</w:t>
            </w:r>
          </w:p>
        </w:tc>
        <w:tc>
          <w:tcPr>
            <w:tcW w:w="1123" w:type="pct"/>
            <w:tcBorders>
              <w:top w:val="single" w:color="auto" w:sz="4" w:space="0"/>
              <w:left w:val="nil"/>
              <w:bottom w:val="single" w:color="auto" w:sz="4" w:space="0"/>
              <w:right w:val="single" w:color="auto" w:sz="4" w:space="0"/>
            </w:tcBorders>
            <w:noWrap/>
            <w:vAlign w:val="center"/>
          </w:tcPr>
          <w:p w14:paraId="0404BF1D">
            <w:pPr>
              <w:spacing w:line="240" w:lineRule="auto"/>
              <w:ind w:firstLine="0" w:firstLineChars="0"/>
              <w:jc w:val="center"/>
              <w:rPr>
                <w:rFonts w:cs="Times New Roman"/>
                <w:sz w:val="21"/>
              </w:rPr>
            </w:pPr>
            <w:r>
              <w:rPr>
                <w:rFonts w:cs="Times New Roman"/>
                <w:sz w:val="21"/>
              </w:rPr>
              <w:t>0.00312</w:t>
            </w:r>
          </w:p>
        </w:tc>
        <w:tc>
          <w:tcPr>
            <w:tcW w:w="1124" w:type="pct"/>
            <w:tcBorders>
              <w:top w:val="single" w:color="auto" w:sz="4" w:space="0"/>
              <w:left w:val="nil"/>
              <w:bottom w:val="single" w:color="auto" w:sz="4" w:space="0"/>
              <w:right w:val="single" w:color="auto" w:sz="12" w:space="0"/>
            </w:tcBorders>
            <w:noWrap/>
            <w:vAlign w:val="center"/>
          </w:tcPr>
          <w:p w14:paraId="71B89F32">
            <w:pPr>
              <w:spacing w:line="240" w:lineRule="auto"/>
              <w:ind w:firstLine="0" w:firstLineChars="0"/>
              <w:jc w:val="center"/>
              <w:rPr>
                <w:rFonts w:cs="Times New Roman"/>
                <w:sz w:val="21"/>
              </w:rPr>
            </w:pPr>
            <w:r>
              <w:rPr>
                <w:rFonts w:cs="Times New Roman"/>
                <w:sz w:val="21"/>
              </w:rPr>
              <w:t>0.00342</w:t>
            </w:r>
          </w:p>
        </w:tc>
      </w:tr>
      <w:tr w14:paraId="610A86E2">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61CCB9E">
            <w:pPr>
              <w:spacing w:line="240" w:lineRule="auto"/>
              <w:ind w:firstLine="0" w:firstLineChars="0"/>
              <w:jc w:val="center"/>
              <w:rPr>
                <w:rFonts w:cs="Times New Roman"/>
                <w:sz w:val="21"/>
              </w:rPr>
            </w:pPr>
            <w:r>
              <w:rPr>
                <w:rFonts w:cs="Times New Roman"/>
                <w:sz w:val="21"/>
              </w:rPr>
              <w:t>50</w:t>
            </w:r>
          </w:p>
        </w:tc>
        <w:tc>
          <w:tcPr>
            <w:tcW w:w="1124" w:type="pct"/>
            <w:tcBorders>
              <w:top w:val="single" w:color="auto" w:sz="4" w:space="0"/>
              <w:left w:val="nil"/>
              <w:bottom w:val="single" w:color="auto" w:sz="4" w:space="0"/>
              <w:right w:val="single" w:color="auto" w:sz="4" w:space="0"/>
            </w:tcBorders>
            <w:noWrap/>
            <w:vAlign w:val="center"/>
          </w:tcPr>
          <w:p w14:paraId="092F0232">
            <w:pPr>
              <w:spacing w:line="240" w:lineRule="auto"/>
              <w:ind w:firstLine="0" w:firstLineChars="0"/>
              <w:jc w:val="center"/>
              <w:rPr>
                <w:rFonts w:cs="Times New Roman"/>
                <w:sz w:val="21"/>
              </w:rPr>
            </w:pPr>
            <w:r>
              <w:rPr>
                <w:rFonts w:cs="Times New Roman"/>
                <w:sz w:val="21"/>
              </w:rPr>
              <w:t>0.00398</w:t>
            </w:r>
          </w:p>
        </w:tc>
        <w:tc>
          <w:tcPr>
            <w:tcW w:w="1123" w:type="pct"/>
            <w:tcBorders>
              <w:top w:val="single" w:color="auto" w:sz="4" w:space="0"/>
              <w:left w:val="nil"/>
              <w:bottom w:val="single" w:color="auto" w:sz="4" w:space="0"/>
              <w:right w:val="single" w:color="auto" w:sz="4" w:space="0"/>
            </w:tcBorders>
            <w:noWrap/>
            <w:vAlign w:val="center"/>
          </w:tcPr>
          <w:p w14:paraId="5949615F">
            <w:pPr>
              <w:spacing w:line="240" w:lineRule="auto"/>
              <w:ind w:firstLine="0" w:firstLineChars="0"/>
              <w:jc w:val="center"/>
              <w:rPr>
                <w:rFonts w:cs="Times New Roman"/>
                <w:sz w:val="21"/>
              </w:rPr>
            </w:pPr>
            <w:r>
              <w:rPr>
                <w:rFonts w:cs="Times New Roman"/>
                <w:sz w:val="21"/>
              </w:rPr>
              <w:t>0.00469</w:t>
            </w:r>
          </w:p>
        </w:tc>
        <w:tc>
          <w:tcPr>
            <w:tcW w:w="1123" w:type="pct"/>
            <w:tcBorders>
              <w:top w:val="single" w:color="auto" w:sz="4" w:space="0"/>
              <w:left w:val="nil"/>
              <w:bottom w:val="single" w:color="auto" w:sz="4" w:space="0"/>
              <w:right w:val="single" w:color="auto" w:sz="4" w:space="0"/>
            </w:tcBorders>
            <w:noWrap/>
            <w:vAlign w:val="center"/>
          </w:tcPr>
          <w:p w14:paraId="5D4E1CF8">
            <w:pPr>
              <w:spacing w:line="240" w:lineRule="auto"/>
              <w:ind w:firstLine="0" w:firstLineChars="0"/>
              <w:jc w:val="center"/>
              <w:rPr>
                <w:rFonts w:cs="Times New Roman"/>
                <w:sz w:val="21"/>
              </w:rPr>
            </w:pPr>
            <w:r>
              <w:rPr>
                <w:rFonts w:cs="Times New Roman"/>
                <w:sz w:val="21"/>
              </w:rPr>
              <w:t>0.00520</w:t>
            </w:r>
          </w:p>
        </w:tc>
        <w:tc>
          <w:tcPr>
            <w:tcW w:w="1124" w:type="pct"/>
            <w:tcBorders>
              <w:top w:val="single" w:color="auto" w:sz="4" w:space="0"/>
              <w:left w:val="nil"/>
              <w:bottom w:val="single" w:color="auto" w:sz="4" w:space="0"/>
              <w:right w:val="single" w:color="auto" w:sz="12" w:space="0"/>
            </w:tcBorders>
            <w:noWrap/>
            <w:vAlign w:val="center"/>
          </w:tcPr>
          <w:p w14:paraId="7D4F4396">
            <w:pPr>
              <w:spacing w:line="240" w:lineRule="auto"/>
              <w:ind w:firstLine="0" w:firstLineChars="0"/>
              <w:jc w:val="center"/>
              <w:rPr>
                <w:rFonts w:cs="Times New Roman"/>
                <w:sz w:val="21"/>
              </w:rPr>
            </w:pPr>
            <w:r>
              <w:rPr>
                <w:rFonts w:cs="Times New Roman"/>
                <w:sz w:val="21"/>
              </w:rPr>
              <w:t>0.00587</w:t>
            </w:r>
          </w:p>
        </w:tc>
      </w:tr>
      <w:tr w14:paraId="639936A7">
        <w:tblPrEx>
          <w:tblCellMar>
            <w:top w:w="0" w:type="dxa"/>
            <w:left w:w="108" w:type="dxa"/>
            <w:bottom w:w="0" w:type="dxa"/>
            <w:right w:w="108" w:type="dxa"/>
          </w:tblCellMar>
        </w:tblPrEx>
        <w:trPr>
          <w:trHeight w:val="397" w:hRule="atLeast"/>
        </w:trPr>
        <w:tc>
          <w:tcPr>
            <w:tcW w:w="506" w:type="pct"/>
            <w:tcBorders>
              <w:top w:val="nil"/>
              <w:left w:val="single" w:color="auto" w:sz="12" w:space="0"/>
              <w:bottom w:val="single" w:color="auto" w:sz="4" w:space="0"/>
              <w:right w:val="single" w:color="auto" w:sz="4" w:space="0"/>
            </w:tcBorders>
            <w:noWrap/>
            <w:vAlign w:val="center"/>
          </w:tcPr>
          <w:p w14:paraId="6FD36C86">
            <w:pPr>
              <w:spacing w:line="240" w:lineRule="auto"/>
              <w:ind w:firstLine="0" w:firstLineChars="0"/>
              <w:jc w:val="center"/>
              <w:rPr>
                <w:rFonts w:cs="Times New Roman"/>
                <w:sz w:val="21"/>
              </w:rPr>
            </w:pPr>
            <w:r>
              <w:rPr>
                <w:rFonts w:cs="Times New Roman"/>
                <w:sz w:val="21"/>
              </w:rPr>
              <w:t>100</w:t>
            </w:r>
          </w:p>
        </w:tc>
        <w:tc>
          <w:tcPr>
            <w:tcW w:w="1124" w:type="pct"/>
            <w:tcBorders>
              <w:top w:val="single" w:color="auto" w:sz="4" w:space="0"/>
              <w:left w:val="nil"/>
              <w:bottom w:val="single" w:color="auto" w:sz="4" w:space="0"/>
              <w:right w:val="single" w:color="auto" w:sz="4" w:space="0"/>
            </w:tcBorders>
            <w:noWrap/>
            <w:vAlign w:val="center"/>
          </w:tcPr>
          <w:p w14:paraId="4C7B6682">
            <w:pPr>
              <w:spacing w:line="240" w:lineRule="auto"/>
              <w:ind w:firstLine="0" w:firstLineChars="0"/>
              <w:jc w:val="center"/>
              <w:rPr>
                <w:rFonts w:cs="Times New Roman"/>
                <w:sz w:val="21"/>
              </w:rPr>
            </w:pPr>
            <w:r>
              <w:rPr>
                <w:rFonts w:cs="Times New Roman"/>
                <w:sz w:val="21"/>
              </w:rPr>
              <w:t>0.00487</w:t>
            </w:r>
          </w:p>
        </w:tc>
        <w:tc>
          <w:tcPr>
            <w:tcW w:w="1123" w:type="pct"/>
            <w:tcBorders>
              <w:top w:val="single" w:color="auto" w:sz="4" w:space="0"/>
              <w:left w:val="nil"/>
              <w:bottom w:val="single" w:color="auto" w:sz="4" w:space="0"/>
              <w:right w:val="single" w:color="auto" w:sz="4" w:space="0"/>
            </w:tcBorders>
            <w:noWrap/>
            <w:vAlign w:val="center"/>
          </w:tcPr>
          <w:p w14:paraId="3D685EAA">
            <w:pPr>
              <w:spacing w:line="240" w:lineRule="auto"/>
              <w:ind w:firstLine="0" w:firstLineChars="0"/>
              <w:jc w:val="center"/>
              <w:rPr>
                <w:rFonts w:cs="Times New Roman"/>
                <w:sz w:val="21"/>
              </w:rPr>
            </w:pPr>
            <w:r>
              <w:rPr>
                <w:rFonts w:cs="Times New Roman"/>
                <w:sz w:val="21"/>
              </w:rPr>
              <w:t>0.00630</w:t>
            </w:r>
          </w:p>
        </w:tc>
        <w:tc>
          <w:tcPr>
            <w:tcW w:w="1123" w:type="pct"/>
            <w:tcBorders>
              <w:top w:val="single" w:color="auto" w:sz="4" w:space="0"/>
              <w:left w:val="nil"/>
              <w:bottom w:val="single" w:color="auto" w:sz="4" w:space="0"/>
              <w:right w:val="single" w:color="auto" w:sz="4" w:space="0"/>
            </w:tcBorders>
            <w:noWrap/>
            <w:vAlign w:val="center"/>
          </w:tcPr>
          <w:p w14:paraId="5C831FE6">
            <w:pPr>
              <w:spacing w:line="240" w:lineRule="auto"/>
              <w:ind w:firstLine="0" w:firstLineChars="0"/>
              <w:jc w:val="center"/>
              <w:rPr>
                <w:rFonts w:cs="Times New Roman"/>
                <w:sz w:val="21"/>
              </w:rPr>
            </w:pPr>
            <w:r>
              <w:rPr>
                <w:rFonts w:cs="Times New Roman"/>
                <w:sz w:val="21"/>
              </w:rPr>
              <w:t>0.00744</w:t>
            </w:r>
          </w:p>
        </w:tc>
        <w:tc>
          <w:tcPr>
            <w:tcW w:w="1124" w:type="pct"/>
            <w:tcBorders>
              <w:top w:val="single" w:color="auto" w:sz="4" w:space="0"/>
              <w:left w:val="nil"/>
              <w:bottom w:val="single" w:color="auto" w:sz="4" w:space="0"/>
              <w:right w:val="single" w:color="auto" w:sz="12" w:space="0"/>
            </w:tcBorders>
            <w:noWrap/>
            <w:vAlign w:val="center"/>
          </w:tcPr>
          <w:p w14:paraId="56E4930B">
            <w:pPr>
              <w:spacing w:line="240" w:lineRule="auto"/>
              <w:ind w:firstLine="0" w:firstLineChars="0"/>
              <w:jc w:val="center"/>
              <w:rPr>
                <w:rFonts w:cs="Times New Roman"/>
                <w:sz w:val="21"/>
              </w:rPr>
            </w:pPr>
            <w:r>
              <w:rPr>
                <w:rFonts w:cs="Times New Roman"/>
                <w:sz w:val="21"/>
              </w:rPr>
              <w:t>0.00908</w:t>
            </w:r>
          </w:p>
        </w:tc>
      </w:tr>
      <w:tr w14:paraId="57E231EC">
        <w:tblPrEx>
          <w:tblCellMar>
            <w:top w:w="0" w:type="dxa"/>
            <w:left w:w="108" w:type="dxa"/>
            <w:bottom w:w="0" w:type="dxa"/>
            <w:right w:w="108" w:type="dxa"/>
          </w:tblCellMar>
        </w:tblPrEx>
        <w:trPr>
          <w:trHeight w:val="397" w:hRule="atLeast"/>
        </w:trPr>
        <w:tc>
          <w:tcPr>
            <w:tcW w:w="506" w:type="pct"/>
            <w:tcBorders>
              <w:top w:val="single" w:color="auto" w:sz="4" w:space="0"/>
              <w:left w:val="single" w:color="auto" w:sz="12" w:space="0"/>
              <w:bottom w:val="single" w:color="auto" w:sz="4" w:space="0"/>
              <w:right w:val="single" w:color="auto" w:sz="4" w:space="0"/>
            </w:tcBorders>
            <w:noWrap/>
            <w:vAlign w:val="center"/>
          </w:tcPr>
          <w:p w14:paraId="37380EC8">
            <w:pPr>
              <w:spacing w:line="240" w:lineRule="auto"/>
              <w:ind w:firstLine="0" w:firstLineChars="0"/>
              <w:jc w:val="center"/>
              <w:rPr>
                <w:rFonts w:cs="Times New Roman"/>
                <w:sz w:val="21"/>
              </w:rPr>
            </w:pPr>
            <w:r>
              <w:rPr>
                <w:rFonts w:cs="Times New Roman"/>
                <w:sz w:val="21"/>
              </w:rPr>
              <w:t>200</w:t>
            </w:r>
          </w:p>
        </w:tc>
        <w:tc>
          <w:tcPr>
            <w:tcW w:w="1124" w:type="pct"/>
            <w:tcBorders>
              <w:top w:val="single" w:color="auto" w:sz="4" w:space="0"/>
              <w:left w:val="nil"/>
              <w:bottom w:val="single" w:color="auto" w:sz="12" w:space="0"/>
              <w:right w:val="single" w:color="auto" w:sz="4" w:space="0"/>
            </w:tcBorders>
            <w:noWrap/>
            <w:vAlign w:val="center"/>
          </w:tcPr>
          <w:p w14:paraId="5DA8F831">
            <w:pPr>
              <w:spacing w:line="240" w:lineRule="auto"/>
              <w:ind w:firstLine="0" w:firstLineChars="0"/>
              <w:jc w:val="center"/>
              <w:rPr>
                <w:rFonts w:cs="Times New Roman"/>
                <w:sz w:val="21"/>
              </w:rPr>
            </w:pPr>
            <w:r>
              <w:rPr>
                <w:rFonts w:cs="Times New Roman"/>
                <w:sz w:val="21"/>
              </w:rPr>
              <w:t>0.00014</w:t>
            </w:r>
          </w:p>
        </w:tc>
        <w:tc>
          <w:tcPr>
            <w:tcW w:w="1123" w:type="pct"/>
            <w:tcBorders>
              <w:top w:val="single" w:color="auto" w:sz="4" w:space="0"/>
              <w:left w:val="nil"/>
              <w:bottom w:val="single" w:color="auto" w:sz="12" w:space="0"/>
              <w:right w:val="single" w:color="auto" w:sz="4" w:space="0"/>
            </w:tcBorders>
            <w:noWrap/>
            <w:vAlign w:val="center"/>
          </w:tcPr>
          <w:p w14:paraId="665AA241">
            <w:pPr>
              <w:spacing w:line="240" w:lineRule="auto"/>
              <w:ind w:firstLine="0" w:firstLineChars="0"/>
              <w:jc w:val="center"/>
              <w:rPr>
                <w:rFonts w:cs="Times New Roman"/>
                <w:sz w:val="21"/>
              </w:rPr>
            </w:pPr>
            <w:r>
              <w:rPr>
                <w:rFonts w:cs="Times New Roman"/>
                <w:sz w:val="21"/>
              </w:rPr>
              <w:t>0.00022</w:t>
            </w:r>
          </w:p>
        </w:tc>
        <w:tc>
          <w:tcPr>
            <w:tcW w:w="1123" w:type="pct"/>
            <w:tcBorders>
              <w:top w:val="single" w:color="auto" w:sz="4" w:space="0"/>
              <w:left w:val="nil"/>
              <w:bottom w:val="single" w:color="auto" w:sz="12" w:space="0"/>
              <w:right w:val="single" w:color="auto" w:sz="4" w:space="0"/>
            </w:tcBorders>
            <w:noWrap/>
            <w:vAlign w:val="center"/>
          </w:tcPr>
          <w:p w14:paraId="2B694488">
            <w:pPr>
              <w:spacing w:line="240" w:lineRule="auto"/>
              <w:ind w:firstLine="0" w:firstLineChars="0"/>
              <w:jc w:val="center"/>
              <w:rPr>
                <w:rFonts w:cs="Times New Roman"/>
                <w:sz w:val="21"/>
              </w:rPr>
            </w:pPr>
            <w:r>
              <w:rPr>
                <w:rFonts w:cs="Times New Roman"/>
                <w:sz w:val="21"/>
              </w:rPr>
              <w:t>0.00030</w:t>
            </w:r>
          </w:p>
        </w:tc>
        <w:tc>
          <w:tcPr>
            <w:tcW w:w="1124" w:type="pct"/>
            <w:tcBorders>
              <w:top w:val="single" w:color="auto" w:sz="4" w:space="0"/>
              <w:left w:val="nil"/>
              <w:bottom w:val="single" w:color="auto" w:sz="12" w:space="0"/>
              <w:right w:val="single" w:color="auto" w:sz="12" w:space="0"/>
            </w:tcBorders>
            <w:noWrap/>
            <w:vAlign w:val="center"/>
          </w:tcPr>
          <w:p w14:paraId="3A358F6A">
            <w:pPr>
              <w:spacing w:line="240" w:lineRule="auto"/>
              <w:ind w:firstLine="0" w:firstLineChars="0"/>
              <w:jc w:val="center"/>
              <w:rPr>
                <w:rFonts w:cs="Times New Roman"/>
                <w:sz w:val="21"/>
              </w:rPr>
            </w:pPr>
            <w:r>
              <w:rPr>
                <w:rFonts w:cs="Times New Roman"/>
                <w:sz w:val="21"/>
              </w:rPr>
              <w:t>0.00043</w:t>
            </w:r>
          </w:p>
        </w:tc>
      </w:tr>
    </w:tbl>
    <w:p w14:paraId="00DBED4D">
      <w:pPr>
        <w:ind w:firstLine="519"/>
        <w:rPr>
          <w:rFonts w:cs="Times New Roman"/>
        </w:rPr>
      </w:pPr>
      <w:bookmarkStart w:id="709" w:name="_Hlk116580117"/>
      <w:r>
        <w:rPr>
          <w:rFonts w:cs="Times New Roman"/>
        </w:rPr>
        <w:t>（5）预测结果</w:t>
      </w:r>
      <w:r>
        <w:rPr>
          <w:rFonts w:hint="eastAsia" w:cs="Times New Roman"/>
        </w:rPr>
        <w:t>及分析</w:t>
      </w:r>
    </w:p>
    <w:bookmarkEnd w:id="709"/>
    <w:p w14:paraId="425C0EBA">
      <w:pPr>
        <w:pStyle w:val="2"/>
        <w:ind w:firstLine="519"/>
        <w:rPr>
          <w:rFonts w:cs="Times New Roman"/>
        </w:rPr>
      </w:pPr>
      <w:bookmarkStart w:id="710" w:name="_Hlk116572744"/>
      <w:r>
        <w:rPr>
          <w:rFonts w:hint="eastAsia" w:cs="Times New Roman"/>
        </w:rPr>
        <w:t>对于采卤场卤水池泄漏事故：</w:t>
      </w:r>
    </w:p>
    <w:p w14:paraId="677111AD">
      <w:pPr>
        <w:pStyle w:val="2"/>
        <w:ind w:firstLine="519"/>
        <w:rPr>
          <w:rFonts w:cs="Times New Roman"/>
        </w:rPr>
      </w:pPr>
      <w:r>
        <w:rPr>
          <w:rFonts w:cs="Times New Roman"/>
        </w:rPr>
        <w:t>由表5.2-3可知，100d时，氯化物预测最大浓度为3085.3mg/L，污染物沿X方向超标距离28m。</w:t>
      </w:r>
      <w:bookmarkStart w:id="711" w:name="_Hlk89779583"/>
      <w:r>
        <w:rPr>
          <w:rFonts w:cs="Times New Roman"/>
        </w:rPr>
        <w:t>500d时，</w:t>
      </w:r>
      <w:bookmarkStart w:id="712" w:name="_Hlk89779396"/>
      <w:r>
        <w:rPr>
          <w:rFonts w:cs="Times New Roman"/>
        </w:rPr>
        <w:t>氯化物</w:t>
      </w:r>
      <w:bookmarkEnd w:id="712"/>
      <w:r>
        <w:rPr>
          <w:rFonts w:cs="Times New Roman"/>
        </w:rPr>
        <w:t>预测最大浓度为513mg/L，</w:t>
      </w:r>
      <w:bookmarkEnd w:id="711"/>
      <w:r>
        <w:rPr>
          <w:rFonts w:cs="Times New Roman"/>
        </w:rPr>
        <w:t>污染物沿X方向超标距离40m。1000d时，氯化物预测最大浓度为126mg/L</w:t>
      </w:r>
      <w:bookmarkStart w:id="713" w:name="_Hlk89779577"/>
      <w:r>
        <w:rPr>
          <w:rFonts w:cs="Times New Roman"/>
        </w:rPr>
        <w:t>，污染物不超标</w:t>
      </w:r>
      <w:bookmarkEnd w:id="713"/>
      <w:r>
        <w:rPr>
          <w:rFonts w:cs="Times New Roman"/>
        </w:rPr>
        <w:t>。3650d时，氯化物预测最大浓度为0.46mg/L，污染物不超标。</w:t>
      </w:r>
    </w:p>
    <w:p w14:paraId="7F7FBFD9">
      <w:pPr>
        <w:pStyle w:val="2"/>
        <w:ind w:firstLine="519"/>
        <w:rPr>
          <w:rFonts w:cs="Times New Roman"/>
        </w:rPr>
      </w:pPr>
      <w:r>
        <w:rPr>
          <w:rFonts w:cs="Times New Roman"/>
        </w:rPr>
        <w:t>由表5.2-4可知，100d时，硫酸盐预测最大浓度为202.14mg/L，</w:t>
      </w:r>
      <w:bookmarkStart w:id="714" w:name="_Hlk89779628"/>
      <w:r>
        <w:rPr>
          <w:rFonts w:cs="Times New Roman"/>
        </w:rPr>
        <w:t>污染物不超标</w:t>
      </w:r>
      <w:bookmarkEnd w:id="714"/>
      <w:r>
        <w:rPr>
          <w:rFonts w:cs="Times New Roman"/>
        </w:rPr>
        <w:t>。500d时，硫酸盐预测最大浓度为29.7mg/L，污染物不超标。</w:t>
      </w:r>
      <w:r>
        <w:rPr>
          <w:rFonts w:hint="eastAsia" w:cs="Times New Roman"/>
        </w:rPr>
        <w:t xml:space="preserve"> </w:t>
      </w:r>
      <w:r>
        <w:rPr>
          <w:rFonts w:cs="Times New Roman"/>
        </w:rPr>
        <w:t xml:space="preserve"> 1000d时，硫酸盐预测最大浓度为8.23mg/L，污染物不超标。3650d时，硫酸盐预测最大浓度为0.03mg/L，污染物不超标。</w:t>
      </w:r>
    </w:p>
    <w:bookmarkEnd w:id="710"/>
    <w:p w14:paraId="7AE21ECC">
      <w:pPr>
        <w:pStyle w:val="2"/>
        <w:ind w:firstLine="519"/>
        <w:rPr>
          <w:rFonts w:cs="Times New Roman"/>
        </w:rPr>
      </w:pPr>
      <w:bookmarkStart w:id="715" w:name="_Hlk116888289"/>
      <w:bookmarkStart w:id="716" w:name="_Hlk116572921"/>
      <w:r>
        <w:rPr>
          <w:rFonts w:hint="eastAsia" w:cs="Times New Roman"/>
        </w:rPr>
        <w:t>对于输卤管线卤水泄漏事故</w:t>
      </w:r>
      <w:bookmarkEnd w:id="715"/>
      <w:r>
        <w:rPr>
          <w:rFonts w:hint="eastAsia" w:cs="Times New Roman"/>
        </w:rPr>
        <w:t>：</w:t>
      </w:r>
    </w:p>
    <w:p w14:paraId="03CE2084">
      <w:pPr>
        <w:pStyle w:val="2"/>
        <w:ind w:firstLine="519"/>
        <w:rPr>
          <w:rFonts w:cs="Times New Roman"/>
        </w:rPr>
      </w:pPr>
      <w:r>
        <w:rPr>
          <w:rFonts w:cs="Times New Roman"/>
        </w:rPr>
        <w:t>由表5.2-5可知，</w:t>
      </w:r>
      <w:bookmarkStart w:id="717" w:name="_Hlk116888299"/>
      <w:r>
        <w:rPr>
          <w:rFonts w:cs="Times New Roman"/>
        </w:rPr>
        <w:t>100d时，氯化物预测最大浓度为2574.64mg/L，污染物沿X方向超标距离27.3m。500d时，氯化物预测最大浓度为428.49mg/L，污染物沿X方向超标距离37.9m。1000d时，氯化物预测最大浓度为</w:t>
      </w:r>
      <w:r>
        <w:rPr>
          <w:rFonts w:hint="eastAsia" w:cs="Times New Roman"/>
        </w:rPr>
        <w:t xml:space="preserve"> </w:t>
      </w:r>
      <w:r>
        <w:rPr>
          <w:rFonts w:cs="Times New Roman"/>
        </w:rPr>
        <w:t xml:space="preserve"> 104.81mg/L，污染物不超标。3650d时，氯化物预测最大浓度为0.316mg/L，污染物不超标。</w:t>
      </w:r>
      <w:bookmarkEnd w:id="717"/>
    </w:p>
    <w:p w14:paraId="2E256129">
      <w:pPr>
        <w:pStyle w:val="2"/>
        <w:ind w:firstLine="519"/>
        <w:rPr>
          <w:rFonts w:cs="Times New Roman"/>
        </w:rPr>
      </w:pPr>
      <w:r>
        <w:rPr>
          <w:rFonts w:cs="Times New Roman"/>
        </w:rPr>
        <w:t>由表5.2-6可知，100d时，硫酸盐预测最大浓度为138.31mg/L，污染物不超标。500d时，硫酸盐预测最大浓度为20.3mg/L，污染物不超标。1000d时，硫酸盐预测最大浓度为5.63mg/L，污染物不超标。3650d时，硫酸盐预测最大浓度为0.021mg/L，污染物不超标。</w:t>
      </w:r>
    </w:p>
    <w:bookmarkEnd w:id="716"/>
    <w:p w14:paraId="7A9710E9">
      <w:pPr>
        <w:pStyle w:val="2"/>
        <w:ind w:firstLine="519"/>
        <w:rPr>
          <w:rFonts w:cs="Times New Roman"/>
        </w:rPr>
      </w:pPr>
      <w:bookmarkStart w:id="718" w:name="_Hlk116888338"/>
      <w:r>
        <w:rPr>
          <w:rFonts w:hint="eastAsia" w:cs="Times New Roman"/>
        </w:rPr>
        <w:t>对于</w:t>
      </w:r>
      <w:bookmarkStart w:id="719" w:name="_Hlk116580448"/>
      <w:r>
        <w:rPr>
          <w:rFonts w:hint="eastAsia" w:cs="Times New Roman"/>
        </w:rPr>
        <w:t>采卤井卤水泄漏</w:t>
      </w:r>
      <w:bookmarkEnd w:id="719"/>
      <w:r>
        <w:rPr>
          <w:rFonts w:hint="eastAsia" w:cs="Times New Roman"/>
        </w:rPr>
        <w:t>事故：</w:t>
      </w:r>
    </w:p>
    <w:bookmarkEnd w:id="718"/>
    <w:p w14:paraId="78797124">
      <w:pPr>
        <w:pStyle w:val="2"/>
        <w:ind w:firstLine="519"/>
        <w:rPr>
          <w:rFonts w:cs="Times New Roman"/>
        </w:rPr>
      </w:pPr>
      <w:r>
        <w:rPr>
          <w:rFonts w:cs="Times New Roman"/>
        </w:rPr>
        <w:t>由表5.2-7可知，</w:t>
      </w:r>
      <w:bookmarkStart w:id="720" w:name="_Hlk116888349"/>
      <w:r>
        <w:rPr>
          <w:rFonts w:cs="Times New Roman"/>
        </w:rPr>
        <w:t>100d时，氯化物预测最大浓度为925.59mg/L，污染物沿X方向超标距离23.5m。500d时，氯化物预测最大浓度为154.04mg/L，</w:t>
      </w:r>
      <w:r>
        <w:rPr>
          <w:rFonts w:hint="eastAsia" w:cs="Times New Roman"/>
        </w:rPr>
        <w:t>污染物不超标</w:t>
      </w:r>
      <w:r>
        <w:rPr>
          <w:rFonts w:cs="Times New Roman"/>
        </w:rPr>
        <w:t>。1000d时，氯化物预测最大浓度为37.7mg/L，</w:t>
      </w:r>
      <w:bookmarkStart w:id="721" w:name="_Hlk116572959"/>
      <w:r>
        <w:rPr>
          <w:rFonts w:cs="Times New Roman"/>
        </w:rPr>
        <w:t>污染物不超标</w:t>
      </w:r>
      <w:bookmarkEnd w:id="721"/>
      <w:r>
        <w:rPr>
          <w:rFonts w:cs="Times New Roman"/>
        </w:rPr>
        <w:t>。3650d时，氯化物预测最大浓度为0.11mg/L，污染物不超标。</w:t>
      </w:r>
      <w:bookmarkEnd w:id="720"/>
    </w:p>
    <w:p w14:paraId="04B375BE">
      <w:pPr>
        <w:pStyle w:val="2"/>
        <w:ind w:firstLine="519"/>
        <w:rPr>
          <w:rFonts w:cs="Times New Roman"/>
        </w:rPr>
      </w:pPr>
      <w:r>
        <w:rPr>
          <w:rFonts w:cs="Times New Roman"/>
        </w:rPr>
        <w:t>由表5.2-8可知，100d时，硫酸盐预测最大浓度为60.6mg/L，污染物不超标。500d时，硫酸盐预测最大浓度为8.91mg/L，污染物不超标。1000d时，硫酸盐预测最大浓度为2.47mg/L，污染物不超标。3650d时，硫酸盐预测最大浓度为0.009mg/L，污染物不超标。</w:t>
      </w:r>
    </w:p>
    <w:p w14:paraId="7B46B017">
      <w:pPr>
        <w:pStyle w:val="3"/>
        <w:ind w:firstLine="519"/>
        <w:rPr>
          <w:rFonts w:cs="Times New Roman"/>
        </w:rPr>
      </w:pPr>
      <w:r>
        <w:rPr>
          <w:rFonts w:cs="Times New Roman"/>
        </w:rPr>
        <w:t>从预测结果可以看出：</w:t>
      </w:r>
      <w:r>
        <w:rPr>
          <w:rFonts w:hint="eastAsia" w:cs="Times New Roman"/>
        </w:rPr>
        <w:t>项目卤水泄漏后，会形成污染晕向四周扩散，</w:t>
      </w:r>
      <w:r>
        <w:rPr>
          <w:rFonts w:cs="Times New Roman"/>
        </w:rPr>
        <w:t>泄漏点附近地下水氯化物局部超标，</w:t>
      </w:r>
      <w:bookmarkStart w:id="722" w:name="_Hlk116580237"/>
      <w:bookmarkStart w:id="723" w:name="_Hlk116580472"/>
      <w:r>
        <w:rPr>
          <w:rFonts w:cs="Times New Roman"/>
        </w:rPr>
        <w:t>超标距离在泄漏点40m</w:t>
      </w:r>
      <w:r>
        <w:rPr>
          <w:rFonts w:hint="eastAsia" w:cs="Times New Roman"/>
        </w:rPr>
        <w:t>范围</w:t>
      </w:r>
      <w:r>
        <w:rPr>
          <w:rFonts w:cs="Times New Roman"/>
        </w:rPr>
        <w:t>内</w:t>
      </w:r>
      <w:bookmarkEnd w:id="722"/>
      <w:r>
        <w:rPr>
          <w:rFonts w:cs="Times New Roman"/>
        </w:rPr>
        <w:t>，</w:t>
      </w:r>
      <w:bookmarkEnd w:id="723"/>
      <w:bookmarkStart w:id="724" w:name="_Hlk116888402"/>
      <w:r>
        <w:rPr>
          <w:rFonts w:hint="eastAsia" w:cs="Times New Roman"/>
        </w:rPr>
        <w:t>基本可以控制在矿区范围内。</w:t>
      </w:r>
      <w:bookmarkEnd w:id="724"/>
      <w:r>
        <w:rPr>
          <w:rFonts w:hint="eastAsia" w:cs="Times New Roman"/>
        </w:rPr>
        <w:t>矿山生产生活用水自湘江抽取，园区地下水不作为生活</w:t>
      </w:r>
      <w:bookmarkStart w:id="725" w:name="_Hlk117587553"/>
      <w:r>
        <w:rPr>
          <w:rFonts w:hint="eastAsia" w:cs="Times New Roman"/>
        </w:rPr>
        <w:t>饮</w:t>
      </w:r>
      <w:bookmarkEnd w:id="725"/>
      <w:r>
        <w:rPr>
          <w:rFonts w:hint="eastAsia" w:cs="Times New Roman"/>
        </w:rPr>
        <w:t>用水。项目矿山开采过程中，卤水泄漏对区域居民的饮水情况影响较小。</w:t>
      </w:r>
    </w:p>
    <w:p w14:paraId="53157A9D">
      <w:pPr>
        <w:ind w:firstLine="519"/>
        <w:rPr>
          <w:rFonts w:cs="Times New Roman"/>
        </w:rPr>
      </w:pPr>
      <w:r>
        <w:rPr>
          <w:rFonts w:cs="Times New Roman"/>
        </w:rPr>
        <w:t>当发现非正常泄漏时，应迅速控制或切断排放源，对泄露物质进行封闭、截流，使污染地下水扩散得到有效抑制，最大限度地保护下游地下水水质安全，将损失降到最低限度。</w:t>
      </w:r>
    </w:p>
    <w:p w14:paraId="5F37C4FC">
      <w:pPr>
        <w:pStyle w:val="2"/>
        <w:ind w:firstLine="519"/>
        <w:rPr>
          <w:rFonts w:cs="Times New Roman"/>
        </w:rPr>
      </w:pPr>
      <w:r>
        <w:rPr>
          <w:rFonts w:cs="Times New Roman"/>
        </w:rPr>
        <w:t>综上所述，采取控制措施后，项目对地下水环境的影响可接受。</w:t>
      </w:r>
    </w:p>
    <w:bookmarkEnd w:id="682"/>
    <w:p w14:paraId="2DD35F9B">
      <w:pPr>
        <w:pStyle w:val="7"/>
      </w:pPr>
      <w:bookmarkStart w:id="726" w:name="_Toc89882512"/>
      <w:bookmarkStart w:id="727" w:name="_Toc90318471"/>
      <w:bookmarkStart w:id="728" w:name="_Toc121420866"/>
      <w:bookmarkStart w:id="729" w:name="_Toc90989294"/>
      <w:bookmarkStart w:id="730" w:name="_Toc90997709"/>
      <w:bookmarkStart w:id="731" w:name="_Toc89786192"/>
      <w:r>
        <w:t>5.2.7 服务期满后环境影响分析</w:t>
      </w:r>
      <w:bookmarkEnd w:id="726"/>
      <w:bookmarkEnd w:id="727"/>
      <w:bookmarkEnd w:id="728"/>
      <w:bookmarkEnd w:id="729"/>
      <w:bookmarkEnd w:id="730"/>
      <w:bookmarkEnd w:id="731"/>
    </w:p>
    <w:p w14:paraId="563435E2">
      <w:pPr>
        <w:ind w:firstLine="519"/>
        <w:rPr>
          <w:rFonts w:cs="Times New Roman"/>
        </w:rPr>
      </w:pPr>
      <w:r>
        <w:rPr>
          <w:rFonts w:cs="Times New Roman"/>
        </w:rPr>
        <w:t>本项目开采在其服务年限期满，矿井关闭后面临问题为采空区的沉陷，不过由于开采深度较深，开采面积较小，项目盐井开采结束后，矿体地表面塌陷的可能性很小。此外，废弃的场地和道路等若不采取有效的土地复垦措施，表面无表土植被覆盖，会产生水土流失，且破坏自然景观，对生态、地表水及地下水造成不良影响，由于不再有人为干扰因素，这种影响的强度和范围均有限。</w:t>
      </w:r>
    </w:p>
    <w:p w14:paraId="23AE7BA4">
      <w:pPr>
        <w:pStyle w:val="2"/>
        <w:ind w:firstLine="519"/>
        <w:rPr>
          <w:rFonts w:cs="Times New Roman"/>
        </w:rPr>
      </w:pPr>
      <w:r>
        <w:rPr>
          <w:rFonts w:cs="Times New Roman"/>
        </w:rPr>
        <w:t>本项目应科学合理的设计开拓采掘方案，开采过程中采取矿体分段开采方式，避免大面积剥离。在工程建设期合理调配土方、充分利用场地地形，减少开挖量。</w:t>
      </w:r>
      <w:bookmarkStart w:id="732" w:name="_Hlk89642136"/>
      <w:r>
        <w:rPr>
          <w:rFonts w:cs="Times New Roman"/>
        </w:rPr>
        <w:t>按照</w:t>
      </w:r>
      <w:bookmarkStart w:id="733" w:name="_Hlk89450547"/>
      <w:r>
        <w:rPr>
          <w:rFonts w:cs="Times New Roman"/>
        </w:rPr>
        <w:t>《地质环境保护与恢复治理（含土地复垦）方案》</w:t>
      </w:r>
      <w:bookmarkEnd w:id="732"/>
      <w:bookmarkEnd w:id="733"/>
      <w:r>
        <w:rPr>
          <w:rFonts w:cs="Times New Roman"/>
        </w:rPr>
        <w:t>进行生态防治与恢复，及时回填。根据</w:t>
      </w:r>
      <w:bookmarkStart w:id="734" w:name="_Hlk89450652"/>
      <w:r>
        <w:rPr>
          <w:rFonts w:cs="Times New Roman"/>
        </w:rPr>
        <w:t>《地质环境保护与恢复治理（含土地复垦）方案》</w:t>
      </w:r>
      <w:bookmarkEnd w:id="734"/>
      <w:r>
        <w:rPr>
          <w:rFonts w:cs="Times New Roman"/>
        </w:rPr>
        <w:t>，衡阳建滔化工有限公司岩盐矿位于园区核心区用地区，未来矿山终采闭坑后，</w:t>
      </w:r>
      <w:bookmarkStart w:id="735" w:name="_Hlk89634917"/>
      <w:r>
        <w:rPr>
          <w:rFonts w:cs="Times New Roman"/>
        </w:rPr>
        <w:t>矿山土地将来交付</w:t>
      </w:r>
      <w:r>
        <w:rPr>
          <w:rFonts w:hint="eastAsia" w:cs="Times New Roman"/>
        </w:rPr>
        <w:t>松木经济开发区</w:t>
      </w:r>
      <w:r>
        <w:rPr>
          <w:rFonts w:cs="Times New Roman"/>
        </w:rPr>
        <w:t>作为建设用地使用，</w:t>
      </w:r>
      <w:bookmarkEnd w:id="735"/>
      <w:r>
        <w:rPr>
          <w:rFonts w:cs="Times New Roman"/>
        </w:rPr>
        <w:t>对压占的土地不需复垦。</w:t>
      </w:r>
    </w:p>
    <w:p w14:paraId="450A8218">
      <w:pPr>
        <w:ind w:firstLine="519"/>
        <w:rPr>
          <w:rFonts w:cs="Times New Roman"/>
        </w:rPr>
      </w:pPr>
      <w:r>
        <w:rPr>
          <w:rFonts w:cs="Times New Roman"/>
        </w:rPr>
        <w:t>项目矿山服务期满后，只要严格按照《地质环境保护与恢复治理（含土地复垦）方案》要求对矿山开展环境保护与恢复治理工作，矿区生态环境将逐步改善，矿山在服务期满后对环境的影响较小。</w:t>
      </w:r>
    </w:p>
    <w:p w14:paraId="702337DB">
      <w:pPr>
        <w:pStyle w:val="3"/>
        <w:ind w:firstLine="519"/>
        <w:rPr>
          <w:rFonts w:cs="Times New Roman"/>
        </w:rPr>
      </w:pPr>
    </w:p>
    <w:bookmarkEnd w:id="570"/>
    <w:p w14:paraId="5F96402B">
      <w:pPr>
        <w:widowControl/>
        <w:wordWrap/>
        <w:topLinePunct w:val="0"/>
        <w:spacing w:line="240" w:lineRule="auto"/>
        <w:ind w:firstLine="0" w:firstLineChars="0"/>
        <w:jc w:val="left"/>
        <w:rPr>
          <w:rFonts w:cs="Times New Roman"/>
        </w:rPr>
      </w:pPr>
      <w:r>
        <w:rPr>
          <w:rFonts w:cs="Times New Roman"/>
        </w:rPr>
        <w:br w:type="page"/>
      </w:r>
    </w:p>
    <w:bookmarkEnd w:id="568"/>
    <w:p w14:paraId="05D1EA32">
      <w:pPr>
        <w:pStyle w:val="5"/>
        <w:spacing w:before="170" w:after="170"/>
        <w:rPr>
          <w:rFonts w:ascii="Times New Roman" w:hAnsi="Times New Roman"/>
        </w:rPr>
      </w:pPr>
      <w:bookmarkStart w:id="736" w:name="_Toc121420867"/>
      <w:bookmarkStart w:id="737" w:name="_Toc63257210"/>
      <w:r>
        <w:rPr>
          <w:rFonts w:ascii="Times New Roman" w:hAnsi="Times New Roman"/>
        </w:rPr>
        <w:t>第6章 环境风险影响分析</w:t>
      </w:r>
      <w:bookmarkEnd w:id="736"/>
    </w:p>
    <w:p w14:paraId="2246B2F9">
      <w:pPr>
        <w:pStyle w:val="6"/>
        <w:spacing w:before="170" w:after="170"/>
        <w:rPr>
          <w:rFonts w:cs="Times New Roman"/>
          <w:kern w:val="0"/>
        </w:rPr>
      </w:pPr>
      <w:bookmarkStart w:id="738" w:name="_Toc121420868"/>
      <w:r>
        <w:rPr>
          <w:rFonts w:cs="Times New Roman"/>
        </w:rPr>
        <w:t>6.1 环境风险评价原则及评价程序</w:t>
      </w:r>
      <w:bookmarkEnd w:id="738"/>
    </w:p>
    <w:p w14:paraId="62F44099">
      <w:pPr>
        <w:ind w:firstLine="519"/>
        <w:rPr>
          <w:rFonts w:cs="Times New Roman"/>
        </w:rPr>
      </w:pPr>
      <w:r>
        <w:rPr>
          <w:rFonts w:cs="Times New Roman"/>
        </w:rPr>
        <w:t>环境风险是指突发性事故造成重大环境污染的事件，具有危害性大、影响范围广等特点，同时风险发生又有很大的不确定性，可能不会发生，但一旦发生，对环境会产生较大影响。</w:t>
      </w:r>
    </w:p>
    <w:p w14:paraId="7B27024C">
      <w:pPr>
        <w:ind w:firstLine="519"/>
        <w:rPr>
          <w:rFonts w:cs="Times New Roman"/>
        </w:rPr>
      </w:pPr>
      <w:r>
        <w:rPr>
          <w:rFonts w:cs="Times New Roman"/>
        </w:rPr>
        <w:t>本次评价根据</w:t>
      </w:r>
      <w:bookmarkStart w:id="739" w:name="_Hlk89614220"/>
      <w:r>
        <w:rPr>
          <w:rFonts w:cs="Times New Roman"/>
        </w:rPr>
        <w:t>《建设项目环境风险评价技术导则》（HJ 169-2018）</w:t>
      </w:r>
      <w:bookmarkEnd w:id="739"/>
      <w:r>
        <w:rPr>
          <w:rFonts w:cs="Times New Roman"/>
        </w:rPr>
        <w:t>的规定要求对拟建项目的环境风险进行评价，同时根据建设项目环境风险可能影响的范围与程度，提出缓解环境风险的建议措施。</w:t>
      </w:r>
    </w:p>
    <w:p w14:paraId="3BCE17D6">
      <w:pPr>
        <w:ind w:firstLine="519"/>
        <w:rPr>
          <w:rFonts w:cs="Times New Roman"/>
        </w:rPr>
      </w:pPr>
      <w:r>
        <w:rPr>
          <w:rFonts w:cs="Times New Roman"/>
        </w:rPr>
        <w:t>评价工作程序见下图。</w:t>
      </w:r>
    </w:p>
    <w:p w14:paraId="7844CBD3">
      <w:pPr>
        <w:ind w:firstLine="0" w:firstLineChars="0"/>
        <w:rPr>
          <w:rFonts w:cs="Times New Roman"/>
        </w:rPr>
      </w:pPr>
      <w:r>
        <w:rPr>
          <w:rFonts w:cs="Times New Roman"/>
        </w:rPr>
        <w:drawing>
          <wp:inline distT="0" distB="0" distL="0" distR="0">
            <wp:extent cx="4999990" cy="5163185"/>
            <wp:effectExtent l="0" t="0" r="0" b="0"/>
            <wp:docPr id="86" name="图片 86" descr="C:\Users\ADMINI~1\AppData\Local\Temp\ksohtml90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1\AppData\Local\Temp\ksohtml904\wp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005195" cy="5168563"/>
                    </a:xfrm>
                    <a:prstGeom prst="rect">
                      <a:avLst/>
                    </a:prstGeom>
                    <a:noFill/>
                    <a:ln>
                      <a:noFill/>
                    </a:ln>
                  </pic:spPr>
                </pic:pic>
              </a:graphicData>
            </a:graphic>
          </wp:inline>
        </w:drawing>
      </w:r>
    </w:p>
    <w:p w14:paraId="0A16F6D1">
      <w:pPr>
        <w:pStyle w:val="9"/>
      </w:pPr>
      <w:r>
        <w:t xml:space="preserve"> 图6.1-1  评价工作程序</w:t>
      </w:r>
    </w:p>
    <w:p w14:paraId="008C0BB2">
      <w:pPr>
        <w:pStyle w:val="6"/>
        <w:spacing w:before="170" w:after="170"/>
        <w:rPr>
          <w:rFonts w:cs="Times New Roman"/>
        </w:rPr>
      </w:pPr>
      <w:bookmarkStart w:id="740" w:name="_Toc121420869"/>
      <w:r>
        <w:rPr>
          <w:rFonts w:cs="Times New Roman"/>
        </w:rPr>
        <w:t>6.2 环境风险识别</w:t>
      </w:r>
      <w:bookmarkEnd w:id="740"/>
    </w:p>
    <w:p w14:paraId="4DE06BC2">
      <w:pPr>
        <w:pStyle w:val="7"/>
      </w:pPr>
      <w:bookmarkStart w:id="741" w:name="_Toc89882516"/>
      <w:bookmarkStart w:id="742" w:name="_Toc90997713"/>
      <w:bookmarkStart w:id="743" w:name="_Toc90318475"/>
      <w:bookmarkStart w:id="744" w:name="_Toc121420870"/>
      <w:bookmarkStart w:id="745" w:name="_Toc89786196"/>
      <w:bookmarkStart w:id="746" w:name="_Toc86852390"/>
      <w:bookmarkStart w:id="747" w:name="_Toc90989298"/>
      <w:r>
        <w:t>6.2.1 风险源调查</w:t>
      </w:r>
      <w:bookmarkEnd w:id="741"/>
      <w:bookmarkEnd w:id="742"/>
      <w:bookmarkEnd w:id="743"/>
      <w:bookmarkEnd w:id="744"/>
      <w:bookmarkEnd w:id="745"/>
      <w:bookmarkEnd w:id="746"/>
      <w:bookmarkEnd w:id="747"/>
    </w:p>
    <w:p w14:paraId="20A1F7AD">
      <w:pPr>
        <w:ind w:firstLine="519"/>
        <w:rPr>
          <w:rFonts w:cs="Times New Roman"/>
          <w:kern w:val="0"/>
        </w:rPr>
      </w:pPr>
      <w:r>
        <w:rPr>
          <w:rFonts w:cs="Times New Roman"/>
          <w:kern w:val="0"/>
        </w:rPr>
        <w:t>（1）环境风险物质调查</w:t>
      </w:r>
    </w:p>
    <w:p w14:paraId="21386CCB">
      <w:pPr>
        <w:ind w:firstLine="519"/>
        <w:rPr>
          <w:rFonts w:cs="Times New Roman"/>
          <w:kern w:val="0"/>
        </w:rPr>
      </w:pPr>
      <w:r>
        <w:rPr>
          <w:rFonts w:cs="Times New Roman"/>
          <w:kern w:val="0"/>
        </w:rPr>
        <w:t>根据本项目工程分析，结合《建设项目环境风险评价技术导则》（HJ 169-2018）附录B，本项目不涉及相关风险物质。项目</w:t>
      </w:r>
      <w:r>
        <w:rPr>
          <w:rFonts w:hint="eastAsia" w:cs="Times New Roman"/>
          <w:kern w:val="0"/>
        </w:rPr>
        <w:t>涉及物料</w:t>
      </w:r>
      <w:r>
        <w:rPr>
          <w:rFonts w:cs="Times New Roman"/>
          <w:kern w:val="0"/>
        </w:rPr>
        <w:t>见下表。</w:t>
      </w:r>
    </w:p>
    <w:p w14:paraId="6CAAC18D">
      <w:pPr>
        <w:pStyle w:val="9"/>
      </w:pPr>
      <w:r>
        <w:t>表6.2–1  项目涉及物料一览表</w:t>
      </w:r>
    </w:p>
    <w:tbl>
      <w:tblPr>
        <w:tblStyle w:val="29"/>
        <w:tblW w:w="907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982"/>
        <w:gridCol w:w="3952"/>
        <w:gridCol w:w="2069"/>
        <w:gridCol w:w="2069"/>
      </w:tblGrid>
      <w:tr w14:paraId="15661C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982" w:type="dxa"/>
            <w:vAlign w:val="center"/>
          </w:tcPr>
          <w:p w14:paraId="3F9F94C4">
            <w:pPr>
              <w:pStyle w:val="48"/>
            </w:pPr>
            <w:r>
              <w:t>名称</w:t>
            </w:r>
          </w:p>
        </w:tc>
        <w:tc>
          <w:tcPr>
            <w:tcW w:w="3952" w:type="dxa"/>
            <w:vAlign w:val="center"/>
          </w:tcPr>
          <w:p w14:paraId="71957596">
            <w:pPr>
              <w:pStyle w:val="48"/>
            </w:pPr>
            <w:r>
              <w:t>性质</w:t>
            </w:r>
          </w:p>
        </w:tc>
        <w:tc>
          <w:tcPr>
            <w:tcW w:w="2069" w:type="dxa"/>
            <w:vAlign w:val="center"/>
          </w:tcPr>
          <w:p w14:paraId="6B16FB46">
            <w:pPr>
              <w:pStyle w:val="48"/>
            </w:pPr>
            <w:r>
              <w:t>用途</w:t>
            </w:r>
          </w:p>
        </w:tc>
        <w:tc>
          <w:tcPr>
            <w:tcW w:w="2069" w:type="dxa"/>
          </w:tcPr>
          <w:p w14:paraId="333D4FCB">
            <w:pPr>
              <w:pStyle w:val="48"/>
            </w:pPr>
            <w:r>
              <w:t>储存位置</w:t>
            </w:r>
          </w:p>
        </w:tc>
      </w:tr>
      <w:tr w14:paraId="609236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jc w:val="center"/>
        </w:trPr>
        <w:tc>
          <w:tcPr>
            <w:tcW w:w="982" w:type="dxa"/>
            <w:vAlign w:val="center"/>
          </w:tcPr>
          <w:p w14:paraId="1F534A06">
            <w:pPr>
              <w:pStyle w:val="48"/>
            </w:pPr>
            <w:r>
              <w:t>卤水</w:t>
            </w:r>
          </w:p>
        </w:tc>
        <w:tc>
          <w:tcPr>
            <w:tcW w:w="3952" w:type="dxa"/>
            <w:vAlign w:val="center"/>
          </w:tcPr>
          <w:p w14:paraId="7CA4D021">
            <w:pPr>
              <w:pStyle w:val="48"/>
            </w:pPr>
            <w:r>
              <w:t>混合溶液，溶液中主要溶质NaCl，另外还含有少量的Na</w:t>
            </w:r>
            <w:r>
              <w:rPr>
                <w:vertAlign w:val="subscript"/>
              </w:rPr>
              <w:t>2</w:t>
            </w:r>
            <w:r>
              <w:t>SO</w:t>
            </w:r>
            <w:r>
              <w:rPr>
                <w:vertAlign w:val="subscript"/>
              </w:rPr>
              <w:t>4</w:t>
            </w:r>
            <w:r>
              <w:t>、MgSO</w:t>
            </w:r>
            <w:r>
              <w:rPr>
                <w:vertAlign w:val="subscript"/>
              </w:rPr>
              <w:t>4</w:t>
            </w:r>
            <w:r>
              <w:t>、CaSO</w:t>
            </w:r>
            <w:r>
              <w:rPr>
                <w:vertAlign w:val="subscript"/>
              </w:rPr>
              <w:t>4</w:t>
            </w:r>
          </w:p>
        </w:tc>
        <w:tc>
          <w:tcPr>
            <w:tcW w:w="2069" w:type="dxa"/>
            <w:vAlign w:val="center"/>
          </w:tcPr>
          <w:p w14:paraId="2DC2BBB5">
            <w:pPr>
              <w:pStyle w:val="48"/>
            </w:pPr>
            <w:r>
              <w:t>原料及产品</w:t>
            </w:r>
          </w:p>
        </w:tc>
        <w:tc>
          <w:tcPr>
            <w:tcW w:w="2069" w:type="dxa"/>
            <w:vAlign w:val="center"/>
          </w:tcPr>
          <w:p w14:paraId="08BC87DE">
            <w:pPr>
              <w:pStyle w:val="48"/>
            </w:pPr>
            <w:r>
              <w:t>管线、卤水池、淡卤池等</w:t>
            </w:r>
          </w:p>
        </w:tc>
      </w:tr>
    </w:tbl>
    <w:p w14:paraId="495876E1">
      <w:pPr>
        <w:ind w:firstLine="519"/>
        <w:rPr>
          <w:rFonts w:cs="Times New Roman"/>
        </w:rPr>
      </w:pPr>
      <w:r>
        <w:rPr>
          <w:rFonts w:cs="Times New Roman"/>
        </w:rPr>
        <w:t>（2）生产工艺</w:t>
      </w:r>
    </w:p>
    <w:p w14:paraId="7F09E1A3">
      <w:pPr>
        <w:ind w:firstLine="503"/>
        <w:rPr>
          <w:rFonts w:cs="Times New Roman"/>
          <w:spacing w:val="-4"/>
        </w:rPr>
      </w:pPr>
      <w:r>
        <w:rPr>
          <w:rFonts w:cs="Times New Roman"/>
          <w:spacing w:val="-4"/>
        </w:rPr>
        <w:t>本项目属于采盐工程，本工程生产无高温或高压、涉及危险物质的工艺过程。</w:t>
      </w:r>
    </w:p>
    <w:p w14:paraId="3AA06E04">
      <w:pPr>
        <w:ind w:firstLine="519"/>
        <w:rPr>
          <w:rFonts w:cs="Times New Roman"/>
        </w:rPr>
      </w:pPr>
      <w:r>
        <w:rPr>
          <w:rFonts w:cs="Times New Roman"/>
        </w:rPr>
        <w:t>（3）其他风险源</w:t>
      </w:r>
    </w:p>
    <w:p w14:paraId="69EEF086">
      <w:pPr>
        <w:ind w:firstLine="503"/>
        <w:rPr>
          <w:rFonts w:cs="Times New Roman"/>
          <w:spacing w:val="-4"/>
        </w:rPr>
      </w:pPr>
      <w:r>
        <w:rPr>
          <w:rFonts w:cs="Times New Roman"/>
          <w:spacing w:val="-4"/>
        </w:rPr>
        <w:t>本项目主要风险源有：卤水池或采输卤管道泄漏风险、采卤地表塌陷环境风险。</w:t>
      </w:r>
    </w:p>
    <w:p w14:paraId="7D887A88">
      <w:pPr>
        <w:pStyle w:val="7"/>
      </w:pPr>
      <w:bookmarkStart w:id="748" w:name="_Toc90989299"/>
      <w:bookmarkStart w:id="749" w:name="_Toc90318476"/>
      <w:bookmarkStart w:id="750" w:name="_Toc86852391"/>
      <w:bookmarkStart w:id="751" w:name="_Toc89786197"/>
      <w:bookmarkStart w:id="752" w:name="_Toc90997714"/>
      <w:bookmarkStart w:id="753" w:name="_Toc121420871"/>
      <w:bookmarkStart w:id="754" w:name="_Toc89882517"/>
      <w:r>
        <w:t>6.2.2风险潜势初判</w:t>
      </w:r>
      <w:bookmarkEnd w:id="748"/>
      <w:bookmarkEnd w:id="749"/>
      <w:bookmarkEnd w:id="750"/>
      <w:bookmarkEnd w:id="751"/>
      <w:bookmarkEnd w:id="752"/>
      <w:bookmarkEnd w:id="753"/>
      <w:bookmarkEnd w:id="754"/>
    </w:p>
    <w:p w14:paraId="556D5E1F">
      <w:pPr>
        <w:ind w:firstLine="519"/>
        <w:rPr>
          <w:rFonts w:cs="Times New Roman"/>
        </w:rPr>
      </w:pPr>
      <w:r>
        <w:rPr>
          <w:rFonts w:cs="Times New Roman"/>
        </w:rPr>
        <w:t>根据《建设项目环境风险评价技术导则》（HJ169-2018）附录C，判断项目的风险潜势，需首先计算危险物质数量与临界量比值（Q）。</w:t>
      </w:r>
    </w:p>
    <w:p w14:paraId="29987255">
      <w:pPr>
        <w:ind w:firstLine="519"/>
        <w:rPr>
          <w:rFonts w:cs="Times New Roman"/>
        </w:rPr>
      </w:pPr>
      <w:r>
        <w:rPr>
          <w:rFonts w:cs="Times New Roman"/>
        </w:rPr>
        <w:t>计算所涉及的每种危险物质在厂界内的最大存在总量与其在附录B中对应临界量的比值Q。在不同厂区的同一种物质，按其在厂界内的最大存在总量计算。</w:t>
      </w:r>
    </w:p>
    <w:p w14:paraId="3B38DC3F">
      <w:pPr>
        <w:ind w:firstLine="519"/>
        <w:rPr>
          <w:rFonts w:cs="Times New Roman"/>
        </w:rPr>
      </w:pPr>
      <w:r>
        <w:rPr>
          <w:rFonts w:cs="Times New Roman"/>
        </w:rPr>
        <w:t>当只涉及一种危险物质时，计算该物质的总量与其临界量比值，即为Q；当存在多种危险物质时，则按式下式计算物质总量与其临界量比值（Q）：</w:t>
      </w:r>
    </w:p>
    <w:p w14:paraId="6A4C8734">
      <w:pPr>
        <w:ind w:firstLine="519"/>
        <w:jc w:val="center"/>
        <w:rPr>
          <w:rFonts w:cs="Times New Roman"/>
        </w:rPr>
      </w:pPr>
      <w:r>
        <w:rPr>
          <w:rFonts w:cs="Times New Roman"/>
        </w:rPr>
        <w:drawing>
          <wp:inline distT="0" distB="0" distL="0" distR="0">
            <wp:extent cx="1371600" cy="457835"/>
            <wp:effectExtent l="0" t="0" r="0" b="18415"/>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71600" cy="457835"/>
                    </a:xfrm>
                    <a:prstGeom prst="rect">
                      <a:avLst/>
                    </a:prstGeom>
                    <a:noFill/>
                    <a:ln>
                      <a:noFill/>
                    </a:ln>
                  </pic:spPr>
                </pic:pic>
              </a:graphicData>
            </a:graphic>
          </wp:inline>
        </w:drawing>
      </w:r>
    </w:p>
    <w:p w14:paraId="4F95381D">
      <w:pPr>
        <w:ind w:firstLine="519"/>
        <w:rPr>
          <w:rFonts w:cs="Times New Roman"/>
        </w:rPr>
      </w:pPr>
      <w:r>
        <w:rPr>
          <w:rFonts w:cs="Times New Roman"/>
        </w:rPr>
        <w:t>式中：q1，q2，...，qn——每种危险物质的最大存在总量，t；</w:t>
      </w:r>
    </w:p>
    <w:p w14:paraId="5594519A">
      <w:pPr>
        <w:ind w:firstLine="519"/>
        <w:rPr>
          <w:rFonts w:cs="Times New Roman"/>
        </w:rPr>
      </w:pPr>
      <w:r>
        <w:rPr>
          <w:rFonts w:cs="Times New Roman"/>
        </w:rPr>
        <w:t>Q1， Q2， ...， Qn——每种危险物质的临界量，t。</w:t>
      </w:r>
    </w:p>
    <w:p w14:paraId="637618EF">
      <w:pPr>
        <w:ind w:firstLine="519"/>
        <w:rPr>
          <w:rFonts w:cs="Times New Roman"/>
        </w:rPr>
      </w:pPr>
      <w:r>
        <w:rPr>
          <w:rFonts w:cs="Times New Roman"/>
          <w:kern w:val="0"/>
        </w:rPr>
        <w:t>本项目不涉及相关危险物质，因此Q＜1，根据</w:t>
      </w:r>
      <w:r>
        <w:rPr>
          <w:rFonts w:cs="Times New Roman"/>
        </w:rPr>
        <w:t>《建设项目环境风险评价技术导则》（HJ169-2018），当Q＜1时，该项目环境风险潜势为</w:t>
      </w:r>
      <w:r>
        <w:rPr>
          <w:rFonts w:hint="eastAsia" w:ascii="宋体" w:hAnsi="宋体" w:cs="宋体"/>
        </w:rPr>
        <w:t>Ⅰ</w:t>
      </w:r>
      <w:r>
        <w:rPr>
          <w:rFonts w:cs="Times New Roman"/>
        </w:rPr>
        <w:t>。</w:t>
      </w:r>
    </w:p>
    <w:p w14:paraId="123489CC">
      <w:pPr>
        <w:pStyle w:val="7"/>
      </w:pPr>
      <w:bookmarkStart w:id="755" w:name="_Toc90997715"/>
      <w:bookmarkStart w:id="756" w:name="_Toc90989300"/>
      <w:bookmarkStart w:id="757" w:name="_Toc86852392"/>
      <w:bookmarkStart w:id="758" w:name="_Toc89882518"/>
      <w:bookmarkStart w:id="759" w:name="_Toc89786198"/>
      <w:bookmarkStart w:id="760" w:name="_Toc121420872"/>
      <w:bookmarkStart w:id="761" w:name="_Toc90318477"/>
      <w:r>
        <w:t>6.2.3评价等级判断</w:t>
      </w:r>
      <w:bookmarkEnd w:id="755"/>
      <w:bookmarkEnd w:id="756"/>
      <w:bookmarkEnd w:id="757"/>
      <w:bookmarkEnd w:id="758"/>
      <w:bookmarkEnd w:id="759"/>
      <w:bookmarkEnd w:id="760"/>
      <w:bookmarkEnd w:id="761"/>
    </w:p>
    <w:p w14:paraId="2DBE16DA">
      <w:pPr>
        <w:ind w:firstLine="519"/>
        <w:rPr>
          <w:rFonts w:cs="Times New Roman"/>
        </w:rPr>
      </w:pPr>
      <w:r>
        <w:rPr>
          <w:rFonts w:cs="Times New Roman"/>
        </w:rPr>
        <w:t>根据《建设项目环境风险评价技术导则》（HJ169-2018），环境风险评价工作等级划分为一级、二级、三级。根据建设项目涉及的物质及工艺系统危险性和所在地的环境敏感性确定环境风险潜势，按照下表确定评价工作等级。</w:t>
      </w:r>
    </w:p>
    <w:p w14:paraId="1314FB72">
      <w:pPr>
        <w:pStyle w:val="9"/>
      </w:pPr>
      <w:r>
        <w:t>表6.2–2  环境风险评价工作级别划分表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8"/>
        <w:gridCol w:w="1676"/>
        <w:gridCol w:w="1676"/>
        <w:gridCol w:w="1691"/>
        <w:gridCol w:w="1676"/>
      </w:tblGrid>
      <w:tr w14:paraId="72FAA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754" w:type="dxa"/>
            <w:tcBorders>
              <w:top w:val="single" w:color="auto" w:sz="12" w:space="0"/>
              <w:left w:val="single" w:color="auto" w:sz="12" w:space="0"/>
              <w:bottom w:val="single" w:color="auto" w:sz="6" w:space="0"/>
              <w:right w:val="single" w:color="auto" w:sz="6" w:space="0"/>
            </w:tcBorders>
            <w:vAlign w:val="center"/>
          </w:tcPr>
          <w:p w14:paraId="2E2439D0">
            <w:pPr>
              <w:pStyle w:val="48"/>
            </w:pPr>
            <w:r>
              <w:t>环境风险潜势</w:t>
            </w:r>
          </w:p>
        </w:tc>
        <w:tc>
          <w:tcPr>
            <w:tcW w:w="1627" w:type="dxa"/>
            <w:tcBorders>
              <w:top w:val="single" w:color="auto" w:sz="12" w:space="0"/>
              <w:left w:val="single" w:color="auto" w:sz="6" w:space="0"/>
              <w:bottom w:val="single" w:color="auto" w:sz="6" w:space="0"/>
              <w:right w:val="single" w:color="auto" w:sz="6" w:space="0"/>
            </w:tcBorders>
            <w:vAlign w:val="center"/>
          </w:tcPr>
          <w:p w14:paraId="31572278">
            <w:pPr>
              <w:pStyle w:val="48"/>
            </w:pPr>
            <w:r>
              <w:rPr>
                <w:rFonts w:hint="eastAsia" w:ascii="宋体" w:hAnsi="宋体" w:cs="宋体"/>
              </w:rPr>
              <w:t>Ⅳ</w:t>
            </w:r>
            <w:r>
              <w:t>、</w:t>
            </w:r>
            <w:r>
              <w:rPr>
                <w:rFonts w:hint="eastAsia" w:ascii="宋体" w:hAnsi="宋体" w:cs="宋体"/>
              </w:rPr>
              <w:t>Ⅳ</w:t>
            </w:r>
            <w:r>
              <w:rPr>
                <w:vertAlign w:val="superscript"/>
              </w:rPr>
              <w:t>+</w:t>
            </w:r>
          </w:p>
        </w:tc>
        <w:tc>
          <w:tcPr>
            <w:tcW w:w="1627" w:type="dxa"/>
            <w:tcBorders>
              <w:top w:val="single" w:color="auto" w:sz="12" w:space="0"/>
              <w:left w:val="single" w:color="auto" w:sz="6" w:space="0"/>
              <w:bottom w:val="single" w:color="auto" w:sz="6" w:space="0"/>
              <w:right w:val="single" w:color="auto" w:sz="6" w:space="0"/>
            </w:tcBorders>
            <w:vAlign w:val="center"/>
          </w:tcPr>
          <w:p w14:paraId="0DA01B00">
            <w:pPr>
              <w:pStyle w:val="48"/>
            </w:pPr>
            <w:r>
              <w:rPr>
                <w:rFonts w:hint="eastAsia" w:ascii="宋体" w:hAnsi="宋体" w:cs="宋体"/>
              </w:rPr>
              <w:t>Ⅲ</w:t>
            </w:r>
          </w:p>
        </w:tc>
        <w:tc>
          <w:tcPr>
            <w:tcW w:w="1641" w:type="dxa"/>
            <w:tcBorders>
              <w:top w:val="single" w:color="auto" w:sz="12" w:space="0"/>
              <w:left w:val="single" w:color="auto" w:sz="6" w:space="0"/>
              <w:bottom w:val="single" w:color="auto" w:sz="6" w:space="0"/>
              <w:right w:val="single" w:color="auto" w:sz="6" w:space="0"/>
            </w:tcBorders>
            <w:vAlign w:val="center"/>
          </w:tcPr>
          <w:p w14:paraId="662BC6F0">
            <w:pPr>
              <w:pStyle w:val="48"/>
            </w:pPr>
            <w:r>
              <w:rPr>
                <w:rFonts w:hint="eastAsia" w:ascii="宋体" w:hAnsi="宋体" w:cs="宋体"/>
              </w:rPr>
              <w:t>Ⅱ</w:t>
            </w:r>
          </w:p>
        </w:tc>
        <w:tc>
          <w:tcPr>
            <w:tcW w:w="1627" w:type="dxa"/>
            <w:tcBorders>
              <w:top w:val="single" w:color="auto" w:sz="12" w:space="0"/>
              <w:left w:val="single" w:color="auto" w:sz="6" w:space="0"/>
              <w:bottom w:val="single" w:color="auto" w:sz="6" w:space="0"/>
              <w:right w:val="single" w:color="auto" w:sz="12" w:space="0"/>
            </w:tcBorders>
            <w:vAlign w:val="center"/>
          </w:tcPr>
          <w:p w14:paraId="06DA693F">
            <w:pPr>
              <w:pStyle w:val="48"/>
            </w:pPr>
            <w:r>
              <w:rPr>
                <w:rFonts w:hint="eastAsia" w:ascii="宋体" w:hAnsi="宋体" w:cs="宋体"/>
              </w:rPr>
              <w:t>Ⅰ</w:t>
            </w:r>
          </w:p>
        </w:tc>
      </w:tr>
      <w:tr w14:paraId="3B64E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4" w:type="dxa"/>
            <w:tcBorders>
              <w:top w:val="single" w:color="auto" w:sz="6" w:space="0"/>
              <w:left w:val="single" w:color="auto" w:sz="12" w:space="0"/>
              <w:bottom w:val="single" w:color="auto" w:sz="6" w:space="0"/>
              <w:right w:val="single" w:color="auto" w:sz="6" w:space="0"/>
            </w:tcBorders>
            <w:vAlign w:val="center"/>
          </w:tcPr>
          <w:p w14:paraId="597B4577">
            <w:pPr>
              <w:pStyle w:val="48"/>
            </w:pPr>
            <w:r>
              <w:t>评价工作等级</w:t>
            </w:r>
          </w:p>
        </w:tc>
        <w:tc>
          <w:tcPr>
            <w:tcW w:w="1627" w:type="dxa"/>
            <w:tcBorders>
              <w:top w:val="single" w:color="auto" w:sz="6" w:space="0"/>
              <w:left w:val="single" w:color="auto" w:sz="6" w:space="0"/>
              <w:bottom w:val="single" w:color="auto" w:sz="6" w:space="0"/>
              <w:right w:val="single" w:color="auto" w:sz="6" w:space="0"/>
            </w:tcBorders>
            <w:vAlign w:val="center"/>
          </w:tcPr>
          <w:p w14:paraId="55D9DE34">
            <w:pPr>
              <w:pStyle w:val="48"/>
            </w:pPr>
            <w:r>
              <w:t>一</w:t>
            </w:r>
          </w:p>
        </w:tc>
        <w:tc>
          <w:tcPr>
            <w:tcW w:w="1627" w:type="dxa"/>
            <w:tcBorders>
              <w:top w:val="single" w:color="auto" w:sz="6" w:space="0"/>
              <w:left w:val="single" w:color="auto" w:sz="6" w:space="0"/>
              <w:bottom w:val="single" w:color="auto" w:sz="6" w:space="0"/>
              <w:right w:val="single" w:color="auto" w:sz="6" w:space="0"/>
            </w:tcBorders>
            <w:vAlign w:val="center"/>
          </w:tcPr>
          <w:p w14:paraId="1029CB64">
            <w:pPr>
              <w:pStyle w:val="48"/>
            </w:pPr>
            <w:r>
              <w:t>二</w:t>
            </w:r>
          </w:p>
        </w:tc>
        <w:tc>
          <w:tcPr>
            <w:tcW w:w="1641" w:type="dxa"/>
            <w:tcBorders>
              <w:top w:val="single" w:color="auto" w:sz="6" w:space="0"/>
              <w:left w:val="single" w:color="auto" w:sz="6" w:space="0"/>
              <w:bottom w:val="single" w:color="auto" w:sz="6" w:space="0"/>
              <w:right w:val="single" w:color="auto" w:sz="6" w:space="0"/>
            </w:tcBorders>
            <w:vAlign w:val="center"/>
          </w:tcPr>
          <w:p w14:paraId="4ED0258B">
            <w:pPr>
              <w:pStyle w:val="48"/>
            </w:pPr>
            <w:r>
              <w:t>三</w:t>
            </w:r>
          </w:p>
        </w:tc>
        <w:tc>
          <w:tcPr>
            <w:tcW w:w="1627" w:type="dxa"/>
            <w:tcBorders>
              <w:top w:val="single" w:color="auto" w:sz="6" w:space="0"/>
              <w:left w:val="single" w:color="auto" w:sz="6" w:space="0"/>
              <w:bottom w:val="single" w:color="auto" w:sz="6" w:space="0"/>
              <w:right w:val="single" w:color="auto" w:sz="12" w:space="0"/>
            </w:tcBorders>
            <w:vAlign w:val="center"/>
          </w:tcPr>
          <w:p w14:paraId="0FF2A2AD">
            <w:pPr>
              <w:pStyle w:val="48"/>
              <w:rPr>
                <w:b/>
                <w:bCs/>
              </w:rPr>
            </w:pPr>
            <w:r>
              <w:rPr>
                <w:b/>
                <w:bCs/>
              </w:rPr>
              <w:t>简单分析</w:t>
            </w:r>
            <w:r>
              <w:rPr>
                <w:b/>
                <w:bCs/>
                <w:vertAlign w:val="superscript"/>
              </w:rPr>
              <w:t>a</w:t>
            </w:r>
          </w:p>
        </w:tc>
      </w:tr>
      <w:tr w14:paraId="3EF685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76" w:type="dxa"/>
            <w:gridSpan w:val="5"/>
            <w:tcBorders>
              <w:top w:val="single" w:color="auto" w:sz="6" w:space="0"/>
              <w:left w:val="single" w:color="auto" w:sz="12" w:space="0"/>
              <w:bottom w:val="single" w:color="auto" w:sz="12" w:space="0"/>
              <w:right w:val="single" w:color="auto" w:sz="12" w:space="0"/>
            </w:tcBorders>
            <w:vAlign w:val="center"/>
          </w:tcPr>
          <w:p w14:paraId="1B08A23B">
            <w:pPr>
              <w:pStyle w:val="48"/>
              <w:jc w:val="both"/>
            </w:pPr>
            <w:r>
              <w:t>a 是相对于详细评价工作内容而言，在描述危险物质、环境影响途径、环境危害后果、风险防范措施等方面给出定性的说明。</w:t>
            </w:r>
          </w:p>
        </w:tc>
      </w:tr>
    </w:tbl>
    <w:p w14:paraId="6593E572">
      <w:pPr>
        <w:ind w:firstLine="519"/>
        <w:rPr>
          <w:rFonts w:cs="Times New Roman"/>
        </w:rPr>
      </w:pPr>
      <w:r>
        <w:rPr>
          <w:rFonts w:cs="Times New Roman"/>
        </w:rPr>
        <w:t>由于本项目风险潜势为</w:t>
      </w:r>
      <w:r>
        <w:rPr>
          <w:rFonts w:hint="eastAsia" w:ascii="宋体" w:hAnsi="宋体" w:cs="宋体"/>
        </w:rPr>
        <w:t>Ⅰ</w:t>
      </w:r>
      <w:r>
        <w:rPr>
          <w:rFonts w:cs="Times New Roman"/>
        </w:rPr>
        <w:t>，因此，本项目环境风险等级为简单分析。</w:t>
      </w:r>
    </w:p>
    <w:p w14:paraId="4ACC7149">
      <w:pPr>
        <w:pStyle w:val="6"/>
        <w:spacing w:before="170" w:after="170"/>
        <w:rPr>
          <w:rFonts w:cs="Times New Roman"/>
        </w:rPr>
      </w:pPr>
      <w:bookmarkStart w:id="762" w:name="_Toc121420873"/>
      <w:r>
        <w:rPr>
          <w:rFonts w:cs="Times New Roman"/>
        </w:rPr>
        <w:t>6.3 环境敏感目标调查</w:t>
      </w:r>
      <w:bookmarkEnd w:id="762"/>
    </w:p>
    <w:p w14:paraId="645B277C">
      <w:pPr>
        <w:ind w:firstLine="519"/>
        <w:rPr>
          <w:rFonts w:cs="Times New Roman"/>
        </w:rPr>
      </w:pPr>
      <w:r>
        <w:rPr>
          <w:rFonts w:cs="Times New Roman"/>
        </w:rPr>
        <w:t>根据现场踏勘，本项目矿区红线1km范围内</w:t>
      </w:r>
      <w:bookmarkStart w:id="763" w:name="_Hlk89617043"/>
      <w:r>
        <w:rPr>
          <w:rFonts w:cs="Times New Roman"/>
        </w:rPr>
        <w:t>环境敏感特征表</w:t>
      </w:r>
      <w:bookmarkEnd w:id="763"/>
      <w:r>
        <w:rPr>
          <w:rFonts w:cs="Times New Roman"/>
        </w:rPr>
        <w:t>见下表。</w:t>
      </w:r>
    </w:p>
    <w:p w14:paraId="086DEAB1">
      <w:pPr>
        <w:pStyle w:val="9"/>
      </w:pPr>
      <w:r>
        <w:t>表6.3-1  环境敏感特征表一览表</w:t>
      </w:r>
    </w:p>
    <w:tbl>
      <w:tblPr>
        <w:tblStyle w:val="30"/>
        <w:tblW w:w="86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289"/>
        <w:gridCol w:w="1666"/>
        <w:gridCol w:w="1543"/>
        <w:gridCol w:w="966"/>
        <w:gridCol w:w="739"/>
        <w:gridCol w:w="1661"/>
      </w:tblGrid>
      <w:tr w14:paraId="4135E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64" w:type="dxa"/>
            <w:tcBorders>
              <w:top w:val="single" w:color="auto" w:sz="12" w:space="0"/>
              <w:left w:val="single" w:color="auto" w:sz="12" w:space="0"/>
              <w:bottom w:val="single" w:color="auto" w:sz="4" w:space="0"/>
              <w:right w:val="single" w:color="auto" w:sz="4" w:space="0"/>
            </w:tcBorders>
            <w:vAlign w:val="center"/>
          </w:tcPr>
          <w:p w14:paraId="003865FE">
            <w:pPr>
              <w:wordWrap/>
              <w:spacing w:line="240" w:lineRule="auto"/>
              <w:ind w:firstLine="0" w:firstLineChars="0"/>
              <w:jc w:val="center"/>
              <w:rPr>
                <w:rFonts w:cs="Times New Roman"/>
                <w:sz w:val="20"/>
                <w:szCs w:val="20"/>
              </w:rPr>
            </w:pPr>
            <w:r>
              <w:rPr>
                <w:rFonts w:hint="eastAsia" w:cs="Times New Roman"/>
                <w:sz w:val="20"/>
                <w:szCs w:val="20"/>
              </w:rPr>
              <w:t>环境</w:t>
            </w:r>
          </w:p>
          <w:p w14:paraId="136E07C0">
            <w:pPr>
              <w:wordWrap/>
              <w:spacing w:line="240" w:lineRule="auto"/>
              <w:ind w:firstLine="0" w:firstLineChars="0"/>
              <w:jc w:val="center"/>
              <w:rPr>
                <w:rFonts w:cs="Times New Roman"/>
                <w:sz w:val="20"/>
                <w:szCs w:val="20"/>
              </w:rPr>
            </w:pPr>
            <w:r>
              <w:rPr>
                <w:rFonts w:hint="eastAsia" w:cs="Times New Roman"/>
                <w:sz w:val="20"/>
                <w:szCs w:val="20"/>
              </w:rPr>
              <w:t>要素</w:t>
            </w:r>
          </w:p>
        </w:tc>
        <w:tc>
          <w:tcPr>
            <w:tcW w:w="1329" w:type="dxa"/>
            <w:tcBorders>
              <w:top w:val="single" w:color="auto" w:sz="12" w:space="0"/>
              <w:left w:val="single" w:color="auto" w:sz="4" w:space="0"/>
              <w:bottom w:val="single" w:color="auto" w:sz="4" w:space="0"/>
              <w:right w:val="single" w:color="auto" w:sz="4" w:space="0"/>
            </w:tcBorders>
            <w:vAlign w:val="center"/>
          </w:tcPr>
          <w:p w14:paraId="7508BACC">
            <w:pPr>
              <w:wordWrap/>
              <w:spacing w:line="240" w:lineRule="auto"/>
              <w:ind w:firstLine="0" w:firstLineChars="0"/>
              <w:jc w:val="center"/>
              <w:rPr>
                <w:rFonts w:cs="Times New Roman"/>
                <w:sz w:val="20"/>
                <w:szCs w:val="20"/>
              </w:rPr>
            </w:pPr>
            <w:r>
              <w:rPr>
                <w:rFonts w:hint="eastAsia" w:cs="Times New Roman"/>
                <w:sz w:val="20"/>
                <w:szCs w:val="20"/>
              </w:rPr>
              <w:t>保护目标</w:t>
            </w:r>
          </w:p>
        </w:tc>
        <w:tc>
          <w:tcPr>
            <w:tcW w:w="1559" w:type="dxa"/>
            <w:tcBorders>
              <w:top w:val="single" w:color="auto" w:sz="12" w:space="0"/>
              <w:left w:val="single" w:color="auto" w:sz="4" w:space="0"/>
              <w:bottom w:val="single" w:color="auto" w:sz="4" w:space="0"/>
              <w:right w:val="single" w:color="auto" w:sz="4" w:space="0"/>
            </w:tcBorders>
            <w:vAlign w:val="center"/>
          </w:tcPr>
          <w:p w14:paraId="71FF2650">
            <w:pPr>
              <w:wordWrap/>
              <w:spacing w:line="240" w:lineRule="auto"/>
              <w:ind w:firstLine="0" w:firstLineChars="0"/>
              <w:jc w:val="center"/>
              <w:rPr>
                <w:rFonts w:cs="Times New Roman"/>
                <w:sz w:val="20"/>
                <w:szCs w:val="20"/>
              </w:rPr>
            </w:pPr>
            <w:r>
              <w:rPr>
                <w:rFonts w:hint="eastAsia" w:cs="Times New Roman"/>
                <w:sz w:val="20"/>
                <w:szCs w:val="20"/>
              </w:rPr>
              <w:t>坐标</w:t>
            </w:r>
          </w:p>
        </w:tc>
        <w:tc>
          <w:tcPr>
            <w:tcW w:w="1560" w:type="dxa"/>
            <w:tcBorders>
              <w:top w:val="single" w:color="auto" w:sz="12" w:space="0"/>
              <w:left w:val="single" w:color="auto" w:sz="4" w:space="0"/>
              <w:bottom w:val="single" w:color="auto" w:sz="4" w:space="0"/>
              <w:right w:val="single" w:color="auto" w:sz="4" w:space="0"/>
            </w:tcBorders>
            <w:vAlign w:val="center"/>
          </w:tcPr>
          <w:p w14:paraId="46F4B88A">
            <w:pPr>
              <w:wordWrap/>
              <w:spacing w:line="240" w:lineRule="auto"/>
              <w:ind w:firstLine="0" w:firstLineChars="0"/>
              <w:jc w:val="center"/>
              <w:rPr>
                <w:rFonts w:cs="Times New Roman"/>
                <w:sz w:val="20"/>
                <w:szCs w:val="20"/>
              </w:rPr>
            </w:pPr>
            <w:r>
              <w:rPr>
                <w:rFonts w:hint="eastAsia" w:cs="Times New Roman"/>
                <w:sz w:val="20"/>
                <w:szCs w:val="20"/>
              </w:rPr>
              <w:t>相对项目方位</w:t>
            </w:r>
            <w:r>
              <w:rPr>
                <w:rFonts w:cs="Times New Roman"/>
                <w:sz w:val="20"/>
                <w:szCs w:val="20"/>
              </w:rPr>
              <w:t>/</w:t>
            </w:r>
            <w:r>
              <w:rPr>
                <w:rFonts w:hint="eastAsia" w:cs="Times New Roman"/>
                <w:sz w:val="20"/>
                <w:szCs w:val="20"/>
              </w:rPr>
              <w:t>距离</w:t>
            </w:r>
            <w:r>
              <w:rPr>
                <w:rFonts w:cs="Times New Roman"/>
                <w:sz w:val="20"/>
                <w:szCs w:val="20"/>
              </w:rPr>
              <w:t>/</w:t>
            </w:r>
            <w:r>
              <w:rPr>
                <w:rFonts w:hint="eastAsia" w:cs="Times New Roman"/>
                <w:sz w:val="20"/>
                <w:szCs w:val="20"/>
              </w:rPr>
              <w:t>高差</w:t>
            </w:r>
          </w:p>
        </w:tc>
        <w:tc>
          <w:tcPr>
            <w:tcW w:w="992" w:type="dxa"/>
            <w:tcBorders>
              <w:top w:val="single" w:color="auto" w:sz="12" w:space="0"/>
              <w:left w:val="single" w:color="auto" w:sz="4" w:space="0"/>
              <w:bottom w:val="single" w:color="auto" w:sz="4" w:space="0"/>
              <w:right w:val="single" w:color="auto" w:sz="4" w:space="0"/>
            </w:tcBorders>
            <w:vAlign w:val="center"/>
          </w:tcPr>
          <w:p w14:paraId="0B6F19A6">
            <w:pPr>
              <w:wordWrap/>
              <w:spacing w:line="240" w:lineRule="auto"/>
              <w:ind w:firstLine="0" w:firstLineChars="0"/>
              <w:jc w:val="center"/>
              <w:rPr>
                <w:rFonts w:cs="Times New Roman"/>
                <w:sz w:val="20"/>
                <w:szCs w:val="20"/>
              </w:rPr>
            </w:pPr>
            <w:r>
              <w:rPr>
                <w:rFonts w:hint="eastAsia" w:cs="Times New Roman"/>
                <w:sz w:val="20"/>
                <w:szCs w:val="20"/>
              </w:rPr>
              <w:t>保护对象</w:t>
            </w:r>
          </w:p>
        </w:tc>
        <w:tc>
          <w:tcPr>
            <w:tcW w:w="754" w:type="dxa"/>
            <w:tcBorders>
              <w:top w:val="single" w:color="auto" w:sz="12" w:space="0"/>
              <w:left w:val="single" w:color="auto" w:sz="4" w:space="0"/>
              <w:bottom w:val="single" w:color="auto" w:sz="4" w:space="0"/>
              <w:right w:val="single" w:color="auto" w:sz="4" w:space="0"/>
            </w:tcBorders>
            <w:vAlign w:val="center"/>
          </w:tcPr>
          <w:p w14:paraId="1E1ECB39">
            <w:pPr>
              <w:wordWrap/>
              <w:spacing w:line="240" w:lineRule="auto"/>
              <w:ind w:firstLine="0" w:firstLineChars="0"/>
              <w:jc w:val="center"/>
              <w:rPr>
                <w:rFonts w:cs="Times New Roman"/>
                <w:sz w:val="20"/>
                <w:szCs w:val="20"/>
              </w:rPr>
            </w:pPr>
            <w:r>
              <w:rPr>
                <w:rFonts w:hint="eastAsia" w:cs="Times New Roman"/>
                <w:sz w:val="20"/>
                <w:szCs w:val="20"/>
              </w:rPr>
              <w:t>保护内容</w:t>
            </w:r>
          </w:p>
        </w:tc>
        <w:tc>
          <w:tcPr>
            <w:tcW w:w="1655" w:type="dxa"/>
            <w:tcBorders>
              <w:top w:val="single" w:color="auto" w:sz="12" w:space="0"/>
              <w:left w:val="single" w:color="auto" w:sz="4" w:space="0"/>
              <w:bottom w:val="single" w:color="auto" w:sz="4" w:space="0"/>
              <w:right w:val="single" w:color="auto" w:sz="12" w:space="0"/>
            </w:tcBorders>
            <w:vAlign w:val="center"/>
          </w:tcPr>
          <w:p w14:paraId="3202965F">
            <w:pPr>
              <w:wordWrap/>
              <w:spacing w:line="240" w:lineRule="auto"/>
              <w:ind w:firstLine="0" w:firstLineChars="0"/>
              <w:jc w:val="center"/>
              <w:rPr>
                <w:rFonts w:cs="Times New Roman"/>
                <w:sz w:val="20"/>
                <w:szCs w:val="20"/>
              </w:rPr>
            </w:pPr>
            <w:r>
              <w:rPr>
                <w:rFonts w:hint="eastAsia" w:cs="Times New Roman"/>
                <w:sz w:val="20"/>
                <w:szCs w:val="20"/>
              </w:rPr>
              <w:t>环境功能</w:t>
            </w:r>
          </w:p>
        </w:tc>
      </w:tr>
      <w:tr w14:paraId="107BC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vMerge w:val="restart"/>
            <w:tcBorders>
              <w:top w:val="single" w:color="auto" w:sz="4" w:space="0"/>
              <w:left w:val="single" w:color="auto" w:sz="12" w:space="0"/>
              <w:bottom w:val="single" w:color="auto" w:sz="4" w:space="0"/>
              <w:right w:val="single" w:color="auto" w:sz="4" w:space="0"/>
            </w:tcBorders>
            <w:vAlign w:val="center"/>
          </w:tcPr>
          <w:p w14:paraId="1BCEE919">
            <w:pPr>
              <w:wordWrap/>
              <w:spacing w:line="240" w:lineRule="auto"/>
              <w:ind w:firstLine="0" w:firstLineChars="0"/>
              <w:jc w:val="center"/>
              <w:rPr>
                <w:rFonts w:cs="Times New Roman"/>
                <w:sz w:val="20"/>
                <w:szCs w:val="20"/>
              </w:rPr>
            </w:pPr>
            <w:r>
              <w:rPr>
                <w:rFonts w:hint="eastAsia" w:cs="Times New Roman"/>
                <w:sz w:val="20"/>
                <w:szCs w:val="20"/>
              </w:rPr>
              <w:t>大气环境风险受体</w:t>
            </w:r>
          </w:p>
        </w:tc>
        <w:tc>
          <w:tcPr>
            <w:tcW w:w="1329" w:type="dxa"/>
            <w:tcBorders>
              <w:top w:val="single" w:color="auto" w:sz="4" w:space="0"/>
              <w:left w:val="single" w:color="auto" w:sz="4" w:space="0"/>
              <w:bottom w:val="single" w:color="auto" w:sz="4" w:space="0"/>
              <w:right w:val="single" w:color="auto" w:sz="4" w:space="0"/>
            </w:tcBorders>
            <w:vAlign w:val="center"/>
          </w:tcPr>
          <w:p w14:paraId="1BDE928E">
            <w:pPr>
              <w:wordWrap/>
              <w:spacing w:line="240" w:lineRule="auto"/>
              <w:ind w:firstLine="0" w:firstLineChars="0"/>
              <w:jc w:val="center"/>
              <w:rPr>
                <w:rFonts w:cs="Times New Roman"/>
                <w:sz w:val="20"/>
                <w:szCs w:val="20"/>
              </w:rPr>
            </w:pPr>
            <w:r>
              <w:rPr>
                <w:rFonts w:hint="eastAsia" w:cs="Times New Roman"/>
                <w:sz w:val="20"/>
                <w:szCs w:val="20"/>
              </w:rPr>
              <w:t>金兰村</w:t>
            </w:r>
          </w:p>
        </w:tc>
        <w:tc>
          <w:tcPr>
            <w:tcW w:w="1559" w:type="dxa"/>
            <w:tcBorders>
              <w:top w:val="single" w:color="auto" w:sz="4" w:space="0"/>
              <w:left w:val="single" w:color="auto" w:sz="4" w:space="0"/>
              <w:bottom w:val="single" w:color="auto" w:sz="4" w:space="0"/>
              <w:right w:val="single" w:color="auto" w:sz="4" w:space="0"/>
            </w:tcBorders>
            <w:vAlign w:val="center"/>
          </w:tcPr>
          <w:p w14:paraId="7C856FC1">
            <w:pPr>
              <w:wordWrap/>
              <w:spacing w:line="240" w:lineRule="auto"/>
              <w:ind w:firstLine="0" w:firstLineChars="0"/>
              <w:jc w:val="center"/>
              <w:rPr>
                <w:rFonts w:cs="Times New Roman"/>
                <w:sz w:val="20"/>
                <w:szCs w:val="20"/>
              </w:rPr>
            </w:pPr>
            <w:r>
              <w:rPr>
                <w:rFonts w:cs="Times New Roman"/>
                <w:sz w:val="20"/>
                <w:szCs w:val="20"/>
              </w:rPr>
              <w:t>112°39′6.40477″</w:t>
            </w:r>
          </w:p>
          <w:p w14:paraId="3C3CBB79">
            <w:pPr>
              <w:wordWrap/>
              <w:spacing w:line="240" w:lineRule="auto"/>
              <w:ind w:firstLine="0" w:firstLineChars="0"/>
              <w:jc w:val="center"/>
              <w:rPr>
                <w:rFonts w:cs="Times New Roman"/>
                <w:sz w:val="20"/>
                <w:szCs w:val="20"/>
              </w:rPr>
            </w:pPr>
            <w:r>
              <w:rPr>
                <w:rFonts w:cs="Times New Roman"/>
                <w:sz w:val="20"/>
                <w:szCs w:val="20"/>
              </w:rPr>
              <w:t>26°58′10.96903″</w:t>
            </w:r>
          </w:p>
        </w:tc>
        <w:tc>
          <w:tcPr>
            <w:tcW w:w="1560" w:type="dxa"/>
            <w:tcBorders>
              <w:top w:val="single" w:color="auto" w:sz="4" w:space="0"/>
              <w:left w:val="single" w:color="auto" w:sz="4" w:space="0"/>
              <w:bottom w:val="single" w:color="auto" w:sz="4" w:space="0"/>
              <w:right w:val="single" w:color="auto" w:sz="4" w:space="0"/>
            </w:tcBorders>
            <w:vAlign w:val="center"/>
          </w:tcPr>
          <w:p w14:paraId="67CE1F95">
            <w:pPr>
              <w:wordWrap/>
              <w:spacing w:line="240" w:lineRule="auto"/>
              <w:ind w:firstLine="0" w:firstLineChars="0"/>
              <w:jc w:val="center"/>
              <w:rPr>
                <w:rFonts w:cs="Times New Roman"/>
                <w:sz w:val="20"/>
                <w:szCs w:val="20"/>
              </w:rPr>
            </w:pPr>
            <w:r>
              <w:rPr>
                <w:rFonts w:hint="eastAsia" w:cs="Times New Roman"/>
                <w:sz w:val="20"/>
                <w:szCs w:val="20"/>
              </w:rPr>
              <w:t>矿区</w:t>
            </w:r>
            <w:r>
              <w:rPr>
                <w:rFonts w:cs="Times New Roman"/>
                <w:sz w:val="20"/>
                <w:szCs w:val="20"/>
              </w:rPr>
              <w:t>E/570m</w:t>
            </w:r>
          </w:p>
          <w:p w14:paraId="18DD9CB0">
            <w:pPr>
              <w:wordWrap/>
              <w:spacing w:line="240" w:lineRule="auto"/>
              <w:ind w:firstLine="0" w:firstLineChars="0"/>
              <w:jc w:val="center"/>
              <w:rPr>
                <w:rFonts w:cs="Times New Roman"/>
                <w:sz w:val="20"/>
                <w:szCs w:val="20"/>
              </w:rPr>
            </w:pPr>
            <w:r>
              <w:rPr>
                <w:rFonts w:hint="eastAsia" w:cs="Times New Roman"/>
                <w:sz w:val="20"/>
                <w:szCs w:val="20"/>
              </w:rPr>
              <w:t>新建井场</w:t>
            </w:r>
            <w:r>
              <w:rPr>
                <w:rFonts w:cs="Times New Roman"/>
                <w:sz w:val="20"/>
                <w:szCs w:val="20"/>
              </w:rPr>
              <w:t>ESE/2355m</w:t>
            </w:r>
          </w:p>
        </w:tc>
        <w:tc>
          <w:tcPr>
            <w:tcW w:w="992" w:type="dxa"/>
            <w:tcBorders>
              <w:top w:val="single" w:color="auto" w:sz="4" w:space="0"/>
              <w:left w:val="single" w:color="auto" w:sz="4" w:space="0"/>
              <w:bottom w:val="single" w:color="auto" w:sz="4" w:space="0"/>
              <w:right w:val="single" w:color="auto" w:sz="4" w:space="0"/>
            </w:tcBorders>
            <w:vAlign w:val="center"/>
          </w:tcPr>
          <w:p w14:paraId="798DFE8C">
            <w:pPr>
              <w:wordWrap/>
              <w:spacing w:line="240" w:lineRule="auto"/>
              <w:ind w:firstLine="0" w:firstLineChars="0"/>
              <w:jc w:val="center"/>
              <w:rPr>
                <w:rFonts w:cs="Times New Roman"/>
                <w:sz w:val="20"/>
                <w:szCs w:val="20"/>
              </w:rPr>
            </w:pPr>
            <w:r>
              <w:rPr>
                <w:rFonts w:hint="eastAsia" w:cs="Times New Roman"/>
                <w:sz w:val="20"/>
                <w:szCs w:val="20"/>
              </w:rPr>
              <w:t>居住区</w:t>
            </w:r>
          </w:p>
        </w:tc>
        <w:tc>
          <w:tcPr>
            <w:tcW w:w="754" w:type="dxa"/>
            <w:tcBorders>
              <w:top w:val="single" w:color="auto" w:sz="4" w:space="0"/>
              <w:left w:val="single" w:color="auto" w:sz="4" w:space="0"/>
              <w:bottom w:val="single" w:color="auto" w:sz="4" w:space="0"/>
              <w:right w:val="single" w:color="auto" w:sz="4" w:space="0"/>
            </w:tcBorders>
            <w:vAlign w:val="center"/>
          </w:tcPr>
          <w:p w14:paraId="31B4FF87">
            <w:pPr>
              <w:wordWrap/>
              <w:spacing w:line="240" w:lineRule="auto"/>
              <w:ind w:firstLine="0" w:firstLineChars="0"/>
              <w:jc w:val="center"/>
              <w:rPr>
                <w:rFonts w:cs="Times New Roman"/>
                <w:sz w:val="20"/>
                <w:szCs w:val="20"/>
              </w:rPr>
            </w:pPr>
            <w:r>
              <w:rPr>
                <w:rFonts w:hint="eastAsia" w:cs="Times New Roman"/>
                <w:sz w:val="20"/>
                <w:szCs w:val="20"/>
              </w:rPr>
              <w:t>人群</w:t>
            </w:r>
          </w:p>
        </w:tc>
        <w:tc>
          <w:tcPr>
            <w:tcW w:w="1655" w:type="dxa"/>
            <w:vMerge w:val="restart"/>
            <w:tcBorders>
              <w:top w:val="single" w:color="auto" w:sz="4" w:space="0"/>
              <w:left w:val="single" w:color="auto" w:sz="4" w:space="0"/>
              <w:bottom w:val="single" w:color="auto" w:sz="4" w:space="0"/>
              <w:right w:val="single" w:color="auto" w:sz="12" w:space="0"/>
            </w:tcBorders>
            <w:vAlign w:val="center"/>
          </w:tcPr>
          <w:p w14:paraId="33A75123">
            <w:pPr>
              <w:wordWrap/>
              <w:spacing w:line="240" w:lineRule="auto"/>
              <w:ind w:firstLine="0" w:firstLineChars="0"/>
              <w:jc w:val="center"/>
              <w:rPr>
                <w:rFonts w:cs="Times New Roman"/>
                <w:sz w:val="20"/>
                <w:szCs w:val="20"/>
              </w:rPr>
            </w:pPr>
            <w:r>
              <w:rPr>
                <w:rFonts w:hint="eastAsia" w:cs="Times New Roman"/>
                <w:sz w:val="20"/>
                <w:szCs w:val="20"/>
              </w:rPr>
              <w:t>《环境空气质量标准》（</w:t>
            </w:r>
            <w:r>
              <w:rPr>
                <w:rFonts w:cs="Times New Roman"/>
                <w:sz w:val="20"/>
                <w:szCs w:val="20"/>
              </w:rPr>
              <w:t>GB3095-2012</w:t>
            </w:r>
            <w:r>
              <w:rPr>
                <w:rFonts w:hint="eastAsia" w:cs="Times New Roman"/>
                <w:sz w:val="20"/>
                <w:szCs w:val="20"/>
              </w:rPr>
              <w:t>）二级标准</w:t>
            </w:r>
          </w:p>
        </w:tc>
      </w:tr>
      <w:tr w14:paraId="249E8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vMerge w:val="continue"/>
            <w:tcBorders>
              <w:top w:val="single" w:color="auto" w:sz="4" w:space="0"/>
              <w:left w:val="single" w:color="auto" w:sz="12" w:space="0"/>
              <w:bottom w:val="single" w:color="auto" w:sz="4" w:space="0"/>
              <w:right w:val="single" w:color="auto" w:sz="4" w:space="0"/>
            </w:tcBorders>
            <w:vAlign w:val="center"/>
          </w:tcPr>
          <w:p w14:paraId="7B315294">
            <w:pPr>
              <w:widowControl/>
              <w:wordWrap/>
              <w:topLinePunct w:val="0"/>
              <w:adjustRightInd/>
              <w:snapToGrid/>
              <w:spacing w:line="240" w:lineRule="auto"/>
              <w:ind w:firstLine="0" w:firstLineChars="0"/>
              <w:jc w:val="left"/>
              <w:rPr>
                <w:rFonts w:cs="Times New Roman"/>
                <w:sz w:val="20"/>
                <w:szCs w:val="20"/>
              </w:rPr>
            </w:pPr>
          </w:p>
        </w:tc>
        <w:tc>
          <w:tcPr>
            <w:tcW w:w="1329" w:type="dxa"/>
            <w:tcBorders>
              <w:top w:val="single" w:color="auto" w:sz="4" w:space="0"/>
              <w:left w:val="single" w:color="auto" w:sz="4" w:space="0"/>
              <w:bottom w:val="single" w:color="auto" w:sz="4" w:space="0"/>
              <w:right w:val="single" w:color="auto" w:sz="4" w:space="0"/>
            </w:tcBorders>
            <w:vAlign w:val="center"/>
          </w:tcPr>
          <w:p w14:paraId="0CA45F11">
            <w:pPr>
              <w:wordWrap/>
              <w:spacing w:line="240" w:lineRule="auto"/>
              <w:ind w:firstLine="0" w:firstLineChars="0"/>
              <w:jc w:val="center"/>
              <w:rPr>
                <w:rFonts w:cs="Times New Roman"/>
                <w:sz w:val="20"/>
                <w:szCs w:val="20"/>
              </w:rPr>
            </w:pPr>
            <w:r>
              <w:rPr>
                <w:rFonts w:hint="eastAsia" w:cs="Times New Roman"/>
                <w:sz w:val="20"/>
                <w:szCs w:val="20"/>
              </w:rPr>
              <w:t>黄家垅</w:t>
            </w:r>
          </w:p>
        </w:tc>
        <w:tc>
          <w:tcPr>
            <w:tcW w:w="1559" w:type="dxa"/>
            <w:tcBorders>
              <w:top w:val="single" w:color="auto" w:sz="4" w:space="0"/>
              <w:left w:val="single" w:color="auto" w:sz="4" w:space="0"/>
              <w:bottom w:val="single" w:color="auto" w:sz="4" w:space="0"/>
              <w:right w:val="single" w:color="auto" w:sz="4" w:space="0"/>
            </w:tcBorders>
            <w:vAlign w:val="center"/>
          </w:tcPr>
          <w:p w14:paraId="6A21158C">
            <w:pPr>
              <w:wordWrap/>
              <w:spacing w:line="240" w:lineRule="auto"/>
              <w:ind w:firstLine="0" w:firstLineChars="0"/>
              <w:jc w:val="center"/>
              <w:rPr>
                <w:rFonts w:cs="Times New Roman"/>
                <w:sz w:val="20"/>
                <w:szCs w:val="20"/>
              </w:rPr>
            </w:pPr>
            <w:r>
              <w:rPr>
                <w:rFonts w:cs="Times New Roman"/>
                <w:sz w:val="20"/>
                <w:szCs w:val="20"/>
              </w:rPr>
              <w:t>112°38′35.96921″</w:t>
            </w:r>
          </w:p>
          <w:p w14:paraId="2295C0B7">
            <w:pPr>
              <w:wordWrap/>
              <w:spacing w:line="240" w:lineRule="auto"/>
              <w:ind w:firstLine="0" w:firstLineChars="0"/>
              <w:jc w:val="center"/>
              <w:rPr>
                <w:rFonts w:cs="Times New Roman"/>
                <w:sz w:val="20"/>
                <w:szCs w:val="20"/>
              </w:rPr>
            </w:pPr>
            <w:r>
              <w:rPr>
                <w:rFonts w:cs="Times New Roman"/>
                <w:sz w:val="20"/>
                <w:szCs w:val="20"/>
              </w:rPr>
              <w:t>26°57′54.53460″</w:t>
            </w:r>
          </w:p>
        </w:tc>
        <w:tc>
          <w:tcPr>
            <w:tcW w:w="1560" w:type="dxa"/>
            <w:tcBorders>
              <w:top w:val="single" w:color="auto" w:sz="4" w:space="0"/>
              <w:left w:val="single" w:color="auto" w:sz="4" w:space="0"/>
              <w:bottom w:val="single" w:color="auto" w:sz="4" w:space="0"/>
              <w:right w:val="single" w:color="auto" w:sz="4" w:space="0"/>
            </w:tcBorders>
            <w:vAlign w:val="center"/>
          </w:tcPr>
          <w:p w14:paraId="17F2C5B3">
            <w:pPr>
              <w:wordWrap/>
              <w:spacing w:line="240" w:lineRule="auto"/>
              <w:ind w:firstLine="0" w:firstLineChars="0"/>
              <w:jc w:val="center"/>
              <w:rPr>
                <w:rFonts w:cs="Times New Roman"/>
                <w:sz w:val="20"/>
                <w:szCs w:val="20"/>
              </w:rPr>
            </w:pPr>
            <w:r>
              <w:rPr>
                <w:rFonts w:hint="eastAsia" w:cs="Times New Roman"/>
                <w:sz w:val="20"/>
                <w:szCs w:val="20"/>
              </w:rPr>
              <w:t>矿区</w:t>
            </w:r>
            <w:r>
              <w:rPr>
                <w:rFonts w:cs="Times New Roman"/>
                <w:sz w:val="20"/>
                <w:szCs w:val="20"/>
              </w:rPr>
              <w:t>S/394m</w:t>
            </w:r>
          </w:p>
          <w:p w14:paraId="2C5ED667">
            <w:pPr>
              <w:wordWrap/>
              <w:spacing w:line="240" w:lineRule="auto"/>
              <w:ind w:firstLine="0" w:firstLineChars="0"/>
              <w:jc w:val="center"/>
              <w:rPr>
                <w:rFonts w:cs="Times New Roman"/>
                <w:sz w:val="20"/>
                <w:szCs w:val="20"/>
              </w:rPr>
            </w:pPr>
            <w:r>
              <w:rPr>
                <w:rFonts w:hint="eastAsia" w:cs="Times New Roman"/>
                <w:sz w:val="20"/>
                <w:szCs w:val="20"/>
              </w:rPr>
              <w:t>新建井场</w:t>
            </w:r>
            <w:r>
              <w:rPr>
                <w:rFonts w:cs="Times New Roman"/>
                <w:sz w:val="20"/>
                <w:szCs w:val="20"/>
              </w:rPr>
              <w:t>SE/1920m</w:t>
            </w:r>
          </w:p>
        </w:tc>
        <w:tc>
          <w:tcPr>
            <w:tcW w:w="992" w:type="dxa"/>
            <w:tcBorders>
              <w:top w:val="single" w:color="auto" w:sz="4" w:space="0"/>
              <w:left w:val="single" w:color="auto" w:sz="4" w:space="0"/>
              <w:bottom w:val="single" w:color="auto" w:sz="4" w:space="0"/>
              <w:right w:val="single" w:color="auto" w:sz="4" w:space="0"/>
            </w:tcBorders>
            <w:vAlign w:val="center"/>
          </w:tcPr>
          <w:p w14:paraId="5B2B8003">
            <w:pPr>
              <w:wordWrap/>
              <w:spacing w:line="240" w:lineRule="auto"/>
              <w:ind w:firstLine="0" w:firstLineChars="0"/>
              <w:jc w:val="center"/>
              <w:rPr>
                <w:rFonts w:cs="Times New Roman"/>
                <w:sz w:val="20"/>
                <w:szCs w:val="20"/>
              </w:rPr>
            </w:pPr>
            <w:r>
              <w:rPr>
                <w:rFonts w:hint="eastAsia" w:cs="Times New Roman"/>
                <w:sz w:val="20"/>
                <w:szCs w:val="20"/>
              </w:rPr>
              <w:t>居住区</w:t>
            </w:r>
          </w:p>
        </w:tc>
        <w:tc>
          <w:tcPr>
            <w:tcW w:w="754" w:type="dxa"/>
            <w:tcBorders>
              <w:top w:val="single" w:color="auto" w:sz="4" w:space="0"/>
              <w:left w:val="single" w:color="auto" w:sz="4" w:space="0"/>
              <w:bottom w:val="single" w:color="auto" w:sz="4" w:space="0"/>
              <w:right w:val="single" w:color="auto" w:sz="4" w:space="0"/>
            </w:tcBorders>
            <w:vAlign w:val="center"/>
          </w:tcPr>
          <w:p w14:paraId="0A3BDF1D">
            <w:pPr>
              <w:wordWrap/>
              <w:spacing w:line="240" w:lineRule="auto"/>
              <w:ind w:firstLine="0" w:firstLineChars="0"/>
              <w:jc w:val="center"/>
              <w:rPr>
                <w:rFonts w:cs="Times New Roman"/>
                <w:sz w:val="20"/>
                <w:szCs w:val="20"/>
              </w:rPr>
            </w:pPr>
            <w:r>
              <w:rPr>
                <w:rFonts w:hint="eastAsia" w:cs="Times New Roman"/>
                <w:sz w:val="20"/>
                <w:szCs w:val="20"/>
              </w:rPr>
              <w:t>人群</w:t>
            </w:r>
          </w:p>
        </w:tc>
        <w:tc>
          <w:tcPr>
            <w:tcW w:w="1655" w:type="dxa"/>
            <w:vMerge w:val="continue"/>
            <w:tcBorders>
              <w:top w:val="single" w:color="auto" w:sz="4" w:space="0"/>
              <w:left w:val="single" w:color="auto" w:sz="4" w:space="0"/>
              <w:bottom w:val="single" w:color="auto" w:sz="4" w:space="0"/>
              <w:right w:val="single" w:color="auto" w:sz="12" w:space="0"/>
            </w:tcBorders>
            <w:vAlign w:val="center"/>
          </w:tcPr>
          <w:p w14:paraId="75698BD5">
            <w:pPr>
              <w:widowControl/>
              <w:wordWrap/>
              <w:topLinePunct w:val="0"/>
              <w:adjustRightInd/>
              <w:snapToGrid/>
              <w:spacing w:line="240" w:lineRule="auto"/>
              <w:ind w:firstLine="0" w:firstLineChars="0"/>
              <w:jc w:val="left"/>
              <w:rPr>
                <w:rFonts w:cs="Times New Roman"/>
                <w:sz w:val="20"/>
                <w:szCs w:val="20"/>
              </w:rPr>
            </w:pPr>
          </w:p>
        </w:tc>
      </w:tr>
      <w:tr w14:paraId="28A20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vMerge w:val="continue"/>
            <w:tcBorders>
              <w:top w:val="single" w:color="auto" w:sz="4" w:space="0"/>
              <w:left w:val="single" w:color="auto" w:sz="12" w:space="0"/>
              <w:bottom w:val="single" w:color="auto" w:sz="4" w:space="0"/>
              <w:right w:val="single" w:color="auto" w:sz="4" w:space="0"/>
            </w:tcBorders>
            <w:vAlign w:val="center"/>
          </w:tcPr>
          <w:p w14:paraId="648E0868">
            <w:pPr>
              <w:widowControl/>
              <w:wordWrap/>
              <w:topLinePunct w:val="0"/>
              <w:adjustRightInd/>
              <w:snapToGrid/>
              <w:spacing w:line="240" w:lineRule="auto"/>
              <w:ind w:firstLine="0" w:firstLineChars="0"/>
              <w:jc w:val="left"/>
              <w:rPr>
                <w:rFonts w:cs="Times New Roman"/>
                <w:sz w:val="20"/>
                <w:szCs w:val="20"/>
              </w:rPr>
            </w:pPr>
          </w:p>
        </w:tc>
        <w:tc>
          <w:tcPr>
            <w:tcW w:w="1329" w:type="dxa"/>
            <w:tcBorders>
              <w:top w:val="single" w:color="auto" w:sz="4" w:space="0"/>
              <w:left w:val="single" w:color="auto" w:sz="4" w:space="0"/>
              <w:bottom w:val="single" w:color="auto" w:sz="4" w:space="0"/>
              <w:right w:val="single" w:color="auto" w:sz="4" w:space="0"/>
            </w:tcBorders>
            <w:vAlign w:val="center"/>
          </w:tcPr>
          <w:p w14:paraId="2F88ADBD">
            <w:pPr>
              <w:wordWrap/>
              <w:spacing w:line="240" w:lineRule="auto"/>
              <w:ind w:firstLine="0" w:firstLineChars="0"/>
              <w:jc w:val="center"/>
              <w:rPr>
                <w:rFonts w:cs="Times New Roman"/>
                <w:sz w:val="20"/>
                <w:szCs w:val="20"/>
              </w:rPr>
            </w:pPr>
            <w:r>
              <w:rPr>
                <w:rFonts w:hint="eastAsia" w:cs="Times New Roman"/>
                <w:sz w:val="20"/>
                <w:szCs w:val="20"/>
              </w:rPr>
              <w:t>下老虎塘</w:t>
            </w:r>
          </w:p>
        </w:tc>
        <w:tc>
          <w:tcPr>
            <w:tcW w:w="1559" w:type="dxa"/>
            <w:tcBorders>
              <w:top w:val="single" w:color="auto" w:sz="4" w:space="0"/>
              <w:left w:val="single" w:color="auto" w:sz="4" w:space="0"/>
              <w:bottom w:val="single" w:color="auto" w:sz="4" w:space="0"/>
              <w:right w:val="single" w:color="auto" w:sz="4" w:space="0"/>
            </w:tcBorders>
            <w:vAlign w:val="center"/>
          </w:tcPr>
          <w:p w14:paraId="424BE2D3">
            <w:pPr>
              <w:wordWrap/>
              <w:spacing w:line="240" w:lineRule="auto"/>
              <w:ind w:firstLine="0" w:firstLineChars="0"/>
              <w:jc w:val="center"/>
              <w:rPr>
                <w:rFonts w:cs="Times New Roman"/>
                <w:sz w:val="20"/>
                <w:szCs w:val="20"/>
              </w:rPr>
            </w:pPr>
            <w:r>
              <w:rPr>
                <w:rFonts w:cs="Times New Roman"/>
                <w:sz w:val="20"/>
                <w:szCs w:val="20"/>
              </w:rPr>
              <w:t>112°38′27.78096″</w:t>
            </w:r>
          </w:p>
          <w:p w14:paraId="43F217B4">
            <w:pPr>
              <w:wordWrap/>
              <w:spacing w:line="240" w:lineRule="auto"/>
              <w:ind w:firstLine="0" w:firstLineChars="0"/>
              <w:jc w:val="center"/>
              <w:rPr>
                <w:rFonts w:cs="Times New Roman"/>
                <w:sz w:val="20"/>
                <w:szCs w:val="20"/>
              </w:rPr>
            </w:pPr>
            <w:r>
              <w:rPr>
                <w:rFonts w:cs="Times New Roman"/>
                <w:sz w:val="20"/>
                <w:szCs w:val="20"/>
              </w:rPr>
              <w:t>26°57′55.71262″</w:t>
            </w:r>
          </w:p>
        </w:tc>
        <w:tc>
          <w:tcPr>
            <w:tcW w:w="1560" w:type="dxa"/>
            <w:tcBorders>
              <w:top w:val="single" w:color="auto" w:sz="4" w:space="0"/>
              <w:left w:val="single" w:color="auto" w:sz="4" w:space="0"/>
              <w:bottom w:val="single" w:color="auto" w:sz="4" w:space="0"/>
              <w:right w:val="single" w:color="auto" w:sz="4" w:space="0"/>
            </w:tcBorders>
            <w:vAlign w:val="center"/>
          </w:tcPr>
          <w:p w14:paraId="1C7713B7">
            <w:pPr>
              <w:wordWrap/>
              <w:spacing w:line="240" w:lineRule="auto"/>
              <w:ind w:firstLine="0" w:firstLineChars="0"/>
              <w:jc w:val="center"/>
              <w:rPr>
                <w:rFonts w:cs="Times New Roman"/>
                <w:sz w:val="20"/>
                <w:szCs w:val="20"/>
              </w:rPr>
            </w:pPr>
            <w:r>
              <w:rPr>
                <w:rFonts w:hint="eastAsia" w:cs="Times New Roman"/>
                <w:sz w:val="20"/>
                <w:szCs w:val="20"/>
              </w:rPr>
              <w:t>矿区</w:t>
            </w:r>
            <w:r>
              <w:rPr>
                <w:rFonts w:cs="Times New Roman"/>
                <w:sz w:val="20"/>
                <w:szCs w:val="20"/>
              </w:rPr>
              <w:t>S/333m</w:t>
            </w:r>
          </w:p>
          <w:p w14:paraId="6D8ACBA0">
            <w:pPr>
              <w:wordWrap/>
              <w:spacing w:line="240" w:lineRule="auto"/>
              <w:ind w:firstLine="0" w:firstLineChars="0"/>
              <w:jc w:val="center"/>
              <w:rPr>
                <w:rFonts w:cs="Times New Roman"/>
                <w:sz w:val="20"/>
                <w:szCs w:val="20"/>
              </w:rPr>
            </w:pPr>
            <w:r>
              <w:rPr>
                <w:rFonts w:hint="eastAsia" w:cs="Times New Roman"/>
                <w:sz w:val="20"/>
                <w:szCs w:val="20"/>
              </w:rPr>
              <w:t>新建井场</w:t>
            </w:r>
            <w:r>
              <w:rPr>
                <w:rFonts w:cs="Times New Roman"/>
                <w:sz w:val="20"/>
                <w:szCs w:val="20"/>
              </w:rPr>
              <w:t>SE/1560m</w:t>
            </w:r>
          </w:p>
        </w:tc>
        <w:tc>
          <w:tcPr>
            <w:tcW w:w="992" w:type="dxa"/>
            <w:tcBorders>
              <w:top w:val="single" w:color="auto" w:sz="4" w:space="0"/>
              <w:left w:val="single" w:color="auto" w:sz="4" w:space="0"/>
              <w:bottom w:val="single" w:color="auto" w:sz="4" w:space="0"/>
              <w:right w:val="single" w:color="auto" w:sz="4" w:space="0"/>
            </w:tcBorders>
            <w:vAlign w:val="center"/>
          </w:tcPr>
          <w:p w14:paraId="0D545D6D">
            <w:pPr>
              <w:wordWrap/>
              <w:spacing w:line="240" w:lineRule="auto"/>
              <w:ind w:firstLine="0" w:firstLineChars="0"/>
              <w:jc w:val="center"/>
              <w:rPr>
                <w:rFonts w:cs="Times New Roman"/>
                <w:sz w:val="20"/>
                <w:szCs w:val="20"/>
              </w:rPr>
            </w:pPr>
            <w:r>
              <w:rPr>
                <w:rFonts w:hint="eastAsia" w:cs="Times New Roman"/>
                <w:sz w:val="20"/>
                <w:szCs w:val="20"/>
              </w:rPr>
              <w:t>居住区</w:t>
            </w:r>
          </w:p>
        </w:tc>
        <w:tc>
          <w:tcPr>
            <w:tcW w:w="754" w:type="dxa"/>
            <w:tcBorders>
              <w:top w:val="single" w:color="auto" w:sz="4" w:space="0"/>
              <w:left w:val="single" w:color="auto" w:sz="4" w:space="0"/>
              <w:bottom w:val="single" w:color="auto" w:sz="4" w:space="0"/>
              <w:right w:val="single" w:color="auto" w:sz="4" w:space="0"/>
            </w:tcBorders>
            <w:vAlign w:val="center"/>
          </w:tcPr>
          <w:p w14:paraId="5D120A91">
            <w:pPr>
              <w:wordWrap/>
              <w:spacing w:line="240" w:lineRule="auto"/>
              <w:ind w:firstLine="0" w:firstLineChars="0"/>
              <w:jc w:val="center"/>
              <w:rPr>
                <w:rFonts w:cs="Times New Roman"/>
                <w:sz w:val="20"/>
                <w:szCs w:val="20"/>
              </w:rPr>
            </w:pPr>
            <w:r>
              <w:rPr>
                <w:rFonts w:hint="eastAsia" w:cs="Times New Roman"/>
                <w:sz w:val="20"/>
                <w:szCs w:val="20"/>
              </w:rPr>
              <w:t>人群</w:t>
            </w:r>
          </w:p>
        </w:tc>
        <w:tc>
          <w:tcPr>
            <w:tcW w:w="1655" w:type="dxa"/>
            <w:vMerge w:val="continue"/>
            <w:tcBorders>
              <w:top w:val="single" w:color="auto" w:sz="4" w:space="0"/>
              <w:left w:val="single" w:color="auto" w:sz="4" w:space="0"/>
              <w:bottom w:val="single" w:color="auto" w:sz="4" w:space="0"/>
              <w:right w:val="single" w:color="auto" w:sz="12" w:space="0"/>
            </w:tcBorders>
            <w:vAlign w:val="center"/>
          </w:tcPr>
          <w:p w14:paraId="54FA7039">
            <w:pPr>
              <w:widowControl/>
              <w:wordWrap/>
              <w:topLinePunct w:val="0"/>
              <w:adjustRightInd/>
              <w:snapToGrid/>
              <w:spacing w:line="240" w:lineRule="auto"/>
              <w:ind w:firstLine="0" w:firstLineChars="0"/>
              <w:jc w:val="left"/>
              <w:rPr>
                <w:rFonts w:cs="Times New Roman"/>
                <w:sz w:val="20"/>
                <w:szCs w:val="20"/>
              </w:rPr>
            </w:pPr>
          </w:p>
        </w:tc>
      </w:tr>
      <w:tr w14:paraId="18FA2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vMerge w:val="continue"/>
            <w:tcBorders>
              <w:top w:val="single" w:color="auto" w:sz="4" w:space="0"/>
              <w:left w:val="single" w:color="auto" w:sz="12" w:space="0"/>
              <w:bottom w:val="single" w:color="auto" w:sz="4" w:space="0"/>
              <w:right w:val="single" w:color="auto" w:sz="4" w:space="0"/>
            </w:tcBorders>
            <w:vAlign w:val="center"/>
          </w:tcPr>
          <w:p w14:paraId="3AC2F5D9">
            <w:pPr>
              <w:widowControl/>
              <w:wordWrap/>
              <w:topLinePunct w:val="0"/>
              <w:adjustRightInd/>
              <w:snapToGrid/>
              <w:spacing w:line="240" w:lineRule="auto"/>
              <w:ind w:firstLine="0" w:firstLineChars="0"/>
              <w:jc w:val="left"/>
              <w:rPr>
                <w:rFonts w:cs="Times New Roman"/>
                <w:sz w:val="20"/>
                <w:szCs w:val="20"/>
              </w:rPr>
            </w:pPr>
          </w:p>
        </w:tc>
        <w:tc>
          <w:tcPr>
            <w:tcW w:w="1329" w:type="dxa"/>
            <w:tcBorders>
              <w:top w:val="single" w:color="auto" w:sz="4" w:space="0"/>
              <w:left w:val="single" w:color="auto" w:sz="4" w:space="0"/>
              <w:bottom w:val="single" w:color="auto" w:sz="4" w:space="0"/>
              <w:right w:val="single" w:color="auto" w:sz="4" w:space="0"/>
            </w:tcBorders>
            <w:vAlign w:val="center"/>
          </w:tcPr>
          <w:p w14:paraId="1ACB9BAB">
            <w:pPr>
              <w:wordWrap/>
              <w:spacing w:line="240" w:lineRule="auto"/>
              <w:ind w:firstLine="0" w:firstLineChars="0"/>
              <w:jc w:val="center"/>
              <w:rPr>
                <w:rFonts w:cs="Times New Roman"/>
                <w:sz w:val="20"/>
                <w:szCs w:val="20"/>
              </w:rPr>
            </w:pPr>
            <w:r>
              <w:rPr>
                <w:rFonts w:hint="eastAsia" w:cs="Times New Roman"/>
                <w:sz w:val="20"/>
                <w:szCs w:val="20"/>
              </w:rPr>
              <w:t>松木公租房</w:t>
            </w:r>
          </w:p>
        </w:tc>
        <w:tc>
          <w:tcPr>
            <w:tcW w:w="1559" w:type="dxa"/>
            <w:tcBorders>
              <w:top w:val="single" w:color="auto" w:sz="4" w:space="0"/>
              <w:left w:val="single" w:color="auto" w:sz="4" w:space="0"/>
              <w:bottom w:val="single" w:color="auto" w:sz="4" w:space="0"/>
              <w:right w:val="single" w:color="auto" w:sz="4" w:space="0"/>
            </w:tcBorders>
            <w:vAlign w:val="center"/>
          </w:tcPr>
          <w:p w14:paraId="417A70C4">
            <w:pPr>
              <w:wordWrap/>
              <w:spacing w:line="240" w:lineRule="auto"/>
              <w:ind w:firstLine="0" w:firstLineChars="0"/>
              <w:jc w:val="center"/>
              <w:rPr>
                <w:rFonts w:cs="Times New Roman"/>
                <w:sz w:val="20"/>
                <w:szCs w:val="20"/>
              </w:rPr>
            </w:pPr>
            <w:r>
              <w:rPr>
                <w:rFonts w:cs="Times New Roman"/>
                <w:sz w:val="20"/>
                <w:szCs w:val="20"/>
              </w:rPr>
              <w:t>112°37′19.97686″</w:t>
            </w:r>
          </w:p>
          <w:p w14:paraId="4E4458CF">
            <w:pPr>
              <w:wordWrap/>
              <w:spacing w:line="240" w:lineRule="auto"/>
              <w:ind w:firstLine="0" w:firstLineChars="0"/>
              <w:jc w:val="center"/>
              <w:rPr>
                <w:rFonts w:cs="Times New Roman"/>
                <w:sz w:val="20"/>
                <w:szCs w:val="20"/>
              </w:rPr>
            </w:pPr>
            <w:r>
              <w:rPr>
                <w:rFonts w:cs="Times New Roman"/>
                <w:sz w:val="20"/>
                <w:szCs w:val="20"/>
              </w:rPr>
              <w:t>26°58′3.78500″</w:t>
            </w:r>
          </w:p>
        </w:tc>
        <w:tc>
          <w:tcPr>
            <w:tcW w:w="1560" w:type="dxa"/>
            <w:tcBorders>
              <w:top w:val="single" w:color="auto" w:sz="4" w:space="0"/>
              <w:left w:val="single" w:color="auto" w:sz="4" w:space="0"/>
              <w:bottom w:val="single" w:color="auto" w:sz="4" w:space="0"/>
              <w:right w:val="single" w:color="auto" w:sz="4" w:space="0"/>
            </w:tcBorders>
            <w:vAlign w:val="center"/>
          </w:tcPr>
          <w:p w14:paraId="6DCAA3FD">
            <w:pPr>
              <w:wordWrap/>
              <w:spacing w:line="240" w:lineRule="auto"/>
              <w:ind w:firstLine="0" w:firstLineChars="0"/>
              <w:jc w:val="center"/>
              <w:rPr>
                <w:rFonts w:cs="Times New Roman"/>
                <w:sz w:val="20"/>
                <w:szCs w:val="20"/>
              </w:rPr>
            </w:pPr>
            <w:r>
              <w:rPr>
                <w:rFonts w:hint="eastAsia" w:cs="Times New Roman"/>
                <w:sz w:val="20"/>
                <w:szCs w:val="20"/>
              </w:rPr>
              <w:t>矿区</w:t>
            </w:r>
            <w:r>
              <w:rPr>
                <w:rFonts w:cs="Times New Roman"/>
                <w:sz w:val="20"/>
                <w:szCs w:val="20"/>
              </w:rPr>
              <w:t>S/24m</w:t>
            </w:r>
          </w:p>
          <w:p w14:paraId="5FA1C9A0">
            <w:pPr>
              <w:wordWrap/>
              <w:spacing w:line="240" w:lineRule="auto"/>
              <w:ind w:firstLine="0" w:firstLineChars="0"/>
              <w:jc w:val="center"/>
              <w:rPr>
                <w:rFonts w:cs="Times New Roman"/>
                <w:sz w:val="20"/>
                <w:szCs w:val="20"/>
              </w:rPr>
            </w:pPr>
            <w:r>
              <w:rPr>
                <w:rFonts w:hint="eastAsia" w:cs="Times New Roman"/>
                <w:sz w:val="20"/>
                <w:szCs w:val="20"/>
              </w:rPr>
              <w:t>新建井场</w:t>
            </w:r>
            <w:r>
              <w:rPr>
                <w:rFonts w:cs="Times New Roman"/>
                <w:sz w:val="20"/>
                <w:szCs w:val="20"/>
              </w:rPr>
              <w:t>SW/500m</w:t>
            </w:r>
          </w:p>
        </w:tc>
        <w:tc>
          <w:tcPr>
            <w:tcW w:w="992" w:type="dxa"/>
            <w:tcBorders>
              <w:top w:val="single" w:color="auto" w:sz="4" w:space="0"/>
              <w:left w:val="single" w:color="auto" w:sz="4" w:space="0"/>
              <w:bottom w:val="single" w:color="auto" w:sz="4" w:space="0"/>
              <w:right w:val="single" w:color="auto" w:sz="4" w:space="0"/>
            </w:tcBorders>
            <w:vAlign w:val="center"/>
          </w:tcPr>
          <w:p w14:paraId="4B3935D3">
            <w:pPr>
              <w:wordWrap/>
              <w:spacing w:line="240" w:lineRule="auto"/>
              <w:ind w:firstLine="0" w:firstLineChars="0"/>
              <w:jc w:val="center"/>
              <w:rPr>
                <w:rFonts w:cs="Times New Roman"/>
                <w:sz w:val="20"/>
                <w:szCs w:val="20"/>
              </w:rPr>
            </w:pPr>
            <w:r>
              <w:rPr>
                <w:rFonts w:hint="eastAsia" w:cs="Times New Roman"/>
                <w:sz w:val="20"/>
                <w:szCs w:val="20"/>
              </w:rPr>
              <w:t>居住区</w:t>
            </w:r>
          </w:p>
        </w:tc>
        <w:tc>
          <w:tcPr>
            <w:tcW w:w="754" w:type="dxa"/>
            <w:tcBorders>
              <w:top w:val="single" w:color="auto" w:sz="4" w:space="0"/>
              <w:left w:val="single" w:color="auto" w:sz="4" w:space="0"/>
              <w:bottom w:val="single" w:color="auto" w:sz="4" w:space="0"/>
              <w:right w:val="single" w:color="auto" w:sz="4" w:space="0"/>
            </w:tcBorders>
            <w:vAlign w:val="center"/>
          </w:tcPr>
          <w:p w14:paraId="42209A34">
            <w:pPr>
              <w:wordWrap/>
              <w:spacing w:line="240" w:lineRule="auto"/>
              <w:ind w:firstLine="0" w:firstLineChars="0"/>
              <w:jc w:val="center"/>
              <w:rPr>
                <w:rFonts w:cs="Times New Roman"/>
                <w:sz w:val="20"/>
                <w:szCs w:val="20"/>
              </w:rPr>
            </w:pPr>
            <w:r>
              <w:rPr>
                <w:rFonts w:hint="eastAsia" w:cs="Times New Roman"/>
                <w:sz w:val="20"/>
                <w:szCs w:val="20"/>
              </w:rPr>
              <w:t>人群</w:t>
            </w:r>
          </w:p>
        </w:tc>
        <w:tc>
          <w:tcPr>
            <w:tcW w:w="1655" w:type="dxa"/>
            <w:vMerge w:val="continue"/>
            <w:tcBorders>
              <w:top w:val="single" w:color="auto" w:sz="4" w:space="0"/>
              <w:left w:val="single" w:color="auto" w:sz="4" w:space="0"/>
              <w:bottom w:val="single" w:color="auto" w:sz="4" w:space="0"/>
              <w:right w:val="single" w:color="auto" w:sz="12" w:space="0"/>
            </w:tcBorders>
            <w:vAlign w:val="center"/>
          </w:tcPr>
          <w:p w14:paraId="03899751">
            <w:pPr>
              <w:widowControl/>
              <w:wordWrap/>
              <w:topLinePunct w:val="0"/>
              <w:adjustRightInd/>
              <w:snapToGrid/>
              <w:spacing w:line="240" w:lineRule="auto"/>
              <w:ind w:firstLine="0" w:firstLineChars="0"/>
              <w:jc w:val="left"/>
              <w:rPr>
                <w:rFonts w:cs="Times New Roman"/>
                <w:sz w:val="20"/>
                <w:szCs w:val="20"/>
              </w:rPr>
            </w:pPr>
          </w:p>
        </w:tc>
      </w:tr>
      <w:tr w14:paraId="1036C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vMerge w:val="continue"/>
            <w:tcBorders>
              <w:top w:val="single" w:color="auto" w:sz="4" w:space="0"/>
              <w:left w:val="single" w:color="auto" w:sz="12" w:space="0"/>
              <w:bottom w:val="single" w:color="auto" w:sz="4" w:space="0"/>
              <w:right w:val="single" w:color="auto" w:sz="4" w:space="0"/>
            </w:tcBorders>
            <w:vAlign w:val="center"/>
          </w:tcPr>
          <w:p w14:paraId="66E0FDDE">
            <w:pPr>
              <w:widowControl/>
              <w:wordWrap/>
              <w:topLinePunct w:val="0"/>
              <w:adjustRightInd/>
              <w:snapToGrid/>
              <w:spacing w:line="240" w:lineRule="auto"/>
              <w:ind w:firstLine="0" w:firstLineChars="0"/>
              <w:jc w:val="left"/>
              <w:rPr>
                <w:rFonts w:cs="Times New Roman"/>
                <w:sz w:val="20"/>
                <w:szCs w:val="20"/>
              </w:rPr>
            </w:pPr>
          </w:p>
        </w:tc>
        <w:tc>
          <w:tcPr>
            <w:tcW w:w="1329" w:type="dxa"/>
            <w:tcBorders>
              <w:top w:val="single" w:color="auto" w:sz="4" w:space="0"/>
              <w:left w:val="single" w:color="auto" w:sz="4" w:space="0"/>
              <w:bottom w:val="single" w:color="auto" w:sz="4" w:space="0"/>
              <w:right w:val="single" w:color="auto" w:sz="4" w:space="0"/>
            </w:tcBorders>
            <w:vAlign w:val="center"/>
          </w:tcPr>
          <w:p w14:paraId="0EEDC004">
            <w:pPr>
              <w:wordWrap/>
              <w:spacing w:line="240" w:lineRule="auto"/>
              <w:ind w:firstLine="0" w:firstLineChars="0"/>
              <w:jc w:val="center"/>
              <w:rPr>
                <w:rFonts w:cs="Times New Roman"/>
                <w:sz w:val="20"/>
                <w:szCs w:val="20"/>
              </w:rPr>
            </w:pPr>
            <w:r>
              <w:rPr>
                <w:rFonts w:hint="eastAsia" w:cs="Times New Roman"/>
                <w:sz w:val="20"/>
                <w:szCs w:val="20"/>
              </w:rPr>
              <w:t>松木经开区管委会</w:t>
            </w:r>
          </w:p>
        </w:tc>
        <w:tc>
          <w:tcPr>
            <w:tcW w:w="1559" w:type="dxa"/>
            <w:tcBorders>
              <w:top w:val="single" w:color="auto" w:sz="4" w:space="0"/>
              <w:left w:val="single" w:color="auto" w:sz="4" w:space="0"/>
              <w:bottom w:val="single" w:color="auto" w:sz="4" w:space="0"/>
              <w:right w:val="single" w:color="auto" w:sz="4" w:space="0"/>
            </w:tcBorders>
            <w:vAlign w:val="center"/>
          </w:tcPr>
          <w:p w14:paraId="7DFABD45">
            <w:pPr>
              <w:wordWrap/>
              <w:spacing w:line="240" w:lineRule="auto"/>
              <w:ind w:firstLine="0" w:firstLineChars="0"/>
              <w:jc w:val="center"/>
              <w:rPr>
                <w:rFonts w:cs="Times New Roman"/>
                <w:sz w:val="20"/>
                <w:szCs w:val="20"/>
              </w:rPr>
            </w:pPr>
            <w:r>
              <w:rPr>
                <w:rFonts w:cs="Times New Roman"/>
                <w:sz w:val="20"/>
                <w:szCs w:val="20"/>
              </w:rPr>
              <w:t>112°37′1.16706″</w:t>
            </w:r>
          </w:p>
          <w:p w14:paraId="6B4AA50C">
            <w:pPr>
              <w:wordWrap/>
              <w:spacing w:line="240" w:lineRule="auto"/>
              <w:ind w:firstLine="0" w:firstLineChars="0"/>
              <w:jc w:val="center"/>
              <w:rPr>
                <w:rFonts w:cs="Times New Roman"/>
                <w:sz w:val="20"/>
                <w:szCs w:val="20"/>
              </w:rPr>
            </w:pPr>
            <w:r>
              <w:rPr>
                <w:rFonts w:cs="Times New Roman"/>
                <w:sz w:val="20"/>
                <w:szCs w:val="20"/>
              </w:rPr>
              <w:t>26°58′1.19720″</w:t>
            </w:r>
          </w:p>
        </w:tc>
        <w:tc>
          <w:tcPr>
            <w:tcW w:w="1560" w:type="dxa"/>
            <w:tcBorders>
              <w:top w:val="single" w:color="auto" w:sz="4" w:space="0"/>
              <w:left w:val="single" w:color="auto" w:sz="4" w:space="0"/>
              <w:bottom w:val="single" w:color="auto" w:sz="4" w:space="0"/>
              <w:right w:val="single" w:color="auto" w:sz="4" w:space="0"/>
            </w:tcBorders>
            <w:vAlign w:val="center"/>
          </w:tcPr>
          <w:p w14:paraId="7C984A39">
            <w:pPr>
              <w:wordWrap/>
              <w:spacing w:line="240" w:lineRule="auto"/>
              <w:ind w:firstLine="0" w:firstLineChars="0"/>
              <w:jc w:val="center"/>
              <w:rPr>
                <w:rFonts w:cs="Times New Roman"/>
                <w:sz w:val="20"/>
                <w:szCs w:val="20"/>
              </w:rPr>
            </w:pPr>
            <w:r>
              <w:rPr>
                <w:rFonts w:hint="eastAsia" w:cs="Times New Roman"/>
                <w:sz w:val="20"/>
                <w:szCs w:val="20"/>
              </w:rPr>
              <w:t>矿区</w:t>
            </w:r>
            <w:r>
              <w:rPr>
                <w:rFonts w:cs="Times New Roman"/>
                <w:sz w:val="20"/>
                <w:szCs w:val="20"/>
              </w:rPr>
              <w:t>SW/373m</w:t>
            </w:r>
          </w:p>
          <w:p w14:paraId="4080A005">
            <w:pPr>
              <w:wordWrap/>
              <w:spacing w:line="240" w:lineRule="auto"/>
              <w:ind w:firstLine="0" w:firstLineChars="0"/>
              <w:jc w:val="center"/>
              <w:rPr>
                <w:rFonts w:cs="Times New Roman"/>
                <w:sz w:val="20"/>
                <w:szCs w:val="20"/>
              </w:rPr>
            </w:pPr>
            <w:r>
              <w:rPr>
                <w:rFonts w:hint="eastAsia" w:cs="Times New Roman"/>
                <w:sz w:val="20"/>
                <w:szCs w:val="20"/>
              </w:rPr>
              <w:t>新建井场</w:t>
            </w:r>
            <w:r>
              <w:rPr>
                <w:rFonts w:cs="Times New Roman"/>
                <w:sz w:val="20"/>
                <w:szCs w:val="20"/>
              </w:rPr>
              <w:t>SW/930m</w:t>
            </w:r>
          </w:p>
        </w:tc>
        <w:tc>
          <w:tcPr>
            <w:tcW w:w="992" w:type="dxa"/>
            <w:tcBorders>
              <w:top w:val="single" w:color="auto" w:sz="4" w:space="0"/>
              <w:left w:val="single" w:color="auto" w:sz="4" w:space="0"/>
              <w:bottom w:val="single" w:color="auto" w:sz="4" w:space="0"/>
              <w:right w:val="single" w:color="auto" w:sz="4" w:space="0"/>
            </w:tcBorders>
            <w:vAlign w:val="center"/>
          </w:tcPr>
          <w:p w14:paraId="3A6214F1">
            <w:pPr>
              <w:wordWrap/>
              <w:spacing w:line="240" w:lineRule="auto"/>
              <w:ind w:firstLine="0" w:firstLineChars="0"/>
              <w:jc w:val="center"/>
              <w:rPr>
                <w:rFonts w:cs="Times New Roman"/>
                <w:sz w:val="20"/>
                <w:szCs w:val="20"/>
              </w:rPr>
            </w:pPr>
            <w:r>
              <w:rPr>
                <w:rFonts w:hint="eastAsia" w:cs="Times New Roman"/>
                <w:sz w:val="20"/>
                <w:szCs w:val="20"/>
              </w:rPr>
              <w:t>居住区</w:t>
            </w:r>
          </w:p>
        </w:tc>
        <w:tc>
          <w:tcPr>
            <w:tcW w:w="754" w:type="dxa"/>
            <w:tcBorders>
              <w:top w:val="single" w:color="auto" w:sz="4" w:space="0"/>
              <w:left w:val="single" w:color="auto" w:sz="4" w:space="0"/>
              <w:bottom w:val="single" w:color="auto" w:sz="4" w:space="0"/>
              <w:right w:val="single" w:color="auto" w:sz="4" w:space="0"/>
            </w:tcBorders>
            <w:vAlign w:val="center"/>
          </w:tcPr>
          <w:p w14:paraId="6F9A992D">
            <w:pPr>
              <w:wordWrap/>
              <w:spacing w:line="240" w:lineRule="auto"/>
              <w:ind w:firstLine="0" w:firstLineChars="0"/>
              <w:jc w:val="center"/>
              <w:rPr>
                <w:rFonts w:cs="Times New Roman"/>
                <w:sz w:val="20"/>
                <w:szCs w:val="20"/>
              </w:rPr>
            </w:pPr>
            <w:r>
              <w:rPr>
                <w:rFonts w:hint="eastAsia" w:cs="Times New Roman"/>
                <w:sz w:val="20"/>
                <w:szCs w:val="20"/>
              </w:rPr>
              <w:t>人群</w:t>
            </w:r>
          </w:p>
        </w:tc>
        <w:tc>
          <w:tcPr>
            <w:tcW w:w="1655" w:type="dxa"/>
            <w:vMerge w:val="continue"/>
            <w:tcBorders>
              <w:top w:val="single" w:color="auto" w:sz="4" w:space="0"/>
              <w:left w:val="single" w:color="auto" w:sz="4" w:space="0"/>
              <w:bottom w:val="single" w:color="auto" w:sz="4" w:space="0"/>
              <w:right w:val="single" w:color="auto" w:sz="12" w:space="0"/>
            </w:tcBorders>
            <w:vAlign w:val="center"/>
          </w:tcPr>
          <w:p w14:paraId="4305BD5B">
            <w:pPr>
              <w:widowControl/>
              <w:wordWrap/>
              <w:topLinePunct w:val="0"/>
              <w:adjustRightInd/>
              <w:snapToGrid/>
              <w:spacing w:line="240" w:lineRule="auto"/>
              <w:ind w:firstLine="0" w:firstLineChars="0"/>
              <w:jc w:val="left"/>
              <w:rPr>
                <w:rFonts w:cs="Times New Roman"/>
                <w:sz w:val="20"/>
                <w:szCs w:val="20"/>
              </w:rPr>
            </w:pPr>
          </w:p>
        </w:tc>
      </w:tr>
      <w:tr w14:paraId="0AA8F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vMerge w:val="continue"/>
            <w:tcBorders>
              <w:top w:val="single" w:color="auto" w:sz="4" w:space="0"/>
              <w:left w:val="single" w:color="auto" w:sz="12" w:space="0"/>
              <w:bottom w:val="single" w:color="auto" w:sz="4" w:space="0"/>
              <w:right w:val="single" w:color="auto" w:sz="4" w:space="0"/>
            </w:tcBorders>
            <w:vAlign w:val="center"/>
          </w:tcPr>
          <w:p w14:paraId="5D36974B">
            <w:pPr>
              <w:widowControl/>
              <w:wordWrap/>
              <w:topLinePunct w:val="0"/>
              <w:adjustRightInd/>
              <w:snapToGrid/>
              <w:spacing w:line="240" w:lineRule="auto"/>
              <w:ind w:firstLine="0" w:firstLineChars="0"/>
              <w:jc w:val="left"/>
              <w:rPr>
                <w:rFonts w:cs="Times New Roman"/>
                <w:sz w:val="20"/>
                <w:szCs w:val="20"/>
              </w:rPr>
            </w:pPr>
          </w:p>
        </w:tc>
        <w:tc>
          <w:tcPr>
            <w:tcW w:w="1329" w:type="dxa"/>
            <w:tcBorders>
              <w:top w:val="single" w:color="auto" w:sz="4" w:space="0"/>
              <w:left w:val="single" w:color="auto" w:sz="4" w:space="0"/>
              <w:bottom w:val="single" w:color="auto" w:sz="4" w:space="0"/>
              <w:right w:val="single" w:color="auto" w:sz="4" w:space="0"/>
            </w:tcBorders>
            <w:vAlign w:val="center"/>
          </w:tcPr>
          <w:p w14:paraId="4DE01EA5">
            <w:pPr>
              <w:wordWrap/>
              <w:spacing w:line="240" w:lineRule="auto"/>
              <w:ind w:firstLine="0" w:firstLineChars="0"/>
              <w:jc w:val="center"/>
              <w:rPr>
                <w:rFonts w:cs="Times New Roman"/>
                <w:sz w:val="20"/>
                <w:szCs w:val="20"/>
              </w:rPr>
            </w:pPr>
            <w:r>
              <w:rPr>
                <w:rFonts w:hint="eastAsia" w:cs="Times New Roman"/>
                <w:sz w:val="20"/>
                <w:szCs w:val="20"/>
              </w:rPr>
              <w:t>金源小区</w:t>
            </w:r>
          </w:p>
        </w:tc>
        <w:tc>
          <w:tcPr>
            <w:tcW w:w="1559" w:type="dxa"/>
            <w:tcBorders>
              <w:top w:val="single" w:color="auto" w:sz="4" w:space="0"/>
              <w:left w:val="single" w:color="auto" w:sz="4" w:space="0"/>
              <w:bottom w:val="single" w:color="auto" w:sz="4" w:space="0"/>
              <w:right w:val="single" w:color="auto" w:sz="4" w:space="0"/>
            </w:tcBorders>
            <w:vAlign w:val="center"/>
          </w:tcPr>
          <w:p w14:paraId="3ABC26EF">
            <w:pPr>
              <w:wordWrap/>
              <w:spacing w:line="240" w:lineRule="auto"/>
              <w:ind w:firstLine="0" w:firstLineChars="0"/>
              <w:jc w:val="center"/>
              <w:rPr>
                <w:rFonts w:cs="Times New Roman"/>
                <w:sz w:val="20"/>
                <w:szCs w:val="20"/>
              </w:rPr>
            </w:pPr>
            <w:r>
              <w:rPr>
                <w:rFonts w:cs="Times New Roman"/>
                <w:sz w:val="20"/>
                <w:szCs w:val="20"/>
              </w:rPr>
              <w:t>112°37′2.86651″</w:t>
            </w:r>
          </w:p>
          <w:p w14:paraId="2D8738DB">
            <w:pPr>
              <w:wordWrap/>
              <w:spacing w:line="240" w:lineRule="auto"/>
              <w:ind w:firstLine="0" w:firstLineChars="0"/>
              <w:jc w:val="center"/>
              <w:rPr>
                <w:rFonts w:cs="Times New Roman"/>
                <w:sz w:val="20"/>
                <w:szCs w:val="20"/>
              </w:rPr>
            </w:pPr>
            <w:r>
              <w:rPr>
                <w:rFonts w:cs="Times New Roman"/>
                <w:sz w:val="20"/>
                <w:szCs w:val="20"/>
              </w:rPr>
              <w:t>26°58′19.35039″</w:t>
            </w:r>
          </w:p>
        </w:tc>
        <w:tc>
          <w:tcPr>
            <w:tcW w:w="1560" w:type="dxa"/>
            <w:tcBorders>
              <w:top w:val="single" w:color="auto" w:sz="4" w:space="0"/>
              <w:left w:val="single" w:color="auto" w:sz="4" w:space="0"/>
              <w:bottom w:val="single" w:color="auto" w:sz="4" w:space="0"/>
              <w:right w:val="single" w:color="auto" w:sz="4" w:space="0"/>
            </w:tcBorders>
            <w:vAlign w:val="center"/>
          </w:tcPr>
          <w:p w14:paraId="7CDA18DE">
            <w:pPr>
              <w:wordWrap/>
              <w:spacing w:line="240" w:lineRule="auto"/>
              <w:ind w:firstLine="0" w:firstLineChars="0"/>
              <w:jc w:val="center"/>
              <w:rPr>
                <w:rFonts w:cs="Times New Roman"/>
                <w:sz w:val="20"/>
                <w:szCs w:val="20"/>
              </w:rPr>
            </w:pPr>
            <w:r>
              <w:rPr>
                <w:rFonts w:hint="eastAsia" w:cs="Times New Roman"/>
                <w:sz w:val="20"/>
                <w:szCs w:val="20"/>
              </w:rPr>
              <w:t>矿区</w:t>
            </w:r>
            <w:r>
              <w:rPr>
                <w:rFonts w:cs="Times New Roman"/>
                <w:sz w:val="20"/>
                <w:szCs w:val="20"/>
              </w:rPr>
              <w:t>W/327m</w:t>
            </w:r>
          </w:p>
          <w:p w14:paraId="7B3C814C">
            <w:pPr>
              <w:wordWrap/>
              <w:spacing w:line="240" w:lineRule="auto"/>
              <w:ind w:firstLine="0" w:firstLineChars="0"/>
              <w:jc w:val="center"/>
              <w:rPr>
                <w:rFonts w:cs="Times New Roman"/>
                <w:sz w:val="20"/>
                <w:szCs w:val="20"/>
              </w:rPr>
            </w:pPr>
            <w:r>
              <w:rPr>
                <w:rFonts w:hint="eastAsia" w:cs="Times New Roman"/>
                <w:sz w:val="20"/>
                <w:szCs w:val="20"/>
              </w:rPr>
              <w:t>新建井场</w:t>
            </w:r>
            <w:r>
              <w:rPr>
                <w:rFonts w:cs="Times New Roman"/>
                <w:sz w:val="20"/>
                <w:szCs w:val="20"/>
              </w:rPr>
              <w:t>W/767m</w:t>
            </w:r>
          </w:p>
        </w:tc>
        <w:tc>
          <w:tcPr>
            <w:tcW w:w="992" w:type="dxa"/>
            <w:tcBorders>
              <w:top w:val="single" w:color="auto" w:sz="4" w:space="0"/>
              <w:left w:val="single" w:color="auto" w:sz="4" w:space="0"/>
              <w:bottom w:val="single" w:color="auto" w:sz="4" w:space="0"/>
              <w:right w:val="single" w:color="auto" w:sz="4" w:space="0"/>
            </w:tcBorders>
            <w:vAlign w:val="center"/>
          </w:tcPr>
          <w:p w14:paraId="4C24C13A">
            <w:pPr>
              <w:wordWrap/>
              <w:spacing w:line="240" w:lineRule="auto"/>
              <w:ind w:firstLine="0" w:firstLineChars="0"/>
              <w:jc w:val="center"/>
              <w:rPr>
                <w:rFonts w:cs="Times New Roman"/>
                <w:sz w:val="20"/>
                <w:szCs w:val="20"/>
              </w:rPr>
            </w:pPr>
            <w:r>
              <w:rPr>
                <w:rFonts w:hint="eastAsia" w:cs="Times New Roman"/>
                <w:sz w:val="20"/>
                <w:szCs w:val="20"/>
              </w:rPr>
              <w:t>居住区</w:t>
            </w:r>
          </w:p>
        </w:tc>
        <w:tc>
          <w:tcPr>
            <w:tcW w:w="754" w:type="dxa"/>
            <w:tcBorders>
              <w:top w:val="single" w:color="auto" w:sz="4" w:space="0"/>
              <w:left w:val="single" w:color="auto" w:sz="4" w:space="0"/>
              <w:bottom w:val="single" w:color="auto" w:sz="4" w:space="0"/>
              <w:right w:val="single" w:color="auto" w:sz="4" w:space="0"/>
            </w:tcBorders>
            <w:vAlign w:val="center"/>
          </w:tcPr>
          <w:p w14:paraId="295F7C07">
            <w:pPr>
              <w:wordWrap/>
              <w:spacing w:line="240" w:lineRule="auto"/>
              <w:ind w:firstLine="0" w:firstLineChars="0"/>
              <w:jc w:val="center"/>
              <w:rPr>
                <w:rFonts w:cs="Times New Roman"/>
                <w:sz w:val="20"/>
                <w:szCs w:val="20"/>
              </w:rPr>
            </w:pPr>
            <w:r>
              <w:rPr>
                <w:rFonts w:hint="eastAsia" w:cs="Times New Roman"/>
                <w:sz w:val="20"/>
                <w:szCs w:val="20"/>
              </w:rPr>
              <w:t>人群</w:t>
            </w:r>
          </w:p>
        </w:tc>
        <w:tc>
          <w:tcPr>
            <w:tcW w:w="1655" w:type="dxa"/>
            <w:vMerge w:val="continue"/>
            <w:tcBorders>
              <w:top w:val="single" w:color="auto" w:sz="4" w:space="0"/>
              <w:left w:val="single" w:color="auto" w:sz="4" w:space="0"/>
              <w:bottom w:val="single" w:color="auto" w:sz="4" w:space="0"/>
              <w:right w:val="single" w:color="auto" w:sz="12" w:space="0"/>
            </w:tcBorders>
            <w:vAlign w:val="center"/>
          </w:tcPr>
          <w:p w14:paraId="22119377">
            <w:pPr>
              <w:widowControl/>
              <w:wordWrap/>
              <w:topLinePunct w:val="0"/>
              <w:adjustRightInd/>
              <w:snapToGrid/>
              <w:spacing w:line="240" w:lineRule="auto"/>
              <w:ind w:firstLine="0" w:firstLineChars="0"/>
              <w:jc w:val="left"/>
              <w:rPr>
                <w:rFonts w:cs="Times New Roman"/>
                <w:sz w:val="20"/>
                <w:szCs w:val="20"/>
              </w:rPr>
            </w:pPr>
          </w:p>
        </w:tc>
      </w:tr>
      <w:tr w14:paraId="04891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op w:val="single" w:color="auto" w:sz="4" w:space="0"/>
              <w:left w:val="single" w:color="auto" w:sz="12" w:space="0"/>
              <w:right w:val="single" w:color="auto" w:sz="4" w:space="0"/>
            </w:tcBorders>
            <w:vAlign w:val="center"/>
          </w:tcPr>
          <w:p w14:paraId="23CF6524">
            <w:pPr>
              <w:wordWrap/>
              <w:spacing w:line="240" w:lineRule="auto"/>
              <w:ind w:firstLine="0" w:firstLineChars="0"/>
              <w:jc w:val="center"/>
              <w:rPr>
                <w:rFonts w:cs="Times New Roman"/>
                <w:sz w:val="20"/>
                <w:szCs w:val="20"/>
              </w:rPr>
            </w:pPr>
            <w:r>
              <w:rPr>
                <w:rFonts w:hint="eastAsia" w:cs="Times New Roman"/>
                <w:sz w:val="20"/>
                <w:szCs w:val="20"/>
              </w:rPr>
              <w:t>地表水环境受体</w:t>
            </w:r>
          </w:p>
        </w:tc>
        <w:tc>
          <w:tcPr>
            <w:tcW w:w="1329" w:type="dxa"/>
            <w:tcBorders>
              <w:top w:val="single" w:color="auto" w:sz="4" w:space="0"/>
              <w:left w:val="single" w:color="auto" w:sz="4" w:space="0"/>
              <w:bottom w:val="single" w:color="auto" w:sz="4" w:space="0"/>
              <w:right w:val="single" w:color="auto" w:sz="4" w:space="0"/>
            </w:tcBorders>
            <w:vAlign w:val="center"/>
          </w:tcPr>
          <w:p w14:paraId="2D742505">
            <w:pPr>
              <w:wordWrap/>
              <w:spacing w:line="240" w:lineRule="auto"/>
              <w:ind w:firstLine="0" w:firstLineChars="0"/>
              <w:jc w:val="center"/>
              <w:rPr>
                <w:rFonts w:cs="Times New Roman"/>
                <w:sz w:val="20"/>
                <w:szCs w:val="20"/>
              </w:rPr>
            </w:pPr>
            <w:r>
              <w:rPr>
                <w:rFonts w:hint="eastAsia" w:cs="Times New Roman"/>
                <w:sz w:val="20"/>
                <w:szCs w:val="20"/>
              </w:rPr>
              <w:t>湘江</w:t>
            </w:r>
          </w:p>
        </w:tc>
        <w:tc>
          <w:tcPr>
            <w:tcW w:w="3119" w:type="dxa"/>
            <w:gridSpan w:val="2"/>
            <w:vMerge w:val="restart"/>
            <w:tcBorders>
              <w:top w:val="single" w:color="auto" w:sz="4" w:space="0"/>
              <w:left w:val="single" w:color="auto" w:sz="4" w:space="0"/>
              <w:right w:val="single" w:color="auto" w:sz="4" w:space="0"/>
            </w:tcBorders>
            <w:vAlign w:val="center"/>
          </w:tcPr>
          <w:p w14:paraId="55E1D73A">
            <w:pPr>
              <w:wordWrap/>
              <w:spacing w:line="240" w:lineRule="auto"/>
              <w:ind w:firstLine="0" w:firstLineChars="0"/>
              <w:jc w:val="center"/>
              <w:rPr>
                <w:rFonts w:cs="Times New Roman"/>
                <w:sz w:val="20"/>
                <w:szCs w:val="20"/>
              </w:rPr>
            </w:pPr>
            <w:r>
              <w:rPr>
                <w:rFonts w:hint="eastAsia" w:cs="Times New Roman"/>
                <w:sz w:val="20"/>
                <w:szCs w:val="20"/>
              </w:rPr>
              <w:t>位于矿区东</w:t>
            </w:r>
            <w:r>
              <w:rPr>
                <w:rFonts w:cs="Times New Roman"/>
                <w:sz w:val="20"/>
                <w:szCs w:val="20"/>
              </w:rPr>
              <w:t>726m</w:t>
            </w:r>
            <w:r>
              <w:rPr>
                <w:rFonts w:hint="eastAsia" w:cs="Times New Roman"/>
                <w:sz w:val="20"/>
                <w:szCs w:val="20"/>
              </w:rPr>
              <w:t>，位于新建井场东</w:t>
            </w:r>
            <w:r>
              <w:rPr>
                <w:rFonts w:cs="Times New Roman"/>
                <w:sz w:val="20"/>
                <w:szCs w:val="20"/>
              </w:rPr>
              <w:t>2350m</w:t>
            </w:r>
          </w:p>
        </w:tc>
        <w:tc>
          <w:tcPr>
            <w:tcW w:w="992" w:type="dxa"/>
            <w:tcBorders>
              <w:top w:val="single" w:color="auto" w:sz="4" w:space="0"/>
              <w:left w:val="single" w:color="auto" w:sz="4" w:space="0"/>
              <w:bottom w:val="single" w:color="auto" w:sz="4" w:space="0"/>
              <w:right w:val="single" w:color="auto" w:sz="4" w:space="0"/>
            </w:tcBorders>
            <w:vAlign w:val="center"/>
          </w:tcPr>
          <w:p w14:paraId="604E80CF">
            <w:pPr>
              <w:wordWrap/>
              <w:spacing w:line="240" w:lineRule="auto"/>
              <w:ind w:firstLine="0" w:firstLineChars="0"/>
              <w:jc w:val="center"/>
              <w:rPr>
                <w:rFonts w:cs="Times New Roman"/>
                <w:sz w:val="20"/>
                <w:szCs w:val="20"/>
              </w:rPr>
            </w:pPr>
            <w:r>
              <w:rPr>
                <w:rFonts w:cs="Times New Roman"/>
                <w:sz w:val="20"/>
                <w:szCs w:val="20"/>
              </w:rPr>
              <w:t>/</w:t>
            </w:r>
          </w:p>
        </w:tc>
        <w:tc>
          <w:tcPr>
            <w:tcW w:w="2409" w:type="dxa"/>
            <w:gridSpan w:val="2"/>
            <w:tcBorders>
              <w:top w:val="single" w:color="auto" w:sz="4" w:space="0"/>
              <w:left w:val="single" w:color="auto" w:sz="4" w:space="0"/>
              <w:bottom w:val="single" w:color="auto" w:sz="4" w:space="0"/>
              <w:right w:val="single" w:color="auto" w:sz="12" w:space="0"/>
            </w:tcBorders>
            <w:vAlign w:val="center"/>
          </w:tcPr>
          <w:p w14:paraId="41C476FE">
            <w:pPr>
              <w:wordWrap/>
              <w:spacing w:line="240" w:lineRule="auto"/>
              <w:ind w:firstLine="0" w:firstLineChars="0"/>
              <w:jc w:val="center"/>
              <w:rPr>
                <w:rFonts w:cs="Times New Roman"/>
                <w:sz w:val="20"/>
                <w:szCs w:val="20"/>
              </w:rPr>
            </w:pPr>
            <w:r>
              <w:rPr>
                <w:rFonts w:cs="Times New Roman"/>
                <w:sz w:val="20"/>
                <w:szCs w:val="20"/>
              </w:rPr>
              <w:t>GB3838-2002</w:t>
            </w:r>
          </w:p>
          <w:p w14:paraId="3BBBA3AA">
            <w:pPr>
              <w:wordWrap/>
              <w:spacing w:line="240" w:lineRule="auto"/>
              <w:ind w:firstLine="0" w:firstLineChars="0"/>
              <w:jc w:val="center"/>
              <w:rPr>
                <w:rFonts w:cs="Times New Roman"/>
                <w:sz w:val="20"/>
                <w:szCs w:val="20"/>
              </w:rPr>
            </w:pPr>
            <w:r>
              <w:rPr>
                <w:rFonts w:cs="Times New Roman"/>
                <w:sz w:val="20"/>
                <w:szCs w:val="20"/>
              </w:rPr>
              <w:t>III</w:t>
            </w:r>
            <w:r>
              <w:rPr>
                <w:rFonts w:hint="eastAsia" w:cs="Times New Roman"/>
                <w:sz w:val="20"/>
                <w:szCs w:val="20"/>
              </w:rPr>
              <w:t>类标准</w:t>
            </w:r>
          </w:p>
        </w:tc>
      </w:tr>
      <w:tr w14:paraId="61A9C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764" w:type="dxa"/>
            <w:tcBorders>
              <w:left w:val="single" w:color="auto" w:sz="12" w:space="0"/>
              <w:bottom w:val="single" w:color="auto" w:sz="4" w:space="0"/>
              <w:right w:val="single" w:color="auto" w:sz="4" w:space="0"/>
            </w:tcBorders>
            <w:vAlign w:val="center"/>
          </w:tcPr>
          <w:p w14:paraId="7DD38B2A">
            <w:pPr>
              <w:wordWrap/>
              <w:spacing w:line="240" w:lineRule="auto"/>
              <w:ind w:firstLine="0" w:firstLineChars="0"/>
              <w:jc w:val="center"/>
              <w:rPr>
                <w:rFonts w:cs="Times New Roman"/>
                <w:sz w:val="20"/>
                <w:szCs w:val="20"/>
              </w:rPr>
            </w:pPr>
            <w:r>
              <w:rPr>
                <w:rFonts w:hint="eastAsia" w:cs="Times New Roman"/>
                <w:sz w:val="20"/>
                <w:szCs w:val="20"/>
              </w:rPr>
              <w:t>生态环境</w:t>
            </w:r>
          </w:p>
        </w:tc>
        <w:tc>
          <w:tcPr>
            <w:tcW w:w="1329" w:type="dxa"/>
            <w:tcBorders>
              <w:top w:val="single" w:color="auto" w:sz="4" w:space="0"/>
              <w:left w:val="single" w:color="auto" w:sz="4" w:space="0"/>
              <w:bottom w:val="single" w:color="auto" w:sz="4" w:space="0"/>
              <w:right w:val="single" w:color="auto" w:sz="4" w:space="0"/>
            </w:tcBorders>
            <w:vAlign w:val="center"/>
          </w:tcPr>
          <w:p w14:paraId="0236ADD7">
            <w:pPr>
              <w:wordWrap/>
              <w:spacing w:line="240" w:lineRule="auto"/>
              <w:ind w:firstLine="0" w:firstLineChars="0"/>
              <w:jc w:val="center"/>
              <w:rPr>
                <w:rFonts w:cs="Times New Roman"/>
                <w:sz w:val="20"/>
                <w:szCs w:val="20"/>
              </w:rPr>
            </w:pPr>
            <w:r>
              <w:rPr>
                <w:rFonts w:hint="eastAsia" w:cs="Times New Roman"/>
                <w:sz w:val="20"/>
                <w:szCs w:val="20"/>
              </w:rPr>
              <w:t>湘江衡阳段四大家鱼国家级水产种质资源保护区实验区</w:t>
            </w:r>
          </w:p>
        </w:tc>
        <w:tc>
          <w:tcPr>
            <w:tcW w:w="3119" w:type="dxa"/>
            <w:gridSpan w:val="2"/>
            <w:vMerge w:val="continue"/>
            <w:tcBorders>
              <w:left w:val="single" w:color="auto" w:sz="4" w:space="0"/>
              <w:bottom w:val="single" w:color="auto" w:sz="4" w:space="0"/>
              <w:right w:val="single" w:color="auto" w:sz="4" w:space="0"/>
            </w:tcBorders>
            <w:vAlign w:val="center"/>
          </w:tcPr>
          <w:p w14:paraId="7ADD98E4">
            <w:pPr>
              <w:wordWrap/>
              <w:spacing w:line="240" w:lineRule="auto"/>
              <w:ind w:firstLine="0" w:firstLineChars="0"/>
              <w:jc w:val="center"/>
              <w:rPr>
                <w:rFonts w:cs="Times New Roman"/>
                <w:sz w:val="20"/>
                <w:szCs w:val="20"/>
              </w:rPr>
            </w:pPr>
          </w:p>
        </w:tc>
        <w:tc>
          <w:tcPr>
            <w:tcW w:w="3401" w:type="dxa"/>
            <w:gridSpan w:val="3"/>
            <w:tcBorders>
              <w:top w:val="single" w:color="auto" w:sz="4" w:space="0"/>
              <w:left w:val="single" w:color="auto" w:sz="4" w:space="0"/>
              <w:bottom w:val="single" w:color="auto" w:sz="4" w:space="0"/>
              <w:right w:val="single" w:color="auto" w:sz="12" w:space="0"/>
            </w:tcBorders>
            <w:vAlign w:val="center"/>
          </w:tcPr>
          <w:p w14:paraId="1FA88280">
            <w:pPr>
              <w:wordWrap/>
              <w:spacing w:line="240" w:lineRule="auto"/>
              <w:ind w:firstLine="0" w:firstLineChars="0"/>
              <w:jc w:val="center"/>
              <w:rPr>
                <w:rFonts w:cs="Times New Roman"/>
                <w:sz w:val="20"/>
                <w:szCs w:val="20"/>
              </w:rPr>
            </w:pPr>
            <w:r>
              <w:rPr>
                <w:rFonts w:hint="eastAsia" w:cs="Times New Roman"/>
                <w:sz w:val="20"/>
                <w:szCs w:val="20"/>
              </w:rPr>
              <w:t>该保护区主要保护对象为青鱼、草鱼、鲢、鳙、䱛、䲘、鯮等江河半洄性鱼类，同时对黄尾鲴、细鳞斜颌鲴、湘华鲮、中华倒刺䰾、白甲鱼、长薄鳅、南方大口鯰、黄颡鱼、大眼鳜、翘嘴鱖、波纹鳜、长身鳜、长春鳊、团头鲂等鱼类进行保护</w:t>
            </w:r>
          </w:p>
        </w:tc>
      </w:tr>
      <w:tr w14:paraId="314BA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op w:val="single" w:color="auto" w:sz="4" w:space="0"/>
              <w:left w:val="single" w:color="auto" w:sz="12" w:space="0"/>
              <w:bottom w:val="single" w:color="auto" w:sz="12" w:space="0"/>
              <w:right w:val="single" w:color="auto" w:sz="4" w:space="0"/>
            </w:tcBorders>
            <w:vAlign w:val="center"/>
          </w:tcPr>
          <w:p w14:paraId="7A6D02F7">
            <w:pPr>
              <w:wordWrap/>
              <w:spacing w:line="240" w:lineRule="auto"/>
              <w:ind w:firstLine="0" w:firstLineChars="0"/>
              <w:jc w:val="center"/>
              <w:rPr>
                <w:rFonts w:cs="Times New Roman"/>
                <w:sz w:val="20"/>
                <w:szCs w:val="20"/>
              </w:rPr>
            </w:pPr>
            <w:r>
              <w:rPr>
                <w:rFonts w:hint="eastAsia" w:cs="Times New Roman"/>
                <w:sz w:val="20"/>
                <w:szCs w:val="20"/>
              </w:rPr>
              <w:t>地下水环境受体</w:t>
            </w:r>
          </w:p>
        </w:tc>
        <w:tc>
          <w:tcPr>
            <w:tcW w:w="1329" w:type="dxa"/>
            <w:tcBorders>
              <w:top w:val="single" w:color="auto" w:sz="4" w:space="0"/>
              <w:left w:val="single" w:color="auto" w:sz="4" w:space="0"/>
              <w:bottom w:val="single" w:color="auto" w:sz="12" w:space="0"/>
              <w:right w:val="single" w:color="auto" w:sz="4" w:space="0"/>
            </w:tcBorders>
            <w:vAlign w:val="center"/>
          </w:tcPr>
          <w:p w14:paraId="6C19D318">
            <w:pPr>
              <w:wordWrap/>
              <w:spacing w:line="240" w:lineRule="auto"/>
              <w:ind w:firstLine="0" w:firstLineChars="0"/>
              <w:jc w:val="center"/>
              <w:rPr>
                <w:rFonts w:cs="Times New Roman"/>
                <w:sz w:val="20"/>
                <w:szCs w:val="20"/>
              </w:rPr>
            </w:pPr>
            <w:r>
              <w:rPr>
                <w:rFonts w:hint="eastAsia" w:cs="Times New Roman"/>
                <w:sz w:val="20"/>
                <w:szCs w:val="20"/>
              </w:rPr>
              <w:t>潜水含水层</w:t>
            </w:r>
          </w:p>
        </w:tc>
        <w:tc>
          <w:tcPr>
            <w:tcW w:w="3119" w:type="dxa"/>
            <w:gridSpan w:val="2"/>
            <w:tcBorders>
              <w:top w:val="single" w:color="auto" w:sz="4" w:space="0"/>
              <w:left w:val="single" w:color="auto" w:sz="4" w:space="0"/>
              <w:bottom w:val="single" w:color="auto" w:sz="12" w:space="0"/>
              <w:right w:val="single" w:color="auto" w:sz="4" w:space="0"/>
            </w:tcBorders>
            <w:vAlign w:val="center"/>
          </w:tcPr>
          <w:p w14:paraId="18467CE1">
            <w:pPr>
              <w:wordWrap/>
              <w:spacing w:line="240" w:lineRule="auto"/>
              <w:ind w:firstLine="0" w:firstLineChars="0"/>
              <w:jc w:val="center"/>
              <w:rPr>
                <w:rFonts w:cs="Times New Roman"/>
                <w:sz w:val="20"/>
                <w:szCs w:val="20"/>
              </w:rPr>
            </w:pPr>
            <w:r>
              <w:rPr>
                <w:rFonts w:hint="eastAsia" w:cs="Times New Roman"/>
                <w:sz w:val="20"/>
                <w:szCs w:val="20"/>
              </w:rPr>
              <w:t>矿区潜水含水层</w:t>
            </w:r>
          </w:p>
        </w:tc>
        <w:tc>
          <w:tcPr>
            <w:tcW w:w="992" w:type="dxa"/>
            <w:tcBorders>
              <w:top w:val="single" w:color="auto" w:sz="4" w:space="0"/>
              <w:left w:val="single" w:color="auto" w:sz="4" w:space="0"/>
              <w:bottom w:val="single" w:color="auto" w:sz="12" w:space="0"/>
              <w:right w:val="single" w:color="auto" w:sz="4" w:space="0"/>
            </w:tcBorders>
            <w:vAlign w:val="center"/>
          </w:tcPr>
          <w:p w14:paraId="1C82C5C4">
            <w:pPr>
              <w:wordWrap/>
              <w:spacing w:line="240" w:lineRule="auto"/>
              <w:ind w:firstLine="0" w:firstLineChars="0"/>
              <w:jc w:val="center"/>
              <w:rPr>
                <w:rFonts w:cs="Times New Roman"/>
                <w:sz w:val="20"/>
                <w:szCs w:val="20"/>
              </w:rPr>
            </w:pPr>
            <w:r>
              <w:rPr>
                <w:rFonts w:cs="Times New Roman"/>
                <w:sz w:val="20"/>
                <w:szCs w:val="20"/>
              </w:rPr>
              <w:t>/</w:t>
            </w:r>
          </w:p>
        </w:tc>
        <w:tc>
          <w:tcPr>
            <w:tcW w:w="2409" w:type="dxa"/>
            <w:gridSpan w:val="2"/>
            <w:tcBorders>
              <w:top w:val="single" w:color="auto" w:sz="4" w:space="0"/>
              <w:left w:val="single" w:color="auto" w:sz="4" w:space="0"/>
              <w:bottom w:val="single" w:color="auto" w:sz="12" w:space="0"/>
              <w:right w:val="single" w:color="auto" w:sz="12" w:space="0"/>
            </w:tcBorders>
            <w:vAlign w:val="center"/>
          </w:tcPr>
          <w:p w14:paraId="20E7AC04">
            <w:pPr>
              <w:wordWrap/>
              <w:spacing w:line="240" w:lineRule="auto"/>
              <w:ind w:firstLine="0" w:firstLineChars="0"/>
              <w:jc w:val="center"/>
              <w:rPr>
                <w:rFonts w:cs="Times New Roman"/>
                <w:sz w:val="20"/>
                <w:szCs w:val="20"/>
              </w:rPr>
            </w:pPr>
            <w:r>
              <w:rPr>
                <w:rFonts w:cs="Times New Roman"/>
                <w:sz w:val="20"/>
                <w:szCs w:val="20"/>
              </w:rPr>
              <w:t>GB/T 14848</w:t>
            </w:r>
          </w:p>
          <w:p w14:paraId="1BBDBD99">
            <w:pPr>
              <w:wordWrap/>
              <w:spacing w:line="240" w:lineRule="auto"/>
              <w:ind w:firstLine="0" w:firstLineChars="0"/>
              <w:jc w:val="center"/>
              <w:rPr>
                <w:rFonts w:cs="Times New Roman"/>
                <w:sz w:val="20"/>
                <w:szCs w:val="20"/>
              </w:rPr>
            </w:pPr>
            <w:r>
              <w:rPr>
                <w:rFonts w:cs="Times New Roman"/>
                <w:sz w:val="20"/>
                <w:szCs w:val="20"/>
              </w:rPr>
              <w:t>-2017</w:t>
            </w:r>
            <w:r>
              <w:rPr>
                <w:rFonts w:hint="eastAsia" w:ascii="宋体" w:hAnsi="宋体" w:cs="宋体"/>
                <w:sz w:val="20"/>
                <w:szCs w:val="20"/>
              </w:rPr>
              <w:t>Ⅲ</w:t>
            </w:r>
            <w:r>
              <w:rPr>
                <w:rFonts w:hint="eastAsia" w:cs="Times New Roman"/>
                <w:sz w:val="20"/>
                <w:szCs w:val="20"/>
              </w:rPr>
              <w:t>类标准</w:t>
            </w:r>
          </w:p>
        </w:tc>
      </w:tr>
    </w:tbl>
    <w:p w14:paraId="28CA39F1">
      <w:pPr>
        <w:pStyle w:val="6"/>
        <w:spacing w:before="170" w:after="170"/>
        <w:rPr>
          <w:rFonts w:cs="Times New Roman"/>
        </w:rPr>
      </w:pPr>
      <w:bookmarkStart w:id="764" w:name="_Toc121420874"/>
      <w:r>
        <w:rPr>
          <w:rFonts w:cs="Times New Roman"/>
        </w:rPr>
        <w:t>6.4 环境风险识别</w:t>
      </w:r>
      <w:bookmarkEnd w:id="764"/>
    </w:p>
    <w:p w14:paraId="3AE86589">
      <w:pPr>
        <w:pStyle w:val="7"/>
      </w:pPr>
      <w:bookmarkStart w:id="765" w:name="_Toc121420875"/>
      <w:bookmarkStart w:id="766" w:name="_Toc86852395"/>
      <w:bookmarkStart w:id="767" w:name="_Toc90997718"/>
      <w:bookmarkStart w:id="768" w:name="_Toc90318480"/>
      <w:bookmarkStart w:id="769" w:name="_Toc90989303"/>
      <w:bookmarkStart w:id="770" w:name="_Toc89786201"/>
      <w:bookmarkStart w:id="771" w:name="_Toc89882521"/>
      <w:bookmarkStart w:id="772" w:name="_Hlk89619407"/>
      <w:r>
        <w:t>6.4.1风险源识别</w:t>
      </w:r>
      <w:bookmarkEnd w:id="765"/>
      <w:bookmarkEnd w:id="766"/>
      <w:bookmarkEnd w:id="767"/>
      <w:bookmarkEnd w:id="768"/>
      <w:bookmarkEnd w:id="769"/>
      <w:bookmarkEnd w:id="770"/>
      <w:bookmarkEnd w:id="771"/>
    </w:p>
    <w:bookmarkEnd w:id="772"/>
    <w:p w14:paraId="5674EC1E">
      <w:pPr>
        <w:ind w:firstLine="519"/>
        <w:rPr>
          <w:rFonts w:cs="Times New Roman"/>
        </w:rPr>
      </w:pPr>
      <w:r>
        <w:rPr>
          <w:rFonts w:cs="Times New Roman"/>
        </w:rPr>
        <w:t>依据《建设项目环境风险评价技术导则》（HJ169-2018），本项目不涉及风险物质，本项目生产系统环境风险源有：卤水池和管道泄漏风险、矿山地表塌陷风险。具体详见下表。</w:t>
      </w:r>
    </w:p>
    <w:p w14:paraId="4A568998">
      <w:pPr>
        <w:pStyle w:val="9"/>
      </w:pPr>
      <w:bookmarkStart w:id="773" w:name="_Hlk89620702"/>
      <w:r>
        <w:t>表6.4–1  本工程环境风险源项</w:t>
      </w:r>
    </w:p>
    <w:tbl>
      <w:tblPr>
        <w:tblStyle w:val="29"/>
        <w:tblW w:w="526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8"/>
        <w:gridCol w:w="1733"/>
        <w:gridCol w:w="1459"/>
        <w:gridCol w:w="1898"/>
        <w:gridCol w:w="1746"/>
        <w:gridCol w:w="1547"/>
      </w:tblGrid>
      <w:tr w14:paraId="2D94F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tcBorders>
              <w:top w:val="single" w:color="auto" w:sz="12" w:space="0"/>
              <w:left w:val="single" w:color="auto" w:sz="12" w:space="0"/>
              <w:bottom w:val="single" w:color="auto" w:sz="6" w:space="0"/>
              <w:right w:val="single" w:color="auto" w:sz="6" w:space="0"/>
            </w:tcBorders>
            <w:vAlign w:val="center"/>
          </w:tcPr>
          <w:p w14:paraId="4676BEDA">
            <w:pPr>
              <w:pStyle w:val="48"/>
            </w:pPr>
            <w:r>
              <w:t>序号</w:t>
            </w:r>
          </w:p>
        </w:tc>
        <w:tc>
          <w:tcPr>
            <w:tcW w:w="966" w:type="pct"/>
            <w:tcBorders>
              <w:top w:val="single" w:color="auto" w:sz="12" w:space="0"/>
              <w:left w:val="single" w:color="auto" w:sz="6" w:space="0"/>
              <w:bottom w:val="single" w:color="auto" w:sz="6" w:space="0"/>
              <w:right w:val="single" w:color="auto" w:sz="6" w:space="0"/>
            </w:tcBorders>
            <w:vAlign w:val="center"/>
          </w:tcPr>
          <w:p w14:paraId="1BF093A3">
            <w:pPr>
              <w:pStyle w:val="48"/>
            </w:pPr>
            <w:r>
              <w:t>发生事故对象</w:t>
            </w:r>
          </w:p>
        </w:tc>
        <w:tc>
          <w:tcPr>
            <w:tcW w:w="813" w:type="pct"/>
            <w:tcBorders>
              <w:top w:val="single" w:color="auto" w:sz="12" w:space="0"/>
              <w:left w:val="single" w:color="auto" w:sz="6" w:space="0"/>
              <w:bottom w:val="single" w:color="auto" w:sz="6" w:space="0"/>
              <w:right w:val="single" w:color="auto" w:sz="6" w:space="0"/>
            </w:tcBorders>
            <w:vAlign w:val="center"/>
          </w:tcPr>
          <w:p w14:paraId="1416A208">
            <w:pPr>
              <w:pStyle w:val="48"/>
            </w:pPr>
            <w:r>
              <w:t>危险单元</w:t>
            </w:r>
          </w:p>
        </w:tc>
        <w:tc>
          <w:tcPr>
            <w:tcW w:w="1058" w:type="pct"/>
            <w:tcBorders>
              <w:top w:val="single" w:color="auto" w:sz="12" w:space="0"/>
              <w:left w:val="single" w:color="auto" w:sz="6" w:space="0"/>
              <w:bottom w:val="single" w:color="auto" w:sz="6" w:space="0"/>
              <w:right w:val="single" w:color="auto" w:sz="6" w:space="0"/>
            </w:tcBorders>
            <w:vAlign w:val="center"/>
          </w:tcPr>
          <w:p w14:paraId="625AB410">
            <w:pPr>
              <w:pStyle w:val="48"/>
            </w:pPr>
            <w:r>
              <w:t>事故类别</w:t>
            </w:r>
          </w:p>
        </w:tc>
        <w:tc>
          <w:tcPr>
            <w:tcW w:w="973" w:type="pct"/>
            <w:tcBorders>
              <w:top w:val="single" w:color="auto" w:sz="12" w:space="0"/>
              <w:left w:val="single" w:color="auto" w:sz="6" w:space="0"/>
              <w:bottom w:val="single" w:color="auto" w:sz="6" w:space="0"/>
              <w:right w:val="single" w:color="auto" w:sz="6" w:space="0"/>
            </w:tcBorders>
            <w:vAlign w:val="center"/>
          </w:tcPr>
          <w:p w14:paraId="7BECEE02">
            <w:pPr>
              <w:pStyle w:val="48"/>
            </w:pPr>
            <w:r>
              <w:t>事故原因</w:t>
            </w:r>
          </w:p>
        </w:tc>
        <w:tc>
          <w:tcPr>
            <w:tcW w:w="862" w:type="pct"/>
            <w:tcBorders>
              <w:top w:val="single" w:color="auto" w:sz="12" w:space="0"/>
              <w:left w:val="single" w:color="auto" w:sz="6" w:space="0"/>
              <w:bottom w:val="single" w:color="auto" w:sz="6" w:space="0"/>
              <w:right w:val="single" w:color="auto" w:sz="12" w:space="0"/>
            </w:tcBorders>
            <w:vAlign w:val="center"/>
          </w:tcPr>
          <w:p w14:paraId="4C835E15">
            <w:pPr>
              <w:pStyle w:val="48"/>
            </w:pPr>
            <w:r>
              <w:t>危害对象</w:t>
            </w:r>
          </w:p>
        </w:tc>
      </w:tr>
      <w:tr w14:paraId="0F6FD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tcBorders>
              <w:top w:val="single" w:color="auto" w:sz="6" w:space="0"/>
              <w:left w:val="single" w:color="auto" w:sz="12" w:space="0"/>
              <w:bottom w:val="single" w:color="auto" w:sz="6" w:space="0"/>
              <w:right w:val="single" w:color="auto" w:sz="6" w:space="0"/>
            </w:tcBorders>
            <w:vAlign w:val="center"/>
          </w:tcPr>
          <w:p w14:paraId="26B5155A">
            <w:pPr>
              <w:pStyle w:val="48"/>
            </w:pPr>
            <w:r>
              <w:t>1</w:t>
            </w:r>
          </w:p>
        </w:tc>
        <w:tc>
          <w:tcPr>
            <w:tcW w:w="966" w:type="pct"/>
            <w:tcBorders>
              <w:top w:val="single" w:color="auto" w:sz="6" w:space="0"/>
              <w:left w:val="single" w:color="auto" w:sz="6" w:space="0"/>
              <w:bottom w:val="single" w:color="auto" w:sz="6" w:space="0"/>
              <w:right w:val="single" w:color="auto" w:sz="6" w:space="0"/>
            </w:tcBorders>
            <w:vAlign w:val="center"/>
          </w:tcPr>
          <w:p w14:paraId="53EFF3E0">
            <w:pPr>
              <w:pStyle w:val="48"/>
            </w:pPr>
            <w:r>
              <w:t>卤井卤水池、采集卤过程</w:t>
            </w:r>
          </w:p>
        </w:tc>
        <w:tc>
          <w:tcPr>
            <w:tcW w:w="813" w:type="pct"/>
            <w:tcBorders>
              <w:top w:val="single" w:color="auto" w:sz="6" w:space="0"/>
              <w:left w:val="single" w:color="auto" w:sz="6" w:space="0"/>
              <w:bottom w:val="single" w:color="auto" w:sz="6" w:space="0"/>
              <w:right w:val="single" w:color="auto" w:sz="6" w:space="0"/>
            </w:tcBorders>
            <w:vAlign w:val="center"/>
          </w:tcPr>
          <w:p w14:paraId="3E1392DB">
            <w:pPr>
              <w:pStyle w:val="48"/>
            </w:pPr>
            <w:r>
              <w:t>卤井、卤水池及管道</w:t>
            </w:r>
          </w:p>
        </w:tc>
        <w:tc>
          <w:tcPr>
            <w:tcW w:w="1058" w:type="pct"/>
            <w:tcBorders>
              <w:top w:val="single" w:color="auto" w:sz="6" w:space="0"/>
              <w:left w:val="single" w:color="auto" w:sz="6" w:space="0"/>
              <w:bottom w:val="single" w:color="auto" w:sz="6" w:space="0"/>
              <w:right w:val="single" w:color="auto" w:sz="6" w:space="0"/>
            </w:tcBorders>
            <w:vAlign w:val="center"/>
          </w:tcPr>
          <w:p w14:paraId="79AEBF0A">
            <w:pPr>
              <w:pStyle w:val="48"/>
            </w:pPr>
            <w:r>
              <w:t>泄露</w:t>
            </w:r>
          </w:p>
        </w:tc>
        <w:tc>
          <w:tcPr>
            <w:tcW w:w="973" w:type="pct"/>
            <w:tcBorders>
              <w:top w:val="single" w:color="auto" w:sz="6" w:space="0"/>
              <w:left w:val="single" w:color="auto" w:sz="6" w:space="0"/>
              <w:bottom w:val="single" w:color="auto" w:sz="6" w:space="0"/>
              <w:right w:val="single" w:color="auto" w:sz="6" w:space="0"/>
            </w:tcBorders>
            <w:vAlign w:val="center"/>
          </w:tcPr>
          <w:p w14:paraId="44751DDD">
            <w:pPr>
              <w:pStyle w:val="48"/>
            </w:pPr>
            <w:r>
              <w:t>管道、井壁套管破裂</w:t>
            </w:r>
          </w:p>
        </w:tc>
        <w:tc>
          <w:tcPr>
            <w:tcW w:w="862" w:type="pct"/>
            <w:tcBorders>
              <w:top w:val="single" w:color="auto" w:sz="6" w:space="0"/>
              <w:left w:val="single" w:color="auto" w:sz="6" w:space="0"/>
              <w:bottom w:val="single" w:color="auto" w:sz="6" w:space="0"/>
              <w:right w:val="single" w:color="auto" w:sz="12" w:space="0"/>
            </w:tcBorders>
            <w:vAlign w:val="center"/>
          </w:tcPr>
          <w:p w14:paraId="6189BE60">
            <w:pPr>
              <w:pStyle w:val="48"/>
            </w:pPr>
            <w:r>
              <w:t>地下水、土壤</w:t>
            </w:r>
          </w:p>
        </w:tc>
      </w:tr>
      <w:tr w14:paraId="6FA08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tcBorders>
              <w:top w:val="single" w:color="auto" w:sz="6" w:space="0"/>
              <w:left w:val="single" w:color="auto" w:sz="12" w:space="0"/>
              <w:bottom w:val="single" w:color="auto" w:sz="6" w:space="0"/>
              <w:right w:val="single" w:color="auto" w:sz="6" w:space="0"/>
            </w:tcBorders>
            <w:vAlign w:val="center"/>
          </w:tcPr>
          <w:p w14:paraId="1F875E34">
            <w:pPr>
              <w:pStyle w:val="48"/>
            </w:pPr>
            <w:r>
              <w:t>2</w:t>
            </w:r>
          </w:p>
        </w:tc>
        <w:tc>
          <w:tcPr>
            <w:tcW w:w="966" w:type="pct"/>
            <w:tcBorders>
              <w:top w:val="single" w:color="auto" w:sz="6" w:space="0"/>
              <w:left w:val="single" w:color="auto" w:sz="6" w:space="0"/>
              <w:bottom w:val="single" w:color="auto" w:sz="6" w:space="0"/>
              <w:right w:val="single" w:color="auto" w:sz="6" w:space="0"/>
            </w:tcBorders>
            <w:vAlign w:val="center"/>
          </w:tcPr>
          <w:p w14:paraId="70BAC8FB">
            <w:pPr>
              <w:pStyle w:val="48"/>
            </w:pPr>
            <w:r>
              <w:t>开采</w:t>
            </w:r>
          </w:p>
        </w:tc>
        <w:tc>
          <w:tcPr>
            <w:tcW w:w="813" w:type="pct"/>
            <w:tcBorders>
              <w:top w:val="single" w:color="auto" w:sz="6" w:space="0"/>
              <w:left w:val="single" w:color="auto" w:sz="6" w:space="0"/>
              <w:bottom w:val="single" w:color="auto" w:sz="6" w:space="0"/>
              <w:right w:val="single" w:color="auto" w:sz="6" w:space="0"/>
            </w:tcBorders>
            <w:vAlign w:val="center"/>
          </w:tcPr>
          <w:p w14:paraId="2819509B">
            <w:pPr>
              <w:pStyle w:val="48"/>
            </w:pPr>
            <w:r>
              <w:t>采空区</w:t>
            </w:r>
          </w:p>
        </w:tc>
        <w:tc>
          <w:tcPr>
            <w:tcW w:w="1058" w:type="pct"/>
            <w:tcBorders>
              <w:top w:val="single" w:color="auto" w:sz="6" w:space="0"/>
              <w:left w:val="single" w:color="auto" w:sz="6" w:space="0"/>
              <w:bottom w:val="single" w:color="auto" w:sz="6" w:space="0"/>
              <w:right w:val="single" w:color="auto" w:sz="6" w:space="0"/>
            </w:tcBorders>
            <w:vAlign w:val="center"/>
          </w:tcPr>
          <w:p w14:paraId="314D13FB">
            <w:pPr>
              <w:pStyle w:val="48"/>
            </w:pPr>
            <w:r>
              <w:t>地表移动变形、地面塌陷变形</w:t>
            </w:r>
          </w:p>
        </w:tc>
        <w:tc>
          <w:tcPr>
            <w:tcW w:w="973" w:type="pct"/>
            <w:tcBorders>
              <w:top w:val="single" w:color="auto" w:sz="6" w:space="0"/>
              <w:left w:val="single" w:color="auto" w:sz="6" w:space="0"/>
              <w:bottom w:val="single" w:color="auto" w:sz="6" w:space="0"/>
              <w:right w:val="single" w:color="auto" w:sz="6" w:space="0"/>
            </w:tcBorders>
            <w:vAlign w:val="center"/>
          </w:tcPr>
          <w:p w14:paraId="71B93D3C">
            <w:pPr>
              <w:pStyle w:val="48"/>
            </w:pPr>
            <w:r>
              <w:t>地下开采防范措施不到位</w:t>
            </w:r>
          </w:p>
        </w:tc>
        <w:tc>
          <w:tcPr>
            <w:tcW w:w="862" w:type="pct"/>
            <w:tcBorders>
              <w:top w:val="single" w:color="auto" w:sz="6" w:space="0"/>
              <w:left w:val="single" w:color="auto" w:sz="6" w:space="0"/>
              <w:bottom w:val="single" w:color="auto" w:sz="6" w:space="0"/>
              <w:right w:val="single" w:color="auto" w:sz="12" w:space="0"/>
            </w:tcBorders>
            <w:vAlign w:val="center"/>
          </w:tcPr>
          <w:p w14:paraId="608D3819">
            <w:pPr>
              <w:pStyle w:val="48"/>
            </w:pPr>
            <w:r>
              <w:t>地下水</w:t>
            </w:r>
          </w:p>
        </w:tc>
      </w:tr>
      <w:bookmarkEnd w:id="773"/>
    </w:tbl>
    <w:p w14:paraId="0091A4B4">
      <w:pPr>
        <w:pStyle w:val="7"/>
      </w:pPr>
      <w:bookmarkStart w:id="774" w:name="_Toc90989304"/>
      <w:bookmarkStart w:id="775" w:name="_Toc90318481"/>
      <w:bookmarkStart w:id="776" w:name="_Toc90997719"/>
      <w:bookmarkStart w:id="777" w:name="_Toc89882522"/>
      <w:bookmarkStart w:id="778" w:name="_Toc89786202"/>
      <w:bookmarkStart w:id="779" w:name="_Toc121420876"/>
      <w:bookmarkStart w:id="780" w:name="_Toc86852397"/>
      <w:r>
        <w:t>6.4.2</w:t>
      </w:r>
      <w:bookmarkEnd w:id="774"/>
      <w:bookmarkEnd w:id="775"/>
      <w:bookmarkEnd w:id="776"/>
      <w:bookmarkEnd w:id="777"/>
      <w:bookmarkEnd w:id="778"/>
      <w:r>
        <w:rPr>
          <w:rFonts w:hint="eastAsia"/>
        </w:rPr>
        <w:t>可能影响的途径</w:t>
      </w:r>
      <w:bookmarkEnd w:id="779"/>
    </w:p>
    <w:p w14:paraId="6DF01C70">
      <w:pPr>
        <w:ind w:firstLine="519"/>
        <w:rPr>
          <w:rFonts w:cs="Times New Roman"/>
        </w:rPr>
      </w:pPr>
      <w:r>
        <w:rPr>
          <w:rFonts w:cs="Times New Roman"/>
        </w:rPr>
        <w:t>（1）井壁套管</w:t>
      </w:r>
    </w:p>
    <w:p w14:paraId="03AA8BB3">
      <w:pPr>
        <w:pStyle w:val="2"/>
        <w:ind w:firstLine="519"/>
        <w:rPr>
          <w:rFonts w:cs="Times New Roman"/>
        </w:rPr>
      </w:pPr>
      <w:r>
        <w:rPr>
          <w:rFonts w:cs="Times New Roman"/>
        </w:rPr>
        <w:t>井壁套管处的事故风险，一种是卤井在钻井施工时采用的套管质量不合格、固井作业不合格，引起井筒质量差而易遭损坏，引起卤水进入含水层污染地下水</w:t>
      </w:r>
      <w:r>
        <w:rPr>
          <w:rFonts w:hint="eastAsia" w:cs="Times New Roman"/>
        </w:rPr>
        <w:t>；</w:t>
      </w:r>
      <w:r>
        <w:rPr>
          <w:rFonts w:cs="Times New Roman"/>
        </w:rPr>
        <w:t>另一种是卤井在长期的采卤生产过程中，由于卤水对套管的电化、氧化腐蚀作用，有可能引起套管穿孔，引起卤水进入含水层污染地下水。</w:t>
      </w:r>
    </w:p>
    <w:p w14:paraId="5AFA14CD">
      <w:pPr>
        <w:pStyle w:val="3"/>
        <w:ind w:firstLine="519"/>
        <w:rPr>
          <w:rFonts w:cs="Times New Roman"/>
        </w:rPr>
      </w:pPr>
      <w:r>
        <w:rPr>
          <w:rFonts w:cs="Times New Roman"/>
        </w:rPr>
        <w:t>（2）井口装置</w:t>
      </w:r>
    </w:p>
    <w:p w14:paraId="2390A736">
      <w:pPr>
        <w:ind w:firstLine="519"/>
        <w:rPr>
          <w:rFonts w:cs="Times New Roman"/>
        </w:rPr>
      </w:pPr>
      <w:r>
        <w:rPr>
          <w:rFonts w:cs="Times New Roman"/>
        </w:rPr>
        <w:t>卤井的井口装置可分为立式和卧式，一般由四通、弯头、中心管挂、阀门、压力表等组成；连接方式有丝扣、法兰和卡箍三种。</w:t>
      </w:r>
    </w:p>
    <w:p w14:paraId="35EDDA56">
      <w:pPr>
        <w:pStyle w:val="2"/>
        <w:ind w:firstLine="519"/>
        <w:rPr>
          <w:rFonts w:cs="Times New Roman"/>
        </w:rPr>
      </w:pPr>
      <w:r>
        <w:rPr>
          <w:rFonts w:cs="Times New Roman"/>
        </w:rPr>
        <w:t>卤井井口装置环境风险主要为装置在长期高压、卤水腐蚀情况下，连接处发生断裂导致大量卤水泄漏对井口附近浅层地下水产生污染的环境风险。</w:t>
      </w:r>
    </w:p>
    <w:p w14:paraId="3855FB92">
      <w:pPr>
        <w:pStyle w:val="3"/>
        <w:ind w:firstLine="519"/>
        <w:rPr>
          <w:rFonts w:cs="Times New Roman"/>
        </w:rPr>
      </w:pPr>
      <w:r>
        <w:rPr>
          <w:rFonts w:cs="Times New Roman"/>
        </w:rPr>
        <w:t>（3）采输卤管线</w:t>
      </w:r>
    </w:p>
    <w:p w14:paraId="3EE322A4">
      <w:pPr>
        <w:ind w:firstLine="519"/>
        <w:rPr>
          <w:rFonts w:cs="Times New Roman"/>
        </w:rPr>
      </w:pPr>
      <w:r>
        <w:rPr>
          <w:rFonts w:cs="Times New Roman"/>
        </w:rPr>
        <w:t>本项目采集卤管线采用无缝钢管，在运行一段时间以后，其连接件紧固老化、管道老化腐蚀、管路堵塞、管线破裂等会导致卤水突发泄漏。泄漏的卤水若进入土壤中，将会污染周边土壤；若进入水体，则会造成水体污染。</w:t>
      </w:r>
    </w:p>
    <w:p w14:paraId="3C289533">
      <w:pPr>
        <w:pStyle w:val="2"/>
        <w:ind w:firstLine="519"/>
        <w:rPr>
          <w:rFonts w:cs="Times New Roman"/>
        </w:rPr>
      </w:pPr>
      <w:r>
        <w:rPr>
          <w:rFonts w:cs="Times New Roman"/>
        </w:rPr>
        <w:t>（4）采卤地表沉陷</w:t>
      </w:r>
    </w:p>
    <w:p w14:paraId="3344CB8B">
      <w:pPr>
        <w:pStyle w:val="3"/>
        <w:ind w:firstLine="519"/>
        <w:rPr>
          <w:rFonts w:cs="Times New Roman"/>
        </w:rPr>
      </w:pPr>
      <w:r>
        <w:rPr>
          <w:rFonts w:cs="Times New Roman"/>
        </w:rPr>
        <w:t>采卤过程由于卤井溶腔控制参数失效，导致溶腔大面积连通、垮塌会引起溶腔区地表塌陷，严重时会对地表建构筑物、土地利用产生不利影响。</w:t>
      </w:r>
    </w:p>
    <w:p w14:paraId="70CE9A68">
      <w:pPr>
        <w:ind w:firstLine="519"/>
        <w:rPr>
          <w:rFonts w:cs="Times New Roman"/>
        </w:rPr>
      </w:pPr>
      <w:r>
        <w:rPr>
          <w:rFonts w:cs="Times New Roman"/>
        </w:rPr>
        <w:t>(5）盐晶结晶堵塞</w:t>
      </w:r>
    </w:p>
    <w:p w14:paraId="71C0D60E">
      <w:pPr>
        <w:pStyle w:val="2"/>
        <w:ind w:firstLine="519"/>
        <w:rPr>
          <w:rFonts w:cs="Times New Roman"/>
        </w:rPr>
      </w:pPr>
      <w:r>
        <w:rPr>
          <w:rFonts w:cs="Times New Roman"/>
        </w:rPr>
        <w:t>盐类矿床共生有硬石膏等矿物。石膏的溶解度很小，易于结晶析出附着于管壁，使管径缩小，管壁粗糙度增大，摩阻损失亦随之增大，影响采卤量和输卤量，甚至堵塞管道，发生卤水外泄，造成矿区土壤和浅层地下水污染。</w:t>
      </w:r>
    </w:p>
    <w:p w14:paraId="4DC86251">
      <w:pPr>
        <w:pStyle w:val="3"/>
        <w:ind w:firstLine="519"/>
        <w:rPr>
          <w:rFonts w:cs="Times New Roman"/>
        </w:rPr>
      </w:pPr>
      <w:r>
        <w:rPr>
          <w:rFonts w:cs="Times New Roman"/>
        </w:rPr>
        <w:t>本项目可能产生事故的场所或部位包括：井壁套管、井场井口装置、输送卤水管线以及溶腔分布区地表等几个部分。</w:t>
      </w:r>
    </w:p>
    <w:p w14:paraId="3B510D52">
      <w:pPr>
        <w:ind w:firstLine="519"/>
        <w:rPr>
          <w:rFonts w:cs="Times New Roman"/>
        </w:rPr>
      </w:pPr>
      <w:r>
        <w:rPr>
          <w:rFonts w:cs="Times New Roman"/>
        </w:rPr>
        <w:t>综上，拟建项目可能影响环境的途径为泄漏。</w:t>
      </w:r>
    </w:p>
    <w:p w14:paraId="4BD65609">
      <w:pPr>
        <w:pStyle w:val="7"/>
      </w:pPr>
      <w:bookmarkStart w:id="781" w:name="_Toc89786203"/>
      <w:bookmarkStart w:id="782" w:name="_Toc90989305"/>
      <w:bookmarkStart w:id="783" w:name="_Toc90997720"/>
      <w:bookmarkStart w:id="784" w:name="_Toc121420877"/>
      <w:bookmarkStart w:id="785" w:name="_Toc90318482"/>
      <w:bookmarkStart w:id="786" w:name="_Toc89882523"/>
      <w:r>
        <w:t>6.4.3环境风险</w:t>
      </w:r>
      <w:bookmarkEnd w:id="780"/>
      <w:r>
        <w:t>事故情形</w:t>
      </w:r>
      <w:bookmarkEnd w:id="781"/>
      <w:bookmarkEnd w:id="782"/>
      <w:bookmarkEnd w:id="783"/>
      <w:bookmarkEnd w:id="784"/>
      <w:bookmarkEnd w:id="785"/>
      <w:bookmarkEnd w:id="786"/>
    </w:p>
    <w:p w14:paraId="2ABB9549">
      <w:pPr>
        <w:ind w:firstLine="519"/>
        <w:rPr>
          <w:rFonts w:cs="Times New Roman"/>
        </w:rPr>
      </w:pPr>
      <w:r>
        <w:rPr>
          <w:rFonts w:cs="Times New Roman"/>
        </w:rPr>
        <w:t>（1）管道性能与不同泄漏类型的统计</w:t>
      </w:r>
    </w:p>
    <w:p w14:paraId="56ED8737">
      <w:pPr>
        <w:pStyle w:val="2"/>
        <w:ind w:firstLine="519"/>
        <w:rPr>
          <w:rFonts w:cs="Times New Roman"/>
        </w:rPr>
      </w:pPr>
      <w:r>
        <w:rPr>
          <w:rFonts w:cs="Times New Roman"/>
        </w:rPr>
        <w:t>事故频率与管道性能之间也有一定关系。表6.4-2~表6.4-4中的数据显示不同壁厚、管径和管道埋深条件下事故频率的统计情况。</w:t>
      </w:r>
    </w:p>
    <w:p w14:paraId="2E8FAE5B">
      <w:pPr>
        <w:pStyle w:val="9"/>
        <w:ind w:firstLine="562"/>
      </w:pPr>
      <w:bookmarkStart w:id="787" w:name="_Hlk89620941"/>
      <w:r>
        <w:t>表6.4–2  管道壁厚与不同泄露类型的关系（事故频率10</w:t>
      </w:r>
      <w:r>
        <w:rPr>
          <w:vertAlign w:val="superscript"/>
        </w:rPr>
        <w:t>-3</w:t>
      </w:r>
      <w:r>
        <w:t>/km﹒a）</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28"/>
        <w:gridCol w:w="2190"/>
        <w:gridCol w:w="2093"/>
        <w:gridCol w:w="2217"/>
      </w:tblGrid>
      <w:tr w14:paraId="13294F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12" w:space="0"/>
              <w:left w:val="single" w:color="auto" w:sz="12" w:space="0"/>
              <w:bottom w:val="single" w:color="auto" w:sz="6" w:space="0"/>
              <w:right w:val="single" w:color="auto" w:sz="6" w:space="0"/>
            </w:tcBorders>
            <w:vAlign w:val="center"/>
          </w:tcPr>
          <w:p w14:paraId="43E1BAF3">
            <w:pPr>
              <w:pStyle w:val="48"/>
              <w:adjustRightInd/>
              <w:snapToGrid/>
              <w:rPr>
                <w:szCs w:val="21"/>
              </w:rPr>
            </w:pPr>
            <w:r>
              <w:rPr>
                <w:szCs w:val="21"/>
              </w:rPr>
              <w:t>管道壁厚（mm）</w:t>
            </w:r>
          </w:p>
        </w:tc>
        <w:tc>
          <w:tcPr>
            <w:tcW w:w="1284" w:type="pct"/>
            <w:tcBorders>
              <w:top w:val="single" w:color="auto" w:sz="12" w:space="0"/>
              <w:left w:val="single" w:color="auto" w:sz="6" w:space="0"/>
              <w:bottom w:val="single" w:color="auto" w:sz="6" w:space="0"/>
              <w:right w:val="single" w:color="auto" w:sz="6" w:space="0"/>
            </w:tcBorders>
            <w:vAlign w:val="center"/>
          </w:tcPr>
          <w:p w14:paraId="0588D0BB">
            <w:pPr>
              <w:pStyle w:val="48"/>
              <w:adjustRightInd/>
              <w:snapToGrid/>
              <w:rPr>
                <w:szCs w:val="21"/>
              </w:rPr>
            </w:pPr>
            <w:r>
              <w:rPr>
                <w:szCs w:val="21"/>
              </w:rPr>
              <w:t>针孔/裂纹</w:t>
            </w:r>
          </w:p>
        </w:tc>
        <w:tc>
          <w:tcPr>
            <w:tcW w:w="1227" w:type="pct"/>
            <w:tcBorders>
              <w:top w:val="single" w:color="auto" w:sz="12" w:space="0"/>
              <w:left w:val="single" w:color="auto" w:sz="6" w:space="0"/>
              <w:bottom w:val="single" w:color="auto" w:sz="6" w:space="0"/>
              <w:right w:val="single" w:color="auto" w:sz="6" w:space="0"/>
            </w:tcBorders>
            <w:vAlign w:val="center"/>
          </w:tcPr>
          <w:p w14:paraId="2A16F3C0">
            <w:pPr>
              <w:pStyle w:val="48"/>
              <w:adjustRightInd/>
              <w:snapToGrid/>
              <w:rPr>
                <w:szCs w:val="21"/>
              </w:rPr>
            </w:pPr>
            <w:r>
              <w:rPr>
                <w:szCs w:val="21"/>
              </w:rPr>
              <w:t>穿孔</w:t>
            </w:r>
          </w:p>
        </w:tc>
        <w:tc>
          <w:tcPr>
            <w:tcW w:w="1300" w:type="pct"/>
            <w:tcBorders>
              <w:top w:val="single" w:color="auto" w:sz="12" w:space="0"/>
              <w:left w:val="single" w:color="auto" w:sz="6" w:space="0"/>
              <w:bottom w:val="single" w:color="auto" w:sz="6" w:space="0"/>
              <w:right w:val="single" w:color="auto" w:sz="12" w:space="0"/>
            </w:tcBorders>
            <w:vAlign w:val="center"/>
          </w:tcPr>
          <w:p w14:paraId="2EFF4336">
            <w:pPr>
              <w:pStyle w:val="48"/>
              <w:adjustRightInd/>
              <w:snapToGrid/>
              <w:rPr>
                <w:szCs w:val="21"/>
              </w:rPr>
            </w:pPr>
            <w:r>
              <w:rPr>
                <w:szCs w:val="21"/>
              </w:rPr>
              <w:t>断裂</w:t>
            </w:r>
          </w:p>
        </w:tc>
      </w:tr>
      <w:tr w14:paraId="3A9E94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6" w:space="0"/>
              <w:left w:val="single" w:color="auto" w:sz="12" w:space="0"/>
              <w:bottom w:val="single" w:color="auto" w:sz="6" w:space="0"/>
              <w:right w:val="single" w:color="auto" w:sz="6" w:space="0"/>
            </w:tcBorders>
            <w:vAlign w:val="center"/>
          </w:tcPr>
          <w:p w14:paraId="28BF8931">
            <w:pPr>
              <w:pStyle w:val="48"/>
              <w:adjustRightInd/>
              <w:snapToGrid/>
              <w:rPr>
                <w:szCs w:val="21"/>
              </w:rPr>
            </w:pPr>
            <w:r>
              <w:rPr>
                <w:szCs w:val="21"/>
              </w:rPr>
              <w:t>≤5</w:t>
            </w:r>
          </w:p>
        </w:tc>
        <w:tc>
          <w:tcPr>
            <w:tcW w:w="1284" w:type="pct"/>
            <w:tcBorders>
              <w:top w:val="single" w:color="auto" w:sz="6" w:space="0"/>
              <w:left w:val="single" w:color="auto" w:sz="6" w:space="0"/>
              <w:bottom w:val="single" w:color="auto" w:sz="6" w:space="0"/>
              <w:right w:val="single" w:color="auto" w:sz="6" w:space="0"/>
            </w:tcBorders>
            <w:vAlign w:val="center"/>
          </w:tcPr>
          <w:p w14:paraId="448D78C4">
            <w:pPr>
              <w:pStyle w:val="48"/>
              <w:adjustRightInd/>
              <w:snapToGrid/>
              <w:rPr>
                <w:szCs w:val="21"/>
              </w:rPr>
            </w:pPr>
            <w:r>
              <w:rPr>
                <w:szCs w:val="21"/>
              </w:rPr>
              <w:t>0.191</w:t>
            </w:r>
          </w:p>
        </w:tc>
        <w:tc>
          <w:tcPr>
            <w:tcW w:w="1227" w:type="pct"/>
            <w:tcBorders>
              <w:top w:val="single" w:color="auto" w:sz="6" w:space="0"/>
              <w:left w:val="single" w:color="auto" w:sz="6" w:space="0"/>
              <w:bottom w:val="single" w:color="auto" w:sz="6" w:space="0"/>
              <w:right w:val="single" w:color="auto" w:sz="6" w:space="0"/>
            </w:tcBorders>
            <w:vAlign w:val="center"/>
          </w:tcPr>
          <w:p w14:paraId="70BA9A3B">
            <w:pPr>
              <w:pStyle w:val="48"/>
              <w:adjustRightInd/>
              <w:snapToGrid/>
              <w:rPr>
                <w:szCs w:val="21"/>
              </w:rPr>
            </w:pPr>
            <w:r>
              <w:rPr>
                <w:szCs w:val="21"/>
              </w:rPr>
              <w:t>0.397</w:t>
            </w:r>
          </w:p>
        </w:tc>
        <w:tc>
          <w:tcPr>
            <w:tcW w:w="1300" w:type="pct"/>
            <w:tcBorders>
              <w:top w:val="single" w:color="auto" w:sz="6" w:space="0"/>
              <w:left w:val="single" w:color="auto" w:sz="6" w:space="0"/>
              <w:bottom w:val="single" w:color="auto" w:sz="6" w:space="0"/>
              <w:right w:val="single" w:color="auto" w:sz="12" w:space="0"/>
            </w:tcBorders>
            <w:vAlign w:val="center"/>
          </w:tcPr>
          <w:p w14:paraId="02678C78">
            <w:pPr>
              <w:pStyle w:val="48"/>
              <w:adjustRightInd/>
              <w:snapToGrid/>
              <w:rPr>
                <w:szCs w:val="21"/>
              </w:rPr>
            </w:pPr>
            <w:r>
              <w:rPr>
                <w:szCs w:val="21"/>
              </w:rPr>
              <w:t>0.213</w:t>
            </w:r>
          </w:p>
        </w:tc>
      </w:tr>
      <w:tr w14:paraId="6D24F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6" w:space="0"/>
              <w:left w:val="single" w:color="auto" w:sz="12" w:space="0"/>
              <w:bottom w:val="single" w:color="auto" w:sz="6" w:space="0"/>
              <w:right w:val="single" w:color="auto" w:sz="6" w:space="0"/>
            </w:tcBorders>
            <w:vAlign w:val="center"/>
          </w:tcPr>
          <w:p w14:paraId="09BEF3D2">
            <w:pPr>
              <w:pStyle w:val="48"/>
              <w:adjustRightInd/>
              <w:snapToGrid/>
              <w:rPr>
                <w:szCs w:val="21"/>
              </w:rPr>
            </w:pPr>
            <w:r>
              <w:rPr>
                <w:szCs w:val="21"/>
              </w:rPr>
              <w:t>5~10</w:t>
            </w:r>
          </w:p>
        </w:tc>
        <w:tc>
          <w:tcPr>
            <w:tcW w:w="1284" w:type="pct"/>
            <w:tcBorders>
              <w:top w:val="single" w:color="auto" w:sz="6" w:space="0"/>
              <w:left w:val="single" w:color="auto" w:sz="6" w:space="0"/>
              <w:bottom w:val="single" w:color="auto" w:sz="6" w:space="0"/>
              <w:right w:val="single" w:color="auto" w:sz="6" w:space="0"/>
            </w:tcBorders>
            <w:vAlign w:val="center"/>
          </w:tcPr>
          <w:p w14:paraId="43BC2AEB">
            <w:pPr>
              <w:pStyle w:val="48"/>
              <w:adjustRightInd/>
              <w:snapToGrid/>
              <w:rPr>
                <w:szCs w:val="21"/>
              </w:rPr>
            </w:pPr>
            <w:r>
              <w:rPr>
                <w:szCs w:val="21"/>
              </w:rPr>
              <w:t>0.029</w:t>
            </w:r>
          </w:p>
        </w:tc>
        <w:tc>
          <w:tcPr>
            <w:tcW w:w="1227" w:type="pct"/>
            <w:tcBorders>
              <w:top w:val="single" w:color="auto" w:sz="6" w:space="0"/>
              <w:left w:val="single" w:color="auto" w:sz="6" w:space="0"/>
              <w:bottom w:val="single" w:color="auto" w:sz="6" w:space="0"/>
              <w:right w:val="single" w:color="auto" w:sz="6" w:space="0"/>
            </w:tcBorders>
            <w:vAlign w:val="center"/>
          </w:tcPr>
          <w:p w14:paraId="4B87FF44">
            <w:pPr>
              <w:pStyle w:val="48"/>
              <w:adjustRightInd/>
              <w:snapToGrid/>
              <w:rPr>
                <w:szCs w:val="21"/>
              </w:rPr>
            </w:pPr>
            <w:r>
              <w:rPr>
                <w:szCs w:val="21"/>
              </w:rPr>
              <w:t>0.176</w:t>
            </w:r>
          </w:p>
        </w:tc>
        <w:tc>
          <w:tcPr>
            <w:tcW w:w="1300" w:type="pct"/>
            <w:tcBorders>
              <w:top w:val="single" w:color="auto" w:sz="6" w:space="0"/>
              <w:left w:val="single" w:color="auto" w:sz="6" w:space="0"/>
              <w:bottom w:val="single" w:color="auto" w:sz="6" w:space="0"/>
              <w:right w:val="single" w:color="auto" w:sz="12" w:space="0"/>
            </w:tcBorders>
            <w:vAlign w:val="center"/>
          </w:tcPr>
          <w:p w14:paraId="0649656C">
            <w:pPr>
              <w:pStyle w:val="48"/>
              <w:adjustRightInd/>
              <w:snapToGrid/>
              <w:rPr>
                <w:szCs w:val="21"/>
              </w:rPr>
            </w:pPr>
            <w:r>
              <w:rPr>
                <w:szCs w:val="21"/>
              </w:rPr>
              <w:t>0.044</w:t>
            </w:r>
          </w:p>
        </w:tc>
      </w:tr>
      <w:tr w14:paraId="4EF21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6" w:space="0"/>
              <w:left w:val="single" w:color="auto" w:sz="12" w:space="0"/>
              <w:bottom w:val="single" w:color="auto" w:sz="6" w:space="0"/>
              <w:right w:val="single" w:color="auto" w:sz="6" w:space="0"/>
            </w:tcBorders>
            <w:vAlign w:val="center"/>
          </w:tcPr>
          <w:p w14:paraId="21A754F0">
            <w:pPr>
              <w:pStyle w:val="48"/>
              <w:adjustRightInd/>
              <w:snapToGrid/>
              <w:rPr>
                <w:szCs w:val="21"/>
              </w:rPr>
            </w:pPr>
            <w:r>
              <w:rPr>
                <w:szCs w:val="21"/>
              </w:rPr>
              <w:t>10~15</w:t>
            </w:r>
          </w:p>
        </w:tc>
        <w:tc>
          <w:tcPr>
            <w:tcW w:w="1284" w:type="pct"/>
            <w:tcBorders>
              <w:top w:val="single" w:color="auto" w:sz="6" w:space="0"/>
              <w:left w:val="single" w:color="auto" w:sz="6" w:space="0"/>
              <w:bottom w:val="single" w:color="auto" w:sz="6" w:space="0"/>
              <w:right w:val="single" w:color="auto" w:sz="6" w:space="0"/>
            </w:tcBorders>
            <w:vAlign w:val="center"/>
          </w:tcPr>
          <w:p w14:paraId="4E75D66C">
            <w:pPr>
              <w:pStyle w:val="48"/>
              <w:adjustRightInd/>
              <w:snapToGrid/>
              <w:rPr>
                <w:szCs w:val="21"/>
              </w:rPr>
            </w:pPr>
            <w:r>
              <w:rPr>
                <w:szCs w:val="21"/>
              </w:rPr>
              <w:t>0.01</w:t>
            </w:r>
          </w:p>
        </w:tc>
        <w:tc>
          <w:tcPr>
            <w:tcW w:w="1227" w:type="pct"/>
            <w:tcBorders>
              <w:top w:val="single" w:color="auto" w:sz="6" w:space="0"/>
              <w:left w:val="single" w:color="auto" w:sz="6" w:space="0"/>
              <w:bottom w:val="single" w:color="auto" w:sz="6" w:space="0"/>
              <w:right w:val="single" w:color="auto" w:sz="6" w:space="0"/>
            </w:tcBorders>
            <w:vAlign w:val="center"/>
          </w:tcPr>
          <w:p w14:paraId="1A227457">
            <w:pPr>
              <w:pStyle w:val="48"/>
              <w:adjustRightInd/>
              <w:snapToGrid/>
              <w:rPr>
                <w:szCs w:val="21"/>
              </w:rPr>
            </w:pPr>
            <w:r>
              <w:rPr>
                <w:szCs w:val="21"/>
              </w:rPr>
              <w:t>0.03</w:t>
            </w:r>
          </w:p>
        </w:tc>
        <w:tc>
          <w:tcPr>
            <w:tcW w:w="1300" w:type="pct"/>
            <w:tcBorders>
              <w:top w:val="single" w:color="auto" w:sz="6" w:space="0"/>
              <w:left w:val="single" w:color="auto" w:sz="6" w:space="0"/>
              <w:bottom w:val="single" w:color="auto" w:sz="6" w:space="0"/>
              <w:right w:val="single" w:color="auto" w:sz="12" w:space="0"/>
            </w:tcBorders>
            <w:vAlign w:val="center"/>
          </w:tcPr>
          <w:p w14:paraId="3E67ED49">
            <w:pPr>
              <w:pStyle w:val="48"/>
              <w:adjustRightInd/>
              <w:snapToGrid/>
              <w:rPr>
                <w:szCs w:val="21"/>
              </w:rPr>
            </w:pPr>
            <w:r>
              <w:rPr>
                <w:szCs w:val="21"/>
              </w:rPr>
              <w:t>/</w:t>
            </w:r>
          </w:p>
        </w:tc>
      </w:tr>
      <w:bookmarkEnd w:id="787"/>
    </w:tbl>
    <w:p w14:paraId="169586B7">
      <w:pPr>
        <w:ind w:firstLine="519"/>
        <w:rPr>
          <w:rFonts w:cs="Times New Roman"/>
        </w:rPr>
      </w:pPr>
    </w:p>
    <w:p w14:paraId="1BF703A2">
      <w:pPr>
        <w:pStyle w:val="9"/>
        <w:ind w:firstLine="562"/>
      </w:pPr>
      <w:bookmarkStart w:id="788" w:name="_Hlk89620985"/>
      <w:r>
        <w:t>表6.4–3  管径与不同泄露类型的关系（事故频率10</w:t>
      </w:r>
      <w:r>
        <w:rPr>
          <w:vertAlign w:val="superscript"/>
        </w:rPr>
        <w:t>-3</w:t>
      </w:r>
      <w:r>
        <w:t>/km﹒a）</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28"/>
        <w:gridCol w:w="2190"/>
        <w:gridCol w:w="2093"/>
        <w:gridCol w:w="2217"/>
      </w:tblGrid>
      <w:tr w14:paraId="4006C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12" w:space="0"/>
              <w:left w:val="single" w:color="auto" w:sz="12" w:space="0"/>
              <w:bottom w:val="single" w:color="auto" w:sz="6" w:space="0"/>
              <w:right w:val="single" w:color="auto" w:sz="6" w:space="0"/>
            </w:tcBorders>
            <w:vAlign w:val="center"/>
          </w:tcPr>
          <w:p w14:paraId="11960024">
            <w:pPr>
              <w:pStyle w:val="48"/>
              <w:adjustRightInd/>
              <w:snapToGrid/>
              <w:rPr>
                <w:szCs w:val="21"/>
              </w:rPr>
            </w:pPr>
            <w:r>
              <w:rPr>
                <w:szCs w:val="21"/>
              </w:rPr>
              <w:t>管道壁厚（mm）</w:t>
            </w:r>
          </w:p>
        </w:tc>
        <w:tc>
          <w:tcPr>
            <w:tcW w:w="1284" w:type="pct"/>
            <w:tcBorders>
              <w:top w:val="single" w:color="auto" w:sz="12" w:space="0"/>
              <w:left w:val="single" w:color="auto" w:sz="6" w:space="0"/>
              <w:bottom w:val="single" w:color="auto" w:sz="6" w:space="0"/>
              <w:right w:val="single" w:color="auto" w:sz="6" w:space="0"/>
            </w:tcBorders>
            <w:vAlign w:val="center"/>
          </w:tcPr>
          <w:p w14:paraId="63B7FDD1">
            <w:pPr>
              <w:pStyle w:val="48"/>
              <w:adjustRightInd/>
              <w:snapToGrid/>
              <w:rPr>
                <w:szCs w:val="21"/>
              </w:rPr>
            </w:pPr>
            <w:r>
              <w:rPr>
                <w:szCs w:val="21"/>
              </w:rPr>
              <w:t>针孔/裂纹</w:t>
            </w:r>
          </w:p>
        </w:tc>
        <w:tc>
          <w:tcPr>
            <w:tcW w:w="1227" w:type="pct"/>
            <w:tcBorders>
              <w:top w:val="single" w:color="auto" w:sz="12" w:space="0"/>
              <w:left w:val="single" w:color="auto" w:sz="6" w:space="0"/>
              <w:bottom w:val="single" w:color="auto" w:sz="6" w:space="0"/>
              <w:right w:val="single" w:color="auto" w:sz="6" w:space="0"/>
            </w:tcBorders>
            <w:vAlign w:val="center"/>
          </w:tcPr>
          <w:p w14:paraId="07F19FF4">
            <w:pPr>
              <w:pStyle w:val="48"/>
              <w:adjustRightInd/>
              <w:snapToGrid/>
              <w:rPr>
                <w:szCs w:val="21"/>
              </w:rPr>
            </w:pPr>
            <w:r>
              <w:rPr>
                <w:szCs w:val="21"/>
              </w:rPr>
              <w:t>穿孔</w:t>
            </w:r>
          </w:p>
        </w:tc>
        <w:tc>
          <w:tcPr>
            <w:tcW w:w="1300" w:type="pct"/>
            <w:tcBorders>
              <w:top w:val="single" w:color="auto" w:sz="12" w:space="0"/>
              <w:left w:val="single" w:color="auto" w:sz="6" w:space="0"/>
              <w:bottom w:val="single" w:color="auto" w:sz="6" w:space="0"/>
              <w:right w:val="single" w:color="auto" w:sz="12" w:space="0"/>
            </w:tcBorders>
            <w:vAlign w:val="center"/>
          </w:tcPr>
          <w:p w14:paraId="0DD1FE0C">
            <w:pPr>
              <w:pStyle w:val="48"/>
              <w:adjustRightInd/>
              <w:snapToGrid/>
              <w:rPr>
                <w:szCs w:val="21"/>
              </w:rPr>
            </w:pPr>
            <w:r>
              <w:rPr>
                <w:szCs w:val="21"/>
              </w:rPr>
              <w:t>断裂</w:t>
            </w:r>
          </w:p>
        </w:tc>
      </w:tr>
      <w:tr w14:paraId="1934E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6" w:space="0"/>
              <w:left w:val="single" w:color="auto" w:sz="12" w:space="0"/>
              <w:bottom w:val="single" w:color="auto" w:sz="6" w:space="0"/>
              <w:right w:val="single" w:color="auto" w:sz="6" w:space="0"/>
            </w:tcBorders>
            <w:vAlign w:val="center"/>
          </w:tcPr>
          <w:p w14:paraId="37FC7223">
            <w:pPr>
              <w:pStyle w:val="48"/>
              <w:adjustRightInd/>
              <w:snapToGrid/>
              <w:rPr>
                <w:szCs w:val="21"/>
              </w:rPr>
            </w:pPr>
            <w:r>
              <w:rPr>
                <w:szCs w:val="21"/>
              </w:rPr>
              <w:t>≤100</w:t>
            </w:r>
          </w:p>
        </w:tc>
        <w:tc>
          <w:tcPr>
            <w:tcW w:w="1284" w:type="pct"/>
            <w:tcBorders>
              <w:top w:val="single" w:color="auto" w:sz="6" w:space="0"/>
              <w:left w:val="single" w:color="auto" w:sz="6" w:space="0"/>
              <w:bottom w:val="single" w:color="auto" w:sz="6" w:space="0"/>
              <w:right w:val="single" w:color="auto" w:sz="6" w:space="0"/>
            </w:tcBorders>
            <w:vAlign w:val="center"/>
          </w:tcPr>
          <w:p w14:paraId="20007776">
            <w:pPr>
              <w:pStyle w:val="48"/>
              <w:adjustRightInd/>
              <w:snapToGrid/>
              <w:rPr>
                <w:szCs w:val="21"/>
              </w:rPr>
            </w:pPr>
            <w:r>
              <w:rPr>
                <w:szCs w:val="21"/>
              </w:rPr>
              <w:t>0.229</w:t>
            </w:r>
          </w:p>
        </w:tc>
        <w:tc>
          <w:tcPr>
            <w:tcW w:w="1227" w:type="pct"/>
            <w:tcBorders>
              <w:top w:val="single" w:color="auto" w:sz="6" w:space="0"/>
              <w:left w:val="single" w:color="auto" w:sz="6" w:space="0"/>
              <w:bottom w:val="single" w:color="auto" w:sz="6" w:space="0"/>
              <w:right w:val="single" w:color="auto" w:sz="6" w:space="0"/>
            </w:tcBorders>
            <w:vAlign w:val="center"/>
          </w:tcPr>
          <w:p w14:paraId="1EFAD3A9">
            <w:pPr>
              <w:pStyle w:val="48"/>
              <w:adjustRightInd/>
              <w:snapToGrid/>
              <w:rPr>
                <w:szCs w:val="21"/>
              </w:rPr>
            </w:pPr>
            <w:r>
              <w:rPr>
                <w:szCs w:val="21"/>
              </w:rPr>
              <w:t>0.371</w:t>
            </w:r>
          </w:p>
        </w:tc>
        <w:tc>
          <w:tcPr>
            <w:tcW w:w="1300" w:type="pct"/>
            <w:tcBorders>
              <w:top w:val="single" w:color="auto" w:sz="6" w:space="0"/>
              <w:left w:val="single" w:color="auto" w:sz="6" w:space="0"/>
              <w:bottom w:val="single" w:color="auto" w:sz="6" w:space="0"/>
              <w:right w:val="single" w:color="auto" w:sz="12" w:space="0"/>
            </w:tcBorders>
            <w:vAlign w:val="center"/>
          </w:tcPr>
          <w:p w14:paraId="3AA93746">
            <w:pPr>
              <w:pStyle w:val="48"/>
              <w:adjustRightInd/>
              <w:snapToGrid/>
              <w:rPr>
                <w:szCs w:val="21"/>
              </w:rPr>
            </w:pPr>
            <w:r>
              <w:rPr>
                <w:szCs w:val="21"/>
              </w:rPr>
              <w:t>0.32</w:t>
            </w:r>
          </w:p>
        </w:tc>
      </w:tr>
      <w:tr w14:paraId="57861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6" w:space="0"/>
              <w:left w:val="single" w:color="auto" w:sz="12" w:space="0"/>
              <w:bottom w:val="single" w:color="auto" w:sz="6" w:space="0"/>
              <w:right w:val="single" w:color="auto" w:sz="6" w:space="0"/>
            </w:tcBorders>
            <w:vAlign w:val="center"/>
          </w:tcPr>
          <w:p w14:paraId="4AB1D3C6">
            <w:pPr>
              <w:pStyle w:val="48"/>
              <w:adjustRightInd/>
              <w:snapToGrid/>
              <w:rPr>
                <w:szCs w:val="21"/>
              </w:rPr>
            </w:pPr>
            <w:r>
              <w:rPr>
                <w:szCs w:val="21"/>
              </w:rPr>
              <w:t>125~250</w:t>
            </w:r>
          </w:p>
        </w:tc>
        <w:tc>
          <w:tcPr>
            <w:tcW w:w="1284" w:type="pct"/>
            <w:tcBorders>
              <w:top w:val="single" w:color="auto" w:sz="6" w:space="0"/>
              <w:left w:val="single" w:color="auto" w:sz="6" w:space="0"/>
              <w:bottom w:val="single" w:color="auto" w:sz="6" w:space="0"/>
              <w:right w:val="single" w:color="auto" w:sz="6" w:space="0"/>
            </w:tcBorders>
            <w:vAlign w:val="center"/>
          </w:tcPr>
          <w:p w14:paraId="6B1F218F">
            <w:pPr>
              <w:pStyle w:val="48"/>
              <w:adjustRightInd/>
              <w:snapToGrid/>
              <w:rPr>
                <w:szCs w:val="21"/>
              </w:rPr>
            </w:pPr>
            <w:r>
              <w:rPr>
                <w:szCs w:val="21"/>
              </w:rPr>
              <w:t>0.08</w:t>
            </w:r>
          </w:p>
        </w:tc>
        <w:tc>
          <w:tcPr>
            <w:tcW w:w="1227" w:type="pct"/>
            <w:tcBorders>
              <w:top w:val="single" w:color="auto" w:sz="6" w:space="0"/>
              <w:left w:val="single" w:color="auto" w:sz="6" w:space="0"/>
              <w:bottom w:val="single" w:color="auto" w:sz="6" w:space="0"/>
              <w:right w:val="single" w:color="auto" w:sz="6" w:space="0"/>
            </w:tcBorders>
            <w:vAlign w:val="center"/>
          </w:tcPr>
          <w:p w14:paraId="511F750F">
            <w:pPr>
              <w:pStyle w:val="48"/>
              <w:adjustRightInd/>
              <w:snapToGrid/>
              <w:rPr>
                <w:szCs w:val="21"/>
              </w:rPr>
            </w:pPr>
            <w:r>
              <w:rPr>
                <w:szCs w:val="21"/>
              </w:rPr>
              <w:t>0.35</w:t>
            </w:r>
          </w:p>
        </w:tc>
        <w:tc>
          <w:tcPr>
            <w:tcW w:w="1300" w:type="pct"/>
            <w:tcBorders>
              <w:top w:val="single" w:color="auto" w:sz="6" w:space="0"/>
              <w:left w:val="single" w:color="auto" w:sz="6" w:space="0"/>
              <w:bottom w:val="single" w:color="auto" w:sz="6" w:space="0"/>
              <w:right w:val="single" w:color="auto" w:sz="12" w:space="0"/>
            </w:tcBorders>
            <w:vAlign w:val="center"/>
          </w:tcPr>
          <w:p w14:paraId="5401B931">
            <w:pPr>
              <w:pStyle w:val="48"/>
              <w:adjustRightInd/>
              <w:snapToGrid/>
              <w:rPr>
                <w:szCs w:val="21"/>
              </w:rPr>
            </w:pPr>
            <w:r>
              <w:rPr>
                <w:szCs w:val="21"/>
              </w:rPr>
              <w:t>0.11</w:t>
            </w:r>
          </w:p>
        </w:tc>
      </w:tr>
      <w:tr w14:paraId="62EDB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6" w:space="0"/>
              <w:left w:val="single" w:color="auto" w:sz="12" w:space="0"/>
              <w:bottom w:val="single" w:color="auto" w:sz="6" w:space="0"/>
              <w:right w:val="single" w:color="auto" w:sz="6" w:space="0"/>
            </w:tcBorders>
            <w:vAlign w:val="center"/>
          </w:tcPr>
          <w:p w14:paraId="5484B80A">
            <w:pPr>
              <w:pStyle w:val="48"/>
              <w:adjustRightInd/>
              <w:snapToGrid/>
              <w:rPr>
                <w:szCs w:val="21"/>
              </w:rPr>
            </w:pPr>
            <w:r>
              <w:rPr>
                <w:szCs w:val="21"/>
              </w:rPr>
              <w:t>300~400</w:t>
            </w:r>
          </w:p>
        </w:tc>
        <w:tc>
          <w:tcPr>
            <w:tcW w:w="1284" w:type="pct"/>
            <w:tcBorders>
              <w:top w:val="single" w:color="auto" w:sz="6" w:space="0"/>
              <w:left w:val="single" w:color="auto" w:sz="6" w:space="0"/>
              <w:bottom w:val="single" w:color="auto" w:sz="6" w:space="0"/>
              <w:right w:val="single" w:color="auto" w:sz="6" w:space="0"/>
            </w:tcBorders>
            <w:vAlign w:val="center"/>
          </w:tcPr>
          <w:p w14:paraId="396A851D">
            <w:pPr>
              <w:pStyle w:val="48"/>
              <w:adjustRightInd/>
              <w:snapToGrid/>
              <w:rPr>
                <w:szCs w:val="21"/>
              </w:rPr>
            </w:pPr>
            <w:r>
              <w:rPr>
                <w:szCs w:val="21"/>
              </w:rPr>
              <w:t>0.07</w:t>
            </w:r>
          </w:p>
        </w:tc>
        <w:tc>
          <w:tcPr>
            <w:tcW w:w="1227" w:type="pct"/>
            <w:tcBorders>
              <w:top w:val="single" w:color="auto" w:sz="6" w:space="0"/>
              <w:left w:val="single" w:color="auto" w:sz="6" w:space="0"/>
              <w:bottom w:val="single" w:color="auto" w:sz="6" w:space="0"/>
              <w:right w:val="single" w:color="auto" w:sz="6" w:space="0"/>
            </w:tcBorders>
            <w:vAlign w:val="center"/>
          </w:tcPr>
          <w:p w14:paraId="5D77FAA7">
            <w:pPr>
              <w:pStyle w:val="48"/>
              <w:adjustRightInd/>
              <w:snapToGrid/>
              <w:rPr>
                <w:szCs w:val="21"/>
              </w:rPr>
            </w:pPr>
            <w:r>
              <w:rPr>
                <w:szCs w:val="21"/>
              </w:rPr>
              <w:t>0.15</w:t>
            </w:r>
          </w:p>
        </w:tc>
        <w:tc>
          <w:tcPr>
            <w:tcW w:w="1300" w:type="pct"/>
            <w:tcBorders>
              <w:top w:val="single" w:color="auto" w:sz="6" w:space="0"/>
              <w:left w:val="single" w:color="auto" w:sz="6" w:space="0"/>
              <w:bottom w:val="single" w:color="auto" w:sz="6" w:space="0"/>
              <w:right w:val="single" w:color="auto" w:sz="12" w:space="0"/>
            </w:tcBorders>
            <w:vAlign w:val="center"/>
          </w:tcPr>
          <w:p w14:paraId="34EA350C">
            <w:pPr>
              <w:pStyle w:val="48"/>
              <w:adjustRightInd/>
              <w:snapToGrid/>
              <w:rPr>
                <w:szCs w:val="21"/>
              </w:rPr>
            </w:pPr>
            <w:r>
              <w:rPr>
                <w:szCs w:val="21"/>
              </w:rPr>
              <w:t>0.05</w:t>
            </w:r>
          </w:p>
        </w:tc>
      </w:tr>
      <w:tr w14:paraId="12744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6" w:space="0"/>
              <w:left w:val="single" w:color="auto" w:sz="12" w:space="0"/>
              <w:bottom w:val="single" w:color="auto" w:sz="6" w:space="0"/>
              <w:right w:val="single" w:color="auto" w:sz="6" w:space="0"/>
            </w:tcBorders>
            <w:vAlign w:val="center"/>
          </w:tcPr>
          <w:p w14:paraId="4192913E">
            <w:pPr>
              <w:pStyle w:val="48"/>
              <w:adjustRightInd/>
              <w:snapToGrid/>
              <w:rPr>
                <w:szCs w:val="21"/>
              </w:rPr>
            </w:pPr>
            <w:r>
              <w:rPr>
                <w:szCs w:val="21"/>
              </w:rPr>
              <w:t>450~550</w:t>
            </w:r>
          </w:p>
        </w:tc>
        <w:tc>
          <w:tcPr>
            <w:tcW w:w="1284" w:type="pct"/>
            <w:tcBorders>
              <w:top w:val="single" w:color="auto" w:sz="6" w:space="0"/>
              <w:left w:val="single" w:color="auto" w:sz="6" w:space="0"/>
              <w:bottom w:val="single" w:color="auto" w:sz="6" w:space="0"/>
              <w:right w:val="single" w:color="auto" w:sz="6" w:space="0"/>
            </w:tcBorders>
            <w:vAlign w:val="center"/>
          </w:tcPr>
          <w:p w14:paraId="76C0353F">
            <w:pPr>
              <w:pStyle w:val="48"/>
              <w:adjustRightInd/>
              <w:snapToGrid/>
              <w:rPr>
                <w:szCs w:val="21"/>
              </w:rPr>
            </w:pPr>
            <w:r>
              <w:rPr>
                <w:szCs w:val="21"/>
              </w:rPr>
              <w:t>0.01</w:t>
            </w:r>
          </w:p>
        </w:tc>
        <w:tc>
          <w:tcPr>
            <w:tcW w:w="1227" w:type="pct"/>
            <w:tcBorders>
              <w:top w:val="single" w:color="auto" w:sz="6" w:space="0"/>
              <w:left w:val="single" w:color="auto" w:sz="6" w:space="0"/>
              <w:bottom w:val="single" w:color="auto" w:sz="6" w:space="0"/>
              <w:right w:val="single" w:color="auto" w:sz="6" w:space="0"/>
            </w:tcBorders>
            <w:vAlign w:val="center"/>
          </w:tcPr>
          <w:p w14:paraId="01439F9A">
            <w:pPr>
              <w:pStyle w:val="48"/>
              <w:adjustRightInd/>
              <w:snapToGrid/>
              <w:rPr>
                <w:szCs w:val="21"/>
              </w:rPr>
            </w:pPr>
            <w:r>
              <w:rPr>
                <w:szCs w:val="21"/>
              </w:rPr>
              <w:t>0.02</w:t>
            </w:r>
          </w:p>
        </w:tc>
        <w:tc>
          <w:tcPr>
            <w:tcW w:w="1300" w:type="pct"/>
            <w:tcBorders>
              <w:top w:val="single" w:color="auto" w:sz="6" w:space="0"/>
              <w:left w:val="single" w:color="auto" w:sz="6" w:space="0"/>
              <w:bottom w:val="single" w:color="auto" w:sz="6" w:space="0"/>
              <w:right w:val="single" w:color="auto" w:sz="12" w:space="0"/>
            </w:tcBorders>
            <w:vAlign w:val="center"/>
          </w:tcPr>
          <w:p w14:paraId="2A9DAA94">
            <w:pPr>
              <w:pStyle w:val="48"/>
              <w:adjustRightInd/>
              <w:snapToGrid/>
              <w:rPr>
                <w:szCs w:val="21"/>
              </w:rPr>
            </w:pPr>
            <w:r>
              <w:rPr>
                <w:szCs w:val="21"/>
              </w:rPr>
              <w:t>0.02</w:t>
            </w:r>
          </w:p>
        </w:tc>
      </w:tr>
    </w:tbl>
    <w:p w14:paraId="53DB46AE">
      <w:pPr>
        <w:pStyle w:val="2"/>
        <w:ind w:firstLine="519"/>
        <w:rPr>
          <w:rFonts w:cs="Times New Roman"/>
        </w:rPr>
      </w:pPr>
    </w:p>
    <w:bookmarkEnd w:id="788"/>
    <w:p w14:paraId="4733E23F">
      <w:pPr>
        <w:keepLines/>
        <w:ind w:firstLine="562" w:firstLineChars="0"/>
        <w:jc w:val="center"/>
        <w:outlineLvl w:val="4"/>
        <w:rPr>
          <w:rFonts w:cs="Times New Roman"/>
          <w:b/>
          <w:bCs/>
          <w:sz w:val="21"/>
          <w:szCs w:val="28"/>
        </w:rPr>
      </w:pPr>
      <w:r>
        <w:rPr>
          <w:rFonts w:cs="Times New Roman"/>
          <w:b/>
          <w:bCs/>
          <w:sz w:val="21"/>
          <w:szCs w:val="28"/>
        </w:rPr>
        <w:t>表6.4–4  不同埋深管道发生事故的比例</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28"/>
        <w:gridCol w:w="2190"/>
        <w:gridCol w:w="2093"/>
        <w:gridCol w:w="2217"/>
      </w:tblGrid>
      <w:tr w14:paraId="0A8736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12" w:space="0"/>
              <w:left w:val="single" w:color="auto" w:sz="12" w:space="0"/>
              <w:bottom w:val="single" w:color="auto" w:sz="6" w:space="0"/>
              <w:right w:val="single" w:color="auto" w:sz="6" w:space="0"/>
            </w:tcBorders>
            <w:vAlign w:val="center"/>
          </w:tcPr>
          <w:p w14:paraId="3D72D89A">
            <w:pPr>
              <w:adjustRightInd/>
              <w:snapToGrid/>
              <w:spacing w:line="240" w:lineRule="auto"/>
              <w:ind w:firstLine="0" w:firstLineChars="0"/>
              <w:jc w:val="center"/>
              <w:rPr>
                <w:rFonts w:cs="Times New Roman"/>
                <w:sz w:val="21"/>
                <w:szCs w:val="21"/>
              </w:rPr>
            </w:pPr>
            <w:r>
              <w:rPr>
                <w:rFonts w:cs="Times New Roman"/>
                <w:sz w:val="21"/>
                <w:szCs w:val="21"/>
              </w:rPr>
              <w:t>埋深（mm）</w:t>
            </w:r>
          </w:p>
        </w:tc>
        <w:tc>
          <w:tcPr>
            <w:tcW w:w="1284" w:type="pct"/>
            <w:tcBorders>
              <w:top w:val="single" w:color="auto" w:sz="12" w:space="0"/>
              <w:left w:val="single" w:color="auto" w:sz="6" w:space="0"/>
              <w:bottom w:val="single" w:color="auto" w:sz="6" w:space="0"/>
              <w:right w:val="single" w:color="auto" w:sz="6" w:space="0"/>
            </w:tcBorders>
            <w:vAlign w:val="center"/>
          </w:tcPr>
          <w:p w14:paraId="562FDC19">
            <w:pPr>
              <w:adjustRightInd/>
              <w:snapToGrid/>
              <w:spacing w:line="240" w:lineRule="auto"/>
              <w:ind w:firstLine="0" w:firstLineChars="0"/>
              <w:jc w:val="center"/>
              <w:rPr>
                <w:rFonts w:cs="Times New Roman"/>
                <w:sz w:val="21"/>
                <w:szCs w:val="21"/>
              </w:rPr>
            </w:pPr>
            <w:r>
              <w:rPr>
                <w:rFonts w:cs="Times New Roman"/>
                <w:sz w:val="21"/>
                <w:szCs w:val="21"/>
              </w:rPr>
              <w:t>0~80</w:t>
            </w:r>
          </w:p>
        </w:tc>
        <w:tc>
          <w:tcPr>
            <w:tcW w:w="1227" w:type="pct"/>
            <w:tcBorders>
              <w:top w:val="single" w:color="auto" w:sz="12" w:space="0"/>
              <w:left w:val="single" w:color="auto" w:sz="6" w:space="0"/>
              <w:bottom w:val="single" w:color="auto" w:sz="6" w:space="0"/>
              <w:right w:val="single" w:color="auto" w:sz="6" w:space="0"/>
            </w:tcBorders>
            <w:vAlign w:val="center"/>
          </w:tcPr>
          <w:p w14:paraId="7F374CDE">
            <w:pPr>
              <w:adjustRightInd/>
              <w:snapToGrid/>
              <w:spacing w:line="240" w:lineRule="auto"/>
              <w:ind w:firstLine="0" w:firstLineChars="0"/>
              <w:jc w:val="center"/>
              <w:rPr>
                <w:rFonts w:cs="Times New Roman"/>
                <w:sz w:val="21"/>
                <w:szCs w:val="21"/>
              </w:rPr>
            </w:pPr>
            <w:r>
              <w:rPr>
                <w:rFonts w:cs="Times New Roman"/>
                <w:sz w:val="21"/>
                <w:szCs w:val="21"/>
              </w:rPr>
              <w:t>80~100</w:t>
            </w:r>
          </w:p>
        </w:tc>
        <w:tc>
          <w:tcPr>
            <w:tcW w:w="1300" w:type="pct"/>
            <w:tcBorders>
              <w:top w:val="single" w:color="auto" w:sz="12" w:space="0"/>
              <w:left w:val="single" w:color="auto" w:sz="6" w:space="0"/>
              <w:bottom w:val="single" w:color="auto" w:sz="6" w:space="0"/>
              <w:right w:val="single" w:color="auto" w:sz="12" w:space="0"/>
            </w:tcBorders>
            <w:vAlign w:val="center"/>
          </w:tcPr>
          <w:p w14:paraId="6DE7E613">
            <w:pPr>
              <w:adjustRightInd/>
              <w:snapToGrid/>
              <w:spacing w:line="240" w:lineRule="auto"/>
              <w:ind w:firstLine="0" w:firstLineChars="0"/>
              <w:jc w:val="center"/>
              <w:rPr>
                <w:rFonts w:cs="Times New Roman"/>
                <w:sz w:val="21"/>
                <w:szCs w:val="21"/>
              </w:rPr>
            </w:pPr>
            <w:r>
              <w:rPr>
                <w:rFonts w:cs="Times New Roman"/>
                <w:sz w:val="21"/>
                <w:szCs w:val="21"/>
              </w:rPr>
              <w:t>&gt;100</w:t>
            </w:r>
          </w:p>
        </w:tc>
      </w:tr>
      <w:tr w14:paraId="613D25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89" w:type="pct"/>
            <w:tcBorders>
              <w:top w:val="single" w:color="auto" w:sz="6" w:space="0"/>
              <w:left w:val="single" w:color="auto" w:sz="12" w:space="0"/>
              <w:bottom w:val="single" w:color="auto" w:sz="6" w:space="0"/>
              <w:right w:val="single" w:color="auto" w:sz="6" w:space="0"/>
            </w:tcBorders>
            <w:vAlign w:val="center"/>
          </w:tcPr>
          <w:p w14:paraId="6179A24C">
            <w:pPr>
              <w:adjustRightInd/>
              <w:snapToGrid/>
              <w:spacing w:line="240" w:lineRule="auto"/>
              <w:ind w:firstLine="0" w:firstLineChars="0"/>
              <w:jc w:val="center"/>
              <w:rPr>
                <w:rFonts w:cs="Times New Roman"/>
                <w:sz w:val="21"/>
                <w:szCs w:val="21"/>
              </w:rPr>
            </w:pPr>
            <w:r>
              <w:rPr>
                <w:rFonts w:cs="Times New Roman"/>
                <w:sz w:val="21"/>
                <w:szCs w:val="21"/>
              </w:rPr>
              <w:t>≤100</w:t>
            </w:r>
          </w:p>
        </w:tc>
        <w:tc>
          <w:tcPr>
            <w:tcW w:w="1284" w:type="pct"/>
            <w:tcBorders>
              <w:top w:val="single" w:color="auto" w:sz="6" w:space="0"/>
              <w:left w:val="single" w:color="auto" w:sz="6" w:space="0"/>
              <w:bottom w:val="single" w:color="auto" w:sz="6" w:space="0"/>
              <w:right w:val="single" w:color="auto" w:sz="6" w:space="0"/>
            </w:tcBorders>
            <w:vAlign w:val="center"/>
          </w:tcPr>
          <w:p w14:paraId="6B1E7039">
            <w:pPr>
              <w:adjustRightInd/>
              <w:snapToGrid/>
              <w:spacing w:line="240" w:lineRule="auto"/>
              <w:ind w:firstLine="0" w:firstLineChars="0"/>
              <w:jc w:val="center"/>
              <w:rPr>
                <w:rFonts w:cs="Times New Roman"/>
                <w:sz w:val="21"/>
                <w:szCs w:val="21"/>
              </w:rPr>
            </w:pPr>
          </w:p>
        </w:tc>
        <w:tc>
          <w:tcPr>
            <w:tcW w:w="1227" w:type="pct"/>
            <w:tcBorders>
              <w:top w:val="single" w:color="auto" w:sz="6" w:space="0"/>
              <w:left w:val="single" w:color="auto" w:sz="6" w:space="0"/>
              <w:bottom w:val="single" w:color="auto" w:sz="6" w:space="0"/>
              <w:right w:val="single" w:color="auto" w:sz="6" w:space="0"/>
            </w:tcBorders>
            <w:vAlign w:val="center"/>
          </w:tcPr>
          <w:p w14:paraId="638EB91E">
            <w:pPr>
              <w:adjustRightInd/>
              <w:snapToGrid/>
              <w:spacing w:line="240" w:lineRule="auto"/>
              <w:ind w:firstLine="0" w:firstLineChars="0"/>
              <w:jc w:val="center"/>
              <w:rPr>
                <w:rFonts w:cs="Times New Roman"/>
                <w:sz w:val="21"/>
                <w:szCs w:val="21"/>
              </w:rPr>
            </w:pPr>
          </w:p>
        </w:tc>
        <w:tc>
          <w:tcPr>
            <w:tcW w:w="1300" w:type="pct"/>
            <w:tcBorders>
              <w:top w:val="single" w:color="auto" w:sz="6" w:space="0"/>
              <w:left w:val="single" w:color="auto" w:sz="6" w:space="0"/>
              <w:bottom w:val="single" w:color="auto" w:sz="6" w:space="0"/>
              <w:right w:val="single" w:color="auto" w:sz="12" w:space="0"/>
            </w:tcBorders>
            <w:vAlign w:val="center"/>
          </w:tcPr>
          <w:p w14:paraId="567952DA">
            <w:pPr>
              <w:adjustRightInd/>
              <w:snapToGrid/>
              <w:spacing w:line="240" w:lineRule="auto"/>
              <w:ind w:firstLine="0" w:firstLineChars="0"/>
              <w:jc w:val="center"/>
              <w:rPr>
                <w:rFonts w:cs="Times New Roman"/>
                <w:sz w:val="21"/>
                <w:szCs w:val="21"/>
              </w:rPr>
            </w:pPr>
          </w:p>
        </w:tc>
      </w:tr>
    </w:tbl>
    <w:p w14:paraId="5BA9191E">
      <w:pPr>
        <w:ind w:firstLine="519"/>
        <w:rPr>
          <w:rFonts w:cs="Times New Roman"/>
        </w:rPr>
      </w:pPr>
      <w:r>
        <w:rPr>
          <w:rFonts w:cs="Times New Roman"/>
        </w:rPr>
        <w:t>由以上分析可知，较小管径的管道，其事故发生频率高于较大管径管道的事故发生频率，因为管径小，管壁相应较薄，容易出针孔或孔洞，所以薄壁管的事故率明显高于厚壁管；此外，管道埋深也与事故率有着密切的关系，随着管道埋深的增加，管道遭受外力影响和破坏的可能性降低，管道事故发生率明显下降。</w:t>
      </w:r>
    </w:p>
    <w:p w14:paraId="109F4359">
      <w:pPr>
        <w:ind w:firstLine="519"/>
        <w:rPr>
          <w:rFonts w:cs="Times New Roman"/>
        </w:rPr>
      </w:pPr>
      <w:r>
        <w:rPr>
          <w:rFonts w:cs="Times New Roman"/>
        </w:rPr>
        <w:t>（2）国内外输卤管道事故</w:t>
      </w:r>
    </w:p>
    <w:p w14:paraId="44FA8DD2">
      <w:pPr>
        <w:pStyle w:val="2"/>
        <w:ind w:firstLine="519"/>
        <w:rPr>
          <w:rFonts w:cs="Times New Roman"/>
        </w:rPr>
      </w:pPr>
      <w:r>
        <w:rPr>
          <w:rFonts w:cs="Times New Roman"/>
        </w:rPr>
        <w:t>根据调查输卤管道事故的原因，发现事故原因主要为外力影响、腐蚀、材料及施工缺陷三大原因。在美国及欧洲，外部影响是造成管道事故的首要原因；在国内，事故主要原因为腐蚀、施工缺陷的原因。</w:t>
      </w:r>
    </w:p>
    <w:p w14:paraId="4114B9A9">
      <w:pPr>
        <w:pStyle w:val="3"/>
        <w:ind w:firstLine="519"/>
        <w:rPr>
          <w:rFonts w:cs="Times New Roman"/>
        </w:rPr>
      </w:pPr>
      <w:r>
        <w:rPr>
          <w:rFonts w:cs="Times New Roman"/>
        </w:rPr>
        <w:t>本项目发生卤水泄漏事故的原因主要是输送管线接头破裂、阀门螺丝松动、输送管道破裂、储槽破裂等。</w:t>
      </w:r>
    </w:p>
    <w:p w14:paraId="262D69FF">
      <w:pPr>
        <w:pStyle w:val="6"/>
        <w:spacing w:before="170" w:after="170"/>
        <w:rPr>
          <w:rFonts w:cs="Times New Roman"/>
        </w:rPr>
      </w:pPr>
      <w:bookmarkStart w:id="789" w:name="_Toc121420878"/>
      <w:r>
        <w:rPr>
          <w:rFonts w:cs="Times New Roman"/>
        </w:rPr>
        <w:t>6.5 环境风险分析</w:t>
      </w:r>
      <w:bookmarkEnd w:id="789"/>
    </w:p>
    <w:p w14:paraId="790906CE">
      <w:pPr>
        <w:pStyle w:val="7"/>
      </w:pPr>
      <w:bookmarkStart w:id="790" w:name="_Toc86852400"/>
      <w:bookmarkStart w:id="791" w:name="_Toc90318484"/>
      <w:bookmarkStart w:id="792" w:name="_Toc89786205"/>
      <w:bookmarkStart w:id="793" w:name="_Toc89882525"/>
      <w:bookmarkStart w:id="794" w:name="_Toc90997722"/>
      <w:bookmarkStart w:id="795" w:name="_Toc121420879"/>
      <w:bookmarkStart w:id="796" w:name="_Toc90989307"/>
      <w:r>
        <w:t xml:space="preserve">6.5.1 </w:t>
      </w:r>
      <w:bookmarkEnd w:id="790"/>
      <w:r>
        <w:t>井壁套管环境风险分析</w:t>
      </w:r>
      <w:bookmarkEnd w:id="791"/>
      <w:bookmarkEnd w:id="792"/>
      <w:bookmarkEnd w:id="793"/>
      <w:bookmarkEnd w:id="794"/>
      <w:bookmarkEnd w:id="795"/>
      <w:bookmarkEnd w:id="796"/>
    </w:p>
    <w:p w14:paraId="4EF131A7">
      <w:pPr>
        <w:ind w:firstLine="519"/>
        <w:rPr>
          <w:rFonts w:cs="Times New Roman"/>
          <w:kern w:val="0"/>
        </w:rPr>
      </w:pPr>
      <w:r>
        <w:rPr>
          <w:rFonts w:cs="Times New Roman"/>
          <w:kern w:val="0"/>
        </w:rPr>
        <w:t>一般情况下，水溶采盐井井壁套管损坏后，可能造成多层地下水污染、对深部、浅部层位的地下水都可能造成较为严重的污染影响。</w:t>
      </w:r>
    </w:p>
    <w:p w14:paraId="1CC34152">
      <w:pPr>
        <w:ind w:firstLine="519"/>
        <w:rPr>
          <w:rFonts w:cs="Times New Roman"/>
          <w:kern w:val="0"/>
        </w:rPr>
      </w:pPr>
      <w:r>
        <w:rPr>
          <w:rFonts w:cs="Times New Roman"/>
          <w:kern w:val="0"/>
        </w:rPr>
        <w:t>对于本项目，正常情况下，卤水（含淡卤水）在技术套管内流动，技术套管外有固井套管和固井水泥层，当卤井技术套管发生破损时，泄漏卤水因技术套管外固井套管和水泥层阻隔，不会立即进入到地下水含水层，另外，由于采集卤工程安装有自动监测系统，该监测系统会监测到井管压力异常，并立即采取措施进行处理，因此本项目井管破损地下水污染环境风险发生的概率极低。</w:t>
      </w:r>
    </w:p>
    <w:p w14:paraId="2F634348">
      <w:pPr>
        <w:pStyle w:val="2"/>
        <w:ind w:firstLine="519"/>
        <w:rPr>
          <w:rFonts w:cs="Times New Roman"/>
        </w:rPr>
      </w:pPr>
      <w:r>
        <w:rPr>
          <w:rFonts w:cs="Times New Roman"/>
        </w:rPr>
        <w:t>需要说明的是，地下水受污染后，治理难度极大，建设单位应引起高度警惕。在钻井过程中提高钻井工程施工质量和含水层封堵质量；在开采过程中要加强观测和检查井管的情况，发现破损或者其它情况时应及时停产，及时修井，严防造成地下水污染。</w:t>
      </w:r>
    </w:p>
    <w:p w14:paraId="42BAE219">
      <w:pPr>
        <w:pStyle w:val="7"/>
      </w:pPr>
      <w:bookmarkStart w:id="797" w:name="_Toc89786206"/>
      <w:bookmarkStart w:id="798" w:name="_Toc90318485"/>
      <w:bookmarkStart w:id="799" w:name="_Toc89882526"/>
      <w:bookmarkStart w:id="800" w:name="_Toc90989308"/>
      <w:bookmarkStart w:id="801" w:name="_Toc121420880"/>
      <w:bookmarkStart w:id="802" w:name="_Toc90997723"/>
      <w:r>
        <w:t>6.5.2 井口装置损坏环境风险分析</w:t>
      </w:r>
      <w:bookmarkEnd w:id="797"/>
      <w:bookmarkEnd w:id="798"/>
      <w:bookmarkEnd w:id="799"/>
      <w:bookmarkEnd w:id="800"/>
      <w:bookmarkEnd w:id="801"/>
      <w:bookmarkEnd w:id="802"/>
    </w:p>
    <w:p w14:paraId="6063BAC3">
      <w:pPr>
        <w:ind w:firstLine="519"/>
        <w:rPr>
          <w:rFonts w:cs="Times New Roman"/>
          <w:kern w:val="0"/>
        </w:rPr>
      </w:pPr>
      <w:r>
        <w:rPr>
          <w:rFonts w:cs="Times New Roman"/>
          <w:kern w:val="0"/>
        </w:rPr>
        <w:t>本项目采卤工艺为水平对接井采卤工艺，井口装置具有反向功能，井口装置复杂、连接处多，因此井口装置损坏发生卤水泄漏的概率也较大。</w:t>
      </w:r>
    </w:p>
    <w:p w14:paraId="7639EB56">
      <w:pPr>
        <w:ind w:firstLine="519"/>
        <w:rPr>
          <w:rFonts w:cs="Times New Roman"/>
          <w:kern w:val="0"/>
        </w:rPr>
      </w:pPr>
      <w:r>
        <w:rPr>
          <w:rFonts w:cs="Times New Roman"/>
          <w:kern w:val="0"/>
        </w:rPr>
        <w:t>当卤井井口装置发生卤水泄漏后未及时治理，泄漏卤水将对泄漏处的周围浅层地下水水质造成一定的影响，并会使附近的土地逐渐向盐碱化的方向发展。</w:t>
      </w:r>
      <w:r>
        <w:rPr>
          <w:rFonts w:hint="eastAsia" w:cs="Times New Roman"/>
          <w:kern w:val="0"/>
        </w:rPr>
        <w:t>运行中应加强卤井井口装置工况自动监测，及时发现问题并采取措施治理，当发现井口套管发生漏失时，应马上停止采卤，检查卤井，必要时采取封井措施。</w:t>
      </w:r>
    </w:p>
    <w:p w14:paraId="544E8FB4">
      <w:pPr>
        <w:pStyle w:val="7"/>
      </w:pPr>
      <w:bookmarkStart w:id="803" w:name="_Toc121420881"/>
      <w:bookmarkStart w:id="804" w:name="_Toc90997724"/>
      <w:bookmarkStart w:id="805" w:name="_Toc89882527"/>
      <w:bookmarkStart w:id="806" w:name="_Toc89786207"/>
      <w:bookmarkStart w:id="807" w:name="_Toc90989309"/>
      <w:bookmarkStart w:id="808" w:name="_Toc90318486"/>
      <w:r>
        <w:t>6.5.3 输卤管线环境风险分析</w:t>
      </w:r>
      <w:bookmarkEnd w:id="803"/>
      <w:bookmarkEnd w:id="804"/>
      <w:bookmarkEnd w:id="805"/>
      <w:bookmarkEnd w:id="806"/>
      <w:bookmarkEnd w:id="807"/>
      <w:bookmarkEnd w:id="808"/>
    </w:p>
    <w:p w14:paraId="6792B5A3">
      <w:pPr>
        <w:ind w:firstLine="519"/>
        <w:rPr>
          <w:rFonts w:cs="Times New Roman"/>
          <w:kern w:val="0"/>
        </w:rPr>
      </w:pPr>
      <w:r>
        <w:rPr>
          <w:rFonts w:cs="Times New Roman"/>
          <w:kern w:val="0"/>
        </w:rPr>
        <w:t>项目在运行过程中，集卤管道由于地表移动、管道腐蚀、冒卤等原因发生破裂，或者管道接口处发生破损，卤水会在破损处发生泄漏，泄漏的卤水将对泄漏处的周围浅层地下水水质和土壤产生污染。</w:t>
      </w:r>
    </w:p>
    <w:p w14:paraId="7BE7BDDA">
      <w:pPr>
        <w:pStyle w:val="2"/>
        <w:ind w:firstLine="519"/>
        <w:rPr>
          <w:rFonts w:cs="Times New Roman"/>
        </w:rPr>
      </w:pPr>
      <w:r>
        <w:rPr>
          <w:rFonts w:cs="Times New Roman"/>
        </w:rPr>
        <w:t>本项目管廊在建设时应采取防渗措施，在集卤管道沿途设置压力检测器、截断阀和事故池，一旦通过压力检测测检测至管道发生了破裂，应立即通过截断阀停止输送卤水，泄漏卤水顺管廊流至事故水池处，用事故池收集泄漏的卤水，泄漏的卤水最终送至采卤</w:t>
      </w:r>
      <w:r>
        <w:rPr>
          <w:rFonts w:hint="eastAsia" w:cs="Times New Roman"/>
        </w:rPr>
        <w:t>场</w:t>
      </w:r>
      <w:r>
        <w:rPr>
          <w:rFonts w:cs="Times New Roman"/>
        </w:rPr>
        <w:t>利用</w:t>
      </w:r>
      <w:r>
        <w:rPr>
          <w:rFonts w:hint="eastAsia" w:cs="Times New Roman"/>
        </w:rPr>
        <w:t>，</w:t>
      </w:r>
      <w:r>
        <w:rPr>
          <w:rFonts w:cs="Times New Roman"/>
        </w:rPr>
        <w:t>在采取上述措施后可最大程度的避免事故状况下集卤管道破裂对管道破损处附近地下水、土壤环境的影响。</w:t>
      </w:r>
    </w:p>
    <w:p w14:paraId="09A35756">
      <w:pPr>
        <w:pStyle w:val="7"/>
        <w:rPr>
          <w:kern w:val="0"/>
          <w:sz w:val="24"/>
        </w:rPr>
      </w:pPr>
      <w:bookmarkStart w:id="809" w:name="_Toc89786208"/>
      <w:bookmarkStart w:id="810" w:name="_Toc86852402"/>
      <w:bookmarkStart w:id="811" w:name="_Toc90997725"/>
      <w:bookmarkStart w:id="812" w:name="_Toc90989310"/>
      <w:bookmarkStart w:id="813" w:name="_Toc121420882"/>
      <w:bookmarkStart w:id="814" w:name="_Toc90318487"/>
      <w:bookmarkStart w:id="815" w:name="_Toc89882528"/>
      <w:bookmarkStart w:id="816" w:name="_Hlk89622928"/>
      <w:r>
        <w:t>6.5.4 采卤场环境风险分析</w:t>
      </w:r>
      <w:bookmarkEnd w:id="809"/>
      <w:bookmarkEnd w:id="810"/>
      <w:bookmarkEnd w:id="811"/>
      <w:bookmarkEnd w:id="812"/>
      <w:bookmarkEnd w:id="813"/>
      <w:bookmarkEnd w:id="814"/>
      <w:bookmarkEnd w:id="815"/>
    </w:p>
    <w:bookmarkEnd w:id="816"/>
    <w:p w14:paraId="46CE6F60">
      <w:pPr>
        <w:ind w:firstLine="519"/>
        <w:rPr>
          <w:rFonts w:cs="Times New Roman"/>
          <w:kern w:val="0"/>
        </w:rPr>
      </w:pPr>
      <w:r>
        <w:rPr>
          <w:rFonts w:cs="Times New Roman"/>
          <w:kern w:val="0"/>
        </w:rPr>
        <w:t>采卤场处的风险事故主要来自采输卤泵房、卤</w:t>
      </w:r>
      <w:r>
        <w:rPr>
          <w:rFonts w:hint="eastAsia" w:cs="Times New Roman"/>
          <w:kern w:val="0"/>
        </w:rPr>
        <w:t>水</w:t>
      </w:r>
      <w:r>
        <w:rPr>
          <w:rFonts w:cs="Times New Roman"/>
          <w:kern w:val="0"/>
        </w:rPr>
        <w:t>池周围、设备连接管道等突发损坏，导致卤水泄漏的环境风险。由于采卤</w:t>
      </w:r>
      <w:r>
        <w:rPr>
          <w:rFonts w:hint="eastAsia" w:cs="Times New Roman"/>
          <w:kern w:val="0"/>
        </w:rPr>
        <w:t>场</w:t>
      </w:r>
      <w:r>
        <w:rPr>
          <w:rFonts w:cs="Times New Roman"/>
          <w:kern w:val="0"/>
        </w:rPr>
        <w:t>地面全部进行硬化处理、并设置有排污沟收集泄漏卤水，可有效避免采卤车间卤水下渗对地下水环境的影响风险。</w:t>
      </w:r>
    </w:p>
    <w:p w14:paraId="42443957">
      <w:pPr>
        <w:pStyle w:val="7"/>
        <w:rPr>
          <w:kern w:val="0"/>
          <w:sz w:val="24"/>
        </w:rPr>
      </w:pPr>
      <w:bookmarkStart w:id="817" w:name="_Toc121420883"/>
      <w:bookmarkStart w:id="818" w:name="_Toc90318488"/>
      <w:bookmarkStart w:id="819" w:name="_Toc89882529"/>
      <w:bookmarkStart w:id="820" w:name="_Toc90989311"/>
      <w:bookmarkStart w:id="821" w:name="_Toc89786209"/>
      <w:bookmarkStart w:id="822" w:name="_Toc90997726"/>
      <w:r>
        <w:t>6.5.5 采卤地表塌陷环境风险分析</w:t>
      </w:r>
      <w:bookmarkEnd w:id="817"/>
      <w:bookmarkEnd w:id="818"/>
      <w:bookmarkEnd w:id="819"/>
      <w:bookmarkEnd w:id="820"/>
      <w:bookmarkEnd w:id="821"/>
      <w:bookmarkEnd w:id="822"/>
    </w:p>
    <w:p w14:paraId="641D708D">
      <w:pPr>
        <w:ind w:firstLine="519"/>
        <w:rPr>
          <w:rFonts w:cs="Times New Roman"/>
        </w:rPr>
      </w:pPr>
      <w:r>
        <w:rPr>
          <w:rFonts w:cs="Times New Roman"/>
        </w:rPr>
        <w:t>根据采盐地表沉陷预测结果，按设计参数采盐，</w:t>
      </w:r>
      <w:r>
        <w:rPr>
          <w:rFonts w:hint="eastAsia" w:cs="Times New Roman"/>
        </w:rPr>
        <w:t>地面沉降危险性可控</w:t>
      </w:r>
      <w:r>
        <w:rPr>
          <w:rFonts w:cs="Times New Roman"/>
        </w:rPr>
        <w:t>，但由于采卤作业属地下隐蔽工程，溶腔大小难以直观再现，因此溶腔过大、导致溶腔大面积连通而引起地表沉陷的环境风险仍有可能发生，尤其是盐矿服务后期。由于本矿盐层开采厚度大，一旦发生溶腔大面积连通，将会对地表环境保护目标产生严重影响。</w:t>
      </w:r>
    </w:p>
    <w:p w14:paraId="74DD143B">
      <w:pPr>
        <w:pStyle w:val="3"/>
        <w:ind w:firstLine="519"/>
        <w:rPr>
          <w:rFonts w:cs="Times New Roman"/>
        </w:rPr>
      </w:pPr>
      <w:r>
        <w:rPr>
          <w:rFonts w:hint="eastAsia" w:cs="Times New Roman"/>
        </w:rPr>
        <w:t>根据矿区土地利用现状，项目采卤溶腔上方不涉及居民点和基本农田，矿区范围内现有构筑物主要为松木园区管井、管线及厂房。根据《衡阳建滔化工有限公司岩盐矿矿山开采地质灾害安全性论证》，矿山目前主要采空区分布在矿山范围东部</w:t>
      </w:r>
      <w:r>
        <w:rPr>
          <w:rFonts w:hint="eastAsia" w:ascii="宋体" w:hAnsi="宋体" w:cs="宋体"/>
        </w:rPr>
        <w:t>Ⅰ</w:t>
      </w:r>
      <w:r>
        <w:rPr>
          <w:rFonts w:cs="Times New Roman"/>
        </w:rPr>
        <w:t>-1和</w:t>
      </w:r>
      <w:r>
        <w:rPr>
          <w:rFonts w:hint="eastAsia" w:ascii="宋体" w:hAnsi="宋体" w:cs="宋体"/>
        </w:rPr>
        <w:t>Ⅰ</w:t>
      </w:r>
      <w:r>
        <w:rPr>
          <w:rFonts w:cs="Times New Roman"/>
        </w:rPr>
        <w:t>-2</w:t>
      </w:r>
      <w:r>
        <w:rPr>
          <w:rFonts w:hint="eastAsia" w:cs="Times New Roman"/>
        </w:rPr>
        <w:t>块段，最大溶腔面积162477m</w:t>
      </w:r>
      <w:r>
        <w:rPr>
          <w:rFonts w:hint="eastAsia" w:cs="Times New Roman"/>
          <w:vertAlign w:val="superscript"/>
        </w:rPr>
        <w:t>2</w:t>
      </w:r>
      <w:r>
        <w:rPr>
          <w:rFonts w:hint="eastAsia" w:cs="Times New Roman"/>
        </w:rPr>
        <w:t>，最大溶腔高度251.45m，上部盖层厚度大于500m，未发现地面沉降等采空区引发的地质灾害现象。在未考虑水介质充盈溶腔（采空区）的情况下，未来矿山开采的巷道顶板稳定的临界深度约为450m，略小于矿山范围矿层顶板厚度（矿山范围矿层顶板厚度为 500m左右），其稳定性属于H</w:t>
      </w:r>
      <w:r>
        <w:rPr>
          <w:rFonts w:hint="eastAsia" w:cs="Times New Roman"/>
          <w:vertAlign w:val="subscript"/>
        </w:rPr>
        <w:t>0</w:t>
      </w:r>
      <w:r>
        <w:rPr>
          <w:rFonts w:hint="eastAsia" w:cs="Times New Roman"/>
        </w:rPr>
        <w:t>＜H＜1.5H</w:t>
      </w:r>
      <w:r>
        <w:rPr>
          <w:rFonts w:hint="eastAsia" w:cs="Times New Roman"/>
          <w:vertAlign w:val="subscript"/>
        </w:rPr>
        <w:t>0</w:t>
      </w:r>
      <w:r>
        <w:rPr>
          <w:rFonts w:hint="eastAsia" w:cs="Times New Roman"/>
        </w:rPr>
        <w:t>的范围，属于稳定性差的情况，存在岩层移动变形引发地面塌陷（岩溶和采空区）、地裂缝、地面沉降地质灾害的危险性。</w:t>
      </w:r>
    </w:p>
    <w:p w14:paraId="1776AF95">
      <w:pPr>
        <w:pStyle w:val="3"/>
        <w:ind w:firstLine="519"/>
        <w:rPr>
          <w:rFonts w:cs="Times New Roman"/>
        </w:rPr>
      </w:pPr>
      <w:r>
        <w:rPr>
          <w:rFonts w:hint="eastAsia" w:cs="Times New Roman"/>
        </w:rPr>
        <w:t>建滔岩盐矿的矿层较稳定，埋深大，盖层岩层较完整、厚度大于500m。根据矿区开发利用方案，卤孔布置垂直和倾斜混合对接钻孔，位置采用等腰三角形井网布置形式，井组距140~150m，井距280~300m。卤井最大溶蚀半径50m。溶采区之间留30m的连续矿柱，直接顶板以下留25m~35m的护顶矿层。卤井井身结构采用双层套管固井。矿山按以上开发利用方案开采，溶腔（采空区）全部为饱和盐水充盈，成为一个密闭的独立空间，溶采区之间的连续矿柱可以起到很大程度支撑作用，护顶矿层可以保证溶腔（采空区）的密闭性，矿山开采顶板的稳定性可以很大程度的提高。在及时充填和密闭老采空区、控制地面建筑物荷载，加强监测的情况下，矿区引发地面塌陷（岩溶和采空区）、地裂缝、地面沉降地质灾害的危险性可控。</w:t>
      </w:r>
    </w:p>
    <w:p w14:paraId="4AEEB389">
      <w:pPr>
        <w:pStyle w:val="3"/>
        <w:ind w:firstLine="519"/>
        <w:rPr>
          <w:rFonts w:cs="Times New Roman"/>
        </w:rPr>
      </w:pPr>
      <w:r>
        <w:rPr>
          <w:rFonts w:cs="Times New Roman"/>
        </w:rPr>
        <w:t>为预防采卤地表沉陷环境风险，设计和环评要求矿区</w:t>
      </w:r>
      <w:r>
        <w:rPr>
          <w:rFonts w:hint="eastAsia" w:cs="Times New Roman"/>
        </w:rPr>
        <w:t>及时充填和密闭老采空区，</w:t>
      </w:r>
      <w:r>
        <w:rPr>
          <w:rFonts w:cs="Times New Roman"/>
        </w:rPr>
        <w:t>有重点的设置地表变形观测网，即建立观测线、点，必要时建立监测水准网、GPS监测网，定期地复地测量其平面和高程的变化，掌握其空间动态和变化规律，发现异常时应增加观测频率和异常区观测线、点密度，发现问题立即停止采卤，查找原因并采取措施及时处理。</w:t>
      </w:r>
    </w:p>
    <w:p w14:paraId="4BE8E17E">
      <w:pPr>
        <w:pStyle w:val="6"/>
        <w:spacing w:before="170" w:after="170"/>
        <w:rPr>
          <w:rFonts w:cs="Times New Roman"/>
        </w:rPr>
      </w:pPr>
      <w:bookmarkStart w:id="823" w:name="_Toc121420884"/>
      <w:r>
        <w:rPr>
          <w:rFonts w:cs="Times New Roman"/>
        </w:rPr>
        <w:t>6.6 环境风险防范措施</w:t>
      </w:r>
      <w:bookmarkEnd w:id="823"/>
    </w:p>
    <w:p w14:paraId="6CC60F60">
      <w:pPr>
        <w:pStyle w:val="7"/>
      </w:pPr>
      <w:bookmarkStart w:id="824" w:name="_Toc90997728"/>
      <w:bookmarkStart w:id="825" w:name="_Toc90989313"/>
      <w:bookmarkStart w:id="826" w:name="_Toc121420885"/>
      <w:bookmarkStart w:id="827" w:name="_Toc86852408"/>
      <w:bookmarkStart w:id="828" w:name="_Toc89786211"/>
      <w:bookmarkStart w:id="829" w:name="_Toc89882531"/>
      <w:bookmarkStart w:id="830" w:name="_Toc90318490"/>
      <w:r>
        <w:t>6.6.1 管线及采卤场泄露风险防范措施</w:t>
      </w:r>
      <w:bookmarkEnd w:id="824"/>
      <w:bookmarkEnd w:id="825"/>
      <w:bookmarkEnd w:id="826"/>
      <w:bookmarkEnd w:id="827"/>
      <w:bookmarkEnd w:id="828"/>
      <w:bookmarkEnd w:id="829"/>
      <w:bookmarkEnd w:id="830"/>
    </w:p>
    <w:p w14:paraId="6FDE2553">
      <w:pPr>
        <w:ind w:firstLine="519"/>
        <w:rPr>
          <w:rFonts w:cs="Times New Roman"/>
        </w:rPr>
      </w:pPr>
      <w:r>
        <w:rPr>
          <w:rFonts w:cs="Times New Roman"/>
        </w:rPr>
        <w:t>一旦输卤管道破裂，将会对当地的土壤和地下水造成一定的影响，为了降低事故风险，减少事故发生所造成的环境影响，建议采用如下风险防范措施：</w:t>
      </w:r>
    </w:p>
    <w:p w14:paraId="3B7156FD">
      <w:pPr>
        <w:pStyle w:val="2"/>
        <w:ind w:firstLine="519"/>
        <w:rPr>
          <w:rFonts w:cs="Times New Roman"/>
        </w:rPr>
      </w:pPr>
      <w:r>
        <w:rPr>
          <w:rFonts w:cs="Times New Roman"/>
        </w:rPr>
        <w:t>（1）施工阶段的事故防范措施</w:t>
      </w:r>
    </w:p>
    <w:p w14:paraId="5ED81E9A">
      <w:pPr>
        <w:pStyle w:val="3"/>
        <w:ind w:firstLine="519"/>
        <w:rPr>
          <w:rFonts w:cs="Times New Roman"/>
        </w:rPr>
      </w:pPr>
      <w:r>
        <w:rPr>
          <w:rFonts w:hint="eastAsia" w:ascii="宋体" w:hAnsi="宋体" w:cs="宋体"/>
        </w:rPr>
        <w:t>①</w:t>
      </w:r>
      <w:r>
        <w:rPr>
          <w:rFonts w:cs="Times New Roman"/>
        </w:rPr>
        <w:t>在施工过程中，加强监理，确保输卤管道施工质量；</w:t>
      </w:r>
    </w:p>
    <w:p w14:paraId="5452CF90">
      <w:pPr>
        <w:ind w:firstLine="519"/>
        <w:rPr>
          <w:rFonts w:cs="Times New Roman"/>
        </w:rPr>
      </w:pPr>
      <w:r>
        <w:rPr>
          <w:rFonts w:hint="eastAsia" w:ascii="宋体" w:hAnsi="宋体" w:cs="宋体"/>
        </w:rPr>
        <w:t>②</w:t>
      </w:r>
      <w:r>
        <w:rPr>
          <w:rFonts w:cs="Times New Roman"/>
        </w:rPr>
        <w:t>建立施工质量保证体系，提高施工检验人员的水平，加强检验手段；</w:t>
      </w:r>
    </w:p>
    <w:p w14:paraId="0DF2971E">
      <w:pPr>
        <w:ind w:firstLine="519"/>
        <w:rPr>
          <w:rFonts w:cs="Times New Roman"/>
        </w:rPr>
      </w:pPr>
      <w:r>
        <w:rPr>
          <w:rFonts w:hint="eastAsia" w:ascii="宋体" w:hAnsi="宋体" w:cs="宋体"/>
        </w:rPr>
        <w:t>③</w:t>
      </w:r>
      <w:r>
        <w:rPr>
          <w:rFonts w:cs="Times New Roman"/>
        </w:rPr>
        <w:t>制定严格的规章制度，发现缺陷及时正确修补并做好记录；</w:t>
      </w:r>
    </w:p>
    <w:p w14:paraId="0D28C0A4">
      <w:pPr>
        <w:pStyle w:val="2"/>
        <w:ind w:firstLine="519"/>
        <w:rPr>
          <w:rFonts w:cs="Times New Roman"/>
        </w:rPr>
      </w:pPr>
      <w:r>
        <w:rPr>
          <w:rFonts w:hint="eastAsia" w:ascii="宋体" w:hAnsi="宋体" w:cs="宋体"/>
        </w:rPr>
        <w:t>④</w:t>
      </w:r>
      <w:r>
        <w:rPr>
          <w:rFonts w:cs="Times New Roman"/>
        </w:rPr>
        <w:t>进行水压试验，排除更多的存在于接口和管材的缺陷；</w:t>
      </w:r>
    </w:p>
    <w:p w14:paraId="2F6583B5">
      <w:pPr>
        <w:pStyle w:val="3"/>
        <w:ind w:firstLine="519"/>
        <w:rPr>
          <w:rFonts w:cs="Times New Roman"/>
        </w:rPr>
      </w:pPr>
      <w:r>
        <w:rPr>
          <w:rFonts w:hint="eastAsia" w:ascii="宋体" w:hAnsi="宋体" w:cs="宋体"/>
        </w:rPr>
        <w:t>⑤</w:t>
      </w:r>
      <w:r>
        <w:rPr>
          <w:rFonts w:cs="Times New Roman"/>
        </w:rPr>
        <w:t>选择有丰富经验的单位进行施工，并有优秀的第三方对其施工质量进行强有力的监督，减少施工误操作。</w:t>
      </w:r>
    </w:p>
    <w:p w14:paraId="5A5E4995">
      <w:pPr>
        <w:ind w:firstLine="519"/>
      </w:pPr>
      <w:r>
        <w:rPr>
          <w:rFonts w:hint="eastAsia"/>
        </w:rPr>
        <w:t>⑥在管线跨越沟谷的地方做好支架的防护工作，防止发生滑坡等地质灾害。</w:t>
      </w:r>
    </w:p>
    <w:p w14:paraId="08EBE590">
      <w:pPr>
        <w:pStyle w:val="2"/>
        <w:ind w:firstLine="519"/>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t xml:space="preserve"> </w:t>
      </w:r>
      <w:r>
        <w:rPr>
          <w:rFonts w:hint="eastAsia"/>
        </w:rPr>
        <w:t>矿山的采卤井和采集卤管道需建立隔离装置和醒目提示，同时需对测量图纸在松木经开区进行备案，以免经开区建设过程中对以上采卤井和采集卤管道造成损坏。</w:t>
      </w:r>
    </w:p>
    <w:p w14:paraId="61A6695F">
      <w:pPr>
        <w:ind w:firstLine="519"/>
        <w:rPr>
          <w:rFonts w:cs="Times New Roman"/>
        </w:rPr>
      </w:pPr>
      <w:r>
        <w:rPr>
          <w:rFonts w:cs="Times New Roman"/>
        </w:rPr>
        <w:t>（2）运行阶段的事故防范措施</w:t>
      </w:r>
    </w:p>
    <w:p w14:paraId="6D793743">
      <w:pPr>
        <w:pStyle w:val="2"/>
        <w:ind w:firstLine="519"/>
        <w:rPr>
          <w:rFonts w:cs="Times New Roman"/>
        </w:rPr>
      </w:pPr>
      <w:r>
        <w:rPr>
          <w:rFonts w:hint="eastAsia" w:ascii="宋体" w:hAnsi="宋体" w:cs="宋体"/>
        </w:rPr>
        <w:t>①</w:t>
      </w:r>
      <w:r>
        <w:rPr>
          <w:rFonts w:cs="Times New Roman"/>
        </w:rPr>
        <w:t>定期清管，排除管内的积水和污物，以减轻管道内腐蚀。</w:t>
      </w:r>
    </w:p>
    <w:p w14:paraId="4CB32389">
      <w:pPr>
        <w:pStyle w:val="3"/>
        <w:ind w:firstLine="519"/>
        <w:rPr>
          <w:rFonts w:cs="Times New Roman"/>
        </w:rPr>
      </w:pPr>
      <w:r>
        <w:rPr>
          <w:rFonts w:hint="eastAsia" w:ascii="宋体" w:hAnsi="宋体" w:cs="宋体"/>
        </w:rPr>
        <w:t>②</w:t>
      </w:r>
      <w:r>
        <w:rPr>
          <w:rFonts w:cs="Times New Roman"/>
        </w:rPr>
        <w:t>定期测量管道壁厚，对管壁严重减薄管段，及时更换，避免发生爆管事故。</w:t>
      </w:r>
    </w:p>
    <w:p w14:paraId="7BD4F7EF">
      <w:pPr>
        <w:pStyle w:val="3"/>
        <w:ind w:firstLine="519"/>
        <w:rPr>
          <w:rFonts w:cs="Times New Roman"/>
        </w:rPr>
      </w:pPr>
      <w:r>
        <w:rPr>
          <w:rFonts w:hint="eastAsia" w:ascii="宋体" w:hAnsi="宋体" w:cs="宋体"/>
        </w:rPr>
        <w:t>③</w:t>
      </w:r>
      <w:r>
        <w:rPr>
          <w:rFonts w:cs="Times New Roman"/>
        </w:rPr>
        <w:t>加强采卤井及管道的检修，完善检修队伍和规章制度及检测设备，对采卤井及输送管道、卤</w:t>
      </w:r>
      <w:r>
        <w:rPr>
          <w:rFonts w:hint="eastAsia" w:cs="Times New Roman"/>
        </w:rPr>
        <w:t>水</w:t>
      </w:r>
      <w:r>
        <w:rPr>
          <w:rFonts w:cs="Times New Roman"/>
        </w:rPr>
        <w:t>池定期进行检测、维护，防止卤水冒、漏，保护水环境。</w:t>
      </w:r>
    </w:p>
    <w:p w14:paraId="68A29A69">
      <w:pPr>
        <w:ind w:firstLine="519"/>
        <w:rPr>
          <w:rFonts w:cs="Times New Roman"/>
        </w:rPr>
      </w:pPr>
      <w:r>
        <w:rPr>
          <w:rFonts w:hint="eastAsia" w:ascii="宋体" w:hAnsi="宋体" w:cs="宋体"/>
        </w:rPr>
        <w:t>④</w:t>
      </w:r>
      <w:r>
        <w:rPr>
          <w:rFonts w:cs="Times New Roman"/>
        </w:rPr>
        <w:t>加大巡线频率，提高巡线的有效性，发现对管道安全有影响的行为，应及时制止、采取相应措施并向上级报告。</w:t>
      </w:r>
    </w:p>
    <w:p w14:paraId="45055E38">
      <w:pPr>
        <w:pStyle w:val="2"/>
        <w:ind w:firstLine="519"/>
        <w:rPr>
          <w:rFonts w:cs="Times New Roman"/>
        </w:rPr>
      </w:pPr>
      <w:r>
        <w:rPr>
          <w:rFonts w:hint="eastAsia" w:ascii="宋体" w:hAnsi="宋体" w:cs="宋体"/>
        </w:rPr>
        <w:t>⑤</w:t>
      </w:r>
      <w:r>
        <w:rPr>
          <w:rFonts w:cs="Times New Roman"/>
        </w:rPr>
        <w:t>输卤管线设压力检测器和截断阀，一旦发生了管线破裂，通过压力检测器检测到后，通过截断阀停止输送卤水。</w:t>
      </w:r>
    </w:p>
    <w:p w14:paraId="5E3FEBE1">
      <w:pPr>
        <w:pStyle w:val="3"/>
        <w:ind w:firstLine="519"/>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采卤场的卤水池和淡卤池区域需设置导流沟，确保卤水泄漏均收集于事故应急池（废卤池）内，</w:t>
      </w:r>
      <w:bookmarkStart w:id="831" w:name="_Hlk90989072"/>
      <w:r>
        <w:rPr>
          <w:rFonts w:hint="eastAsia"/>
        </w:rPr>
        <w:t>收集的卤水通过废卤泵抽到淡卤池，下井循环。</w:t>
      </w:r>
      <w:bookmarkEnd w:id="831"/>
    </w:p>
    <w:p w14:paraId="38A5130E">
      <w:pPr>
        <w:pStyle w:val="3"/>
        <w:ind w:firstLine="519"/>
        <w:rPr>
          <w:rFonts w:cs="Times New Roman"/>
        </w:rPr>
      </w:pPr>
      <w:r>
        <w:rPr>
          <w:rFonts w:cs="Times New Roman"/>
        </w:rPr>
        <w:t>（3）管理措施</w:t>
      </w:r>
    </w:p>
    <w:p w14:paraId="70202D04">
      <w:pPr>
        <w:ind w:firstLine="519"/>
        <w:rPr>
          <w:rFonts w:cs="Times New Roman"/>
        </w:rPr>
      </w:pPr>
      <w:r>
        <w:rPr>
          <w:rFonts w:hint="eastAsia" w:ascii="宋体" w:hAnsi="宋体" w:cs="宋体"/>
        </w:rPr>
        <w:t>①</w:t>
      </w:r>
      <w:r>
        <w:rPr>
          <w:rFonts w:cs="Times New Roman"/>
        </w:rPr>
        <w:t>在管道系统投产运行前，应制定出正常、异常或紧急状态下的操作手册和维修手册，并对操作、维修人员进行培训，持证上岗，避免因严重操作失误而造成的事故。</w:t>
      </w:r>
    </w:p>
    <w:p w14:paraId="214EEEED">
      <w:pPr>
        <w:pStyle w:val="2"/>
        <w:ind w:firstLine="519"/>
        <w:rPr>
          <w:rFonts w:cs="Times New Roman"/>
        </w:rPr>
      </w:pPr>
      <w:r>
        <w:rPr>
          <w:rFonts w:hint="eastAsia" w:ascii="宋体" w:hAnsi="宋体" w:cs="宋体"/>
        </w:rPr>
        <w:t>②</w:t>
      </w:r>
      <w:r>
        <w:rPr>
          <w:rFonts w:cs="Times New Roman"/>
        </w:rPr>
        <w:t>制订应急操作规程，在规程中应说明发生管道事故时应采取的操作步骤，规定抢修进度，限制事故的影响，另外还应说明与管道操作人员有关的安全问题。</w:t>
      </w:r>
    </w:p>
    <w:p w14:paraId="65DC1A89">
      <w:pPr>
        <w:pStyle w:val="3"/>
        <w:ind w:firstLine="519"/>
        <w:rPr>
          <w:rFonts w:cs="Times New Roman"/>
        </w:rPr>
      </w:pPr>
      <w:r>
        <w:rPr>
          <w:rFonts w:hint="eastAsia" w:ascii="宋体" w:hAnsi="宋体" w:cs="宋体"/>
        </w:rPr>
        <w:t>③</w:t>
      </w:r>
      <w:r>
        <w:rPr>
          <w:rFonts w:cs="Times New Roman"/>
        </w:rPr>
        <w:t>操作人员定期应进行安全活动，提高职工的安全意识，识别事故发生前的异常状态，并采取相应的措施。</w:t>
      </w:r>
    </w:p>
    <w:p w14:paraId="521C39E3">
      <w:pPr>
        <w:ind w:firstLine="519"/>
        <w:rPr>
          <w:rFonts w:cs="Times New Roman"/>
        </w:rPr>
      </w:pPr>
      <w:r>
        <w:rPr>
          <w:rFonts w:hint="eastAsia" w:ascii="宋体" w:hAnsi="宋体" w:cs="宋体"/>
        </w:rPr>
        <w:t>④</w:t>
      </w:r>
      <w:r>
        <w:rPr>
          <w:rFonts w:cs="Times New Roman"/>
        </w:rPr>
        <w:t>对管道附近的居民加强教育，减少、避免发生第三方破坏的事故。</w:t>
      </w:r>
    </w:p>
    <w:p w14:paraId="50E40FDE">
      <w:pPr>
        <w:pStyle w:val="2"/>
        <w:ind w:firstLine="519"/>
        <w:rPr>
          <w:rFonts w:cs="Times New Roman"/>
        </w:rPr>
      </w:pPr>
      <w:r>
        <w:rPr>
          <w:rFonts w:hint="eastAsia" w:ascii="宋体" w:hAnsi="宋体" w:cs="宋体"/>
        </w:rPr>
        <w:t>⑤</w:t>
      </w:r>
      <w:r>
        <w:rPr>
          <w:rFonts w:cs="Times New Roman"/>
        </w:rPr>
        <w:t>对重要的仪器设备有完善的检查项目、维护方法；按计划进行定期维护；有专门档案(包括维护记录档案)，文件齐全。</w:t>
      </w:r>
    </w:p>
    <w:p w14:paraId="7854DA01">
      <w:pPr>
        <w:pStyle w:val="3"/>
        <w:ind w:firstLine="519"/>
        <w:rPr>
          <w:rFonts w:cs="Times New Roman"/>
        </w:rPr>
      </w:pPr>
      <w:r>
        <w:rPr>
          <w:rFonts w:hint="eastAsia" w:ascii="宋体" w:hAnsi="宋体" w:cs="宋体"/>
        </w:rPr>
        <w:t>⑥</w:t>
      </w:r>
      <w:r>
        <w:rPr>
          <w:rFonts w:cs="Times New Roman"/>
        </w:rPr>
        <w:t>制定事故应急预案，配备适当的管道抢修及人员抢救设备。</w:t>
      </w:r>
    </w:p>
    <w:p w14:paraId="7A3728E7">
      <w:pPr>
        <w:pStyle w:val="7"/>
      </w:pPr>
      <w:bookmarkStart w:id="832" w:name="_Toc89786212"/>
      <w:bookmarkStart w:id="833" w:name="_Toc89882532"/>
      <w:bookmarkStart w:id="834" w:name="_Toc121420886"/>
      <w:bookmarkStart w:id="835" w:name="_Toc90997729"/>
      <w:bookmarkStart w:id="836" w:name="_Toc90318491"/>
      <w:bookmarkStart w:id="837" w:name="_Toc90989314"/>
      <w:r>
        <w:t>6.6.2 井壁破裂风险防范措施</w:t>
      </w:r>
      <w:bookmarkEnd w:id="832"/>
      <w:bookmarkEnd w:id="833"/>
      <w:bookmarkEnd w:id="834"/>
      <w:bookmarkEnd w:id="835"/>
      <w:bookmarkEnd w:id="836"/>
      <w:bookmarkEnd w:id="837"/>
    </w:p>
    <w:p w14:paraId="0989E2AE">
      <w:pPr>
        <w:ind w:firstLine="519"/>
        <w:rPr>
          <w:rFonts w:cs="Times New Roman"/>
        </w:rPr>
      </w:pPr>
      <w:r>
        <w:rPr>
          <w:rFonts w:cs="Times New Roman"/>
        </w:rPr>
        <w:t>（1）加强施工管理，选择有资质单位进行施工，同时委托有资质单位对其施工质量进行监理，确保施工质量。</w:t>
      </w:r>
    </w:p>
    <w:p w14:paraId="712DA1E7">
      <w:pPr>
        <w:ind w:firstLine="519"/>
        <w:rPr>
          <w:rFonts w:cs="Times New Roman"/>
        </w:rPr>
      </w:pPr>
      <w:r>
        <w:rPr>
          <w:rFonts w:cs="Times New Roman"/>
        </w:rPr>
        <w:t>（2）选用质量合格的施工材料，严格按照施工设计进行施工，确保固井、钻井质量。</w:t>
      </w:r>
    </w:p>
    <w:p w14:paraId="41743370">
      <w:pPr>
        <w:ind w:firstLine="519"/>
        <w:rPr>
          <w:rFonts w:cs="Times New Roman"/>
        </w:rPr>
      </w:pPr>
      <w:r>
        <w:rPr>
          <w:rFonts w:cs="Times New Roman"/>
        </w:rPr>
        <w:t>（3）定期对各卤井标高进行测量，观察卤井井口套管是否存在裂隙，移动等不良情况发生。</w:t>
      </w:r>
    </w:p>
    <w:p w14:paraId="3EA3058C">
      <w:pPr>
        <w:pStyle w:val="2"/>
        <w:ind w:firstLine="519"/>
        <w:rPr>
          <w:rFonts w:cs="Times New Roman"/>
        </w:rPr>
      </w:pPr>
      <w:r>
        <w:rPr>
          <w:rFonts w:cs="Times New Roman"/>
        </w:rPr>
        <w:t>（4）</w:t>
      </w:r>
      <w:r>
        <w:rPr>
          <w:rFonts w:hint="eastAsia" w:cs="Times New Roman"/>
        </w:rPr>
        <w:t>运行中应加强卤井井口装置工况监测（压力、流量），</w:t>
      </w:r>
      <w:r>
        <w:rPr>
          <w:rFonts w:cs="Times New Roman"/>
        </w:rPr>
        <w:t>发现井口套管发生漏失时，应马上停止采卤，检查卤井，必要时采取封井措施。</w:t>
      </w:r>
    </w:p>
    <w:p w14:paraId="14E63AFC">
      <w:pPr>
        <w:pStyle w:val="7"/>
      </w:pPr>
      <w:bookmarkStart w:id="838" w:name="_Toc90318492"/>
      <w:bookmarkStart w:id="839" w:name="_Toc90997730"/>
      <w:bookmarkStart w:id="840" w:name="_Toc90989315"/>
      <w:bookmarkStart w:id="841" w:name="_Toc121420887"/>
      <w:bookmarkStart w:id="842" w:name="_Toc89786213"/>
      <w:bookmarkStart w:id="843" w:name="_Toc89882533"/>
      <w:r>
        <w:t>6.6.3 地表塌陷风险防范措施</w:t>
      </w:r>
      <w:bookmarkEnd w:id="838"/>
      <w:bookmarkEnd w:id="839"/>
      <w:bookmarkEnd w:id="840"/>
      <w:bookmarkEnd w:id="841"/>
      <w:bookmarkEnd w:id="842"/>
      <w:bookmarkEnd w:id="843"/>
    </w:p>
    <w:p w14:paraId="25A27783">
      <w:pPr>
        <w:ind w:firstLine="519"/>
        <w:rPr>
          <w:rFonts w:cs="Times New Roman"/>
        </w:rPr>
      </w:pPr>
      <w:r>
        <w:rPr>
          <w:rFonts w:cs="Times New Roman"/>
        </w:rPr>
        <w:t>在水溶开采矿过程中，要严格控制开采高度、溶腔跨度，避免溶腔大面积连通。</w:t>
      </w:r>
    </w:p>
    <w:p w14:paraId="15C8A93A">
      <w:pPr>
        <w:ind w:firstLine="519"/>
        <w:rPr>
          <w:rFonts w:cs="Times New Roman"/>
        </w:rPr>
      </w:pPr>
      <w:r>
        <w:rPr>
          <w:rFonts w:cs="Times New Roman"/>
        </w:rPr>
        <w:t>根据矿区地质环境条件和矿山开采设计；针对矿山地质环境保护目标，采用预防为主，治理为辅相结合的方案，保护矿山地质环境。各方案具体措施建议如下：</w:t>
      </w:r>
    </w:p>
    <w:p w14:paraId="7DE97CA3">
      <w:pPr>
        <w:ind w:firstLine="519"/>
        <w:rPr>
          <w:rFonts w:cs="Times New Roman"/>
        </w:rPr>
      </w:pPr>
      <w:r>
        <w:rPr>
          <w:rFonts w:cs="Times New Roman"/>
        </w:rPr>
        <w:t>（1）矿山需严格守界开采，各开采区需合理布置，开采区不能过大，并且各开采区之间需按开发利用方案留设30m的保安矿柱；上部留设25-35m的护顶矿层；以预防溶腔串通而引发的采空区地面沉降。 矿山需按核定生产规模进行开采，不能超产能开采，不能强排开采，以避免过度开采产生的岩层不稳定安全隐患；</w:t>
      </w:r>
    </w:p>
    <w:p w14:paraId="4862DE69">
      <w:pPr>
        <w:pStyle w:val="2"/>
        <w:ind w:firstLine="519"/>
        <w:rPr>
          <w:rFonts w:cs="Times New Roman"/>
        </w:rPr>
      </w:pPr>
      <w:r>
        <w:rPr>
          <w:rFonts w:cs="Times New Roman"/>
        </w:rPr>
        <w:t>（2）定期对溶腔形态进行测定；</w:t>
      </w:r>
    </w:p>
    <w:p w14:paraId="744184CC">
      <w:pPr>
        <w:pStyle w:val="3"/>
        <w:ind w:firstLine="519"/>
        <w:rPr>
          <w:rFonts w:cs="Times New Roman"/>
        </w:rPr>
      </w:pPr>
      <w:r>
        <w:rPr>
          <w:rFonts w:cs="Times New Roman"/>
        </w:rPr>
        <w:t>（3）开采井需保持压力，废弃井应严格密封，探井严格分层止水，同时加强监测；</w:t>
      </w:r>
    </w:p>
    <w:p w14:paraId="089087FB">
      <w:pPr>
        <w:ind w:firstLine="519"/>
        <w:rPr>
          <w:rFonts w:cs="Times New Roman"/>
        </w:rPr>
      </w:pPr>
      <w:r>
        <w:rPr>
          <w:rFonts w:cs="Times New Roman"/>
        </w:rPr>
        <w:t>（4）卤井在使用过程中，应详细记录卤井注水量，出卤量，卤水浓度，以及采卤压力，流量等；定期对原始数据进行分析。</w:t>
      </w:r>
    </w:p>
    <w:p w14:paraId="466E3B97">
      <w:pPr>
        <w:pStyle w:val="2"/>
        <w:ind w:firstLine="519"/>
        <w:rPr>
          <w:rFonts w:cs="Times New Roman"/>
        </w:rPr>
      </w:pPr>
      <w:r>
        <w:rPr>
          <w:rFonts w:cs="Times New Roman"/>
        </w:rPr>
        <w:t>（5）</w:t>
      </w:r>
      <w:r>
        <w:rPr>
          <w:rFonts w:hint="eastAsia" w:cs="Times New Roman"/>
        </w:rPr>
        <w:t>定期对矿区地下水水位进行监测，及时发现水位异常情况；</w:t>
      </w:r>
    </w:p>
    <w:p w14:paraId="3CE6E331">
      <w:pPr>
        <w:pStyle w:val="2"/>
        <w:ind w:firstLine="519"/>
        <w:rPr>
          <w:rFonts w:cs="Times New Roman"/>
        </w:rPr>
      </w:pPr>
      <w:r>
        <w:rPr>
          <w:rFonts w:cs="Times New Roman"/>
        </w:rPr>
        <w:t>（6）矿山需建立岩层移动和地面沉降观测站，进行地表移动和地面沉降观测，固定专人，定期现场巡回检查有关情况，及时发现险情灾情。</w:t>
      </w:r>
    </w:p>
    <w:p w14:paraId="32E57E50">
      <w:pPr>
        <w:ind w:firstLine="519"/>
        <w:rPr>
          <w:rFonts w:cs="Times New Roman"/>
        </w:rPr>
      </w:pPr>
      <w:r>
        <w:rPr>
          <w:rFonts w:cs="Times New Roman"/>
        </w:rPr>
        <w:t>（7）采用“预防为主、治理为辅”相结合的方案，保护矿山地质环境。及时对采空区进行充填，预防风险事故的发生。</w:t>
      </w:r>
    </w:p>
    <w:p w14:paraId="37B8F716">
      <w:pPr>
        <w:pStyle w:val="2"/>
        <w:ind w:firstLine="519"/>
        <w:rPr>
          <w:rFonts w:cs="Times New Roman"/>
        </w:rPr>
      </w:pPr>
      <w:r>
        <w:rPr>
          <w:rFonts w:hint="eastAsia" w:cs="Times New Roman"/>
        </w:rPr>
        <w:t>（8）</w:t>
      </w:r>
      <w:r>
        <w:rPr>
          <w:rFonts w:cs="Times New Roman"/>
        </w:rPr>
        <w:t>松木经开区在规划建设时要严格控制在矿山开采移动变形影响范围内的建筑物高度，在该范围内的地面建筑物高度不能超过 8 层。以免过大的荷载产生不良地质作用。</w:t>
      </w:r>
    </w:p>
    <w:p w14:paraId="51E429B5">
      <w:pPr>
        <w:pStyle w:val="3"/>
        <w:ind w:firstLine="519"/>
        <w:rPr>
          <w:rFonts w:cs="Times New Roman"/>
        </w:rPr>
      </w:pPr>
      <w:r>
        <w:rPr>
          <w:rFonts w:cs="Times New Roman"/>
        </w:rPr>
        <w:t>总之，在控制好地下溶腔的情况下，即可防止矿山地面下沉。当地下水位出现异常变化，地面出现裂隙，采卤注水量与出卤量之比增高等现象时，应马上停止采卤，检查卤井，查出事故井，停止事故井采卤，并疏散事故井周边群众，采取堵井封井措施，以防止地面下沉。如出现地面下沉，应马上停产，确定事故范围，在确保其它井组安全情况下恢复其它井组采卤。</w:t>
      </w:r>
    </w:p>
    <w:p w14:paraId="3B870786">
      <w:pPr>
        <w:pStyle w:val="6"/>
        <w:spacing w:before="170" w:after="170"/>
        <w:rPr>
          <w:rFonts w:cs="Times New Roman"/>
        </w:rPr>
      </w:pPr>
      <w:bookmarkStart w:id="844" w:name="_Toc121420888"/>
      <w:r>
        <w:rPr>
          <w:rFonts w:cs="Times New Roman"/>
        </w:rPr>
        <w:t>6.7 环境风险结论</w:t>
      </w:r>
      <w:bookmarkEnd w:id="844"/>
    </w:p>
    <w:p w14:paraId="494EFC51">
      <w:pPr>
        <w:ind w:firstLine="519"/>
        <w:rPr>
          <w:rFonts w:cs="Times New Roman"/>
          <w:kern w:val="0"/>
        </w:rPr>
      </w:pPr>
      <w:r>
        <w:rPr>
          <w:rFonts w:cs="Times New Roman"/>
          <w:kern w:val="0"/>
        </w:rPr>
        <w:t>通过对工程各个风险源项的原因进行分析，表明风险的发生和前期勘查、预防、生产过程中管理密不可分，生产中应以预防为主，防治结合，采取有效的风险预防措施。风险一旦发生，立即采取应急措施。</w:t>
      </w:r>
    </w:p>
    <w:p w14:paraId="226F3D60">
      <w:pPr>
        <w:pStyle w:val="2"/>
        <w:ind w:firstLine="519"/>
        <w:rPr>
          <w:rFonts w:cs="Times New Roman"/>
        </w:rPr>
      </w:pPr>
      <w:r>
        <w:rPr>
          <w:rFonts w:cs="Times New Roman"/>
        </w:rPr>
        <w:t>本项目环境风险主要为卤水泄漏污染泄漏区附近浅层地下水、土壤环境和采卤溶腔大面积连通引起地表沉陷的环境风险。采取设置事故池收集泄漏卤水，采集卤过程中自动监测</w:t>
      </w:r>
      <w:r>
        <w:rPr>
          <w:rFonts w:hint="eastAsia" w:cs="Times New Roman"/>
        </w:rPr>
        <w:t>卤井、输卤管线</w:t>
      </w:r>
      <w:r>
        <w:rPr>
          <w:rFonts w:cs="Times New Roman"/>
        </w:rPr>
        <w:t>生产参数，发现问题及时采取措施处理的措施后，卤水泄漏污染环境的环境风险可得到控制；地面设置地表沉陷观测管网并加强观测，发现问题立即停止采卤，查找原因并采取措施及时处理，采卤地表沉陷环境风险可得到防治。</w:t>
      </w:r>
    </w:p>
    <w:p w14:paraId="1EA2ED4B">
      <w:pPr>
        <w:ind w:firstLine="519"/>
        <w:rPr>
          <w:rFonts w:cs="Times New Roman"/>
          <w:kern w:val="0"/>
        </w:rPr>
      </w:pPr>
      <w:r>
        <w:rPr>
          <w:rFonts w:cs="Times New Roman"/>
          <w:kern w:val="0"/>
        </w:rPr>
        <w:t>建设项目环境风险简单分析内容表见下表。</w:t>
      </w:r>
    </w:p>
    <w:p w14:paraId="134A7DAE">
      <w:pPr>
        <w:pStyle w:val="9"/>
      </w:pPr>
      <w:bookmarkStart w:id="845" w:name="_Hlk89634231"/>
      <w:r>
        <w:t>表6.7-1  建设项目环境风险简单分析内容表</w:t>
      </w:r>
    </w:p>
    <w:bookmarkEnd w:id="845"/>
    <w:tbl>
      <w:tblPr>
        <w:tblStyle w:val="29"/>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512"/>
        <w:gridCol w:w="1512"/>
        <w:gridCol w:w="1512"/>
        <w:gridCol w:w="1512"/>
        <w:gridCol w:w="1512"/>
      </w:tblGrid>
      <w:tr w14:paraId="677DB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2" w:type="dxa"/>
            <w:tcBorders>
              <w:top w:val="single" w:color="auto" w:sz="12" w:space="0"/>
              <w:left w:val="single" w:color="auto" w:sz="12" w:space="0"/>
              <w:bottom w:val="single" w:color="auto" w:sz="4" w:space="0"/>
              <w:right w:val="single" w:color="auto" w:sz="4" w:space="0"/>
            </w:tcBorders>
            <w:vAlign w:val="center"/>
          </w:tcPr>
          <w:p w14:paraId="43E2DEDD">
            <w:pPr>
              <w:pStyle w:val="48"/>
            </w:pPr>
            <w:r>
              <w:t>建设项目名称</w:t>
            </w:r>
          </w:p>
        </w:tc>
        <w:tc>
          <w:tcPr>
            <w:tcW w:w="7560" w:type="dxa"/>
            <w:gridSpan w:val="5"/>
            <w:tcBorders>
              <w:top w:val="single" w:color="auto" w:sz="12" w:space="0"/>
              <w:left w:val="single" w:color="auto" w:sz="4" w:space="0"/>
              <w:bottom w:val="single" w:color="auto" w:sz="4" w:space="0"/>
              <w:right w:val="single" w:color="auto" w:sz="12" w:space="0"/>
            </w:tcBorders>
            <w:vAlign w:val="center"/>
          </w:tcPr>
          <w:p w14:paraId="53EA9BE0">
            <w:pPr>
              <w:pStyle w:val="48"/>
            </w:pPr>
            <w:r>
              <w:t>衡阳建滔化工有限公司采卤井项目</w:t>
            </w:r>
          </w:p>
        </w:tc>
      </w:tr>
      <w:tr w14:paraId="73E8D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512" w:type="dxa"/>
            <w:tcBorders>
              <w:top w:val="single" w:color="auto" w:sz="4" w:space="0"/>
              <w:left w:val="single" w:color="auto" w:sz="12" w:space="0"/>
              <w:bottom w:val="single" w:color="auto" w:sz="4" w:space="0"/>
              <w:right w:val="single" w:color="auto" w:sz="4" w:space="0"/>
            </w:tcBorders>
            <w:vAlign w:val="center"/>
          </w:tcPr>
          <w:p w14:paraId="4D584C39">
            <w:pPr>
              <w:pStyle w:val="48"/>
            </w:pPr>
            <w:r>
              <w:t>建设地点</w:t>
            </w:r>
          </w:p>
        </w:tc>
        <w:tc>
          <w:tcPr>
            <w:tcW w:w="1512" w:type="dxa"/>
            <w:tcBorders>
              <w:top w:val="single" w:color="auto" w:sz="4" w:space="0"/>
              <w:left w:val="single" w:color="auto" w:sz="4" w:space="0"/>
              <w:bottom w:val="single" w:color="auto" w:sz="4" w:space="0"/>
              <w:right w:val="single" w:color="auto" w:sz="4" w:space="0"/>
            </w:tcBorders>
            <w:vAlign w:val="center"/>
          </w:tcPr>
          <w:p w14:paraId="6D2BFB53">
            <w:pPr>
              <w:pStyle w:val="48"/>
            </w:pPr>
            <w:r>
              <w:t>湖南省</w:t>
            </w:r>
          </w:p>
        </w:tc>
        <w:tc>
          <w:tcPr>
            <w:tcW w:w="1512" w:type="dxa"/>
            <w:tcBorders>
              <w:top w:val="single" w:color="auto" w:sz="4" w:space="0"/>
              <w:left w:val="single" w:color="auto" w:sz="4" w:space="0"/>
              <w:bottom w:val="single" w:color="auto" w:sz="4" w:space="0"/>
              <w:right w:val="single" w:color="auto" w:sz="4" w:space="0"/>
            </w:tcBorders>
            <w:vAlign w:val="center"/>
          </w:tcPr>
          <w:p w14:paraId="43F2743E">
            <w:pPr>
              <w:pStyle w:val="48"/>
            </w:pPr>
            <w:r>
              <w:t>衡阳市</w:t>
            </w:r>
          </w:p>
        </w:tc>
        <w:tc>
          <w:tcPr>
            <w:tcW w:w="1512" w:type="dxa"/>
            <w:tcBorders>
              <w:top w:val="single" w:color="auto" w:sz="4" w:space="0"/>
              <w:left w:val="single" w:color="auto" w:sz="4" w:space="0"/>
              <w:bottom w:val="single" w:color="auto" w:sz="4" w:space="0"/>
              <w:right w:val="single" w:color="auto" w:sz="4" w:space="0"/>
            </w:tcBorders>
            <w:vAlign w:val="center"/>
          </w:tcPr>
          <w:p w14:paraId="05973544">
            <w:pPr>
              <w:pStyle w:val="48"/>
            </w:pPr>
            <w:r>
              <w:t>（/）区</w:t>
            </w:r>
          </w:p>
        </w:tc>
        <w:tc>
          <w:tcPr>
            <w:tcW w:w="1512" w:type="dxa"/>
            <w:tcBorders>
              <w:top w:val="single" w:color="auto" w:sz="4" w:space="0"/>
              <w:left w:val="single" w:color="auto" w:sz="4" w:space="0"/>
              <w:bottom w:val="single" w:color="auto" w:sz="4" w:space="0"/>
              <w:right w:val="single" w:color="auto" w:sz="4" w:space="0"/>
            </w:tcBorders>
            <w:vAlign w:val="center"/>
          </w:tcPr>
          <w:p w14:paraId="16305D98">
            <w:pPr>
              <w:pStyle w:val="48"/>
            </w:pPr>
            <w:r>
              <w:t>松木经开区</w:t>
            </w:r>
          </w:p>
        </w:tc>
        <w:tc>
          <w:tcPr>
            <w:tcW w:w="1512" w:type="dxa"/>
            <w:tcBorders>
              <w:top w:val="single" w:color="auto" w:sz="4" w:space="0"/>
              <w:left w:val="single" w:color="auto" w:sz="4" w:space="0"/>
              <w:bottom w:val="single" w:color="auto" w:sz="4" w:space="0"/>
              <w:right w:val="single" w:color="auto" w:sz="12" w:space="0"/>
            </w:tcBorders>
            <w:vAlign w:val="center"/>
          </w:tcPr>
          <w:p w14:paraId="14A5B3B8">
            <w:pPr>
              <w:pStyle w:val="48"/>
            </w:pPr>
            <w:r>
              <w:t>建滔岩盐矿</w:t>
            </w:r>
          </w:p>
        </w:tc>
      </w:tr>
      <w:tr w14:paraId="65B00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2" w:type="dxa"/>
            <w:tcBorders>
              <w:top w:val="single" w:color="auto" w:sz="4" w:space="0"/>
              <w:left w:val="single" w:color="auto" w:sz="12" w:space="0"/>
              <w:bottom w:val="single" w:color="auto" w:sz="4" w:space="0"/>
              <w:right w:val="single" w:color="auto" w:sz="4" w:space="0"/>
            </w:tcBorders>
            <w:vAlign w:val="center"/>
          </w:tcPr>
          <w:p w14:paraId="285A095D">
            <w:pPr>
              <w:pStyle w:val="48"/>
            </w:pPr>
            <w:r>
              <w:t>主要危险物质及分布</w:t>
            </w:r>
          </w:p>
        </w:tc>
        <w:tc>
          <w:tcPr>
            <w:tcW w:w="7560" w:type="dxa"/>
            <w:gridSpan w:val="5"/>
            <w:tcBorders>
              <w:top w:val="single" w:color="auto" w:sz="4" w:space="0"/>
              <w:left w:val="single" w:color="auto" w:sz="4" w:space="0"/>
              <w:bottom w:val="single" w:color="auto" w:sz="4" w:space="0"/>
              <w:right w:val="single" w:color="auto" w:sz="12" w:space="0"/>
            </w:tcBorders>
            <w:vAlign w:val="center"/>
          </w:tcPr>
          <w:p w14:paraId="2E298632">
            <w:pPr>
              <w:pStyle w:val="48"/>
            </w:pPr>
            <w:r>
              <w:t>采集卤管线、卤井、采卤场</w:t>
            </w:r>
          </w:p>
        </w:tc>
      </w:tr>
      <w:tr w14:paraId="2F8CD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2" w:type="dxa"/>
            <w:tcBorders>
              <w:top w:val="single" w:color="auto" w:sz="4" w:space="0"/>
              <w:left w:val="single" w:color="auto" w:sz="12" w:space="0"/>
              <w:bottom w:val="single" w:color="auto" w:sz="4" w:space="0"/>
              <w:right w:val="single" w:color="auto" w:sz="4" w:space="0"/>
            </w:tcBorders>
            <w:vAlign w:val="center"/>
          </w:tcPr>
          <w:p w14:paraId="36FF2E44">
            <w:pPr>
              <w:pStyle w:val="48"/>
            </w:pPr>
            <w:r>
              <w:t>环境影响途径及危害后果（大气、地表水、地下水等）</w:t>
            </w:r>
          </w:p>
        </w:tc>
        <w:tc>
          <w:tcPr>
            <w:tcW w:w="7560" w:type="dxa"/>
            <w:gridSpan w:val="5"/>
            <w:tcBorders>
              <w:top w:val="single" w:color="auto" w:sz="4" w:space="0"/>
              <w:left w:val="single" w:color="auto" w:sz="4" w:space="0"/>
              <w:bottom w:val="single" w:color="auto" w:sz="4" w:space="0"/>
              <w:right w:val="single" w:color="auto" w:sz="12" w:space="0"/>
            </w:tcBorders>
            <w:vAlign w:val="center"/>
          </w:tcPr>
          <w:p w14:paraId="36EAC13F">
            <w:pPr>
              <w:pStyle w:val="48"/>
              <w:jc w:val="both"/>
            </w:pPr>
            <w:r>
              <w:t>井壁破裂造成卤水泄漏污染地下水环境；井口连接处卤水泄漏影响土壤环境、水环境；采卤场卤水泄漏影响水环境、土壤环境；采集卤管线破裂造成卤水泄漏污染地下水环境。</w:t>
            </w:r>
            <w:r>
              <w:rPr>
                <w:rFonts w:hint="eastAsia"/>
              </w:rPr>
              <w:t>采卤过程由于卤井溶腔溶腔大面积连通、垮塌引起溶腔区地表塌陷。</w:t>
            </w:r>
          </w:p>
        </w:tc>
      </w:tr>
      <w:tr w14:paraId="2B68F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2" w:type="dxa"/>
            <w:tcBorders>
              <w:top w:val="single" w:color="auto" w:sz="4" w:space="0"/>
              <w:left w:val="single" w:color="auto" w:sz="12" w:space="0"/>
              <w:bottom w:val="single" w:color="auto" w:sz="4" w:space="0"/>
              <w:right w:val="single" w:color="auto" w:sz="4" w:space="0"/>
            </w:tcBorders>
            <w:vAlign w:val="center"/>
          </w:tcPr>
          <w:p w14:paraId="70198253">
            <w:pPr>
              <w:pStyle w:val="48"/>
            </w:pPr>
            <w:r>
              <w:t>风险防范措施要求</w:t>
            </w:r>
          </w:p>
        </w:tc>
        <w:tc>
          <w:tcPr>
            <w:tcW w:w="7560" w:type="dxa"/>
            <w:gridSpan w:val="5"/>
            <w:tcBorders>
              <w:top w:val="single" w:color="auto" w:sz="4" w:space="0"/>
              <w:left w:val="single" w:color="auto" w:sz="4" w:space="0"/>
              <w:bottom w:val="single" w:color="auto" w:sz="4" w:space="0"/>
              <w:right w:val="single" w:color="auto" w:sz="12" w:space="0"/>
            </w:tcBorders>
            <w:vAlign w:val="center"/>
          </w:tcPr>
          <w:p w14:paraId="6C9A6260">
            <w:pPr>
              <w:pStyle w:val="48"/>
              <w:jc w:val="both"/>
            </w:pPr>
            <w:r>
              <w:t>1、井场：卤井井壁套管中技术套管外有固井套管和固井水泥层，在采集卤工程安装有自动监测系统，监测回卤井回卤压力和回卤量；</w:t>
            </w:r>
          </w:p>
          <w:p w14:paraId="4F26C957">
            <w:pPr>
              <w:pStyle w:val="48"/>
              <w:jc w:val="both"/>
            </w:pPr>
            <w:r>
              <w:t>2、采卤场：采卤中心地面全部进行硬化处理，</w:t>
            </w:r>
            <w:r>
              <w:rPr>
                <w:rFonts w:hint="eastAsia"/>
              </w:rPr>
              <w:t>并</w:t>
            </w:r>
            <w:r>
              <w:t>设防污沟收集泄漏卤水，卤水池、淡卤池作防渗处理。</w:t>
            </w:r>
            <w:r>
              <w:cr/>
            </w:r>
            <w:r>
              <w:t>3、管线：管廊在建设时应采取防渗措施，在回卤管道沿途设置压力检测器、控制阀等。</w:t>
            </w:r>
          </w:p>
          <w:p w14:paraId="79D120E2">
            <w:pPr>
              <w:pStyle w:val="48"/>
              <w:jc w:val="both"/>
            </w:pPr>
            <w:r>
              <w:rPr>
                <w:rFonts w:hint="eastAsia"/>
              </w:rPr>
              <w:t>4、矿区地表塌陷：严格控制开采高度、溶腔跨度，及时对采空区进行充填，定期对矿区进行地下水水位、地表移动和地面沉降观测，严控矿区建筑物高度等。</w:t>
            </w:r>
          </w:p>
        </w:tc>
      </w:tr>
      <w:tr w14:paraId="40BD2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072" w:type="dxa"/>
            <w:gridSpan w:val="6"/>
            <w:tcBorders>
              <w:top w:val="single" w:color="auto" w:sz="4" w:space="0"/>
              <w:left w:val="single" w:color="auto" w:sz="12" w:space="0"/>
              <w:bottom w:val="single" w:color="auto" w:sz="12" w:space="0"/>
              <w:right w:val="single" w:color="auto" w:sz="12" w:space="0"/>
            </w:tcBorders>
            <w:vAlign w:val="center"/>
          </w:tcPr>
          <w:p w14:paraId="61EEE7F0">
            <w:pPr>
              <w:pStyle w:val="48"/>
              <w:jc w:val="both"/>
            </w:pPr>
            <w:r>
              <w:t>填表说明（列出项目相关信息及评价说明）：</w:t>
            </w:r>
          </w:p>
          <w:p w14:paraId="0BF11892">
            <w:pPr>
              <w:pStyle w:val="48"/>
              <w:jc w:val="both"/>
            </w:pPr>
            <w:r>
              <w:t>本项目不涉及危险物质，项目Q值＜1，该项目环境风险潜势为</w:t>
            </w:r>
            <w:r>
              <w:rPr>
                <w:rFonts w:hint="eastAsia" w:ascii="宋体" w:hAnsi="宋体" w:cs="宋体"/>
              </w:rPr>
              <w:t>Ⅰ</w:t>
            </w:r>
            <w:r>
              <w:t>，可进行简要分析。建设单位及时落实本表中提出的风险防范措施要求，本项目的环境风险可控。</w:t>
            </w:r>
          </w:p>
        </w:tc>
      </w:tr>
    </w:tbl>
    <w:p w14:paraId="1CD1A1D5">
      <w:pPr>
        <w:widowControl/>
        <w:wordWrap/>
        <w:topLinePunct w:val="0"/>
        <w:spacing w:line="240" w:lineRule="auto"/>
        <w:ind w:firstLine="0" w:firstLineChars="0"/>
        <w:jc w:val="left"/>
        <w:rPr>
          <w:rFonts w:cs="Times New Roman"/>
        </w:rPr>
      </w:pPr>
      <w:r>
        <w:rPr>
          <w:rFonts w:cs="Times New Roman"/>
        </w:rPr>
        <w:br w:type="page"/>
      </w:r>
    </w:p>
    <w:p w14:paraId="4C3EBC27">
      <w:pPr>
        <w:pStyle w:val="5"/>
        <w:spacing w:before="170" w:after="170"/>
        <w:rPr>
          <w:rFonts w:ascii="Times New Roman" w:hAnsi="Times New Roman"/>
        </w:rPr>
      </w:pPr>
      <w:bookmarkStart w:id="846" w:name="_Toc121420889"/>
      <w:r>
        <w:rPr>
          <w:rFonts w:ascii="Times New Roman" w:hAnsi="Times New Roman"/>
        </w:rPr>
        <w:t>第7章 污染防治措施及可行性分析</w:t>
      </w:r>
      <w:bookmarkEnd w:id="846"/>
    </w:p>
    <w:p w14:paraId="62D8AFD2">
      <w:pPr>
        <w:pStyle w:val="6"/>
        <w:spacing w:before="170" w:after="170"/>
        <w:rPr>
          <w:rFonts w:cs="Times New Roman"/>
          <w:bCs/>
        </w:rPr>
      </w:pPr>
      <w:bookmarkStart w:id="847" w:name="_Toc121420890"/>
      <w:r>
        <w:rPr>
          <w:rFonts w:cs="Times New Roman"/>
          <w:bCs/>
        </w:rPr>
        <w:t>7.1 施工期环境保护措施分析</w:t>
      </w:r>
      <w:bookmarkEnd w:id="847"/>
    </w:p>
    <w:p w14:paraId="41BFC451">
      <w:pPr>
        <w:pStyle w:val="7"/>
      </w:pPr>
      <w:bookmarkStart w:id="848" w:name="_Toc90989319"/>
      <w:bookmarkStart w:id="849" w:name="_Toc90997734"/>
      <w:bookmarkStart w:id="850" w:name="_Toc121420891"/>
      <w:bookmarkStart w:id="851" w:name="_Toc86852422"/>
      <w:bookmarkStart w:id="852" w:name="_Toc90318496"/>
      <w:bookmarkStart w:id="853" w:name="_Toc89882537"/>
      <w:bookmarkStart w:id="854" w:name="_Toc89786217"/>
      <w:bookmarkStart w:id="855" w:name="_Hlk89630274"/>
      <w:r>
        <w:t>7.1.1 施工期大气污染防治措施分析</w:t>
      </w:r>
      <w:bookmarkEnd w:id="848"/>
      <w:bookmarkEnd w:id="849"/>
      <w:bookmarkEnd w:id="850"/>
      <w:bookmarkEnd w:id="851"/>
      <w:bookmarkEnd w:id="852"/>
      <w:bookmarkEnd w:id="853"/>
      <w:bookmarkEnd w:id="854"/>
    </w:p>
    <w:bookmarkEnd w:id="855"/>
    <w:p w14:paraId="3B50C16E">
      <w:pPr>
        <w:ind w:firstLine="519"/>
        <w:rPr>
          <w:rFonts w:cs="Times New Roman"/>
        </w:rPr>
      </w:pPr>
      <w:r>
        <w:rPr>
          <w:rFonts w:cs="Times New Roman"/>
        </w:rPr>
        <w:t>本项目施工期主要防治措施如下：</w:t>
      </w:r>
    </w:p>
    <w:p w14:paraId="32EB7F97">
      <w:pPr>
        <w:ind w:firstLine="519"/>
        <w:rPr>
          <w:rFonts w:cs="Times New Roman"/>
        </w:rPr>
      </w:pPr>
      <w:r>
        <w:rPr>
          <w:rFonts w:cs="Times New Roman"/>
        </w:rPr>
        <w:t>（1）选择有经验、有资质的施工单位，做到文明施工，土石方的挖填、堆放做到规范有序，施工过程定期对各场地进行洒水降尘，将施工扬尘降至最低；</w:t>
      </w:r>
    </w:p>
    <w:p w14:paraId="5145DC42">
      <w:pPr>
        <w:ind w:firstLine="519"/>
        <w:rPr>
          <w:rFonts w:cs="Times New Roman"/>
        </w:rPr>
      </w:pPr>
      <w:r>
        <w:rPr>
          <w:rFonts w:cs="Times New Roman"/>
        </w:rPr>
        <w:t>（2）井场进行合理优化，尽最大可能少占土地，工作区域外的地区严禁车辆和人员进入、占用，避免破坏植被和造成水土流失；进出车辆严格限速，装卸器材文明作业，防止沙尘飞扬。</w:t>
      </w:r>
    </w:p>
    <w:p w14:paraId="3DE6745E">
      <w:pPr>
        <w:pStyle w:val="2"/>
        <w:ind w:firstLine="519"/>
        <w:rPr>
          <w:rFonts w:cs="Times New Roman"/>
        </w:rPr>
      </w:pPr>
      <w:r>
        <w:rPr>
          <w:rFonts w:cs="Times New Roman"/>
        </w:rPr>
        <w:t>（3）水泥和其它易飞扬的细颗粒建筑材料应密闭存放，禁止起尘原材料露天堆放，采用洒水、遮盖物等措施防止扬尘，并且堆放不得妨碍路人行走。</w:t>
      </w:r>
    </w:p>
    <w:p w14:paraId="01930C47">
      <w:pPr>
        <w:pStyle w:val="2"/>
        <w:ind w:firstLine="519"/>
        <w:rPr>
          <w:rFonts w:cs="Times New Roman"/>
        </w:rPr>
      </w:pPr>
      <w:r>
        <w:rPr>
          <w:rFonts w:cs="Times New Roman"/>
        </w:rPr>
        <w:t>（4）管道尽可能集中布置，减少对土地的扰动；管沟开挖后及时回填，防止弃土风化失水而起沙起尘，弃土集中堆放，应放置背风一侧，并及时覆盖严禁裸露，从管沟挖土往地面送土时，施工人员应该低抛；如果有风时，为防止沙土受风移动，应人为在上风向设置沙障；施工完成一段，立即在管线两旁安全距离外进行补偿绿化，并确保绿化面积和植被成活率，边施工，边进行植被绿化恢复。</w:t>
      </w:r>
    </w:p>
    <w:p w14:paraId="62274EF4">
      <w:pPr>
        <w:pStyle w:val="3"/>
        <w:ind w:firstLine="519"/>
        <w:rPr>
          <w:rFonts w:cs="Times New Roman"/>
        </w:rPr>
      </w:pPr>
      <w:r>
        <w:rPr>
          <w:rFonts w:cs="Times New Roman"/>
        </w:rPr>
        <w:t>（5）平时要加强施工机械和运输车辆维修保养，禁止以柴油为燃料的施工机械和车辆超负荷工作，搞好交通管理，避免交通堵塞。</w:t>
      </w:r>
    </w:p>
    <w:p w14:paraId="41C4825E">
      <w:pPr>
        <w:pStyle w:val="3"/>
        <w:ind w:firstLine="519"/>
        <w:rPr>
          <w:rFonts w:cs="Times New Roman"/>
        </w:rPr>
      </w:pPr>
      <w:r>
        <w:rPr>
          <w:rFonts w:cs="Times New Roman"/>
        </w:rPr>
        <w:t>（6）管道焊接防腐废气采用先进的焊接防腐材料和焊接防腐工艺，减少焊接烟尘和有机废气的产生。</w:t>
      </w:r>
    </w:p>
    <w:p w14:paraId="3BC99C90">
      <w:pPr>
        <w:ind w:firstLine="519"/>
        <w:rPr>
          <w:rFonts w:cs="Times New Roman"/>
        </w:rPr>
      </w:pPr>
      <w:r>
        <w:rPr>
          <w:rFonts w:cs="Times New Roman"/>
        </w:rPr>
        <w:t>（7）要求施工单位文明施工，加强对施工人员和相关人员的环境保护宣传教育，提高员工环保意识，从而使员工自觉地维护和遵守各项污染减缓措施，有利于各项措施的贯彻实施。</w:t>
      </w:r>
    </w:p>
    <w:p w14:paraId="70F52EAA">
      <w:pPr>
        <w:ind w:firstLine="519"/>
        <w:rPr>
          <w:rFonts w:cs="Times New Roman"/>
        </w:rPr>
      </w:pPr>
      <w:r>
        <w:rPr>
          <w:rFonts w:hint="eastAsia" w:cs="Times New Roman"/>
        </w:rPr>
        <w:t>项目采取的大气污染防治措施为常规措施，可操作性强，治理效果明显，</w:t>
      </w:r>
      <w:r>
        <w:rPr>
          <w:rFonts w:cs="Times New Roman"/>
        </w:rPr>
        <w:t>采用上述措施后，可极大降低本项目施工过程中废气对周围环境的影响程度。</w:t>
      </w:r>
    </w:p>
    <w:p w14:paraId="4C1590F9">
      <w:pPr>
        <w:pStyle w:val="7"/>
      </w:pPr>
      <w:bookmarkStart w:id="856" w:name="_Toc86852423"/>
      <w:bookmarkStart w:id="857" w:name="_Toc90318497"/>
      <w:bookmarkStart w:id="858" w:name="_Toc89786218"/>
      <w:bookmarkStart w:id="859" w:name="_Toc90989320"/>
      <w:bookmarkStart w:id="860" w:name="_Toc90997735"/>
      <w:bookmarkStart w:id="861" w:name="_Toc89882538"/>
      <w:bookmarkStart w:id="862" w:name="_Toc121420892"/>
      <w:r>
        <w:t>7.1.2 施工期水污染防治措施分析</w:t>
      </w:r>
      <w:bookmarkEnd w:id="856"/>
      <w:bookmarkEnd w:id="857"/>
      <w:bookmarkEnd w:id="858"/>
      <w:bookmarkEnd w:id="859"/>
      <w:bookmarkEnd w:id="860"/>
      <w:bookmarkEnd w:id="861"/>
      <w:bookmarkEnd w:id="862"/>
    </w:p>
    <w:p w14:paraId="4CA11A7E">
      <w:pPr>
        <w:ind w:firstLine="519"/>
        <w:rPr>
          <w:rFonts w:cs="Times New Roman"/>
        </w:rPr>
      </w:pPr>
      <w:r>
        <w:rPr>
          <w:rFonts w:cs="Times New Roman"/>
        </w:rPr>
        <w:t>（1）对于卤井施工过程中钻井、固井、洗井等工序产生的泥浆水及管道清扫和试压废水，废水中主要污染物为SS，施工现场建有防污沟和循环水池，生产废水在钻井-循环水池之间实现内部循环，不外排。</w:t>
      </w:r>
    </w:p>
    <w:p w14:paraId="3E4380DD">
      <w:pPr>
        <w:ind w:firstLine="519"/>
        <w:rPr>
          <w:rFonts w:cs="Times New Roman"/>
        </w:rPr>
      </w:pPr>
      <w:r>
        <w:rPr>
          <w:rFonts w:cs="Times New Roman"/>
        </w:rPr>
        <w:t>（2）施工人员生活污水依托园区内化粪池处理。</w:t>
      </w:r>
    </w:p>
    <w:p w14:paraId="15391F91">
      <w:pPr>
        <w:pStyle w:val="2"/>
        <w:ind w:firstLine="519"/>
        <w:rPr>
          <w:rFonts w:cs="Times New Roman"/>
        </w:rPr>
      </w:pPr>
      <w:r>
        <w:rPr>
          <w:rFonts w:cs="Times New Roman"/>
        </w:rPr>
        <w:t>（3）矿山在建井过程采取钢管隔水、水泥固井方法，施工期不会对地下水环境造成太大影响。</w:t>
      </w:r>
    </w:p>
    <w:p w14:paraId="00675725">
      <w:pPr>
        <w:pStyle w:val="7"/>
      </w:pPr>
      <w:bookmarkStart w:id="863" w:name="_Toc86852424"/>
      <w:bookmarkStart w:id="864" w:name="_Toc90989321"/>
      <w:bookmarkStart w:id="865" w:name="_Toc121420893"/>
      <w:bookmarkStart w:id="866" w:name="_Toc89786219"/>
      <w:bookmarkStart w:id="867" w:name="_Toc90997736"/>
      <w:bookmarkStart w:id="868" w:name="_Toc89882539"/>
      <w:bookmarkStart w:id="869" w:name="_Toc90318498"/>
      <w:r>
        <w:t>7.1.3 施工期噪声污染防治措施分析</w:t>
      </w:r>
      <w:bookmarkEnd w:id="863"/>
      <w:bookmarkEnd w:id="864"/>
      <w:bookmarkEnd w:id="865"/>
      <w:bookmarkEnd w:id="866"/>
      <w:bookmarkEnd w:id="867"/>
      <w:bookmarkEnd w:id="868"/>
      <w:bookmarkEnd w:id="869"/>
    </w:p>
    <w:p w14:paraId="7CCA1468">
      <w:pPr>
        <w:ind w:firstLine="519"/>
        <w:rPr>
          <w:rFonts w:cs="Times New Roman"/>
        </w:rPr>
      </w:pPr>
      <w:r>
        <w:rPr>
          <w:rFonts w:cs="Times New Roman"/>
        </w:rPr>
        <w:t>建设期施工机械噪声污染控制措施主要从施工机械的维护、施工组织和场地布置、施工时间的限制等方面来实施。</w:t>
      </w:r>
    </w:p>
    <w:p w14:paraId="02304056">
      <w:pPr>
        <w:ind w:firstLine="519"/>
        <w:rPr>
          <w:rFonts w:cs="Times New Roman"/>
        </w:rPr>
      </w:pPr>
      <w:r>
        <w:rPr>
          <w:rFonts w:cs="Times New Roman"/>
        </w:rPr>
        <w:t>建设期应严格执行《建筑施工场界环境噪声排放标准》（GB12523-2011），施工时要做到文明施工、安全施工，相应采取以下噪声污染防治措施：</w:t>
      </w:r>
    </w:p>
    <w:p w14:paraId="23D4A0F6">
      <w:pPr>
        <w:ind w:firstLine="519"/>
        <w:rPr>
          <w:rFonts w:cs="Times New Roman"/>
        </w:rPr>
      </w:pPr>
      <w:r>
        <w:rPr>
          <w:rFonts w:cs="Times New Roman"/>
        </w:rPr>
        <w:t>（1）合理安排施工时间：制定施工计划时，应尽可能避免大量高噪声设备同时施工。</w:t>
      </w:r>
    </w:p>
    <w:p w14:paraId="0BF09169">
      <w:pPr>
        <w:ind w:firstLine="519"/>
        <w:rPr>
          <w:rFonts w:cs="Times New Roman"/>
        </w:rPr>
      </w:pPr>
      <w:r>
        <w:rPr>
          <w:rFonts w:cs="Times New Roman"/>
        </w:rPr>
        <w:t>（2）降低设备声级：设备选型上尽量采用低噪声设备。</w:t>
      </w:r>
    </w:p>
    <w:p w14:paraId="55E5CB44">
      <w:pPr>
        <w:ind w:firstLine="519"/>
        <w:rPr>
          <w:rFonts w:cs="Times New Roman"/>
        </w:rPr>
      </w:pPr>
      <w:r>
        <w:rPr>
          <w:rFonts w:cs="Times New Roman"/>
        </w:rPr>
        <w:t>（3）设置降噪减振消声设备：在固定机械设备与挖土机械设备上设置排气管消声器和隔离发动机振动部件的方法降低噪声。</w:t>
      </w:r>
    </w:p>
    <w:p w14:paraId="54B28E84">
      <w:pPr>
        <w:ind w:firstLine="519"/>
        <w:rPr>
          <w:rFonts w:cs="Times New Roman"/>
        </w:rPr>
      </w:pPr>
      <w:r>
        <w:rPr>
          <w:rFonts w:cs="Times New Roman"/>
        </w:rPr>
        <w:t>（4）做好机械设备的定期维修、保养、及时清理闲置不用的设备，运输车辆进入施工现场时，减少鸣笛。</w:t>
      </w:r>
    </w:p>
    <w:p w14:paraId="483C660F">
      <w:pPr>
        <w:ind w:firstLine="519"/>
        <w:rPr>
          <w:rFonts w:cs="Times New Roman"/>
        </w:rPr>
      </w:pPr>
      <w:r>
        <w:rPr>
          <w:rFonts w:cs="Times New Roman"/>
        </w:rPr>
        <w:t>由于建设场地周围200m范围内无居民点等声环境敏感区域，施工采取如合理调配避免集中、定期维护机械等降噪措施后，噪声源强将消减10dB～20dB左右，在施工场地100m处噪声级可满足标准要求，对施工人员及当地声环境的影响也较小，措施可行。</w:t>
      </w:r>
    </w:p>
    <w:p w14:paraId="5B39E3DC">
      <w:pPr>
        <w:pStyle w:val="7"/>
      </w:pPr>
      <w:bookmarkStart w:id="870" w:name="_Toc89882540"/>
      <w:bookmarkStart w:id="871" w:name="_Toc121420894"/>
      <w:bookmarkStart w:id="872" w:name="_Toc86852425"/>
      <w:bookmarkStart w:id="873" w:name="_Toc89786220"/>
      <w:bookmarkStart w:id="874" w:name="_Toc90318499"/>
      <w:bookmarkStart w:id="875" w:name="_Toc90989322"/>
      <w:bookmarkStart w:id="876" w:name="_Toc90997737"/>
      <w:r>
        <w:t>7.1.4 施工期固体废物污染防治措施分析</w:t>
      </w:r>
      <w:bookmarkEnd w:id="870"/>
      <w:bookmarkEnd w:id="871"/>
      <w:bookmarkEnd w:id="872"/>
      <w:bookmarkEnd w:id="873"/>
      <w:bookmarkEnd w:id="874"/>
      <w:bookmarkEnd w:id="875"/>
      <w:bookmarkEnd w:id="876"/>
    </w:p>
    <w:p w14:paraId="5C995FDC">
      <w:pPr>
        <w:ind w:firstLine="519"/>
        <w:rPr>
          <w:rFonts w:cs="Times New Roman"/>
        </w:rPr>
      </w:pPr>
      <w:r>
        <w:rPr>
          <w:rFonts w:cs="Times New Roman"/>
        </w:rPr>
        <w:t>（1）充分利用选定施工场所地形，合理布置施工设备，做到挖方、填方平衡。</w:t>
      </w:r>
    </w:p>
    <w:p w14:paraId="1917EADB">
      <w:pPr>
        <w:ind w:firstLine="519"/>
        <w:rPr>
          <w:rFonts w:cs="Times New Roman"/>
        </w:rPr>
      </w:pPr>
      <w:r>
        <w:rPr>
          <w:rFonts w:cs="Times New Roman"/>
        </w:rPr>
        <w:t>（2）本项目钻井作业过程中会产生钻井废水、钻井岩屑和钻井泥浆，三者从井口排出时为混合体，环评要求钻井过程中，施工现场配备防污沟和循环水池，对钻井废水、钻井岩屑和钻井泥浆进行沉淀处理，处理后废水返回钻井作业利用，钻井岩屑用于填垫施工场地，废弃泥浆经自然风干、固化后覆土进行植被恢复。</w:t>
      </w:r>
    </w:p>
    <w:p w14:paraId="25D3C41B">
      <w:pPr>
        <w:ind w:firstLine="519"/>
        <w:rPr>
          <w:rFonts w:cs="Times New Roman"/>
        </w:rPr>
      </w:pPr>
      <w:r>
        <w:rPr>
          <w:rFonts w:cs="Times New Roman"/>
        </w:rPr>
        <w:t>（3）管道施工过程中产生焊接废料依托当地职能部门有偿清运。</w:t>
      </w:r>
    </w:p>
    <w:p w14:paraId="03A59253">
      <w:pPr>
        <w:ind w:firstLine="519"/>
        <w:rPr>
          <w:rFonts w:cs="Times New Roman"/>
        </w:rPr>
      </w:pPr>
      <w:r>
        <w:rPr>
          <w:rFonts w:cs="Times New Roman"/>
        </w:rPr>
        <w:t>（4）施工单位与业主单位签订环境卫生责任书，确保运输过程中保持路面整洁，施工单位应有专人负责，对渣土垃圾的处置实施现场管理。</w:t>
      </w:r>
    </w:p>
    <w:p w14:paraId="70A9AB20">
      <w:pPr>
        <w:ind w:firstLine="519"/>
        <w:rPr>
          <w:rFonts w:cs="Times New Roman"/>
        </w:rPr>
      </w:pPr>
      <w:r>
        <w:rPr>
          <w:rFonts w:cs="Times New Roman"/>
        </w:rPr>
        <w:t>（5）在工程竣工以后，施工单位应拆除各种临时施工设施，并负责将工地的剩余建筑垃圾、工程渣土处理干净。建设单位应负责督促施工单位的固体废物处置清理工作。</w:t>
      </w:r>
    </w:p>
    <w:p w14:paraId="12B4E8BE">
      <w:pPr>
        <w:ind w:firstLine="519"/>
        <w:rPr>
          <w:rFonts w:cs="Times New Roman"/>
        </w:rPr>
      </w:pPr>
      <w:r>
        <w:rPr>
          <w:rFonts w:cs="Times New Roman"/>
        </w:rPr>
        <w:t>对于固体废物采取上述措施后，能有效避免各种固体废物随意丢弃现象的发生，较大程度抑制各相关污染的产生，对环境的影响也较小。</w:t>
      </w:r>
    </w:p>
    <w:p w14:paraId="3D8EB5AA">
      <w:pPr>
        <w:pStyle w:val="7"/>
      </w:pPr>
      <w:bookmarkStart w:id="877" w:name="_Toc90997738"/>
      <w:bookmarkStart w:id="878" w:name="_Toc89882541"/>
      <w:bookmarkStart w:id="879" w:name="_Toc89786221"/>
      <w:bookmarkStart w:id="880" w:name="_Toc90989323"/>
      <w:bookmarkStart w:id="881" w:name="_Toc86852426"/>
      <w:bookmarkStart w:id="882" w:name="_Toc90318500"/>
      <w:bookmarkStart w:id="883" w:name="_Toc121420895"/>
      <w:r>
        <w:t>7.1.5 施工期生态环境防治措施分析</w:t>
      </w:r>
      <w:bookmarkEnd w:id="877"/>
      <w:bookmarkEnd w:id="878"/>
      <w:bookmarkEnd w:id="879"/>
      <w:bookmarkEnd w:id="880"/>
      <w:bookmarkEnd w:id="881"/>
      <w:bookmarkEnd w:id="882"/>
      <w:bookmarkEnd w:id="883"/>
    </w:p>
    <w:p w14:paraId="3F519F38">
      <w:pPr>
        <w:ind w:firstLine="519"/>
        <w:rPr>
          <w:rFonts w:cs="Times New Roman"/>
        </w:rPr>
      </w:pPr>
      <w:r>
        <w:rPr>
          <w:rFonts w:cs="Times New Roman"/>
        </w:rPr>
        <w:t xml:space="preserve">（1）施工时应合理利用土地，能不破坏的植被绝不破坏，暂时毁坏的，应尽快恢复； </w:t>
      </w:r>
    </w:p>
    <w:p w14:paraId="4BBBD08F">
      <w:pPr>
        <w:ind w:firstLine="519"/>
        <w:rPr>
          <w:rFonts w:cs="Times New Roman"/>
        </w:rPr>
      </w:pPr>
      <w:r>
        <w:rPr>
          <w:rFonts w:cs="Times New Roman"/>
        </w:rPr>
        <w:t xml:space="preserve">（2）施工时不得将表土弃土随意丢弃，以备日后覆土，植被恢复； </w:t>
      </w:r>
    </w:p>
    <w:p w14:paraId="15059569">
      <w:pPr>
        <w:ind w:firstLine="519"/>
        <w:rPr>
          <w:rFonts w:cs="Times New Roman"/>
        </w:rPr>
      </w:pPr>
      <w:r>
        <w:rPr>
          <w:rFonts w:cs="Times New Roman"/>
        </w:rPr>
        <w:t xml:space="preserve">（3）加强施工人员的环保教育，不准乱砍滥伐，保护自然环境。 </w:t>
      </w:r>
    </w:p>
    <w:p w14:paraId="5D4E648F">
      <w:pPr>
        <w:ind w:firstLine="519"/>
        <w:rPr>
          <w:rFonts w:cs="Times New Roman"/>
        </w:rPr>
      </w:pPr>
      <w:r>
        <w:rPr>
          <w:rFonts w:cs="Times New Roman"/>
        </w:rPr>
        <w:t>（4）合理安排施工工序和时间，避免在雨季进行大开挖，完善施工场地周边排水沟，及时清运弃土，及时对裸露地表进行植被恢复或绿化，以减少径流冲刷侵蚀。</w:t>
      </w:r>
    </w:p>
    <w:p w14:paraId="6B2ACDCB">
      <w:pPr>
        <w:pStyle w:val="2"/>
        <w:ind w:firstLine="519"/>
      </w:pPr>
      <w:r>
        <w:rPr>
          <w:rFonts w:hint="eastAsia"/>
        </w:rPr>
        <w:t>（5）矿山需严格守界开采，各开采区需合理布置，开采区不能过大，并且各开采区之间需按开发利用方案留设30m的保安矿柱；上部留设25-35m的护顶矿层；以预防溶腔串通而引发的采空区地面沉降。</w:t>
      </w:r>
    </w:p>
    <w:p w14:paraId="69A38EBE">
      <w:pPr>
        <w:pStyle w:val="6"/>
        <w:spacing w:before="170" w:after="170"/>
        <w:rPr>
          <w:rFonts w:cs="Times New Roman"/>
        </w:rPr>
      </w:pPr>
      <w:bookmarkStart w:id="884" w:name="_Toc121420896"/>
      <w:r>
        <w:rPr>
          <w:rFonts w:cs="Times New Roman"/>
        </w:rPr>
        <w:t>7.2 营运期环境保护措施分析</w:t>
      </w:r>
      <w:bookmarkEnd w:id="884"/>
    </w:p>
    <w:p w14:paraId="6A2D6799">
      <w:pPr>
        <w:pStyle w:val="7"/>
      </w:pPr>
      <w:bookmarkStart w:id="885" w:name="_Toc90318502"/>
      <w:bookmarkStart w:id="886" w:name="_Toc121420897"/>
      <w:bookmarkStart w:id="887" w:name="_Toc90989325"/>
      <w:bookmarkStart w:id="888" w:name="_Toc90997740"/>
      <w:bookmarkStart w:id="889" w:name="_Toc89882543"/>
      <w:bookmarkStart w:id="890" w:name="_Toc89786223"/>
      <w:bookmarkStart w:id="891" w:name="_Hlk89630369"/>
      <w:r>
        <w:t>7.2.1 营运期大气污染防治措施分析</w:t>
      </w:r>
      <w:bookmarkEnd w:id="885"/>
      <w:bookmarkEnd w:id="886"/>
      <w:bookmarkEnd w:id="887"/>
      <w:bookmarkEnd w:id="888"/>
      <w:bookmarkEnd w:id="889"/>
      <w:bookmarkEnd w:id="890"/>
    </w:p>
    <w:bookmarkEnd w:id="891"/>
    <w:p w14:paraId="1ABEAB2B">
      <w:pPr>
        <w:ind w:firstLine="519"/>
        <w:rPr>
          <w:rFonts w:cs="Times New Roman"/>
        </w:rPr>
      </w:pPr>
      <w:r>
        <w:rPr>
          <w:rFonts w:cs="Times New Roman"/>
        </w:rPr>
        <w:t>本项目营运期无废气产生。</w:t>
      </w:r>
    </w:p>
    <w:p w14:paraId="20E1DA07">
      <w:pPr>
        <w:pStyle w:val="7"/>
      </w:pPr>
      <w:bookmarkStart w:id="892" w:name="_Toc89786224"/>
      <w:bookmarkStart w:id="893" w:name="_Toc90997741"/>
      <w:bookmarkStart w:id="894" w:name="_Toc121420898"/>
      <w:bookmarkStart w:id="895" w:name="_Toc90318503"/>
      <w:bookmarkStart w:id="896" w:name="_Toc90989326"/>
      <w:bookmarkStart w:id="897" w:name="_Toc89882544"/>
      <w:bookmarkStart w:id="898" w:name="_Hlk89630415"/>
      <w:r>
        <w:t>7.2.2 营运期废水污染防治措施分析</w:t>
      </w:r>
      <w:bookmarkEnd w:id="892"/>
      <w:bookmarkEnd w:id="893"/>
      <w:bookmarkEnd w:id="894"/>
      <w:bookmarkEnd w:id="895"/>
      <w:bookmarkEnd w:id="896"/>
      <w:bookmarkEnd w:id="897"/>
    </w:p>
    <w:bookmarkEnd w:id="898"/>
    <w:p w14:paraId="23A6CC3B">
      <w:pPr>
        <w:pStyle w:val="2"/>
        <w:ind w:firstLine="519"/>
        <w:rPr>
          <w:rFonts w:cs="Times New Roman"/>
        </w:rPr>
      </w:pPr>
      <w:r>
        <w:rPr>
          <w:rFonts w:cs="Times New Roman"/>
        </w:rPr>
        <w:t>本项目营运期无废水产生。</w:t>
      </w:r>
    </w:p>
    <w:p w14:paraId="1C2FDB49">
      <w:pPr>
        <w:pStyle w:val="7"/>
      </w:pPr>
      <w:bookmarkStart w:id="899" w:name="_Toc90997742"/>
      <w:bookmarkStart w:id="900" w:name="_Toc121420899"/>
      <w:bookmarkStart w:id="901" w:name="_Toc89786225"/>
      <w:bookmarkStart w:id="902" w:name="_Toc90989327"/>
      <w:bookmarkStart w:id="903" w:name="_Toc89882545"/>
      <w:bookmarkStart w:id="904" w:name="_Toc90318504"/>
      <w:r>
        <w:t>7.2.3 营运期噪声污染防治措施分析</w:t>
      </w:r>
      <w:bookmarkEnd w:id="899"/>
      <w:bookmarkEnd w:id="900"/>
      <w:bookmarkEnd w:id="901"/>
      <w:bookmarkEnd w:id="902"/>
      <w:bookmarkEnd w:id="903"/>
      <w:bookmarkEnd w:id="904"/>
    </w:p>
    <w:p w14:paraId="3436B4B8">
      <w:pPr>
        <w:tabs>
          <w:tab w:val="left" w:pos="1021"/>
        </w:tabs>
        <w:ind w:firstLine="519"/>
        <w:rPr>
          <w:rFonts w:cs="Times New Roman"/>
        </w:rPr>
      </w:pPr>
      <w:r>
        <w:rPr>
          <w:rFonts w:cs="Times New Roman"/>
        </w:rPr>
        <w:t>本项目噪声源主要集中在采卤车间内，由于扩建项目利用采卤场现有厂房及设备进行作业，噪声源未发生变化，且采卤车间四周敏感点距离均较远，本项目噪声对周边敏感点环境影响较小。</w:t>
      </w:r>
    </w:p>
    <w:p w14:paraId="79D750A1">
      <w:pPr>
        <w:pStyle w:val="7"/>
      </w:pPr>
      <w:bookmarkStart w:id="905" w:name="_Toc89882546"/>
      <w:bookmarkStart w:id="906" w:name="_Toc90997743"/>
      <w:bookmarkStart w:id="907" w:name="_Toc86852441"/>
      <w:bookmarkStart w:id="908" w:name="_Toc90989328"/>
      <w:bookmarkStart w:id="909" w:name="_Toc89786226"/>
      <w:bookmarkStart w:id="910" w:name="_Toc90318505"/>
      <w:bookmarkStart w:id="911" w:name="_Toc121420900"/>
      <w:r>
        <w:t>7.2.4 营运期固体废物污染防治措施分析</w:t>
      </w:r>
      <w:bookmarkEnd w:id="905"/>
      <w:bookmarkEnd w:id="906"/>
      <w:bookmarkEnd w:id="907"/>
      <w:bookmarkEnd w:id="908"/>
      <w:bookmarkEnd w:id="909"/>
      <w:bookmarkEnd w:id="910"/>
      <w:bookmarkEnd w:id="911"/>
    </w:p>
    <w:p w14:paraId="75167720">
      <w:pPr>
        <w:ind w:firstLine="519"/>
        <w:rPr>
          <w:rFonts w:cs="Times New Roman" w:eastAsiaTheme="majorEastAsia"/>
        </w:rPr>
      </w:pPr>
      <w:r>
        <w:rPr>
          <w:rFonts w:cs="Times New Roman" w:eastAsiaTheme="majorEastAsia"/>
        </w:rPr>
        <w:t>营运期固体废物主要为卤水池残渣和废机油，均依托建滔（衡阳）实业有限公司处理处置，其中卤水池残渣依托建滔（衡阳）实业有限公司烧碱生产部盐泥压滤机压干处理后，与烧碱生产部盐泥一并收集后外售；</w:t>
      </w:r>
      <w:bookmarkStart w:id="912" w:name="_Hlk89632507"/>
      <w:r>
        <w:rPr>
          <w:rFonts w:cs="Times New Roman" w:eastAsiaTheme="majorEastAsia"/>
        </w:rPr>
        <w:t>废机油</w:t>
      </w:r>
      <w:bookmarkEnd w:id="912"/>
      <w:r>
        <w:rPr>
          <w:rFonts w:cs="Times New Roman" w:eastAsiaTheme="majorEastAsia"/>
        </w:rPr>
        <w:t>经机修车间统一收集后，</w:t>
      </w:r>
      <w:r>
        <w:rPr>
          <w:rFonts w:hint="eastAsia" w:cs="Times New Roman" w:eastAsiaTheme="majorEastAsia"/>
        </w:rPr>
        <w:t>利用现有</w:t>
      </w:r>
      <w:r>
        <w:rPr>
          <w:rFonts w:cs="Times New Roman" w:eastAsiaTheme="majorEastAsia"/>
        </w:rPr>
        <w:t>危废暂存间暂存，并委托有资质单位处理。</w:t>
      </w:r>
    </w:p>
    <w:p w14:paraId="78C6C1C2">
      <w:pPr>
        <w:ind w:firstLine="519"/>
        <w:rPr>
          <w:rFonts w:cs="Times New Roman" w:eastAsiaTheme="majorEastAsia"/>
        </w:rPr>
      </w:pPr>
      <w:r>
        <w:rPr>
          <w:rFonts w:cs="Times New Roman" w:eastAsiaTheme="majorEastAsia"/>
        </w:rPr>
        <w:t>本项目废机油储存在</w:t>
      </w:r>
      <w:r>
        <w:rPr>
          <w:rFonts w:hint="eastAsia" w:cs="Times New Roman" w:eastAsiaTheme="majorEastAsia"/>
        </w:rPr>
        <w:t>公司现有</w:t>
      </w:r>
      <w:r>
        <w:rPr>
          <w:rFonts w:cs="Times New Roman" w:eastAsiaTheme="majorEastAsia"/>
        </w:rPr>
        <w:t>危险废物暂存间内，暂存间区均设置了防风、防雨、防晒、防渗漏措施，危险废物储存间的面积足够储存本项目产生及收集的各类危险废物。</w:t>
      </w:r>
    </w:p>
    <w:p w14:paraId="13B6ADBC">
      <w:pPr>
        <w:ind w:firstLine="519"/>
        <w:rPr>
          <w:rFonts w:cs="Times New Roman" w:eastAsiaTheme="majorEastAsia"/>
        </w:rPr>
      </w:pPr>
      <w:r>
        <w:rPr>
          <w:rFonts w:cs="Times New Roman" w:eastAsiaTheme="majorEastAsia"/>
        </w:rPr>
        <w:t>综上，本项目危险废物储存措施可靠。</w:t>
      </w:r>
    </w:p>
    <w:p w14:paraId="4B067B5D">
      <w:pPr>
        <w:ind w:firstLine="519"/>
        <w:rPr>
          <w:rFonts w:cs="Times New Roman"/>
        </w:rPr>
      </w:pPr>
      <w:r>
        <w:rPr>
          <w:rFonts w:cs="Times New Roman"/>
        </w:rPr>
        <w:t>环评要求在未来的运营过程中加强对危险固废的管理，具体要求如下：</w:t>
      </w:r>
    </w:p>
    <w:p w14:paraId="161C3C4F">
      <w:pPr>
        <w:ind w:firstLine="519"/>
        <w:rPr>
          <w:rFonts w:cs="Times New Roman"/>
        </w:rPr>
      </w:pPr>
      <w:r>
        <w:rPr>
          <w:rFonts w:hint="eastAsia" w:ascii="宋体" w:hAnsi="宋体" w:cs="宋体"/>
        </w:rPr>
        <w:t>①</w:t>
      </w:r>
      <w:r>
        <w:rPr>
          <w:rFonts w:cs="Times New Roman"/>
        </w:rPr>
        <w:t>必须采用专用的收集容器收集、存放，收集容器要求做到防渗、防流失。</w:t>
      </w:r>
    </w:p>
    <w:p w14:paraId="681329D8">
      <w:pPr>
        <w:ind w:firstLine="519"/>
        <w:rPr>
          <w:rFonts w:cs="Times New Roman"/>
        </w:rPr>
      </w:pPr>
      <w:r>
        <w:rPr>
          <w:rFonts w:hint="eastAsia" w:ascii="宋体" w:hAnsi="宋体" w:cs="宋体"/>
        </w:rPr>
        <w:t>②</w:t>
      </w:r>
      <w:r>
        <w:rPr>
          <w:rFonts w:cs="Times New Roman"/>
        </w:rPr>
        <w:t>须做好危险废物情况的纪录，记录上须注明危险废物的名称、来源、数量、特性和包装容器的类别、入库日期、堆放库位、废物出库日期及接收单位名称。</w:t>
      </w:r>
    </w:p>
    <w:p w14:paraId="3764DE56">
      <w:pPr>
        <w:ind w:firstLine="519"/>
        <w:rPr>
          <w:rFonts w:cs="Times New Roman"/>
        </w:rPr>
      </w:pPr>
      <w:r>
        <w:rPr>
          <w:rFonts w:hint="eastAsia" w:ascii="宋体" w:hAnsi="宋体" w:cs="宋体"/>
        </w:rPr>
        <w:t>③</w:t>
      </w:r>
      <w:r>
        <w:rPr>
          <w:rFonts w:cs="Times New Roman"/>
        </w:rPr>
        <w:t>危险废物库内清理出来的泄漏物，一律按危险废物处理。</w:t>
      </w:r>
    </w:p>
    <w:p w14:paraId="6ABB8FA7">
      <w:pPr>
        <w:ind w:firstLine="519"/>
        <w:rPr>
          <w:rFonts w:cs="Times New Roman"/>
        </w:rPr>
      </w:pPr>
      <w:r>
        <w:rPr>
          <w:rFonts w:hint="eastAsia" w:ascii="宋体" w:hAnsi="宋体" w:cs="宋体"/>
        </w:rPr>
        <w:t>④</w:t>
      </w:r>
      <w:r>
        <w:rPr>
          <w:rFonts w:cs="Times New Roman"/>
        </w:rPr>
        <w:t>定期对暂存间进行检查，发现破损，应及时进行修理。</w:t>
      </w:r>
    </w:p>
    <w:p w14:paraId="5D1A8A8F">
      <w:pPr>
        <w:ind w:firstLine="519"/>
        <w:rPr>
          <w:rFonts w:cs="Times New Roman"/>
        </w:rPr>
      </w:pPr>
      <w:r>
        <w:rPr>
          <w:rFonts w:hint="eastAsia" w:ascii="宋体" w:hAnsi="宋体" w:cs="宋体"/>
        </w:rPr>
        <w:t>⑤</w:t>
      </w:r>
      <w:r>
        <w:rPr>
          <w:rFonts w:cs="Times New Roman"/>
        </w:rPr>
        <w:t>危险废物库必须按GB15562.2的规定设置警示标志。</w:t>
      </w:r>
    </w:p>
    <w:p w14:paraId="7FFD4A07">
      <w:pPr>
        <w:ind w:firstLine="519"/>
        <w:rPr>
          <w:rFonts w:cs="Times New Roman"/>
        </w:rPr>
      </w:pPr>
      <w:r>
        <w:rPr>
          <w:rFonts w:hint="eastAsia" w:ascii="宋体" w:hAnsi="宋体" w:cs="宋体"/>
        </w:rPr>
        <w:t>⑥</w:t>
      </w:r>
      <w:r>
        <w:rPr>
          <w:rFonts w:cs="Times New Roman"/>
        </w:rPr>
        <w:t>加强对危险固废的日常管理，并按国家有关危险废物管理办法，办理好危险废物的贮存、转移手续。</w:t>
      </w:r>
    </w:p>
    <w:p w14:paraId="21EE29B8">
      <w:pPr>
        <w:ind w:firstLine="519"/>
        <w:rPr>
          <w:rFonts w:cs="Times New Roman" w:eastAsiaTheme="majorEastAsia"/>
          <w:lang w:val="ru-RU"/>
        </w:rPr>
      </w:pPr>
      <w:r>
        <w:rPr>
          <w:rFonts w:cs="Times New Roman" w:eastAsiaTheme="majorEastAsia"/>
        </w:rPr>
        <w:t>危险废物运输由有处理资质的单位进行运输，严格按照</w:t>
      </w:r>
      <w:r>
        <w:rPr>
          <w:rFonts w:hint="eastAsia" w:cs="Times New Roman" w:eastAsiaTheme="majorEastAsia"/>
        </w:rPr>
        <w:t>《危险废物转移管理办法》</w:t>
      </w:r>
      <w:r>
        <w:rPr>
          <w:rFonts w:cs="Times New Roman" w:eastAsiaTheme="majorEastAsia"/>
        </w:rPr>
        <w:t>进行</w:t>
      </w:r>
      <w:r>
        <w:rPr>
          <w:rFonts w:cs="Times New Roman" w:eastAsiaTheme="majorEastAsia"/>
          <w:lang w:val="ru-RU"/>
        </w:rPr>
        <w:t>。</w:t>
      </w:r>
    </w:p>
    <w:p w14:paraId="72540D30">
      <w:pPr>
        <w:pStyle w:val="7"/>
      </w:pPr>
      <w:bookmarkStart w:id="913" w:name="_Toc86852445"/>
      <w:bookmarkStart w:id="914" w:name="_Toc90997744"/>
      <w:bookmarkStart w:id="915" w:name="_Toc89882547"/>
      <w:bookmarkStart w:id="916" w:name="_Toc121420901"/>
      <w:bookmarkStart w:id="917" w:name="_Toc90989329"/>
      <w:bookmarkStart w:id="918" w:name="_Toc89786227"/>
      <w:bookmarkStart w:id="919" w:name="_Toc90318506"/>
      <w:bookmarkStart w:id="920" w:name="_Hlk89632847"/>
      <w:r>
        <w:t xml:space="preserve">7.2.5 </w:t>
      </w:r>
      <w:bookmarkEnd w:id="913"/>
      <w:r>
        <w:t>营运期生态环境防治措施分析</w:t>
      </w:r>
      <w:bookmarkEnd w:id="914"/>
      <w:bookmarkEnd w:id="915"/>
      <w:bookmarkEnd w:id="916"/>
      <w:bookmarkEnd w:id="917"/>
      <w:bookmarkEnd w:id="918"/>
      <w:bookmarkEnd w:id="919"/>
    </w:p>
    <w:bookmarkEnd w:id="920"/>
    <w:p w14:paraId="7EA3C899">
      <w:pPr>
        <w:ind w:left="136" w:right="235" w:firstLine="495"/>
        <w:rPr>
          <w:rFonts w:cs="Times New Roman"/>
        </w:rPr>
      </w:pPr>
      <w:r>
        <w:rPr>
          <w:rFonts w:cs="Times New Roman"/>
          <w:spacing w:val="-6"/>
        </w:rPr>
        <w:t>（1）在管线上方设置明显标志，以防附近的各类施工活动对管线的破坏而引发的污染事故和对生态环境的影响。</w:t>
      </w:r>
      <w:r>
        <w:rPr>
          <w:rFonts w:cs="Times New Roman"/>
          <w:spacing w:val="-5"/>
        </w:rPr>
        <w:t>。</w:t>
      </w:r>
    </w:p>
    <w:p w14:paraId="26ADACDF">
      <w:pPr>
        <w:ind w:left="138" w:right="191" w:firstLine="495"/>
        <w:rPr>
          <w:rFonts w:cs="Times New Roman"/>
        </w:rPr>
      </w:pPr>
      <w:r>
        <w:rPr>
          <w:rFonts w:cs="Times New Roman"/>
          <w:spacing w:val="-6"/>
        </w:rPr>
        <w:t>（2）管道维修二次开挖回填时，尽量按原有土壤层次进行回填，特别是农田，以使植被得到有效恢复或减轻对农作物生长的影响。</w:t>
      </w:r>
    </w:p>
    <w:p w14:paraId="56E327FF">
      <w:pPr>
        <w:ind w:left="138" w:right="193" w:firstLine="495"/>
        <w:rPr>
          <w:rFonts w:cs="Times New Roman"/>
        </w:rPr>
      </w:pPr>
      <w:r>
        <w:rPr>
          <w:rFonts w:cs="Times New Roman"/>
          <w:spacing w:val="-6"/>
        </w:rPr>
        <w:t>（3）对于作业过程中产生的落地卤和各类废物及时进行妥善的处置和处理，不长期在环境中堆放，避免对土壤、水体和生态环境造成影响</w:t>
      </w:r>
      <w:r>
        <w:rPr>
          <w:rFonts w:cs="Times New Roman"/>
        </w:rPr>
        <w:t xml:space="preserve">。 </w:t>
      </w:r>
    </w:p>
    <w:p w14:paraId="7CB9FC00">
      <w:pPr>
        <w:spacing w:before="55" w:line="357" w:lineRule="auto"/>
        <w:ind w:left="138" w:right="193" w:firstLine="495"/>
        <w:rPr>
          <w:rFonts w:cs="Times New Roman"/>
          <w:spacing w:val="-5"/>
        </w:rPr>
      </w:pPr>
      <w:r>
        <w:rPr>
          <w:rFonts w:cs="Times New Roman"/>
          <w:spacing w:val="-6"/>
        </w:rPr>
        <w:t>（4）对各种设备、管线、阀门定期进行检查、维修，防止跑、冒、滴、漏，消除事故隐患</w:t>
      </w:r>
      <w:r>
        <w:rPr>
          <w:rFonts w:cs="Times New Roman"/>
          <w:spacing w:val="-5"/>
        </w:rPr>
        <w:t>。</w:t>
      </w:r>
    </w:p>
    <w:p w14:paraId="29401425">
      <w:pPr>
        <w:pStyle w:val="7"/>
      </w:pPr>
      <w:bookmarkStart w:id="921" w:name="_Toc89882548"/>
      <w:bookmarkStart w:id="922" w:name="_Toc121420902"/>
      <w:bookmarkStart w:id="923" w:name="_Toc90318508"/>
      <w:bookmarkStart w:id="924" w:name="_Toc90989331"/>
      <w:bookmarkStart w:id="925" w:name="_Toc90997746"/>
      <w:bookmarkStart w:id="926" w:name="_Toc89786228"/>
      <w:r>
        <w:t>7.2.6 营运期地下水环境防治措施分析</w:t>
      </w:r>
      <w:bookmarkEnd w:id="921"/>
      <w:bookmarkEnd w:id="922"/>
      <w:bookmarkEnd w:id="923"/>
      <w:bookmarkEnd w:id="924"/>
      <w:bookmarkEnd w:id="925"/>
      <w:bookmarkEnd w:id="926"/>
    </w:p>
    <w:p w14:paraId="4908C99F">
      <w:pPr>
        <w:pStyle w:val="2"/>
        <w:ind w:firstLine="519"/>
        <w:rPr>
          <w:rFonts w:cs="Times New Roman"/>
        </w:rPr>
      </w:pPr>
      <w:r>
        <w:rPr>
          <w:rFonts w:cs="Times New Roman"/>
        </w:rPr>
        <w:t>本项目地下水评价工作等级为三级，根据地下水导则要求，本次采取“源头控制、分区防渗和跟踪监测”三方面的保护措施。</w:t>
      </w:r>
    </w:p>
    <w:p w14:paraId="56E3B7EC">
      <w:pPr>
        <w:pStyle w:val="3"/>
        <w:ind w:firstLine="519"/>
        <w:rPr>
          <w:rFonts w:cs="Times New Roman"/>
        </w:rPr>
      </w:pPr>
      <w:r>
        <w:rPr>
          <w:rFonts w:cs="Times New Roman"/>
        </w:rPr>
        <w:t>（1）源头控制措施</w:t>
      </w:r>
    </w:p>
    <w:p w14:paraId="2AEABEE2">
      <w:pPr>
        <w:ind w:firstLine="519"/>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hint="eastAsia" w:ascii="宋体" w:hAnsi="宋体" w:cs="宋体"/>
        </w:rPr>
        <w:t>①</w:t>
      </w:r>
      <w:r>
        <w:rPr>
          <w:rFonts w:cs="Times New Roman"/>
        </w:rPr>
        <w:fldChar w:fldCharType="end"/>
      </w:r>
      <w:r>
        <w:rPr>
          <w:rFonts w:cs="Times New Roman"/>
        </w:rPr>
        <w:t>集卤管道沿途设置压力检测器、截断阀和事故池，管道破裂后应立即通过截断阀停止输送卤水；</w:t>
      </w:r>
    </w:p>
    <w:p w14:paraId="55A4820F">
      <w:pPr>
        <w:pStyle w:val="2"/>
        <w:ind w:firstLine="519"/>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hint="eastAsia" w:ascii="宋体" w:hAnsi="宋体" w:cs="宋体"/>
        </w:rPr>
        <w:t>②</w:t>
      </w:r>
      <w:r>
        <w:rPr>
          <w:rFonts w:cs="Times New Roman"/>
        </w:rPr>
        <w:fldChar w:fldCharType="end"/>
      </w:r>
      <w:r>
        <w:rPr>
          <w:rFonts w:cs="Times New Roman"/>
        </w:rPr>
        <w:t>钻井过程中提高封堵质量，在开采过程中要加强观测和检查井管的情况；</w:t>
      </w:r>
    </w:p>
    <w:p w14:paraId="09E3365D">
      <w:pPr>
        <w:pStyle w:val="3"/>
        <w:ind w:firstLine="519"/>
        <w:rPr>
          <w:rFonts w:cs="Times New Roman"/>
        </w:rPr>
      </w:pPr>
      <w:r>
        <w:rPr>
          <w:rFonts w:cs="Times New Roman"/>
        </w:rPr>
        <w:fldChar w:fldCharType="begin"/>
      </w:r>
      <w:r>
        <w:rPr>
          <w:rFonts w:cs="Times New Roman"/>
        </w:rPr>
        <w:instrText xml:space="preserve"> = 3 \* GB3 </w:instrText>
      </w:r>
      <w:r>
        <w:rPr>
          <w:rFonts w:cs="Times New Roman"/>
        </w:rPr>
        <w:fldChar w:fldCharType="separate"/>
      </w:r>
      <w:r>
        <w:rPr>
          <w:rFonts w:hint="eastAsia" w:ascii="宋体" w:hAnsi="宋体" w:cs="宋体"/>
        </w:rPr>
        <w:t>③</w:t>
      </w:r>
      <w:r>
        <w:rPr>
          <w:rFonts w:cs="Times New Roman"/>
        </w:rPr>
        <w:fldChar w:fldCharType="end"/>
      </w:r>
      <w:bookmarkStart w:id="927" w:name="_Hlk90367975"/>
      <w:r>
        <w:rPr>
          <w:rFonts w:cs="Times New Roman"/>
        </w:rPr>
        <w:t>采卤</w:t>
      </w:r>
      <w:r>
        <w:rPr>
          <w:rFonts w:hint="eastAsia" w:cs="Times New Roman"/>
        </w:rPr>
        <w:t>场</w:t>
      </w:r>
      <w:r>
        <w:rPr>
          <w:rFonts w:cs="Times New Roman"/>
        </w:rPr>
        <w:t>的卤水池和淡</w:t>
      </w:r>
      <w:r>
        <w:rPr>
          <w:rFonts w:hint="eastAsia" w:cs="Times New Roman"/>
        </w:rPr>
        <w:t>卤</w:t>
      </w:r>
      <w:r>
        <w:rPr>
          <w:rFonts w:cs="Times New Roman"/>
        </w:rPr>
        <w:t>池区域设置导流沟，确保卤水泄漏均收集于</w:t>
      </w:r>
      <w:r>
        <w:rPr>
          <w:rFonts w:hint="eastAsia" w:cs="Times New Roman"/>
        </w:rPr>
        <w:t>事故应急池</w:t>
      </w:r>
      <w:r>
        <w:rPr>
          <w:rFonts w:cs="Times New Roman"/>
        </w:rPr>
        <w:t>内</w:t>
      </w:r>
      <w:r>
        <w:rPr>
          <w:rFonts w:hint="eastAsia" w:cs="Times New Roman"/>
        </w:rPr>
        <w:t>，收集的卤水通过废卤泵抽到淡卤池，下井循环。</w:t>
      </w:r>
      <w:bookmarkEnd w:id="927"/>
    </w:p>
    <w:p w14:paraId="713E2981">
      <w:pPr>
        <w:pStyle w:val="2"/>
        <w:ind w:firstLine="519"/>
        <w:rPr>
          <w:rFonts w:cs="Times New Roman"/>
        </w:rPr>
      </w:pPr>
      <w:r>
        <w:rPr>
          <w:rFonts w:cs="Times New Roman"/>
        </w:rPr>
        <w:t>（2）分区防渗措施</w:t>
      </w:r>
    </w:p>
    <w:p w14:paraId="4A9DC938">
      <w:pPr>
        <w:pStyle w:val="3"/>
        <w:ind w:firstLine="519"/>
        <w:rPr>
          <w:rFonts w:cs="Times New Roman"/>
        </w:rPr>
      </w:pPr>
      <w:r>
        <w:rPr>
          <w:rFonts w:cs="Times New Roman"/>
        </w:rPr>
        <w:t>将采卤场内的</w:t>
      </w:r>
      <w:bookmarkStart w:id="928" w:name="_Hlk90318020"/>
      <w:r>
        <w:rPr>
          <w:rFonts w:cs="Times New Roman"/>
        </w:rPr>
        <w:t>采卤泵房、卤水池、淡卤池</w:t>
      </w:r>
      <w:bookmarkEnd w:id="928"/>
      <w:r>
        <w:rPr>
          <w:rFonts w:cs="Times New Roman"/>
        </w:rPr>
        <w:t>划分为一般污染防治区，对其地面或者池体做防渗处理，达到一般防渗区的防渗要求，防止污染物下渗造成地下水污染，其它区域为非污染防治区域，一般地面硬化即可。</w:t>
      </w:r>
      <w:bookmarkStart w:id="929" w:name="_Hlk89634249"/>
      <w:r>
        <w:rPr>
          <w:rFonts w:cs="Times New Roman"/>
        </w:rPr>
        <w:t>地下水污染源分区防渗要求</w:t>
      </w:r>
      <w:bookmarkEnd w:id="929"/>
      <w:r>
        <w:rPr>
          <w:rFonts w:cs="Times New Roman"/>
        </w:rPr>
        <w:t>详见表7.2-1，</w:t>
      </w:r>
      <w:bookmarkStart w:id="930" w:name="_Hlk89634275"/>
      <w:r>
        <w:rPr>
          <w:rFonts w:cs="Times New Roman"/>
        </w:rPr>
        <w:t>本项目地下水污染源分区防渗情况</w:t>
      </w:r>
      <w:bookmarkEnd w:id="930"/>
      <w:r>
        <w:rPr>
          <w:rFonts w:cs="Times New Roman"/>
        </w:rPr>
        <w:t>见表7.2-2。</w:t>
      </w:r>
    </w:p>
    <w:p w14:paraId="0E7550F2">
      <w:pPr>
        <w:pStyle w:val="9"/>
      </w:pPr>
      <w:r>
        <w:t>表7.2-1 地下水污染源分区防渗要求一览表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2996"/>
        <w:gridCol w:w="3578"/>
      </w:tblGrid>
      <w:tr w14:paraId="65B9B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Align w:val="center"/>
          </w:tcPr>
          <w:p w14:paraId="436E60AB">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防渗分区</w:t>
            </w:r>
          </w:p>
        </w:tc>
        <w:tc>
          <w:tcPr>
            <w:tcW w:w="2997" w:type="dxa"/>
            <w:vAlign w:val="center"/>
          </w:tcPr>
          <w:p w14:paraId="07D50160">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污染物类别</w:t>
            </w:r>
          </w:p>
        </w:tc>
        <w:tc>
          <w:tcPr>
            <w:tcW w:w="3580" w:type="dxa"/>
            <w:vAlign w:val="center"/>
          </w:tcPr>
          <w:p w14:paraId="6142FC8F">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防渗技术要求</w:t>
            </w:r>
          </w:p>
        </w:tc>
      </w:tr>
      <w:tr w14:paraId="445F0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Align w:val="center"/>
          </w:tcPr>
          <w:p w14:paraId="6E815765">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重点防渗区</w:t>
            </w:r>
          </w:p>
        </w:tc>
        <w:tc>
          <w:tcPr>
            <w:tcW w:w="2997" w:type="dxa"/>
            <w:vAlign w:val="center"/>
          </w:tcPr>
          <w:p w14:paraId="441FA8F9">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重金属、持久性有机物污染物</w:t>
            </w:r>
          </w:p>
        </w:tc>
        <w:tc>
          <w:tcPr>
            <w:tcW w:w="3580" w:type="dxa"/>
            <w:vAlign w:val="center"/>
          </w:tcPr>
          <w:p w14:paraId="248F1282">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等效黏土防渗层</w:t>
            </w:r>
            <w:r>
              <w:rPr>
                <w:rFonts w:eastAsia="Times New Roman" w:cs="Times New Roman"/>
                <w:sz w:val="21"/>
                <w:szCs w:val="21"/>
              </w:rPr>
              <w:t>Mb≥6.0m</w:t>
            </w:r>
            <w:r>
              <w:rPr>
                <w:rFonts w:cs="Times New Roman"/>
                <w:sz w:val="21"/>
                <w:szCs w:val="21"/>
              </w:rPr>
              <w:t>，渗透系数</w:t>
            </w:r>
            <w:r>
              <w:rPr>
                <w:rFonts w:eastAsia="Times New Roman" w:cs="Times New Roman"/>
                <w:sz w:val="21"/>
                <w:szCs w:val="21"/>
              </w:rPr>
              <w:t>K≤1.0×10</w:t>
            </w:r>
            <w:r>
              <w:rPr>
                <w:rFonts w:eastAsia="Times New Roman" w:cs="Times New Roman"/>
                <w:sz w:val="21"/>
                <w:szCs w:val="21"/>
                <w:vertAlign w:val="superscript"/>
              </w:rPr>
              <w:t>-7</w:t>
            </w:r>
            <w:r>
              <w:rPr>
                <w:rFonts w:eastAsia="Times New Roman" w:cs="Times New Roman"/>
                <w:sz w:val="21"/>
                <w:szCs w:val="21"/>
              </w:rPr>
              <w:t xml:space="preserve"> cm/s</w:t>
            </w:r>
          </w:p>
        </w:tc>
      </w:tr>
      <w:tr w14:paraId="1AF7A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Align w:val="center"/>
          </w:tcPr>
          <w:p w14:paraId="339FF725">
            <w:pPr>
              <w:wordWrap/>
              <w:topLinePunct w:val="0"/>
              <w:adjustRightInd/>
              <w:snapToGrid/>
              <w:spacing w:line="240" w:lineRule="auto"/>
              <w:ind w:firstLine="0" w:firstLineChars="0"/>
              <w:jc w:val="center"/>
              <w:rPr>
                <w:rFonts w:cs="Times New Roman"/>
                <w:sz w:val="21"/>
                <w:szCs w:val="21"/>
              </w:rPr>
            </w:pPr>
            <w:r>
              <w:rPr>
                <w:rFonts w:cs="Times New Roman"/>
                <w:sz w:val="21"/>
                <w:szCs w:val="21"/>
              </w:rPr>
              <w:t>一般防渗区</w:t>
            </w:r>
          </w:p>
        </w:tc>
        <w:tc>
          <w:tcPr>
            <w:tcW w:w="2997" w:type="dxa"/>
            <w:vAlign w:val="center"/>
          </w:tcPr>
          <w:p w14:paraId="7D4A2979">
            <w:pPr>
              <w:wordWrap/>
              <w:topLinePunct w:val="0"/>
              <w:adjustRightInd/>
              <w:snapToGrid/>
              <w:spacing w:line="240" w:lineRule="auto"/>
              <w:ind w:firstLine="0" w:firstLineChars="0"/>
              <w:jc w:val="center"/>
              <w:rPr>
                <w:rFonts w:cs="Times New Roman"/>
                <w:sz w:val="21"/>
                <w:szCs w:val="21"/>
              </w:rPr>
            </w:pPr>
            <w:r>
              <w:rPr>
                <w:rFonts w:cs="Times New Roman"/>
                <w:sz w:val="21"/>
                <w:szCs w:val="21"/>
              </w:rPr>
              <w:t>其他类型</w:t>
            </w:r>
          </w:p>
        </w:tc>
        <w:tc>
          <w:tcPr>
            <w:tcW w:w="3580" w:type="dxa"/>
            <w:vAlign w:val="center"/>
          </w:tcPr>
          <w:p w14:paraId="6C1B0F95">
            <w:pPr>
              <w:wordWrap/>
              <w:topLinePunct w:val="0"/>
              <w:adjustRightInd/>
              <w:snapToGrid/>
              <w:spacing w:line="240" w:lineRule="auto"/>
              <w:ind w:firstLine="0" w:firstLineChars="0"/>
              <w:jc w:val="center"/>
              <w:rPr>
                <w:rFonts w:cs="Times New Roman"/>
                <w:sz w:val="21"/>
                <w:szCs w:val="21"/>
              </w:rPr>
            </w:pPr>
            <w:r>
              <w:rPr>
                <w:rFonts w:cs="Times New Roman"/>
                <w:sz w:val="21"/>
                <w:szCs w:val="21"/>
              </w:rPr>
              <w:t>等效黏土防渗层</w:t>
            </w:r>
            <w:r>
              <w:rPr>
                <w:rFonts w:eastAsia="Times New Roman" w:cs="Times New Roman"/>
                <w:sz w:val="21"/>
                <w:szCs w:val="21"/>
              </w:rPr>
              <w:t>Mb≥1</w:t>
            </w:r>
            <w:r>
              <w:rPr>
                <w:rFonts w:cs="Times New Roman" w:eastAsiaTheme="minorEastAsia"/>
                <w:sz w:val="21"/>
                <w:szCs w:val="21"/>
              </w:rPr>
              <w:t>.</w:t>
            </w:r>
            <w:r>
              <w:rPr>
                <w:rFonts w:eastAsia="Times New Roman" w:cs="Times New Roman"/>
                <w:sz w:val="21"/>
                <w:szCs w:val="21"/>
              </w:rPr>
              <w:t>5m</w:t>
            </w:r>
            <w:r>
              <w:rPr>
                <w:rFonts w:cs="Times New Roman"/>
                <w:sz w:val="21"/>
                <w:szCs w:val="21"/>
              </w:rPr>
              <w:t>，渗透系数</w:t>
            </w:r>
            <w:r>
              <w:rPr>
                <w:rFonts w:eastAsia="Times New Roman" w:cs="Times New Roman"/>
                <w:sz w:val="21"/>
                <w:szCs w:val="21"/>
              </w:rPr>
              <w:t>K≤1.0×10</w:t>
            </w:r>
            <w:r>
              <w:rPr>
                <w:rFonts w:eastAsia="Times New Roman" w:cs="Times New Roman"/>
                <w:sz w:val="21"/>
                <w:szCs w:val="21"/>
                <w:vertAlign w:val="superscript"/>
              </w:rPr>
              <w:t>-7</w:t>
            </w:r>
            <w:r>
              <w:rPr>
                <w:rFonts w:eastAsia="Times New Roman" w:cs="Times New Roman"/>
                <w:sz w:val="21"/>
                <w:szCs w:val="21"/>
              </w:rPr>
              <w:t xml:space="preserve"> cm/s</w:t>
            </w:r>
          </w:p>
        </w:tc>
      </w:tr>
      <w:tr w14:paraId="63CF3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Align w:val="center"/>
          </w:tcPr>
          <w:p w14:paraId="3C4EC2BF">
            <w:pPr>
              <w:wordWrap/>
              <w:topLinePunct w:val="0"/>
              <w:adjustRightInd/>
              <w:snapToGrid/>
              <w:spacing w:line="240" w:lineRule="auto"/>
              <w:ind w:firstLine="0" w:firstLineChars="0"/>
              <w:jc w:val="center"/>
              <w:rPr>
                <w:rFonts w:cs="Times New Roman"/>
                <w:sz w:val="21"/>
                <w:szCs w:val="21"/>
              </w:rPr>
            </w:pPr>
            <w:r>
              <w:rPr>
                <w:rFonts w:cs="Times New Roman"/>
                <w:sz w:val="21"/>
                <w:szCs w:val="21"/>
              </w:rPr>
              <w:t>简单防渗区</w:t>
            </w:r>
          </w:p>
        </w:tc>
        <w:tc>
          <w:tcPr>
            <w:tcW w:w="2997" w:type="dxa"/>
            <w:vAlign w:val="center"/>
          </w:tcPr>
          <w:p w14:paraId="60518FAD">
            <w:pPr>
              <w:wordWrap/>
              <w:topLinePunct w:val="0"/>
              <w:adjustRightInd/>
              <w:snapToGrid/>
              <w:spacing w:line="240" w:lineRule="auto"/>
              <w:ind w:firstLine="0" w:firstLineChars="0"/>
              <w:jc w:val="center"/>
              <w:rPr>
                <w:rFonts w:cs="Times New Roman"/>
                <w:sz w:val="21"/>
                <w:szCs w:val="21"/>
              </w:rPr>
            </w:pPr>
            <w:r>
              <w:rPr>
                <w:rFonts w:cs="Times New Roman"/>
                <w:sz w:val="21"/>
                <w:szCs w:val="21"/>
              </w:rPr>
              <w:t>其他类型</w:t>
            </w:r>
          </w:p>
        </w:tc>
        <w:tc>
          <w:tcPr>
            <w:tcW w:w="3580" w:type="dxa"/>
            <w:vAlign w:val="center"/>
          </w:tcPr>
          <w:p w14:paraId="3B0A67BF">
            <w:pPr>
              <w:wordWrap/>
              <w:topLinePunct w:val="0"/>
              <w:adjustRightInd/>
              <w:snapToGrid/>
              <w:spacing w:line="240" w:lineRule="auto"/>
              <w:ind w:firstLine="0" w:firstLineChars="0"/>
              <w:jc w:val="center"/>
              <w:rPr>
                <w:rFonts w:cs="Times New Roman"/>
                <w:sz w:val="21"/>
                <w:szCs w:val="21"/>
              </w:rPr>
            </w:pPr>
            <w:r>
              <w:rPr>
                <w:rFonts w:cs="Times New Roman"/>
                <w:sz w:val="21"/>
                <w:szCs w:val="21"/>
              </w:rPr>
              <w:t>一般地面硬化</w:t>
            </w:r>
          </w:p>
        </w:tc>
      </w:tr>
    </w:tbl>
    <w:p w14:paraId="10C2A65A">
      <w:pPr>
        <w:pStyle w:val="9"/>
        <w:ind w:firstLine="562"/>
      </w:pPr>
      <w:bookmarkStart w:id="931" w:name="_Hlk89634450"/>
      <w:r>
        <w:t>表7.2-2 本项目地下水污染源分区防渗情况一览表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2996"/>
        <w:gridCol w:w="3578"/>
      </w:tblGrid>
      <w:tr w14:paraId="7D6E0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951" w:type="dxa"/>
            <w:vAlign w:val="center"/>
          </w:tcPr>
          <w:p w14:paraId="0BF6F280">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防渗分区</w:t>
            </w:r>
          </w:p>
        </w:tc>
        <w:tc>
          <w:tcPr>
            <w:tcW w:w="2997" w:type="dxa"/>
            <w:vAlign w:val="center"/>
          </w:tcPr>
          <w:p w14:paraId="095D1346">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污染防治区域</w:t>
            </w:r>
          </w:p>
        </w:tc>
        <w:tc>
          <w:tcPr>
            <w:tcW w:w="3580" w:type="dxa"/>
            <w:vAlign w:val="center"/>
          </w:tcPr>
          <w:p w14:paraId="03375307">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防渗技术要求</w:t>
            </w:r>
          </w:p>
        </w:tc>
      </w:tr>
      <w:tr w14:paraId="3085E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Align w:val="center"/>
          </w:tcPr>
          <w:p w14:paraId="1B96E1E6">
            <w:pPr>
              <w:wordWrap/>
              <w:topLinePunct w:val="0"/>
              <w:adjustRightInd/>
              <w:snapToGrid/>
              <w:spacing w:line="240" w:lineRule="auto"/>
              <w:ind w:firstLine="0" w:firstLineChars="0"/>
              <w:jc w:val="center"/>
              <w:rPr>
                <w:rFonts w:cs="Times New Roman"/>
                <w:sz w:val="21"/>
                <w:szCs w:val="21"/>
              </w:rPr>
            </w:pPr>
            <w:r>
              <w:rPr>
                <w:rFonts w:cs="Times New Roman"/>
                <w:sz w:val="21"/>
                <w:szCs w:val="21"/>
              </w:rPr>
              <w:t>一般防渗区</w:t>
            </w:r>
          </w:p>
        </w:tc>
        <w:tc>
          <w:tcPr>
            <w:tcW w:w="2997" w:type="dxa"/>
            <w:vAlign w:val="center"/>
          </w:tcPr>
          <w:p w14:paraId="055F1A4B">
            <w:pPr>
              <w:wordWrap/>
              <w:topLinePunct w:val="0"/>
              <w:adjustRightInd/>
              <w:snapToGrid/>
              <w:spacing w:line="240" w:lineRule="auto"/>
              <w:ind w:firstLine="0" w:firstLineChars="0"/>
              <w:jc w:val="center"/>
              <w:rPr>
                <w:rFonts w:cs="Times New Roman"/>
                <w:sz w:val="21"/>
                <w:szCs w:val="21"/>
              </w:rPr>
            </w:pPr>
            <w:r>
              <w:rPr>
                <w:rFonts w:cs="Times New Roman"/>
                <w:sz w:val="21"/>
                <w:szCs w:val="21"/>
              </w:rPr>
              <w:t>采卤泵房、卤水池、淡卤池</w:t>
            </w:r>
          </w:p>
        </w:tc>
        <w:tc>
          <w:tcPr>
            <w:tcW w:w="3580" w:type="dxa"/>
            <w:vAlign w:val="center"/>
          </w:tcPr>
          <w:p w14:paraId="20993A72">
            <w:pPr>
              <w:wordWrap/>
              <w:topLinePunct w:val="0"/>
              <w:adjustRightInd/>
              <w:snapToGrid/>
              <w:spacing w:line="240" w:lineRule="auto"/>
              <w:ind w:firstLine="0" w:firstLineChars="0"/>
              <w:jc w:val="center"/>
              <w:rPr>
                <w:rFonts w:cs="Times New Roman"/>
                <w:sz w:val="21"/>
                <w:szCs w:val="21"/>
              </w:rPr>
            </w:pPr>
            <w:r>
              <w:rPr>
                <w:rFonts w:cs="Times New Roman"/>
                <w:sz w:val="21"/>
                <w:szCs w:val="21"/>
              </w:rPr>
              <w:t>等效黏土防渗层</w:t>
            </w:r>
            <w:r>
              <w:rPr>
                <w:rFonts w:eastAsia="Times New Roman" w:cs="Times New Roman"/>
                <w:sz w:val="21"/>
                <w:szCs w:val="21"/>
              </w:rPr>
              <w:t>Mb≥1</w:t>
            </w:r>
            <w:r>
              <w:rPr>
                <w:rFonts w:cs="Times New Roman" w:eastAsiaTheme="minorEastAsia"/>
                <w:sz w:val="21"/>
                <w:szCs w:val="21"/>
              </w:rPr>
              <w:t>.</w:t>
            </w:r>
            <w:r>
              <w:rPr>
                <w:rFonts w:eastAsia="Times New Roman" w:cs="Times New Roman"/>
                <w:sz w:val="21"/>
                <w:szCs w:val="21"/>
              </w:rPr>
              <w:t>5m</w:t>
            </w:r>
            <w:r>
              <w:rPr>
                <w:rFonts w:cs="Times New Roman"/>
                <w:sz w:val="21"/>
                <w:szCs w:val="21"/>
              </w:rPr>
              <w:t>，渗透系数</w:t>
            </w:r>
            <w:r>
              <w:rPr>
                <w:rFonts w:eastAsia="Times New Roman" w:cs="Times New Roman"/>
                <w:sz w:val="21"/>
                <w:szCs w:val="21"/>
              </w:rPr>
              <w:t>K≤1.0×10</w:t>
            </w:r>
            <w:r>
              <w:rPr>
                <w:rFonts w:eastAsia="Times New Roman" w:cs="Times New Roman"/>
                <w:sz w:val="21"/>
                <w:szCs w:val="21"/>
                <w:vertAlign w:val="superscript"/>
              </w:rPr>
              <w:t>-7</w:t>
            </w:r>
            <w:r>
              <w:rPr>
                <w:rFonts w:eastAsia="Times New Roman" w:cs="Times New Roman"/>
                <w:sz w:val="21"/>
                <w:szCs w:val="21"/>
              </w:rPr>
              <w:t xml:space="preserve"> cm/s</w:t>
            </w:r>
          </w:p>
        </w:tc>
      </w:tr>
      <w:tr w14:paraId="1689A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vAlign w:val="center"/>
          </w:tcPr>
          <w:p w14:paraId="3C1B16FD">
            <w:pPr>
              <w:wordWrap/>
              <w:topLinePunct w:val="0"/>
              <w:adjustRightInd/>
              <w:snapToGrid/>
              <w:spacing w:line="240" w:lineRule="auto"/>
              <w:ind w:firstLine="0" w:firstLineChars="0"/>
              <w:jc w:val="center"/>
              <w:rPr>
                <w:rFonts w:cs="Times New Roman"/>
                <w:sz w:val="21"/>
                <w:szCs w:val="21"/>
              </w:rPr>
            </w:pPr>
            <w:r>
              <w:rPr>
                <w:rFonts w:cs="Times New Roman"/>
                <w:sz w:val="21"/>
                <w:szCs w:val="21"/>
              </w:rPr>
              <w:t>简单防渗区</w:t>
            </w:r>
          </w:p>
        </w:tc>
        <w:tc>
          <w:tcPr>
            <w:tcW w:w="2997" w:type="dxa"/>
            <w:vAlign w:val="center"/>
          </w:tcPr>
          <w:p w14:paraId="3CEA2BDB">
            <w:pPr>
              <w:wordWrap/>
              <w:topLinePunct w:val="0"/>
              <w:adjustRightInd/>
              <w:snapToGrid/>
              <w:spacing w:line="240" w:lineRule="auto"/>
              <w:ind w:firstLine="0" w:firstLineChars="0"/>
              <w:jc w:val="center"/>
              <w:rPr>
                <w:rFonts w:cs="Times New Roman"/>
                <w:sz w:val="21"/>
                <w:szCs w:val="21"/>
              </w:rPr>
            </w:pPr>
            <w:r>
              <w:rPr>
                <w:rFonts w:cs="Times New Roman"/>
                <w:sz w:val="21"/>
                <w:szCs w:val="21"/>
              </w:rPr>
              <w:t>道路、办公生活区域等</w:t>
            </w:r>
          </w:p>
        </w:tc>
        <w:tc>
          <w:tcPr>
            <w:tcW w:w="3580" w:type="dxa"/>
            <w:vAlign w:val="center"/>
          </w:tcPr>
          <w:p w14:paraId="7A819D54">
            <w:pPr>
              <w:wordWrap/>
              <w:topLinePunct w:val="0"/>
              <w:adjustRightInd/>
              <w:snapToGrid/>
              <w:spacing w:line="240" w:lineRule="auto"/>
              <w:ind w:firstLine="0" w:firstLineChars="0"/>
              <w:jc w:val="center"/>
              <w:rPr>
                <w:rFonts w:cs="Times New Roman"/>
                <w:sz w:val="21"/>
                <w:szCs w:val="21"/>
              </w:rPr>
            </w:pPr>
            <w:r>
              <w:rPr>
                <w:rFonts w:cs="Times New Roman"/>
                <w:sz w:val="21"/>
                <w:szCs w:val="21"/>
              </w:rPr>
              <w:t>一般地面硬化</w:t>
            </w:r>
          </w:p>
        </w:tc>
      </w:tr>
      <w:bookmarkEnd w:id="931"/>
    </w:tbl>
    <w:p w14:paraId="1945E25F">
      <w:pPr>
        <w:ind w:firstLine="519"/>
        <w:rPr>
          <w:rFonts w:cs="Times New Roman"/>
        </w:rPr>
      </w:pPr>
    </w:p>
    <w:p w14:paraId="3EA1BA32">
      <w:pPr>
        <w:pStyle w:val="2"/>
        <w:ind w:firstLine="519"/>
        <w:rPr>
          <w:rFonts w:cs="Times New Roman"/>
        </w:rPr>
      </w:pPr>
      <w:r>
        <w:rPr>
          <w:rFonts w:cs="Times New Roman"/>
        </w:rPr>
        <w:t>（3）跟踪监测</w:t>
      </w:r>
    </w:p>
    <w:p w14:paraId="04D181B9">
      <w:pPr>
        <w:pStyle w:val="3"/>
        <w:ind w:firstLine="519"/>
        <w:rPr>
          <w:rFonts w:cs="Times New Roman"/>
        </w:rPr>
      </w:pPr>
      <w:r>
        <w:rPr>
          <w:rFonts w:cs="Times New Roman"/>
        </w:rPr>
        <w:t>根据《环境影响评价技术导则地下水环境》(HJ610-2016）及《地下水环境监测技术规范》（HJ/T164-2004）等规定，本项目地下水污染跟踪监测情况见表7.2-3。</w:t>
      </w:r>
    </w:p>
    <w:p w14:paraId="584E1573">
      <w:pPr>
        <w:pStyle w:val="9"/>
        <w:ind w:firstLine="562"/>
      </w:pPr>
      <w:r>
        <w:t>表7.2-3 地下水水质跟踪监测计划表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2188"/>
        <w:gridCol w:w="1607"/>
        <w:gridCol w:w="1898"/>
        <w:gridCol w:w="1244"/>
      </w:tblGrid>
      <w:tr w14:paraId="4D106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pct"/>
            <w:vAlign w:val="center"/>
          </w:tcPr>
          <w:p w14:paraId="653EC5AA">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监测点位</w:t>
            </w:r>
          </w:p>
        </w:tc>
        <w:tc>
          <w:tcPr>
            <w:tcW w:w="1283" w:type="pct"/>
            <w:vAlign w:val="center"/>
          </w:tcPr>
          <w:p w14:paraId="33D0D652">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监测层位</w:t>
            </w:r>
          </w:p>
        </w:tc>
        <w:tc>
          <w:tcPr>
            <w:tcW w:w="942" w:type="pct"/>
            <w:vAlign w:val="center"/>
          </w:tcPr>
          <w:p w14:paraId="3A73CD60">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监测因子</w:t>
            </w:r>
          </w:p>
        </w:tc>
        <w:tc>
          <w:tcPr>
            <w:tcW w:w="1113" w:type="pct"/>
            <w:vAlign w:val="center"/>
          </w:tcPr>
          <w:p w14:paraId="53F2838D">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功能</w:t>
            </w:r>
          </w:p>
        </w:tc>
        <w:tc>
          <w:tcPr>
            <w:tcW w:w="730" w:type="pct"/>
            <w:vAlign w:val="center"/>
          </w:tcPr>
          <w:p w14:paraId="2EF12F6D">
            <w:pPr>
              <w:wordWrap/>
              <w:topLinePunct w:val="0"/>
              <w:adjustRightInd/>
              <w:snapToGrid/>
              <w:spacing w:line="240" w:lineRule="auto"/>
              <w:ind w:firstLine="0" w:firstLineChars="0"/>
              <w:jc w:val="center"/>
              <w:rPr>
                <w:rFonts w:eastAsia="Times New Roman" w:cs="Times New Roman"/>
                <w:sz w:val="21"/>
                <w:szCs w:val="21"/>
              </w:rPr>
            </w:pPr>
            <w:r>
              <w:rPr>
                <w:rFonts w:cs="Times New Roman"/>
                <w:sz w:val="21"/>
                <w:szCs w:val="21"/>
              </w:rPr>
              <w:t>监测频率</w:t>
            </w:r>
          </w:p>
        </w:tc>
      </w:tr>
      <w:tr w14:paraId="15F51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pct"/>
            <w:vAlign w:val="center"/>
          </w:tcPr>
          <w:p w14:paraId="6952A8E8">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矿区范围内</w:t>
            </w:r>
          </w:p>
        </w:tc>
        <w:tc>
          <w:tcPr>
            <w:tcW w:w="1283" w:type="pct"/>
            <w:vAlign w:val="center"/>
          </w:tcPr>
          <w:p w14:paraId="0337C272">
            <w:pPr>
              <w:wordWrap/>
              <w:topLinePunct w:val="0"/>
              <w:adjustRightInd/>
              <w:snapToGrid/>
              <w:spacing w:line="240" w:lineRule="auto"/>
              <w:ind w:firstLine="0" w:firstLineChars="0"/>
              <w:jc w:val="center"/>
              <w:rPr>
                <w:rFonts w:cs="Times New Roman"/>
                <w:sz w:val="21"/>
                <w:szCs w:val="21"/>
              </w:rPr>
            </w:pPr>
            <w:r>
              <w:rPr>
                <w:rFonts w:cs="Times New Roman"/>
                <w:sz w:val="21"/>
                <w:szCs w:val="21"/>
              </w:rPr>
              <w:t>第四系潜水含水层</w:t>
            </w:r>
          </w:p>
        </w:tc>
        <w:tc>
          <w:tcPr>
            <w:tcW w:w="942" w:type="pct"/>
            <w:vAlign w:val="center"/>
          </w:tcPr>
          <w:p w14:paraId="62CE165F">
            <w:pPr>
              <w:wordWrap/>
              <w:topLinePunct w:val="0"/>
              <w:adjustRightInd/>
              <w:snapToGrid/>
              <w:spacing w:line="240" w:lineRule="auto"/>
              <w:ind w:firstLine="0" w:firstLineChars="0"/>
              <w:jc w:val="center"/>
              <w:rPr>
                <w:rFonts w:cs="Times New Roman"/>
                <w:sz w:val="21"/>
                <w:szCs w:val="21"/>
              </w:rPr>
            </w:pPr>
            <w:r>
              <w:rPr>
                <w:rFonts w:hint="eastAsia" w:cs="Times New Roman"/>
                <w:sz w:val="21"/>
                <w:szCs w:val="21"/>
              </w:rPr>
              <w:t>C</w:t>
            </w:r>
            <w:r>
              <w:rPr>
                <w:rFonts w:cs="Times New Roman"/>
                <w:sz w:val="21"/>
                <w:szCs w:val="21"/>
              </w:rPr>
              <w:t>l</w:t>
            </w:r>
            <w:r>
              <w:rPr>
                <w:rFonts w:cs="Times New Roman"/>
                <w:sz w:val="21"/>
                <w:szCs w:val="21"/>
                <w:vertAlign w:val="superscript"/>
              </w:rPr>
              <w:t>-</w:t>
            </w:r>
          </w:p>
        </w:tc>
        <w:tc>
          <w:tcPr>
            <w:tcW w:w="1113" w:type="pct"/>
            <w:vAlign w:val="center"/>
          </w:tcPr>
          <w:p w14:paraId="2BB613E0">
            <w:pPr>
              <w:wordWrap/>
              <w:topLinePunct w:val="0"/>
              <w:adjustRightInd/>
              <w:snapToGrid/>
              <w:spacing w:line="240" w:lineRule="auto"/>
              <w:ind w:firstLine="0" w:firstLineChars="0"/>
              <w:jc w:val="center"/>
              <w:rPr>
                <w:rFonts w:cs="Times New Roman"/>
                <w:sz w:val="21"/>
                <w:szCs w:val="21"/>
              </w:rPr>
            </w:pPr>
            <w:r>
              <w:rPr>
                <w:rFonts w:cs="Times New Roman"/>
                <w:sz w:val="21"/>
                <w:szCs w:val="21"/>
              </w:rPr>
              <w:t>污染跟踪监测井</w:t>
            </w:r>
          </w:p>
        </w:tc>
        <w:tc>
          <w:tcPr>
            <w:tcW w:w="730" w:type="pct"/>
            <w:vAlign w:val="center"/>
          </w:tcPr>
          <w:p w14:paraId="6AAE9269">
            <w:pPr>
              <w:wordWrap/>
              <w:topLinePunct w:val="0"/>
              <w:adjustRightInd/>
              <w:snapToGrid/>
              <w:spacing w:line="240" w:lineRule="auto"/>
              <w:ind w:firstLine="0" w:firstLineChars="0"/>
              <w:jc w:val="center"/>
              <w:rPr>
                <w:rFonts w:cs="Times New Roman"/>
                <w:sz w:val="21"/>
                <w:szCs w:val="21"/>
              </w:rPr>
            </w:pPr>
            <w:r>
              <w:rPr>
                <w:rFonts w:cs="Times New Roman"/>
                <w:sz w:val="21"/>
                <w:szCs w:val="21"/>
              </w:rPr>
              <w:t>1次/年</w:t>
            </w:r>
          </w:p>
        </w:tc>
      </w:tr>
    </w:tbl>
    <w:p w14:paraId="2771703F">
      <w:pPr>
        <w:pStyle w:val="2"/>
        <w:ind w:firstLine="519"/>
        <w:rPr>
          <w:rFonts w:cs="Times New Roman"/>
        </w:rPr>
      </w:pPr>
      <w:r>
        <w:rPr>
          <w:rFonts w:cs="Times New Roman"/>
        </w:rPr>
        <w:t>本项目按照“源头控制、分区防渗、跟踪监测”三方面要求的地下水污染防治措施，本项目采取的地下水污染防治措施可行。</w:t>
      </w:r>
    </w:p>
    <w:p w14:paraId="239778A6">
      <w:pPr>
        <w:pStyle w:val="6"/>
        <w:spacing w:before="170" w:after="170"/>
        <w:rPr>
          <w:rFonts w:cs="Times New Roman"/>
        </w:rPr>
      </w:pPr>
      <w:bookmarkStart w:id="932" w:name="_Toc121420903"/>
      <w:r>
        <w:rPr>
          <w:rFonts w:cs="Times New Roman"/>
        </w:rPr>
        <w:t>7.3 服务期满环境防治措施分析</w:t>
      </w:r>
      <w:bookmarkEnd w:id="932"/>
    </w:p>
    <w:p w14:paraId="4CB6CCB6">
      <w:pPr>
        <w:tabs>
          <w:tab w:val="left" w:pos="1037"/>
        </w:tabs>
        <w:ind w:firstLine="483"/>
        <w:rPr>
          <w:rFonts w:cs="Times New Roman"/>
          <w:spacing w:val="-9"/>
        </w:rPr>
      </w:pPr>
      <w:r>
        <w:rPr>
          <w:rFonts w:cs="Times New Roman"/>
          <w:spacing w:val="-9"/>
        </w:rPr>
        <w:t xml:space="preserve">（1）封堵注入水泥在套管内进行封堵。 </w:t>
      </w:r>
    </w:p>
    <w:p w14:paraId="317B263A">
      <w:pPr>
        <w:tabs>
          <w:tab w:val="left" w:pos="1037"/>
        </w:tabs>
        <w:ind w:firstLine="483"/>
        <w:rPr>
          <w:rFonts w:cs="Times New Roman"/>
          <w:spacing w:val="-9"/>
        </w:rPr>
      </w:pPr>
      <w:r>
        <w:rPr>
          <w:rFonts w:cs="Times New Roman"/>
          <w:spacing w:val="-9"/>
        </w:rPr>
        <w:t>（2）按照《地质环境保护与恢复治理（含土地复垦）方案》进行生态防治与恢复，及时回填，矿山采矿区土地临时复垦为草地后交付</w:t>
      </w:r>
      <w:r>
        <w:rPr>
          <w:rFonts w:hint="eastAsia" w:cs="Times New Roman"/>
          <w:spacing w:val="-9"/>
        </w:rPr>
        <w:t>松木经济开发区</w:t>
      </w:r>
      <w:r>
        <w:rPr>
          <w:rFonts w:cs="Times New Roman"/>
          <w:spacing w:val="-9"/>
        </w:rPr>
        <w:t xml:space="preserve">作为建设用地使用。 </w:t>
      </w:r>
    </w:p>
    <w:p w14:paraId="6F20C812">
      <w:pPr>
        <w:ind w:firstLine="519"/>
        <w:rPr>
          <w:rFonts w:cs="Times New Roman"/>
        </w:rPr>
      </w:pPr>
      <w:r>
        <w:rPr>
          <w:rFonts w:cs="Times New Roman"/>
        </w:rPr>
        <w:br w:type="page"/>
      </w:r>
    </w:p>
    <w:bookmarkEnd w:id="737"/>
    <w:p w14:paraId="038AB982">
      <w:pPr>
        <w:pStyle w:val="5"/>
        <w:spacing w:before="170" w:after="170"/>
        <w:rPr>
          <w:rFonts w:ascii="Times New Roman" w:hAnsi="Times New Roman"/>
        </w:rPr>
      </w:pPr>
      <w:bookmarkStart w:id="933" w:name="_Toc121420904"/>
      <w:bookmarkStart w:id="934" w:name="_Toc63257233"/>
      <w:r>
        <w:rPr>
          <w:rFonts w:ascii="Times New Roman" w:hAnsi="Times New Roman"/>
        </w:rPr>
        <w:t>第8章 环境影响经济损益分析</w:t>
      </w:r>
      <w:bookmarkEnd w:id="933"/>
    </w:p>
    <w:p w14:paraId="5D449CB6">
      <w:pPr>
        <w:pStyle w:val="6"/>
        <w:spacing w:before="170" w:after="170"/>
        <w:rPr>
          <w:rFonts w:cs="Times New Roman"/>
        </w:rPr>
      </w:pPr>
      <w:bookmarkStart w:id="935" w:name="_Toc121420905"/>
      <w:r>
        <w:rPr>
          <w:rFonts w:cs="Times New Roman"/>
        </w:rPr>
        <w:t>8.1 经济效益分析</w:t>
      </w:r>
      <w:bookmarkEnd w:id="935"/>
    </w:p>
    <w:p w14:paraId="20005533">
      <w:pPr>
        <w:ind w:firstLine="519"/>
        <w:rPr>
          <w:rFonts w:cs="Times New Roman"/>
        </w:rPr>
      </w:pPr>
      <w:r>
        <w:rPr>
          <w:rFonts w:cs="Times New Roman"/>
        </w:rPr>
        <w:t>本项目盐矿采集的卤水输送至建滔（衡阳）实业有限公司，为建滔(衡阳)实业有限公司离子膜烧碱项目提供原卤资源保障。</w:t>
      </w:r>
      <w:r>
        <w:rPr>
          <w:rFonts w:hint="eastAsia" w:cs="Times New Roman"/>
        </w:rPr>
        <w:t>参照《湖南省衡阳市石鼓区建滔岩盐矿资源开发利用方案》，按矿山生产规模1</w:t>
      </w:r>
      <w:r>
        <w:rPr>
          <w:rFonts w:cs="Times New Roman"/>
        </w:rPr>
        <w:t>50</w:t>
      </w:r>
      <w:r>
        <w:rPr>
          <w:rFonts w:hint="eastAsia" w:cs="Times New Roman"/>
        </w:rPr>
        <w:t>万t</w:t>
      </w:r>
      <w:r>
        <w:rPr>
          <w:rFonts w:cs="Times New Roman"/>
        </w:rPr>
        <w:t>/a</w:t>
      </w:r>
      <w:r>
        <w:rPr>
          <w:rFonts w:hint="eastAsia" w:cs="Times New Roman"/>
        </w:rPr>
        <w:t>（原矿）计算，每年将为国家上缴各种税费958.43万元，企业也将获得331.58万元的净利润。</w:t>
      </w:r>
      <w:r>
        <w:rPr>
          <w:rFonts w:cs="Times New Roman"/>
        </w:rPr>
        <w:t>本项目经济效益好，技术上合理，经济上可行。该项目不仅为国家创造财富，而且可以增加就业岗位，大大促进地方经济的发展，具有良好的社会效益和经济效益。</w:t>
      </w:r>
    </w:p>
    <w:p w14:paraId="0F7E196B">
      <w:pPr>
        <w:pStyle w:val="6"/>
        <w:spacing w:before="170" w:after="170"/>
        <w:rPr>
          <w:rFonts w:cs="Times New Roman"/>
        </w:rPr>
      </w:pPr>
      <w:bookmarkStart w:id="936" w:name="_Toc121420906"/>
      <w:r>
        <w:rPr>
          <w:rFonts w:cs="Times New Roman"/>
        </w:rPr>
        <w:t>8.2 社会效益分析</w:t>
      </w:r>
      <w:bookmarkEnd w:id="936"/>
    </w:p>
    <w:p w14:paraId="56238D76">
      <w:pPr>
        <w:ind w:firstLine="519"/>
        <w:rPr>
          <w:rFonts w:cs="Times New Roman"/>
        </w:rPr>
      </w:pPr>
      <w:r>
        <w:rPr>
          <w:rFonts w:cs="Times New Roman"/>
        </w:rPr>
        <w:t>本工程的社会效益主要体现在以下几个方面：</w:t>
      </w:r>
    </w:p>
    <w:p w14:paraId="0C279FA5">
      <w:pPr>
        <w:ind w:firstLine="519"/>
        <w:rPr>
          <w:rFonts w:cs="Times New Roman"/>
        </w:rPr>
      </w:pPr>
      <w:r>
        <w:rPr>
          <w:rFonts w:cs="Times New Roman"/>
        </w:rPr>
        <w:t>1、工程建设和实施过程中将投入大量的资金用于建设和生产，可以提高企业产品的市场竞争力，在市场竞争中为企业增强活力，将刺激当地的经济需求，带动当地和周边地区的经济发展，促进电力、服务等相关行业和基础设施的发展建设，加速当地的经济发展。</w:t>
      </w:r>
    </w:p>
    <w:p w14:paraId="0F8D1AB5">
      <w:pPr>
        <w:ind w:firstLine="519"/>
        <w:rPr>
          <w:rFonts w:cs="Times New Roman"/>
        </w:rPr>
      </w:pPr>
      <w:r>
        <w:rPr>
          <w:rFonts w:cs="Times New Roman"/>
        </w:rPr>
        <w:t>2、工程建设能为项目所在地区群众提供就业机会。剩余劳动力就地谋生，这既为当地居民降低了就业成本，对当地社会环境的稳定、促进当地经济的发展等起到一定的作用，也为政府减轻了就业压力和经济负担，还能促进本地区相关企业发展，同时增加国家和地方的财政收入，可为地方国民经济的发展做出一定贡献。因此，工程的建设具有良好的社会效益。</w:t>
      </w:r>
    </w:p>
    <w:p w14:paraId="35AD7C3C">
      <w:pPr>
        <w:pStyle w:val="6"/>
        <w:spacing w:before="170" w:after="170"/>
        <w:rPr>
          <w:rFonts w:cs="Times New Roman"/>
        </w:rPr>
      </w:pPr>
      <w:bookmarkStart w:id="937" w:name="_Toc121420907"/>
      <w:r>
        <w:rPr>
          <w:rFonts w:cs="Times New Roman"/>
        </w:rPr>
        <w:t>8.3 环境损益分析</w:t>
      </w:r>
      <w:bookmarkEnd w:id="937"/>
    </w:p>
    <w:p w14:paraId="2CB9B50A">
      <w:pPr>
        <w:pStyle w:val="7"/>
      </w:pPr>
      <w:bookmarkStart w:id="938" w:name="_Toc86852453"/>
      <w:bookmarkStart w:id="939" w:name="_Toc89786234"/>
      <w:bookmarkStart w:id="940" w:name="_Toc90318514"/>
      <w:bookmarkStart w:id="941" w:name="_Toc89882554"/>
      <w:bookmarkStart w:id="942" w:name="_Toc90989337"/>
      <w:bookmarkStart w:id="943" w:name="_Toc121420908"/>
      <w:bookmarkStart w:id="944" w:name="_Toc90997752"/>
      <w:r>
        <w:t>8.3.1 工程环保投资</w:t>
      </w:r>
      <w:bookmarkEnd w:id="938"/>
      <w:bookmarkEnd w:id="939"/>
      <w:bookmarkEnd w:id="940"/>
      <w:bookmarkEnd w:id="941"/>
      <w:bookmarkEnd w:id="942"/>
      <w:bookmarkEnd w:id="943"/>
      <w:bookmarkEnd w:id="944"/>
    </w:p>
    <w:p w14:paraId="6AB95A49">
      <w:pPr>
        <w:ind w:firstLine="519"/>
        <w:rPr>
          <w:rFonts w:cs="Times New Roman"/>
        </w:rPr>
      </w:pPr>
      <w:r>
        <w:rPr>
          <w:rFonts w:cs="Times New Roman"/>
        </w:rPr>
        <w:t>工程总投资800万元，其中环保投资估算总额为21万元，占总投资的2.6%，环保投资估算详见下表。由于盐矿总体生产规模不变，“三废”处理处置措施也维持现状不变，因此环保设施的运行费用维持现状不变，本项目的建设不会增加企业的生产成本。</w:t>
      </w:r>
    </w:p>
    <w:p w14:paraId="2C09DBF2">
      <w:pPr>
        <w:pStyle w:val="9"/>
      </w:pPr>
      <w:r>
        <w:t>表8.3-1 项目环保投资一览表</w:t>
      </w: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90"/>
        <w:gridCol w:w="1059"/>
        <w:gridCol w:w="1728"/>
        <w:gridCol w:w="3316"/>
        <w:gridCol w:w="1735"/>
      </w:tblGrid>
      <w:tr w14:paraId="3511F3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blHeader/>
        </w:trPr>
        <w:tc>
          <w:tcPr>
            <w:tcW w:w="405" w:type="pct"/>
            <w:vAlign w:val="center"/>
          </w:tcPr>
          <w:p w14:paraId="6CA30D3E">
            <w:pPr>
              <w:pStyle w:val="48"/>
            </w:pPr>
            <w:r>
              <w:t>序号</w:t>
            </w:r>
          </w:p>
        </w:tc>
        <w:tc>
          <w:tcPr>
            <w:tcW w:w="1634" w:type="pct"/>
            <w:gridSpan w:val="2"/>
            <w:vAlign w:val="center"/>
          </w:tcPr>
          <w:p w14:paraId="063BCA8A">
            <w:pPr>
              <w:pStyle w:val="48"/>
            </w:pPr>
            <w:r>
              <w:t>环保治理</w:t>
            </w:r>
          </w:p>
        </w:tc>
        <w:tc>
          <w:tcPr>
            <w:tcW w:w="1943" w:type="pct"/>
            <w:vAlign w:val="center"/>
          </w:tcPr>
          <w:p w14:paraId="1037E236">
            <w:pPr>
              <w:pStyle w:val="48"/>
            </w:pPr>
            <w:r>
              <w:t>环保措施</w:t>
            </w:r>
          </w:p>
        </w:tc>
        <w:tc>
          <w:tcPr>
            <w:tcW w:w="1018" w:type="pct"/>
            <w:vAlign w:val="center"/>
          </w:tcPr>
          <w:p w14:paraId="7FBFEDBB">
            <w:pPr>
              <w:pStyle w:val="48"/>
            </w:pPr>
            <w:r>
              <w:t>费用（万元）</w:t>
            </w:r>
          </w:p>
        </w:tc>
      </w:tr>
      <w:tr w14:paraId="739DFF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05" w:type="pct"/>
            <w:vMerge w:val="restart"/>
            <w:vAlign w:val="center"/>
          </w:tcPr>
          <w:p w14:paraId="4CCD0CDD">
            <w:pPr>
              <w:pStyle w:val="48"/>
            </w:pPr>
            <w:r>
              <w:t>1</w:t>
            </w:r>
          </w:p>
        </w:tc>
        <w:tc>
          <w:tcPr>
            <w:tcW w:w="621" w:type="pct"/>
            <w:vMerge w:val="restart"/>
            <w:tcBorders>
              <w:right w:val="single" w:color="000000" w:sz="2" w:space="0"/>
            </w:tcBorders>
            <w:vAlign w:val="center"/>
          </w:tcPr>
          <w:p w14:paraId="61A80FDE">
            <w:pPr>
              <w:pStyle w:val="48"/>
            </w:pPr>
            <w:r>
              <w:t>固废治理</w:t>
            </w:r>
          </w:p>
        </w:tc>
        <w:tc>
          <w:tcPr>
            <w:tcW w:w="1012" w:type="pct"/>
            <w:tcBorders>
              <w:left w:val="single" w:color="000000" w:sz="2" w:space="0"/>
            </w:tcBorders>
            <w:vAlign w:val="center"/>
          </w:tcPr>
          <w:p w14:paraId="0AE4EA55">
            <w:pPr>
              <w:pStyle w:val="48"/>
            </w:pPr>
            <w:r>
              <w:t>危险废物</w:t>
            </w:r>
          </w:p>
        </w:tc>
        <w:tc>
          <w:tcPr>
            <w:tcW w:w="1943" w:type="pct"/>
            <w:vAlign w:val="center"/>
          </w:tcPr>
          <w:p w14:paraId="499A25F9">
            <w:pPr>
              <w:pStyle w:val="48"/>
              <w:rPr>
                <w:kern w:val="0"/>
              </w:rPr>
            </w:pPr>
            <w:r>
              <w:rPr>
                <w:rFonts w:hint="eastAsia"/>
                <w:kern w:val="0"/>
              </w:rPr>
              <w:t>利用公司现有</w:t>
            </w:r>
            <w:r>
              <w:rPr>
                <w:kern w:val="0"/>
              </w:rPr>
              <w:t>危废暂存间暂存，后交由有资质的单位统一处理</w:t>
            </w:r>
          </w:p>
        </w:tc>
        <w:tc>
          <w:tcPr>
            <w:tcW w:w="1018" w:type="pct"/>
            <w:vMerge w:val="restart"/>
            <w:vAlign w:val="center"/>
          </w:tcPr>
          <w:p w14:paraId="5FF80A0E">
            <w:pPr>
              <w:pStyle w:val="48"/>
            </w:pPr>
            <w:r>
              <w:t>--</w:t>
            </w:r>
          </w:p>
        </w:tc>
      </w:tr>
      <w:tr w14:paraId="524327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05" w:type="pct"/>
            <w:vMerge w:val="continue"/>
            <w:vAlign w:val="center"/>
          </w:tcPr>
          <w:p w14:paraId="3164F962">
            <w:pPr>
              <w:pStyle w:val="48"/>
            </w:pPr>
          </w:p>
        </w:tc>
        <w:tc>
          <w:tcPr>
            <w:tcW w:w="621" w:type="pct"/>
            <w:vMerge w:val="continue"/>
            <w:tcBorders>
              <w:right w:val="single" w:color="000000" w:sz="2" w:space="0"/>
            </w:tcBorders>
            <w:vAlign w:val="center"/>
          </w:tcPr>
          <w:p w14:paraId="703982AC">
            <w:pPr>
              <w:pStyle w:val="48"/>
            </w:pPr>
          </w:p>
        </w:tc>
        <w:tc>
          <w:tcPr>
            <w:tcW w:w="1012" w:type="pct"/>
            <w:tcBorders>
              <w:left w:val="single" w:color="000000" w:sz="2" w:space="0"/>
            </w:tcBorders>
            <w:vAlign w:val="center"/>
          </w:tcPr>
          <w:p w14:paraId="6AAB5B54">
            <w:pPr>
              <w:pStyle w:val="48"/>
            </w:pPr>
            <w:r>
              <w:t>一般工业固废</w:t>
            </w:r>
          </w:p>
        </w:tc>
        <w:tc>
          <w:tcPr>
            <w:tcW w:w="1943" w:type="pct"/>
            <w:vAlign w:val="center"/>
          </w:tcPr>
          <w:p w14:paraId="23697703">
            <w:pPr>
              <w:pStyle w:val="48"/>
            </w:pPr>
            <w:r>
              <w:t>依托建滔（衡阳）实业有限公司处理处置</w:t>
            </w:r>
          </w:p>
        </w:tc>
        <w:tc>
          <w:tcPr>
            <w:tcW w:w="1018" w:type="pct"/>
            <w:vMerge w:val="continue"/>
            <w:vAlign w:val="center"/>
          </w:tcPr>
          <w:p w14:paraId="52696786">
            <w:pPr>
              <w:pStyle w:val="48"/>
            </w:pPr>
          </w:p>
        </w:tc>
      </w:tr>
      <w:tr w14:paraId="3EB076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05" w:type="pct"/>
            <w:vAlign w:val="center"/>
          </w:tcPr>
          <w:p w14:paraId="532EE68B">
            <w:pPr>
              <w:pStyle w:val="48"/>
            </w:pPr>
            <w:r>
              <w:t>2</w:t>
            </w:r>
          </w:p>
        </w:tc>
        <w:tc>
          <w:tcPr>
            <w:tcW w:w="1634" w:type="pct"/>
            <w:gridSpan w:val="2"/>
            <w:vAlign w:val="center"/>
          </w:tcPr>
          <w:p w14:paraId="188040AA">
            <w:pPr>
              <w:pStyle w:val="48"/>
            </w:pPr>
            <w:r>
              <w:t>环境风险应急措施</w:t>
            </w:r>
          </w:p>
        </w:tc>
        <w:tc>
          <w:tcPr>
            <w:tcW w:w="1943" w:type="pct"/>
            <w:vAlign w:val="center"/>
          </w:tcPr>
          <w:p w14:paraId="094015D6">
            <w:pPr>
              <w:pStyle w:val="48"/>
            </w:pPr>
            <w:r>
              <w:rPr>
                <w:rFonts w:hint="eastAsia"/>
              </w:rPr>
              <w:t>采卤场地面全部硬化，对采卤井及输卤管线设置压力及流量监测设施，设置</w:t>
            </w:r>
            <w:r>
              <w:t>地面沉降观测和水文地质观测等</w:t>
            </w:r>
          </w:p>
        </w:tc>
        <w:tc>
          <w:tcPr>
            <w:tcW w:w="1018" w:type="pct"/>
            <w:vAlign w:val="center"/>
          </w:tcPr>
          <w:p w14:paraId="5C0CC4B9">
            <w:pPr>
              <w:pStyle w:val="48"/>
            </w:pPr>
            <w:r>
              <w:t>19</w:t>
            </w:r>
          </w:p>
        </w:tc>
      </w:tr>
      <w:tr w14:paraId="21791C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05" w:type="pct"/>
            <w:vAlign w:val="center"/>
          </w:tcPr>
          <w:p w14:paraId="72C59929">
            <w:pPr>
              <w:pStyle w:val="48"/>
            </w:pPr>
            <w:r>
              <w:t>3</w:t>
            </w:r>
          </w:p>
        </w:tc>
        <w:tc>
          <w:tcPr>
            <w:tcW w:w="1634" w:type="pct"/>
            <w:gridSpan w:val="2"/>
            <w:vAlign w:val="center"/>
          </w:tcPr>
          <w:p w14:paraId="2C16D676">
            <w:pPr>
              <w:pStyle w:val="48"/>
            </w:pPr>
            <w:r>
              <w:rPr>
                <w:rFonts w:eastAsiaTheme="majorEastAsia"/>
              </w:rPr>
              <w:t>地下水</w:t>
            </w:r>
          </w:p>
        </w:tc>
        <w:tc>
          <w:tcPr>
            <w:tcW w:w="1943" w:type="pct"/>
            <w:vAlign w:val="center"/>
          </w:tcPr>
          <w:p w14:paraId="44141B76">
            <w:pPr>
              <w:pStyle w:val="48"/>
            </w:pPr>
            <w:r>
              <w:t>按照环评要求分区防治，设置地下水</w:t>
            </w:r>
            <w:r>
              <w:rPr>
                <w:rFonts w:hint="eastAsia"/>
              </w:rPr>
              <w:t>水位、水质</w:t>
            </w:r>
            <w:r>
              <w:t>跟踪监测</w:t>
            </w:r>
          </w:p>
        </w:tc>
        <w:tc>
          <w:tcPr>
            <w:tcW w:w="1018" w:type="pct"/>
            <w:vAlign w:val="center"/>
          </w:tcPr>
          <w:p w14:paraId="5C22D770">
            <w:pPr>
              <w:pStyle w:val="48"/>
            </w:pPr>
            <w:r>
              <w:t>2</w:t>
            </w:r>
          </w:p>
        </w:tc>
      </w:tr>
      <w:tr w14:paraId="219F73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82" w:type="pct"/>
            <w:gridSpan w:val="4"/>
            <w:vAlign w:val="center"/>
          </w:tcPr>
          <w:p w14:paraId="6AD8B561">
            <w:pPr>
              <w:pStyle w:val="48"/>
            </w:pPr>
            <w:r>
              <w:t>合计</w:t>
            </w:r>
          </w:p>
        </w:tc>
        <w:tc>
          <w:tcPr>
            <w:tcW w:w="1018" w:type="pct"/>
            <w:vAlign w:val="center"/>
          </w:tcPr>
          <w:p w14:paraId="1FCEB1B3">
            <w:pPr>
              <w:pStyle w:val="48"/>
            </w:pPr>
            <w:r>
              <w:t>21</w:t>
            </w:r>
          </w:p>
        </w:tc>
      </w:tr>
    </w:tbl>
    <w:p w14:paraId="79D61D12">
      <w:pPr>
        <w:pStyle w:val="7"/>
      </w:pPr>
      <w:bookmarkStart w:id="945" w:name="_Toc89882555"/>
      <w:bookmarkStart w:id="946" w:name="_Toc90997753"/>
      <w:bookmarkStart w:id="947" w:name="_Toc89786235"/>
      <w:bookmarkStart w:id="948" w:name="_Toc90989338"/>
      <w:bookmarkStart w:id="949" w:name="_Toc121420909"/>
      <w:bookmarkStart w:id="950" w:name="_Toc86852454"/>
      <w:bookmarkStart w:id="951" w:name="_Toc90318515"/>
      <w:r>
        <w:t>8.3.2 环境保护效益分析</w:t>
      </w:r>
      <w:bookmarkEnd w:id="945"/>
      <w:bookmarkEnd w:id="946"/>
      <w:bookmarkEnd w:id="947"/>
      <w:bookmarkEnd w:id="948"/>
      <w:bookmarkEnd w:id="949"/>
      <w:bookmarkEnd w:id="950"/>
      <w:bookmarkEnd w:id="951"/>
    </w:p>
    <w:p w14:paraId="1F271CF2">
      <w:pPr>
        <w:widowControl/>
        <w:ind w:firstLine="519"/>
        <w:jc w:val="left"/>
        <w:rPr>
          <w:rFonts w:cs="Times New Roman"/>
        </w:rPr>
      </w:pPr>
      <w:r>
        <w:rPr>
          <w:rFonts w:cs="Times New Roman"/>
        </w:rPr>
        <w:t>本项目采用水平对接井连通采卤工艺开采，属清洁的生产工艺，不新增</w:t>
      </w:r>
      <w:r>
        <w:rPr>
          <w:rFonts w:hint="eastAsia" w:cs="Times New Roman"/>
        </w:rPr>
        <w:t>占地</w:t>
      </w:r>
      <w:r>
        <w:rPr>
          <w:rFonts w:cs="Times New Roman"/>
        </w:rPr>
        <w:t>，生产过程无废水、废气和固废排放，运输采用管道输送。管道输送是一种安全、稳定、高效的运送方式，由于盐卤采用管道密闭输送，运输中不会对环境造成污染。</w:t>
      </w:r>
      <w:r>
        <w:rPr>
          <w:rFonts w:cs="Times New Roman"/>
        </w:rPr>
        <w:br w:type="page"/>
      </w:r>
    </w:p>
    <w:p w14:paraId="3DA6FA1F">
      <w:pPr>
        <w:pStyle w:val="5"/>
        <w:spacing w:before="170" w:after="170"/>
        <w:rPr>
          <w:rFonts w:ascii="Times New Roman" w:hAnsi="Times New Roman"/>
        </w:rPr>
      </w:pPr>
      <w:bookmarkStart w:id="952" w:name="_Toc121420910"/>
      <w:r>
        <w:rPr>
          <w:rFonts w:ascii="Times New Roman" w:hAnsi="Times New Roman"/>
        </w:rPr>
        <w:t>第9章 环境管理和监测计划</w:t>
      </w:r>
      <w:bookmarkEnd w:id="934"/>
      <w:bookmarkEnd w:id="952"/>
    </w:p>
    <w:p w14:paraId="4A68AEA5">
      <w:pPr>
        <w:pStyle w:val="6"/>
        <w:spacing w:before="170" w:after="170"/>
        <w:rPr>
          <w:rFonts w:cs="Times New Roman"/>
        </w:rPr>
      </w:pPr>
      <w:bookmarkStart w:id="953" w:name="_Toc121420911"/>
      <w:bookmarkStart w:id="954" w:name="_Toc433180785"/>
      <w:bookmarkStart w:id="955" w:name="_Toc40596893"/>
      <w:bookmarkStart w:id="956" w:name="_Toc32410951"/>
      <w:bookmarkStart w:id="957" w:name="_Toc505697554"/>
      <w:r>
        <w:rPr>
          <w:rFonts w:cs="Times New Roman"/>
        </w:rPr>
        <w:t>9.1 环境管理</w:t>
      </w:r>
      <w:bookmarkEnd w:id="953"/>
      <w:bookmarkEnd w:id="954"/>
      <w:bookmarkEnd w:id="955"/>
      <w:bookmarkEnd w:id="956"/>
      <w:bookmarkEnd w:id="957"/>
    </w:p>
    <w:p w14:paraId="00D41F58">
      <w:pPr>
        <w:pStyle w:val="7"/>
      </w:pPr>
      <w:bookmarkStart w:id="958" w:name="_Toc121420912"/>
      <w:bookmarkStart w:id="959" w:name="_Toc89882558"/>
      <w:bookmarkStart w:id="960" w:name="_Toc90997756"/>
      <w:bookmarkStart w:id="961" w:name="_Toc86852457"/>
      <w:bookmarkStart w:id="962" w:name="_Toc90318518"/>
      <w:bookmarkStart w:id="963" w:name="_Toc89786238"/>
      <w:bookmarkStart w:id="964" w:name="_Toc90989341"/>
      <w:r>
        <w:t>9.1.1 企业环境管理的原则</w:t>
      </w:r>
      <w:bookmarkEnd w:id="958"/>
      <w:bookmarkEnd w:id="959"/>
      <w:bookmarkEnd w:id="960"/>
      <w:bookmarkEnd w:id="961"/>
      <w:bookmarkEnd w:id="962"/>
      <w:bookmarkEnd w:id="963"/>
      <w:bookmarkEnd w:id="964"/>
    </w:p>
    <w:p w14:paraId="18941513">
      <w:pPr>
        <w:ind w:firstLine="503"/>
        <w:rPr>
          <w:rFonts w:cs="Times New Roman"/>
          <w:spacing w:val="-4"/>
        </w:rPr>
      </w:pPr>
      <w:r>
        <w:rPr>
          <w:rFonts w:cs="Times New Roman"/>
          <w:spacing w:val="-4"/>
        </w:rPr>
        <w:t>企业应按照“谁开发、谁保护、谁破坏、谁治理、谁受益、谁补偿”的原则，将环境治理、土地复垦及植被恢复、地质环境保护和综合治理列入企业生产经营环节。</w:t>
      </w:r>
    </w:p>
    <w:p w14:paraId="4130BE34">
      <w:pPr>
        <w:ind w:firstLine="503"/>
        <w:rPr>
          <w:rFonts w:cs="Times New Roman"/>
          <w:spacing w:val="-4"/>
        </w:rPr>
      </w:pPr>
      <w:r>
        <w:rPr>
          <w:rFonts w:cs="Times New Roman"/>
          <w:spacing w:val="-4"/>
        </w:rPr>
        <w:t>企业环境保护工作坚持预防为主、防治结合、综合治理的原则；坚持推行清洁生产、实行生产全过程污染控制的原则；实行污染物达标排放和污染物总量控制的原则。严格落实环保“三同时制度。</w:t>
      </w:r>
    </w:p>
    <w:p w14:paraId="1E882007">
      <w:pPr>
        <w:pStyle w:val="7"/>
      </w:pPr>
      <w:bookmarkStart w:id="965" w:name="_Toc90997757"/>
      <w:bookmarkStart w:id="966" w:name="_Toc89882559"/>
      <w:bookmarkStart w:id="967" w:name="_Toc90989342"/>
      <w:bookmarkStart w:id="968" w:name="_Toc89786239"/>
      <w:bookmarkStart w:id="969" w:name="_Toc86852458"/>
      <w:bookmarkStart w:id="970" w:name="_Toc121420913"/>
      <w:bookmarkStart w:id="971" w:name="_Toc90318519"/>
      <w:r>
        <w:t>9.1.2 项目环境管理内容</w:t>
      </w:r>
      <w:bookmarkEnd w:id="965"/>
      <w:bookmarkEnd w:id="966"/>
      <w:bookmarkEnd w:id="967"/>
      <w:bookmarkEnd w:id="968"/>
      <w:bookmarkEnd w:id="969"/>
      <w:bookmarkEnd w:id="970"/>
      <w:bookmarkEnd w:id="971"/>
    </w:p>
    <w:p w14:paraId="30A0BCE2">
      <w:pPr>
        <w:ind w:firstLine="503"/>
        <w:rPr>
          <w:rFonts w:cs="Times New Roman"/>
          <w:spacing w:val="-4"/>
        </w:rPr>
      </w:pPr>
      <w:r>
        <w:rPr>
          <w:rFonts w:cs="Times New Roman"/>
          <w:spacing w:val="-4"/>
        </w:rPr>
        <w:t>根据《中华人民共和国环境保护法》，建设单位必须把环境保护工作纳入计划，建立环境保护责任制度，采取有效措施，防治生产建设或其它活动中产生的污染危害及对生态环境的破坏。</w:t>
      </w:r>
    </w:p>
    <w:p w14:paraId="05DB2BB9">
      <w:pPr>
        <w:ind w:firstLine="503"/>
        <w:rPr>
          <w:rFonts w:cs="Times New Roman"/>
          <w:spacing w:val="-4"/>
        </w:rPr>
      </w:pPr>
      <w:r>
        <w:rPr>
          <w:rFonts w:cs="Times New Roman"/>
          <w:spacing w:val="-4"/>
        </w:rPr>
        <w:t>本项目工程在施工期及营运期间均将对周围环境产生一定影响，必须采取环境保护措施和加强污染治理工作，以减轻或消除其不利影响。</w:t>
      </w:r>
    </w:p>
    <w:p w14:paraId="286B3151">
      <w:pPr>
        <w:ind w:firstLine="503"/>
        <w:rPr>
          <w:rFonts w:cs="Times New Roman"/>
          <w:spacing w:val="-4"/>
        </w:rPr>
      </w:pPr>
      <w:r>
        <w:rPr>
          <w:rFonts w:cs="Times New Roman"/>
          <w:spacing w:val="-4"/>
        </w:rPr>
        <w:t>根据国家有关环境监测的管理规定，运营期项目有必要建立相应的环境管理体系和监测计划，并在施工期和营运期实施环境的监控计划。据湖南浩美安全环保科技有限公司编制的《衡阳建滔化工有限公司岩盐矿安全现状评价报告》，衡阳建滔化工有限公司岩盐矿的安全管理由衡阳建滔化工有限公司统一管理，成立有专门的安环部，并设置有专职环境管理人员，负责本矿区的环境排污管理及对外的环保协调工作。</w:t>
      </w:r>
    </w:p>
    <w:p w14:paraId="23AF4826">
      <w:pPr>
        <w:ind w:firstLine="503"/>
        <w:rPr>
          <w:rFonts w:cs="Times New Roman"/>
          <w:spacing w:val="-4"/>
        </w:rPr>
      </w:pPr>
      <w:r>
        <w:rPr>
          <w:rFonts w:cs="Times New Roman"/>
          <w:spacing w:val="-4"/>
        </w:rPr>
        <w:t>管理机构负责的管理内容主要包括：本工程所在区域的环境保护工作进行全面监督及管理；对各种运行设备的正常工作进行监督管理，对项目所在区域的生态环境进行保护；对项目运行产生的污染物及处置情况进行监督、管理；对施工活动进行监督、管理，提出并指定恢复措施。</w:t>
      </w:r>
    </w:p>
    <w:p w14:paraId="218DA06D">
      <w:pPr>
        <w:pStyle w:val="7"/>
      </w:pPr>
      <w:bookmarkStart w:id="972" w:name="_Toc89786240"/>
      <w:bookmarkStart w:id="973" w:name="_Toc86852459"/>
      <w:bookmarkStart w:id="974" w:name="_Toc90318520"/>
      <w:bookmarkStart w:id="975" w:name="_Toc90997758"/>
      <w:bookmarkStart w:id="976" w:name="_Toc89882560"/>
      <w:bookmarkStart w:id="977" w:name="_Toc121420914"/>
      <w:bookmarkStart w:id="978" w:name="_Toc90989343"/>
      <w:r>
        <w:t>9.1.3 环境管理职能机构与职责</w:t>
      </w:r>
      <w:bookmarkEnd w:id="972"/>
      <w:bookmarkEnd w:id="973"/>
      <w:bookmarkEnd w:id="974"/>
      <w:bookmarkEnd w:id="975"/>
      <w:bookmarkEnd w:id="976"/>
      <w:bookmarkEnd w:id="977"/>
      <w:bookmarkEnd w:id="978"/>
    </w:p>
    <w:p w14:paraId="009FB808">
      <w:pPr>
        <w:ind w:firstLine="503"/>
        <w:rPr>
          <w:rFonts w:cs="Times New Roman"/>
          <w:spacing w:val="-4"/>
        </w:rPr>
      </w:pPr>
      <w:r>
        <w:rPr>
          <w:rFonts w:cs="Times New Roman"/>
          <w:spacing w:val="-4"/>
        </w:rPr>
        <w:t>为了对公司安全生产与环境保护进行有效管理和监督，成立安全环保部，安环部是公司环境保护工作的归口管理部门，负责对公司环境保护工作实施统一监督管理。</w:t>
      </w:r>
    </w:p>
    <w:p w14:paraId="1642AFFF">
      <w:pPr>
        <w:pStyle w:val="8"/>
        <w:ind w:firstLine="521"/>
        <w:rPr>
          <w:rFonts w:cs="Times New Roman"/>
        </w:rPr>
      </w:pPr>
      <w:r>
        <w:rPr>
          <w:rFonts w:cs="Times New Roman"/>
        </w:rPr>
        <w:t>9.1.3.1 生产安全环保部主要职责是：</w:t>
      </w:r>
    </w:p>
    <w:p w14:paraId="55276F69">
      <w:pPr>
        <w:ind w:firstLine="503"/>
        <w:rPr>
          <w:rFonts w:cs="Times New Roman"/>
          <w:spacing w:val="-4"/>
        </w:rPr>
      </w:pPr>
      <w:r>
        <w:rPr>
          <w:rFonts w:cs="Times New Roman"/>
          <w:spacing w:val="-4"/>
        </w:rPr>
        <w:t>一、贯彻国家及地方环境保护政策，相关法律、法规和标准；</w:t>
      </w:r>
    </w:p>
    <w:p w14:paraId="7F6C8EFE">
      <w:pPr>
        <w:ind w:firstLine="503"/>
        <w:rPr>
          <w:rFonts w:cs="Times New Roman"/>
          <w:spacing w:val="-4"/>
        </w:rPr>
      </w:pPr>
      <w:r>
        <w:rPr>
          <w:rFonts w:cs="Times New Roman"/>
          <w:spacing w:val="-4"/>
        </w:rPr>
        <w:t>二、制定各项安全环保制度、应急救援预案，直接负责公司的安全环保工作，并定期向安全环保管理委员会汇报公司的安全环保工作执行情况；</w:t>
      </w:r>
    </w:p>
    <w:p w14:paraId="458CE2E6">
      <w:pPr>
        <w:ind w:firstLine="503"/>
        <w:rPr>
          <w:rFonts w:cs="Times New Roman"/>
          <w:spacing w:val="-4"/>
        </w:rPr>
      </w:pPr>
      <w:r>
        <w:rPr>
          <w:rFonts w:cs="Times New Roman"/>
          <w:spacing w:val="-4"/>
        </w:rPr>
        <w:t>三、落实公司的安全环保和职业健康工作，检查督导公司各单位的职业健康工作；</w:t>
      </w:r>
    </w:p>
    <w:p w14:paraId="78A7CC76">
      <w:pPr>
        <w:ind w:firstLine="503"/>
        <w:rPr>
          <w:rFonts w:cs="Times New Roman"/>
          <w:spacing w:val="-4"/>
        </w:rPr>
      </w:pPr>
      <w:r>
        <w:rPr>
          <w:rFonts w:cs="Times New Roman"/>
          <w:spacing w:val="-4"/>
        </w:rPr>
        <w:t>四、监督新、改、扩建工程项目环境保护“三同时”的落实；负责组织新、改、扩建工程项目环评、试生产、环保验收等相关工作；</w:t>
      </w:r>
    </w:p>
    <w:p w14:paraId="0F8F2309">
      <w:pPr>
        <w:ind w:firstLine="503"/>
        <w:rPr>
          <w:rFonts w:cs="Times New Roman"/>
          <w:spacing w:val="-4"/>
        </w:rPr>
      </w:pPr>
      <w:r>
        <w:rPr>
          <w:rFonts w:cs="Times New Roman"/>
          <w:spacing w:val="-4"/>
        </w:rPr>
        <w:t>五、负责定期开展环保隐患排查工作，跟踪落实隐患整改；</w:t>
      </w:r>
    </w:p>
    <w:p w14:paraId="04266189">
      <w:pPr>
        <w:ind w:firstLine="503"/>
        <w:rPr>
          <w:rFonts w:cs="Times New Roman"/>
          <w:spacing w:val="-4"/>
        </w:rPr>
      </w:pPr>
      <w:r>
        <w:rPr>
          <w:rFonts w:cs="Times New Roman"/>
          <w:spacing w:val="-4"/>
        </w:rPr>
        <w:t>六、组织开展环境保护宣传和培训工作，监督检查各单位宣传和培训工作的开展情况；</w:t>
      </w:r>
    </w:p>
    <w:p w14:paraId="255F8016">
      <w:pPr>
        <w:ind w:firstLine="503"/>
        <w:rPr>
          <w:rFonts w:cs="Times New Roman"/>
          <w:spacing w:val="-4"/>
        </w:rPr>
      </w:pPr>
      <w:r>
        <w:rPr>
          <w:rFonts w:cs="Times New Roman"/>
          <w:spacing w:val="-4"/>
        </w:rPr>
        <w:t>七、负责公司污染物自行监测及信息公开工作；</w:t>
      </w:r>
    </w:p>
    <w:p w14:paraId="60883341">
      <w:pPr>
        <w:ind w:firstLine="503"/>
        <w:rPr>
          <w:rFonts w:cs="Times New Roman"/>
          <w:spacing w:val="-4"/>
        </w:rPr>
      </w:pPr>
      <w:r>
        <w:rPr>
          <w:rFonts w:cs="Times New Roman"/>
          <w:spacing w:val="-4"/>
        </w:rPr>
        <w:t>八、组织编制安全环保技术措施计划，并报经上级领导批准后组织有关部门实施。；</w:t>
      </w:r>
    </w:p>
    <w:p w14:paraId="3B0B28AA">
      <w:pPr>
        <w:ind w:firstLine="503"/>
        <w:rPr>
          <w:rFonts w:cs="Times New Roman"/>
          <w:spacing w:val="-4"/>
        </w:rPr>
      </w:pPr>
      <w:r>
        <w:rPr>
          <w:rFonts w:cs="Times New Roman"/>
          <w:spacing w:val="-4"/>
        </w:rPr>
        <w:t>九、组织对公司环境污染事故的调查、处理工作；</w:t>
      </w:r>
    </w:p>
    <w:p w14:paraId="3E87EA25">
      <w:pPr>
        <w:ind w:firstLine="503"/>
        <w:rPr>
          <w:rFonts w:cs="Times New Roman"/>
          <w:spacing w:val="-4"/>
        </w:rPr>
      </w:pPr>
      <w:r>
        <w:rPr>
          <w:rFonts w:cs="Times New Roman"/>
          <w:spacing w:val="-4"/>
        </w:rPr>
        <w:t>十、负责建立健全公司环境突发事件应急救援体系；</w:t>
      </w:r>
    </w:p>
    <w:p w14:paraId="0A158FD2">
      <w:pPr>
        <w:ind w:firstLine="503"/>
        <w:rPr>
          <w:rFonts w:cs="Times New Roman"/>
          <w:spacing w:val="-4"/>
        </w:rPr>
      </w:pPr>
      <w:r>
        <w:rPr>
          <w:rFonts w:cs="Times New Roman"/>
          <w:spacing w:val="-4"/>
        </w:rPr>
        <w:t>十一、负责清洁生产审核工作。</w:t>
      </w:r>
    </w:p>
    <w:p w14:paraId="25095BB9">
      <w:pPr>
        <w:ind w:firstLine="503"/>
        <w:rPr>
          <w:rFonts w:cs="Times New Roman"/>
          <w:spacing w:val="-4"/>
        </w:rPr>
      </w:pPr>
      <w:r>
        <w:rPr>
          <w:rFonts w:cs="Times New Roman"/>
          <w:spacing w:val="-4"/>
        </w:rPr>
        <w:t>十二、负责公司环境保护方面档案资料的建立及日常管理。</w:t>
      </w:r>
    </w:p>
    <w:p w14:paraId="539CB073">
      <w:pPr>
        <w:ind w:firstLine="503"/>
        <w:rPr>
          <w:rFonts w:cs="Times New Roman"/>
          <w:spacing w:val="-4"/>
        </w:rPr>
      </w:pPr>
      <w:r>
        <w:rPr>
          <w:rFonts w:cs="Times New Roman"/>
          <w:spacing w:val="-4"/>
        </w:rPr>
        <w:t>十三、负责监督、检查环保设施的运行管理及污染物（废水、废气、固体废物、噪声）排放情况。</w:t>
      </w:r>
    </w:p>
    <w:p w14:paraId="52FEEAFD">
      <w:pPr>
        <w:ind w:firstLine="503"/>
        <w:rPr>
          <w:rFonts w:cs="Times New Roman"/>
          <w:spacing w:val="-4"/>
        </w:rPr>
      </w:pPr>
      <w:r>
        <w:rPr>
          <w:rFonts w:cs="Times New Roman"/>
          <w:spacing w:val="-4"/>
        </w:rPr>
        <w:t>十四、负责污染物排放总量的符合性。</w:t>
      </w:r>
    </w:p>
    <w:p w14:paraId="57808E94">
      <w:pPr>
        <w:ind w:firstLine="503"/>
        <w:rPr>
          <w:rFonts w:cs="Times New Roman"/>
          <w:spacing w:val="-4"/>
        </w:rPr>
      </w:pPr>
      <w:r>
        <w:rPr>
          <w:rFonts w:cs="Times New Roman"/>
          <w:spacing w:val="-4"/>
        </w:rPr>
        <w:t>十五、负责一般固体废物和危险废物管理工作。</w:t>
      </w:r>
    </w:p>
    <w:p w14:paraId="48BC4C25">
      <w:pPr>
        <w:pStyle w:val="8"/>
        <w:ind w:firstLine="521"/>
        <w:rPr>
          <w:rFonts w:cs="Times New Roman"/>
        </w:rPr>
      </w:pPr>
      <w:r>
        <w:rPr>
          <w:rFonts w:cs="Times New Roman"/>
        </w:rPr>
        <w:t>9.1.3.2 档案管理</w:t>
      </w:r>
    </w:p>
    <w:p w14:paraId="31D50271">
      <w:pPr>
        <w:ind w:firstLine="503"/>
        <w:rPr>
          <w:rFonts w:cs="Times New Roman"/>
          <w:spacing w:val="-4"/>
        </w:rPr>
      </w:pPr>
      <w:r>
        <w:rPr>
          <w:rFonts w:cs="Times New Roman"/>
          <w:spacing w:val="-4"/>
        </w:rPr>
        <w:t>公司安环部负责项目的环境保护档案管理工作，环保档案实行专人管理责任到人。</w:t>
      </w:r>
    </w:p>
    <w:p w14:paraId="113040CE">
      <w:pPr>
        <w:ind w:firstLine="503"/>
        <w:rPr>
          <w:rFonts w:cs="Times New Roman"/>
          <w:spacing w:val="-4"/>
        </w:rPr>
      </w:pPr>
      <w:r>
        <w:rPr>
          <w:rFonts w:cs="Times New Roman"/>
          <w:spacing w:val="-4"/>
        </w:rPr>
        <w:t>企业的所有环保资料应分类别整理、分类存档、科学管理，便于统计、查阅。在环境保护档案管理中，应建立如下文件档案：</w:t>
      </w:r>
    </w:p>
    <w:p w14:paraId="52803353">
      <w:pPr>
        <w:ind w:firstLine="503"/>
        <w:rPr>
          <w:rFonts w:cs="Times New Roman"/>
          <w:spacing w:val="-4"/>
        </w:rPr>
      </w:pPr>
      <w:r>
        <w:rPr>
          <w:rFonts w:cs="Times New Roman"/>
          <w:spacing w:val="-4"/>
        </w:rPr>
        <w:t>与本项目有关的法规、标准、规范和区域规划等；项目建设的有关环境保护的报告、设计方案及审查、审批文件；项目环保工程设施的设计、施工、安装的基础资料及验收资料；公司内部的环境保护管理制度、人员环保培训和考核记录；生态恢复工程、污染治理设施运行管理文件；环境监测记录技术文件；所有导致污染事件的分析报告和检测数据资料等。</w:t>
      </w:r>
    </w:p>
    <w:p w14:paraId="50FCD641">
      <w:pPr>
        <w:pStyle w:val="7"/>
      </w:pPr>
      <w:bookmarkStart w:id="979" w:name="_Toc90989344"/>
      <w:bookmarkStart w:id="980" w:name="_Toc86852460"/>
      <w:bookmarkStart w:id="981" w:name="_Toc89882561"/>
      <w:bookmarkStart w:id="982" w:name="_Toc90318521"/>
      <w:bookmarkStart w:id="983" w:name="_Toc121420915"/>
      <w:bookmarkStart w:id="984" w:name="_Toc89786241"/>
      <w:bookmarkStart w:id="985" w:name="_Toc90997759"/>
      <w:r>
        <w:t>9.1.4 施工期环境管理要求</w:t>
      </w:r>
      <w:bookmarkEnd w:id="979"/>
      <w:bookmarkEnd w:id="980"/>
      <w:bookmarkEnd w:id="981"/>
      <w:bookmarkEnd w:id="982"/>
      <w:bookmarkEnd w:id="983"/>
      <w:bookmarkEnd w:id="984"/>
      <w:bookmarkEnd w:id="985"/>
    </w:p>
    <w:p w14:paraId="22645617">
      <w:pPr>
        <w:ind w:firstLine="503"/>
        <w:rPr>
          <w:rFonts w:cs="Times New Roman"/>
          <w:spacing w:val="-4"/>
        </w:rPr>
      </w:pPr>
      <w:r>
        <w:rPr>
          <w:rFonts w:cs="Times New Roman"/>
          <w:spacing w:val="-4"/>
        </w:rPr>
        <w:t>（1）建设单位环境管理</w:t>
      </w:r>
    </w:p>
    <w:p w14:paraId="73DB5DA0">
      <w:pPr>
        <w:ind w:firstLine="503"/>
        <w:rPr>
          <w:rFonts w:cs="Times New Roman"/>
          <w:spacing w:val="-4"/>
        </w:rPr>
      </w:pPr>
      <w:r>
        <w:rPr>
          <w:rFonts w:cs="Times New Roman"/>
          <w:spacing w:val="-4"/>
        </w:rPr>
        <w:t>建设单位是落实建设项目环境保护责任的主体。建设单位在建设项目开工前和发生重大变动前，必须依法取得环境影响评价审批文件。建设项目实施过程中应严格落实经批准的环境影响评价文件及其批复文件提出的各项环境保护要求，确保环境保护设施正常运行。建设项目应当依法申领排污许可证，严格按照排污许可证规定的污染物排放种类、浓度、总量等排污。</w:t>
      </w:r>
    </w:p>
    <w:p w14:paraId="674D4198">
      <w:pPr>
        <w:ind w:firstLine="503"/>
        <w:rPr>
          <w:rFonts w:cs="Times New Roman"/>
          <w:spacing w:val="-4"/>
        </w:rPr>
      </w:pPr>
      <w:r>
        <w:rPr>
          <w:rFonts w:cs="Times New Roman"/>
          <w:spacing w:val="-4"/>
        </w:rPr>
        <w:t>建设单位应当主动向社会公开建设项目环境影响评价文件、污染防治设施建设运行情况、污染物排放情况、突发环境事件应急预案及应对情况等环境信息。</w:t>
      </w:r>
    </w:p>
    <w:p w14:paraId="3248D9C7">
      <w:pPr>
        <w:ind w:firstLine="503"/>
        <w:rPr>
          <w:rFonts w:cs="Times New Roman"/>
          <w:spacing w:val="-4"/>
        </w:rPr>
      </w:pPr>
      <w:r>
        <w:rPr>
          <w:rFonts w:cs="Times New Roman"/>
          <w:spacing w:val="-4"/>
        </w:rPr>
        <w:t>（2）施工单位环境管理</w:t>
      </w:r>
    </w:p>
    <w:p w14:paraId="1E2FE15A">
      <w:pPr>
        <w:ind w:firstLine="503"/>
        <w:rPr>
          <w:rFonts w:cs="Times New Roman"/>
          <w:spacing w:val="-4"/>
        </w:rPr>
      </w:pPr>
      <w:r>
        <w:rPr>
          <w:rFonts w:cs="Times New Roman"/>
          <w:spacing w:val="-4"/>
        </w:rPr>
        <w:t>设置由主要负责人及专业技术人员组成的环境管理机构，负责各个施工工序的环境管理工作，保证施工期环保设施的正常进行以及各项环保措施的落实。拟定施工期的环境保护计划，对施工期间设备安装产生的噪声采取有效的措施，并应对环境保护及管理资料进行收集、整理、存档。</w:t>
      </w:r>
    </w:p>
    <w:p w14:paraId="7E1C94A5">
      <w:pPr>
        <w:pStyle w:val="7"/>
      </w:pPr>
      <w:bookmarkStart w:id="986" w:name="_Toc90318522"/>
      <w:bookmarkStart w:id="987" w:name="_Toc90989345"/>
      <w:bookmarkStart w:id="988" w:name="_Toc90997760"/>
      <w:bookmarkStart w:id="989" w:name="_Toc89786242"/>
      <w:bookmarkStart w:id="990" w:name="_Toc86852461"/>
      <w:bookmarkStart w:id="991" w:name="_Toc89882562"/>
      <w:bookmarkStart w:id="992" w:name="_Toc121420916"/>
      <w:r>
        <w:t>9.1.5 营运期环境管理要求</w:t>
      </w:r>
      <w:bookmarkEnd w:id="986"/>
      <w:bookmarkEnd w:id="987"/>
      <w:bookmarkEnd w:id="988"/>
      <w:bookmarkEnd w:id="989"/>
      <w:bookmarkEnd w:id="990"/>
      <w:bookmarkEnd w:id="991"/>
      <w:bookmarkEnd w:id="992"/>
    </w:p>
    <w:p w14:paraId="64FDECA4">
      <w:pPr>
        <w:ind w:firstLine="503"/>
        <w:rPr>
          <w:rFonts w:cs="Times New Roman"/>
          <w:spacing w:val="-4"/>
        </w:rPr>
      </w:pPr>
      <w:r>
        <w:rPr>
          <w:rFonts w:cs="Times New Roman"/>
          <w:spacing w:val="-4"/>
        </w:rPr>
        <w:t>本项目建成投产后，其环境管理工作应纳入建设单位环境管理工作体系，并按新项目要求的原则，在搞好生产管理的同时，搞好环境管理。建立健全的环境管理制度负责对环保设施的操作维护保养和污染物排放情况进行监督检查，同时要做好记录，建立排污档案。主要职责如下：</w:t>
      </w:r>
    </w:p>
    <w:p w14:paraId="373BD01C">
      <w:pPr>
        <w:ind w:firstLine="503"/>
        <w:rPr>
          <w:rFonts w:cs="Times New Roman"/>
          <w:spacing w:val="-4"/>
        </w:rPr>
      </w:pPr>
      <w:r>
        <w:rPr>
          <w:rFonts w:cs="Times New Roman"/>
          <w:spacing w:val="-4"/>
        </w:rPr>
        <w:t>（1）应制定生产安全与监控运行体系、标准操作程序、安全操作规程和岗位责任制等有关规章制度，实施有效的目标责任管理，把污染物排放和污染事故等作为考核指标，落实到个人岗位，纳入奖惩制度。</w:t>
      </w:r>
    </w:p>
    <w:p w14:paraId="7F3D5D5B">
      <w:pPr>
        <w:ind w:firstLine="503"/>
        <w:rPr>
          <w:rFonts w:cs="Times New Roman"/>
          <w:spacing w:val="-4"/>
        </w:rPr>
      </w:pPr>
      <w:r>
        <w:rPr>
          <w:rFonts w:cs="Times New Roman"/>
          <w:spacing w:val="-4"/>
        </w:rPr>
        <w:t>（2）对各种可能发生的污染事故，制订应急措施，并储备各种应急措施所需物资，如备用发电机、水泵、抽水泵等。</w:t>
      </w:r>
    </w:p>
    <w:p w14:paraId="68FDC96F">
      <w:pPr>
        <w:ind w:firstLine="503"/>
        <w:rPr>
          <w:rFonts w:cs="Times New Roman"/>
          <w:spacing w:val="-4"/>
        </w:rPr>
      </w:pPr>
      <w:r>
        <w:rPr>
          <w:rFonts w:cs="Times New Roman"/>
          <w:spacing w:val="-4"/>
        </w:rPr>
        <w:t>（3）制定污染源和区域空气环境、水环境、土壤环境的监测计划，并负责组织实施，并建立相关档案和环保管理台帐，定期报地方环保主管部门备案、审核。</w:t>
      </w:r>
    </w:p>
    <w:p w14:paraId="3D1EC992">
      <w:pPr>
        <w:ind w:firstLine="503"/>
        <w:rPr>
          <w:rFonts w:cs="Times New Roman"/>
          <w:spacing w:val="-4"/>
        </w:rPr>
      </w:pPr>
      <w:r>
        <w:rPr>
          <w:rFonts w:cs="Times New Roman"/>
          <w:spacing w:val="-4"/>
        </w:rPr>
        <w:t>（4）建立环保设施的运行台帐，汇总全厂产排污情况。据此，提出环保设施运营管理计划及改进建议。同时，加强设施的运营管理，对处理设施实行巡查制度，同时建议投产初期地方环保局加强督察，发现问题，及时解决，使处理设施处于良好工作状态。</w:t>
      </w:r>
    </w:p>
    <w:p w14:paraId="521E9F26">
      <w:pPr>
        <w:ind w:firstLine="503"/>
        <w:rPr>
          <w:rFonts w:cs="Times New Roman"/>
          <w:spacing w:val="-4"/>
        </w:rPr>
      </w:pPr>
      <w:r>
        <w:rPr>
          <w:rFonts w:cs="Times New Roman"/>
          <w:spacing w:val="-4"/>
        </w:rPr>
        <w:t>（5）加强对主要岗位上岗人员环保意识和技能的培训，搞好全员环保教育和</w:t>
      </w:r>
    </w:p>
    <w:p w14:paraId="0DF18F56">
      <w:pPr>
        <w:ind w:firstLine="503"/>
        <w:rPr>
          <w:rFonts w:cs="Times New Roman"/>
          <w:spacing w:val="-4"/>
        </w:rPr>
      </w:pPr>
      <w:r>
        <w:rPr>
          <w:rFonts w:cs="Times New Roman"/>
          <w:spacing w:val="-4"/>
        </w:rPr>
        <w:t>（6）运行管理</w:t>
      </w:r>
    </w:p>
    <w:p w14:paraId="3ECA7409">
      <w:pPr>
        <w:ind w:firstLine="503"/>
        <w:rPr>
          <w:rFonts w:cs="Times New Roman"/>
          <w:spacing w:val="-4"/>
        </w:rPr>
      </w:pPr>
      <w:r>
        <w:rPr>
          <w:rFonts w:cs="Times New Roman"/>
          <w:spacing w:val="-4"/>
        </w:rPr>
        <w:t>运行期间，应设置建立运行情况记录制度，如实记载运行管理情况，包括</w:t>
      </w:r>
      <w:r>
        <w:rPr>
          <w:rFonts w:hint="eastAsia" w:cs="Times New Roman"/>
          <w:spacing w:val="-4"/>
        </w:rPr>
        <w:t>原</w:t>
      </w:r>
      <w:r>
        <w:rPr>
          <w:rFonts w:cs="Times New Roman"/>
          <w:spacing w:val="-4"/>
        </w:rPr>
        <w:t>卤、淡卤水接收情况、设施运行参数以及环境监测数据。运行情况记录簿应按照国家有关档案管理的法律法规进行整理和保管。</w:t>
      </w:r>
    </w:p>
    <w:p w14:paraId="66850828">
      <w:pPr>
        <w:pStyle w:val="7"/>
      </w:pPr>
      <w:bookmarkStart w:id="993" w:name="_Toc89786243"/>
      <w:bookmarkStart w:id="994" w:name="_Toc89882563"/>
      <w:bookmarkStart w:id="995" w:name="_Toc86852462"/>
      <w:bookmarkStart w:id="996" w:name="_Toc90318523"/>
      <w:bookmarkStart w:id="997" w:name="_Toc121420917"/>
      <w:bookmarkStart w:id="998" w:name="_Toc90989346"/>
      <w:bookmarkStart w:id="999" w:name="_Toc90997761"/>
      <w:r>
        <w:t>9.1.6 封场管理要求</w:t>
      </w:r>
      <w:bookmarkEnd w:id="993"/>
      <w:bookmarkEnd w:id="994"/>
      <w:bookmarkEnd w:id="995"/>
      <w:bookmarkEnd w:id="996"/>
      <w:bookmarkEnd w:id="997"/>
      <w:bookmarkEnd w:id="998"/>
      <w:bookmarkEnd w:id="999"/>
    </w:p>
    <w:p w14:paraId="086AD611">
      <w:pPr>
        <w:ind w:firstLine="519"/>
        <w:rPr>
          <w:rFonts w:cs="Times New Roman"/>
        </w:rPr>
      </w:pPr>
      <w:r>
        <w:rPr>
          <w:rFonts w:cs="Times New Roman"/>
        </w:rPr>
        <w:t>（1）当卤井服务期满或不再承担新的贮存、填埋任务时，应按照《地质环境保护与恢复治理（含土地复垦）方案》启动钻孔封堵作业，并采取相应的污染防治措施，防止造成环境污染和生态破坏。</w:t>
      </w:r>
    </w:p>
    <w:p w14:paraId="2A4DD56D">
      <w:pPr>
        <w:pStyle w:val="7"/>
      </w:pPr>
      <w:bookmarkStart w:id="1000" w:name="_Toc121420918"/>
      <w:bookmarkStart w:id="1001" w:name="_Toc90318524"/>
      <w:bookmarkStart w:id="1002" w:name="_Toc90997762"/>
      <w:bookmarkStart w:id="1003" w:name="_Toc86852463"/>
      <w:bookmarkStart w:id="1004" w:name="_Toc89786244"/>
      <w:bookmarkStart w:id="1005" w:name="_Toc89882564"/>
      <w:bookmarkStart w:id="1006" w:name="_Toc90989347"/>
      <w:r>
        <w:t>9.1.7 环境管理计划</w:t>
      </w:r>
      <w:bookmarkEnd w:id="1000"/>
      <w:bookmarkEnd w:id="1001"/>
      <w:bookmarkEnd w:id="1002"/>
      <w:bookmarkEnd w:id="1003"/>
      <w:bookmarkEnd w:id="1004"/>
      <w:bookmarkEnd w:id="1005"/>
      <w:bookmarkEnd w:id="1006"/>
    </w:p>
    <w:p w14:paraId="4632196C">
      <w:pPr>
        <w:ind w:firstLine="503"/>
        <w:rPr>
          <w:rFonts w:cs="Times New Roman"/>
          <w:spacing w:val="-4"/>
        </w:rPr>
      </w:pPr>
      <w:r>
        <w:rPr>
          <w:rFonts w:cs="Times New Roman"/>
          <w:spacing w:val="-4"/>
        </w:rPr>
        <w:t>本项目环境管理计划见下表所示。</w:t>
      </w:r>
    </w:p>
    <w:p w14:paraId="73DD0288">
      <w:pPr>
        <w:pStyle w:val="9"/>
      </w:pPr>
      <w:r>
        <w:t>表9.1-1  项目环境管理计划</w:t>
      </w:r>
    </w:p>
    <w:tbl>
      <w:tblPr>
        <w:tblStyle w:val="29"/>
        <w:tblW w:w="5000" w:type="pct"/>
        <w:tblInd w:w="0" w:type="dxa"/>
        <w:tblLayout w:type="fixed"/>
        <w:tblCellMar>
          <w:top w:w="0" w:type="dxa"/>
          <w:left w:w="108" w:type="dxa"/>
          <w:bottom w:w="0" w:type="dxa"/>
          <w:right w:w="108" w:type="dxa"/>
        </w:tblCellMar>
      </w:tblPr>
      <w:tblGrid>
        <w:gridCol w:w="818"/>
        <w:gridCol w:w="1702"/>
        <w:gridCol w:w="4818"/>
        <w:gridCol w:w="1190"/>
      </w:tblGrid>
      <w:tr w14:paraId="5860B5B2">
        <w:tblPrEx>
          <w:tblCellMar>
            <w:top w:w="0" w:type="dxa"/>
            <w:left w:w="108" w:type="dxa"/>
            <w:bottom w:w="0" w:type="dxa"/>
            <w:right w:w="108" w:type="dxa"/>
          </w:tblCellMar>
        </w:tblPrEx>
        <w:trPr>
          <w:trHeight w:val="624" w:hRule="atLeast"/>
          <w:tblHeader/>
        </w:trPr>
        <w:tc>
          <w:tcPr>
            <w:tcW w:w="479" w:type="pct"/>
            <w:tcBorders>
              <w:top w:val="single" w:color="auto" w:sz="12" w:space="0"/>
              <w:left w:val="single" w:color="auto" w:sz="12" w:space="0"/>
              <w:bottom w:val="single" w:color="auto" w:sz="4" w:space="0"/>
              <w:right w:val="single" w:color="auto" w:sz="4" w:space="0"/>
            </w:tcBorders>
            <w:shd w:val="clear" w:color="auto" w:fill="auto"/>
            <w:vAlign w:val="center"/>
          </w:tcPr>
          <w:p w14:paraId="584F2DCF">
            <w:pPr>
              <w:pStyle w:val="48"/>
            </w:pPr>
            <w:r>
              <w:t>阶段</w:t>
            </w:r>
          </w:p>
        </w:tc>
        <w:tc>
          <w:tcPr>
            <w:tcW w:w="998" w:type="pct"/>
            <w:tcBorders>
              <w:top w:val="single" w:color="auto" w:sz="12" w:space="0"/>
              <w:left w:val="nil"/>
              <w:bottom w:val="single" w:color="auto" w:sz="4" w:space="0"/>
              <w:right w:val="single" w:color="auto" w:sz="4" w:space="0"/>
            </w:tcBorders>
            <w:shd w:val="clear" w:color="auto" w:fill="auto"/>
            <w:vAlign w:val="center"/>
          </w:tcPr>
          <w:p w14:paraId="3310ADE4">
            <w:pPr>
              <w:pStyle w:val="48"/>
            </w:pPr>
            <w:r>
              <w:t>环境要素</w:t>
            </w:r>
          </w:p>
        </w:tc>
        <w:tc>
          <w:tcPr>
            <w:tcW w:w="2825" w:type="pct"/>
            <w:tcBorders>
              <w:top w:val="single" w:color="auto" w:sz="12" w:space="0"/>
              <w:left w:val="nil"/>
              <w:bottom w:val="single" w:color="auto" w:sz="4" w:space="0"/>
              <w:right w:val="single" w:color="auto" w:sz="4" w:space="0"/>
            </w:tcBorders>
            <w:shd w:val="clear" w:color="auto" w:fill="auto"/>
            <w:vAlign w:val="center"/>
          </w:tcPr>
          <w:p w14:paraId="324C6B14">
            <w:pPr>
              <w:pStyle w:val="48"/>
            </w:pPr>
            <w:r>
              <w:t>环境管理内容</w:t>
            </w:r>
          </w:p>
        </w:tc>
        <w:tc>
          <w:tcPr>
            <w:tcW w:w="698" w:type="pct"/>
            <w:tcBorders>
              <w:top w:val="single" w:color="auto" w:sz="12" w:space="0"/>
              <w:left w:val="nil"/>
              <w:bottom w:val="single" w:color="auto" w:sz="4" w:space="0"/>
              <w:right w:val="single" w:color="auto" w:sz="12" w:space="0"/>
            </w:tcBorders>
            <w:shd w:val="clear" w:color="auto" w:fill="auto"/>
            <w:vAlign w:val="center"/>
          </w:tcPr>
          <w:p w14:paraId="748A5F42">
            <w:pPr>
              <w:pStyle w:val="48"/>
            </w:pPr>
            <w:r>
              <w:t>责任单位</w:t>
            </w:r>
          </w:p>
        </w:tc>
      </w:tr>
      <w:tr w14:paraId="0E1725BF">
        <w:tblPrEx>
          <w:tblCellMar>
            <w:top w:w="0" w:type="dxa"/>
            <w:left w:w="108" w:type="dxa"/>
            <w:bottom w:w="0" w:type="dxa"/>
            <w:right w:w="108" w:type="dxa"/>
          </w:tblCellMar>
        </w:tblPrEx>
        <w:trPr>
          <w:trHeight w:val="624" w:hRule="atLeast"/>
        </w:trPr>
        <w:tc>
          <w:tcPr>
            <w:tcW w:w="479" w:type="pct"/>
            <w:vMerge w:val="restart"/>
            <w:tcBorders>
              <w:top w:val="nil"/>
              <w:left w:val="single" w:color="auto" w:sz="12" w:space="0"/>
              <w:right w:val="single" w:color="auto" w:sz="4" w:space="0"/>
            </w:tcBorders>
            <w:shd w:val="clear" w:color="auto" w:fill="auto"/>
            <w:vAlign w:val="center"/>
          </w:tcPr>
          <w:p w14:paraId="00286F2F">
            <w:pPr>
              <w:pStyle w:val="48"/>
            </w:pPr>
            <w:r>
              <w:t>施工期</w:t>
            </w:r>
          </w:p>
        </w:tc>
        <w:tc>
          <w:tcPr>
            <w:tcW w:w="998" w:type="pct"/>
            <w:tcBorders>
              <w:top w:val="nil"/>
              <w:left w:val="nil"/>
              <w:bottom w:val="single" w:color="auto" w:sz="4" w:space="0"/>
              <w:right w:val="single" w:color="auto" w:sz="4" w:space="0"/>
            </w:tcBorders>
            <w:shd w:val="clear" w:color="auto" w:fill="auto"/>
            <w:vAlign w:val="center"/>
          </w:tcPr>
          <w:p w14:paraId="1CA7DED9">
            <w:pPr>
              <w:pStyle w:val="48"/>
            </w:pPr>
            <w:r>
              <w:t>大气污染防治</w:t>
            </w:r>
          </w:p>
        </w:tc>
        <w:tc>
          <w:tcPr>
            <w:tcW w:w="2825" w:type="pct"/>
            <w:tcBorders>
              <w:top w:val="nil"/>
              <w:left w:val="nil"/>
              <w:bottom w:val="single" w:color="auto" w:sz="4" w:space="0"/>
              <w:right w:val="single" w:color="auto" w:sz="4" w:space="0"/>
            </w:tcBorders>
            <w:shd w:val="clear" w:color="auto" w:fill="auto"/>
            <w:vAlign w:val="center"/>
          </w:tcPr>
          <w:p w14:paraId="4EF8A65E">
            <w:pPr>
              <w:pStyle w:val="48"/>
            </w:pPr>
            <w:r>
              <w:t>采取合理的措施，包括洒水等，以降低施工期大气污染物的浓度。</w:t>
            </w:r>
          </w:p>
        </w:tc>
        <w:tc>
          <w:tcPr>
            <w:tcW w:w="698" w:type="pct"/>
            <w:vMerge w:val="restart"/>
            <w:tcBorders>
              <w:top w:val="nil"/>
              <w:left w:val="nil"/>
              <w:right w:val="single" w:color="auto" w:sz="12" w:space="0"/>
            </w:tcBorders>
            <w:shd w:val="clear" w:color="auto" w:fill="auto"/>
            <w:vAlign w:val="center"/>
          </w:tcPr>
          <w:p w14:paraId="2ED25406">
            <w:pPr>
              <w:pStyle w:val="48"/>
            </w:pPr>
            <w:r>
              <w:t>建设单位</w:t>
            </w:r>
          </w:p>
        </w:tc>
      </w:tr>
      <w:tr w14:paraId="307AB217">
        <w:tblPrEx>
          <w:tblCellMar>
            <w:top w:w="0" w:type="dxa"/>
            <w:left w:w="108" w:type="dxa"/>
            <w:bottom w:w="0" w:type="dxa"/>
            <w:right w:w="108" w:type="dxa"/>
          </w:tblCellMar>
        </w:tblPrEx>
        <w:trPr>
          <w:trHeight w:val="624" w:hRule="atLeast"/>
        </w:trPr>
        <w:tc>
          <w:tcPr>
            <w:tcW w:w="479" w:type="pct"/>
            <w:vMerge w:val="continue"/>
            <w:tcBorders>
              <w:left w:val="single" w:color="auto" w:sz="12" w:space="0"/>
              <w:right w:val="single" w:color="auto" w:sz="4" w:space="0"/>
            </w:tcBorders>
            <w:shd w:val="clear" w:color="auto" w:fill="auto"/>
            <w:vAlign w:val="center"/>
          </w:tcPr>
          <w:p w14:paraId="0BAC951D">
            <w:pPr>
              <w:pStyle w:val="48"/>
            </w:pPr>
          </w:p>
        </w:tc>
        <w:tc>
          <w:tcPr>
            <w:tcW w:w="998" w:type="pct"/>
            <w:tcBorders>
              <w:top w:val="nil"/>
              <w:left w:val="nil"/>
              <w:bottom w:val="single" w:color="auto" w:sz="4" w:space="0"/>
              <w:right w:val="single" w:color="auto" w:sz="4" w:space="0"/>
            </w:tcBorders>
            <w:shd w:val="clear" w:color="auto" w:fill="auto"/>
            <w:vAlign w:val="center"/>
          </w:tcPr>
          <w:p w14:paraId="038C9213">
            <w:pPr>
              <w:pStyle w:val="48"/>
            </w:pPr>
            <w:r>
              <w:t>水污染防治</w:t>
            </w:r>
          </w:p>
        </w:tc>
        <w:tc>
          <w:tcPr>
            <w:tcW w:w="2825" w:type="pct"/>
            <w:tcBorders>
              <w:top w:val="nil"/>
              <w:left w:val="nil"/>
              <w:bottom w:val="single" w:color="auto" w:sz="4" w:space="0"/>
              <w:right w:val="single" w:color="auto" w:sz="4" w:space="0"/>
            </w:tcBorders>
            <w:shd w:val="clear" w:color="auto" w:fill="auto"/>
            <w:noWrap/>
            <w:vAlign w:val="center"/>
          </w:tcPr>
          <w:p w14:paraId="1BCDEA57">
            <w:pPr>
              <w:pStyle w:val="48"/>
            </w:pPr>
            <w:r>
              <w:t>施工人员依托周边化粪池，施工废水经循环水池处理后回用。</w:t>
            </w:r>
          </w:p>
        </w:tc>
        <w:tc>
          <w:tcPr>
            <w:tcW w:w="698" w:type="pct"/>
            <w:vMerge w:val="continue"/>
            <w:tcBorders>
              <w:left w:val="nil"/>
              <w:right w:val="single" w:color="auto" w:sz="12" w:space="0"/>
            </w:tcBorders>
            <w:shd w:val="clear" w:color="auto" w:fill="auto"/>
            <w:noWrap/>
            <w:vAlign w:val="center"/>
          </w:tcPr>
          <w:p w14:paraId="684E1558">
            <w:pPr>
              <w:pStyle w:val="48"/>
            </w:pPr>
          </w:p>
        </w:tc>
      </w:tr>
      <w:tr w14:paraId="19B0E29E">
        <w:tblPrEx>
          <w:tblCellMar>
            <w:top w:w="0" w:type="dxa"/>
            <w:left w:w="108" w:type="dxa"/>
            <w:bottom w:w="0" w:type="dxa"/>
            <w:right w:w="108" w:type="dxa"/>
          </w:tblCellMar>
        </w:tblPrEx>
        <w:trPr>
          <w:trHeight w:val="624" w:hRule="atLeast"/>
        </w:trPr>
        <w:tc>
          <w:tcPr>
            <w:tcW w:w="479" w:type="pct"/>
            <w:vMerge w:val="continue"/>
            <w:tcBorders>
              <w:left w:val="single" w:color="auto" w:sz="12" w:space="0"/>
              <w:right w:val="single" w:color="auto" w:sz="4" w:space="0"/>
            </w:tcBorders>
            <w:shd w:val="clear" w:color="auto" w:fill="auto"/>
            <w:vAlign w:val="center"/>
          </w:tcPr>
          <w:p w14:paraId="0A87F095">
            <w:pPr>
              <w:pStyle w:val="48"/>
            </w:pPr>
          </w:p>
        </w:tc>
        <w:tc>
          <w:tcPr>
            <w:tcW w:w="998" w:type="pct"/>
            <w:tcBorders>
              <w:top w:val="nil"/>
              <w:left w:val="nil"/>
              <w:bottom w:val="single" w:color="auto" w:sz="4" w:space="0"/>
              <w:right w:val="single" w:color="auto" w:sz="4" w:space="0"/>
            </w:tcBorders>
            <w:shd w:val="clear" w:color="auto" w:fill="auto"/>
            <w:vAlign w:val="center"/>
          </w:tcPr>
          <w:p w14:paraId="1D8358B7">
            <w:pPr>
              <w:pStyle w:val="48"/>
            </w:pPr>
            <w:r>
              <w:t>噪声污染防治</w:t>
            </w:r>
          </w:p>
        </w:tc>
        <w:tc>
          <w:tcPr>
            <w:tcW w:w="2825" w:type="pct"/>
            <w:tcBorders>
              <w:top w:val="nil"/>
              <w:left w:val="nil"/>
              <w:bottom w:val="single" w:color="auto" w:sz="4" w:space="0"/>
              <w:right w:val="single" w:color="auto" w:sz="4" w:space="0"/>
            </w:tcBorders>
            <w:shd w:val="clear" w:color="auto" w:fill="auto"/>
            <w:noWrap/>
            <w:vAlign w:val="center"/>
          </w:tcPr>
          <w:p w14:paraId="20921FB7">
            <w:pPr>
              <w:pStyle w:val="48"/>
            </w:pPr>
            <w:r>
              <w:t>尽量选用低噪声施工机械，最大限度减少噪声对环境的影响。</w:t>
            </w:r>
          </w:p>
        </w:tc>
        <w:tc>
          <w:tcPr>
            <w:tcW w:w="698" w:type="pct"/>
            <w:vMerge w:val="continue"/>
            <w:tcBorders>
              <w:left w:val="nil"/>
              <w:right w:val="single" w:color="auto" w:sz="12" w:space="0"/>
            </w:tcBorders>
            <w:shd w:val="clear" w:color="auto" w:fill="auto"/>
            <w:noWrap/>
            <w:vAlign w:val="center"/>
          </w:tcPr>
          <w:p w14:paraId="279D1995">
            <w:pPr>
              <w:pStyle w:val="48"/>
            </w:pPr>
          </w:p>
        </w:tc>
      </w:tr>
      <w:tr w14:paraId="00762B4C">
        <w:tblPrEx>
          <w:tblCellMar>
            <w:top w:w="0" w:type="dxa"/>
            <w:left w:w="108" w:type="dxa"/>
            <w:bottom w:w="0" w:type="dxa"/>
            <w:right w:w="108" w:type="dxa"/>
          </w:tblCellMar>
        </w:tblPrEx>
        <w:trPr>
          <w:trHeight w:val="624" w:hRule="atLeast"/>
        </w:trPr>
        <w:tc>
          <w:tcPr>
            <w:tcW w:w="479" w:type="pct"/>
            <w:vMerge w:val="continue"/>
            <w:tcBorders>
              <w:left w:val="single" w:color="auto" w:sz="12" w:space="0"/>
              <w:bottom w:val="single" w:color="auto" w:sz="4" w:space="0"/>
              <w:right w:val="single" w:color="auto" w:sz="4" w:space="0"/>
            </w:tcBorders>
            <w:shd w:val="clear" w:color="auto" w:fill="auto"/>
            <w:vAlign w:val="center"/>
          </w:tcPr>
          <w:p w14:paraId="584F74D4">
            <w:pPr>
              <w:pStyle w:val="48"/>
            </w:pPr>
          </w:p>
        </w:tc>
        <w:tc>
          <w:tcPr>
            <w:tcW w:w="998" w:type="pct"/>
            <w:tcBorders>
              <w:top w:val="nil"/>
              <w:left w:val="nil"/>
              <w:bottom w:val="single" w:color="auto" w:sz="4" w:space="0"/>
              <w:right w:val="single" w:color="auto" w:sz="4" w:space="0"/>
            </w:tcBorders>
            <w:shd w:val="clear" w:color="auto" w:fill="auto"/>
            <w:vAlign w:val="center"/>
          </w:tcPr>
          <w:p w14:paraId="009B6418">
            <w:pPr>
              <w:pStyle w:val="48"/>
            </w:pPr>
            <w:r>
              <w:t>固废处置</w:t>
            </w:r>
          </w:p>
        </w:tc>
        <w:tc>
          <w:tcPr>
            <w:tcW w:w="2825" w:type="pct"/>
            <w:tcBorders>
              <w:top w:val="nil"/>
              <w:left w:val="nil"/>
              <w:bottom w:val="single" w:color="auto" w:sz="4" w:space="0"/>
              <w:right w:val="single" w:color="auto" w:sz="4" w:space="0"/>
            </w:tcBorders>
            <w:shd w:val="clear" w:color="auto" w:fill="auto"/>
            <w:noWrap/>
            <w:vAlign w:val="center"/>
          </w:tcPr>
          <w:p w14:paraId="7E7A4128">
            <w:pPr>
              <w:pStyle w:val="48"/>
            </w:pPr>
            <w:r>
              <w:t>钻井岩屑填垫井场，废泥浆固化后用于施工场地植被恢复，处置好施工期的生活垃圾，防止污染环境</w:t>
            </w:r>
          </w:p>
        </w:tc>
        <w:tc>
          <w:tcPr>
            <w:tcW w:w="698" w:type="pct"/>
            <w:vMerge w:val="continue"/>
            <w:tcBorders>
              <w:left w:val="nil"/>
              <w:bottom w:val="single" w:color="auto" w:sz="8" w:space="0"/>
              <w:right w:val="single" w:color="auto" w:sz="12" w:space="0"/>
            </w:tcBorders>
            <w:shd w:val="clear" w:color="auto" w:fill="auto"/>
            <w:noWrap/>
            <w:vAlign w:val="center"/>
          </w:tcPr>
          <w:p w14:paraId="15CCD042">
            <w:pPr>
              <w:pStyle w:val="48"/>
            </w:pPr>
          </w:p>
        </w:tc>
      </w:tr>
      <w:tr w14:paraId="38BD42BB">
        <w:tblPrEx>
          <w:tblCellMar>
            <w:top w:w="0" w:type="dxa"/>
            <w:left w:w="108" w:type="dxa"/>
            <w:bottom w:w="0" w:type="dxa"/>
            <w:right w:w="108" w:type="dxa"/>
          </w:tblCellMar>
        </w:tblPrEx>
        <w:trPr>
          <w:trHeight w:val="624" w:hRule="atLeast"/>
        </w:trPr>
        <w:tc>
          <w:tcPr>
            <w:tcW w:w="479" w:type="pct"/>
            <w:vMerge w:val="restart"/>
            <w:tcBorders>
              <w:top w:val="single" w:color="auto" w:sz="4" w:space="0"/>
              <w:left w:val="single" w:color="auto" w:sz="12" w:space="0"/>
              <w:bottom w:val="single" w:color="auto" w:sz="12" w:space="0"/>
              <w:right w:val="single" w:color="auto" w:sz="4" w:space="0"/>
            </w:tcBorders>
            <w:shd w:val="clear" w:color="auto" w:fill="auto"/>
            <w:vAlign w:val="center"/>
          </w:tcPr>
          <w:p w14:paraId="4C6755B1">
            <w:pPr>
              <w:pStyle w:val="48"/>
            </w:pPr>
            <w:r>
              <w:t>运营期</w:t>
            </w:r>
          </w:p>
        </w:tc>
        <w:tc>
          <w:tcPr>
            <w:tcW w:w="998" w:type="pct"/>
            <w:tcBorders>
              <w:top w:val="nil"/>
              <w:left w:val="nil"/>
              <w:bottom w:val="single" w:color="auto" w:sz="4" w:space="0"/>
              <w:right w:val="single" w:color="auto" w:sz="4" w:space="0"/>
            </w:tcBorders>
            <w:shd w:val="clear" w:color="auto" w:fill="auto"/>
            <w:vAlign w:val="center"/>
          </w:tcPr>
          <w:p w14:paraId="27A9FFB3">
            <w:pPr>
              <w:pStyle w:val="48"/>
            </w:pPr>
            <w:r>
              <w:t>噪声污染防治</w:t>
            </w:r>
          </w:p>
        </w:tc>
        <w:tc>
          <w:tcPr>
            <w:tcW w:w="2825" w:type="pct"/>
            <w:tcBorders>
              <w:top w:val="nil"/>
              <w:left w:val="nil"/>
              <w:bottom w:val="single" w:color="auto" w:sz="4" w:space="0"/>
              <w:right w:val="single" w:color="auto" w:sz="8" w:space="0"/>
            </w:tcBorders>
            <w:shd w:val="clear" w:color="auto" w:fill="auto"/>
            <w:vAlign w:val="center"/>
          </w:tcPr>
          <w:p w14:paraId="5F361112">
            <w:pPr>
              <w:pStyle w:val="48"/>
            </w:pPr>
            <w:r>
              <w:t>选用低噪声设备，做好减震、隔声措施，确保场界噪声达标。</w:t>
            </w:r>
          </w:p>
        </w:tc>
        <w:tc>
          <w:tcPr>
            <w:tcW w:w="698" w:type="pct"/>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31E7152">
            <w:pPr>
              <w:pStyle w:val="48"/>
            </w:pPr>
            <w:r>
              <w:t>建设单位</w:t>
            </w:r>
          </w:p>
        </w:tc>
      </w:tr>
      <w:tr w14:paraId="28ABF0ED">
        <w:tblPrEx>
          <w:tblCellMar>
            <w:top w:w="0" w:type="dxa"/>
            <w:left w:w="108" w:type="dxa"/>
            <w:bottom w:w="0" w:type="dxa"/>
            <w:right w:w="108" w:type="dxa"/>
          </w:tblCellMar>
        </w:tblPrEx>
        <w:trPr>
          <w:trHeight w:val="624" w:hRule="atLeast"/>
        </w:trPr>
        <w:tc>
          <w:tcPr>
            <w:tcW w:w="479" w:type="pct"/>
            <w:vMerge w:val="continue"/>
            <w:tcBorders>
              <w:left w:val="single" w:color="auto" w:sz="12" w:space="0"/>
              <w:bottom w:val="single" w:color="auto" w:sz="12" w:space="0"/>
              <w:right w:val="single" w:color="auto" w:sz="4" w:space="0"/>
            </w:tcBorders>
            <w:shd w:val="clear" w:color="auto" w:fill="auto"/>
            <w:vAlign w:val="center"/>
          </w:tcPr>
          <w:p w14:paraId="45CF65AC">
            <w:pPr>
              <w:pStyle w:val="48"/>
            </w:pPr>
          </w:p>
        </w:tc>
        <w:tc>
          <w:tcPr>
            <w:tcW w:w="998" w:type="pct"/>
            <w:tcBorders>
              <w:top w:val="nil"/>
              <w:left w:val="nil"/>
              <w:bottom w:val="single" w:color="auto" w:sz="4" w:space="0"/>
              <w:right w:val="single" w:color="auto" w:sz="4" w:space="0"/>
            </w:tcBorders>
            <w:shd w:val="clear" w:color="auto" w:fill="auto"/>
            <w:vAlign w:val="center"/>
          </w:tcPr>
          <w:p w14:paraId="24B41CA8">
            <w:pPr>
              <w:pStyle w:val="48"/>
            </w:pPr>
            <w:r>
              <w:t>固废处置</w:t>
            </w:r>
          </w:p>
        </w:tc>
        <w:tc>
          <w:tcPr>
            <w:tcW w:w="2825" w:type="pct"/>
            <w:tcBorders>
              <w:top w:val="nil"/>
              <w:left w:val="nil"/>
              <w:bottom w:val="single" w:color="auto" w:sz="4" w:space="0"/>
              <w:right w:val="single" w:color="auto" w:sz="8" w:space="0"/>
            </w:tcBorders>
            <w:shd w:val="clear" w:color="auto" w:fill="auto"/>
            <w:noWrap/>
            <w:vAlign w:val="center"/>
          </w:tcPr>
          <w:p w14:paraId="0CB9E7A8">
            <w:pPr>
              <w:pStyle w:val="48"/>
            </w:pPr>
            <w:r>
              <w:t>按环评要求处置一般固废及危险废物。</w:t>
            </w:r>
          </w:p>
        </w:tc>
        <w:tc>
          <w:tcPr>
            <w:tcW w:w="698" w:type="pct"/>
            <w:vMerge w:val="continue"/>
            <w:tcBorders>
              <w:top w:val="single" w:color="auto" w:sz="8" w:space="0"/>
              <w:left w:val="single" w:color="auto" w:sz="8" w:space="0"/>
              <w:bottom w:val="single" w:color="auto" w:sz="8" w:space="0"/>
              <w:right w:val="single" w:color="auto" w:sz="8" w:space="0"/>
            </w:tcBorders>
            <w:shd w:val="clear" w:color="auto" w:fill="auto"/>
            <w:noWrap/>
            <w:vAlign w:val="center"/>
          </w:tcPr>
          <w:p w14:paraId="47401A2E">
            <w:pPr>
              <w:pStyle w:val="48"/>
            </w:pPr>
          </w:p>
        </w:tc>
      </w:tr>
      <w:tr w14:paraId="56E375A0">
        <w:tblPrEx>
          <w:tblCellMar>
            <w:top w:w="0" w:type="dxa"/>
            <w:left w:w="108" w:type="dxa"/>
            <w:bottom w:w="0" w:type="dxa"/>
            <w:right w:w="108" w:type="dxa"/>
          </w:tblCellMar>
        </w:tblPrEx>
        <w:trPr>
          <w:trHeight w:val="624" w:hRule="atLeast"/>
        </w:trPr>
        <w:tc>
          <w:tcPr>
            <w:tcW w:w="479" w:type="pct"/>
            <w:vMerge w:val="continue"/>
            <w:tcBorders>
              <w:left w:val="single" w:color="auto" w:sz="12" w:space="0"/>
              <w:bottom w:val="single" w:color="auto" w:sz="12" w:space="0"/>
              <w:right w:val="single" w:color="auto" w:sz="4" w:space="0"/>
            </w:tcBorders>
            <w:shd w:val="clear" w:color="auto" w:fill="auto"/>
            <w:vAlign w:val="center"/>
          </w:tcPr>
          <w:p w14:paraId="46DB9720">
            <w:pPr>
              <w:pStyle w:val="48"/>
            </w:pPr>
          </w:p>
        </w:tc>
        <w:tc>
          <w:tcPr>
            <w:tcW w:w="998" w:type="pct"/>
            <w:tcBorders>
              <w:top w:val="nil"/>
              <w:left w:val="nil"/>
              <w:bottom w:val="single" w:color="auto" w:sz="4" w:space="0"/>
              <w:right w:val="single" w:color="auto" w:sz="4" w:space="0"/>
            </w:tcBorders>
            <w:shd w:val="clear" w:color="auto" w:fill="auto"/>
            <w:vAlign w:val="center"/>
          </w:tcPr>
          <w:p w14:paraId="4496B78D">
            <w:pPr>
              <w:pStyle w:val="48"/>
            </w:pPr>
            <w:r>
              <w:t>地下水</w:t>
            </w:r>
          </w:p>
        </w:tc>
        <w:tc>
          <w:tcPr>
            <w:tcW w:w="2825" w:type="pct"/>
            <w:tcBorders>
              <w:top w:val="nil"/>
              <w:left w:val="nil"/>
              <w:bottom w:val="single" w:color="auto" w:sz="4" w:space="0"/>
              <w:right w:val="single" w:color="auto" w:sz="8" w:space="0"/>
            </w:tcBorders>
            <w:shd w:val="clear" w:color="auto" w:fill="auto"/>
            <w:noWrap/>
            <w:vAlign w:val="center"/>
          </w:tcPr>
          <w:p w14:paraId="7C0A8C1C">
            <w:pPr>
              <w:pStyle w:val="48"/>
            </w:pPr>
            <w:r>
              <w:t>分区防渗及委托有资质单位跟踪监测</w:t>
            </w:r>
          </w:p>
        </w:tc>
        <w:tc>
          <w:tcPr>
            <w:tcW w:w="698" w:type="pct"/>
            <w:tcBorders>
              <w:top w:val="single" w:color="auto" w:sz="8" w:space="0"/>
              <w:left w:val="single" w:color="auto" w:sz="8" w:space="0"/>
              <w:bottom w:val="single" w:color="auto" w:sz="8" w:space="0"/>
              <w:right w:val="single" w:color="auto" w:sz="8" w:space="0"/>
            </w:tcBorders>
            <w:shd w:val="clear" w:color="auto" w:fill="auto"/>
            <w:noWrap/>
            <w:vAlign w:val="center"/>
          </w:tcPr>
          <w:p w14:paraId="4654A0B7">
            <w:pPr>
              <w:pStyle w:val="48"/>
            </w:pPr>
            <w:r>
              <w:t>建设单位</w:t>
            </w:r>
          </w:p>
        </w:tc>
      </w:tr>
      <w:tr w14:paraId="42FC0410">
        <w:tblPrEx>
          <w:tblCellMar>
            <w:top w:w="0" w:type="dxa"/>
            <w:left w:w="108" w:type="dxa"/>
            <w:bottom w:w="0" w:type="dxa"/>
            <w:right w:w="108" w:type="dxa"/>
          </w:tblCellMar>
        </w:tblPrEx>
        <w:trPr>
          <w:trHeight w:val="624" w:hRule="atLeast"/>
        </w:trPr>
        <w:tc>
          <w:tcPr>
            <w:tcW w:w="1477" w:type="pct"/>
            <w:gridSpan w:val="2"/>
            <w:tcBorders>
              <w:top w:val="nil"/>
              <w:left w:val="single" w:color="auto" w:sz="12" w:space="0"/>
              <w:bottom w:val="single" w:color="auto" w:sz="4" w:space="0"/>
              <w:right w:val="single" w:color="auto" w:sz="4" w:space="0"/>
            </w:tcBorders>
            <w:shd w:val="clear" w:color="auto" w:fill="auto"/>
            <w:vAlign w:val="center"/>
          </w:tcPr>
          <w:p w14:paraId="7177F280">
            <w:pPr>
              <w:pStyle w:val="48"/>
            </w:pPr>
            <w:r>
              <w:t>环境监测</w:t>
            </w:r>
          </w:p>
        </w:tc>
        <w:tc>
          <w:tcPr>
            <w:tcW w:w="2825" w:type="pct"/>
            <w:tcBorders>
              <w:top w:val="nil"/>
              <w:left w:val="nil"/>
              <w:bottom w:val="single" w:color="auto" w:sz="4" w:space="0"/>
              <w:right w:val="single" w:color="auto" w:sz="4" w:space="0"/>
            </w:tcBorders>
            <w:shd w:val="clear" w:color="auto" w:fill="auto"/>
            <w:vAlign w:val="center"/>
          </w:tcPr>
          <w:p w14:paraId="0C7C3CC6">
            <w:pPr>
              <w:pStyle w:val="48"/>
            </w:pPr>
            <w:r>
              <w:t>按照环境监测技术规范和国家环保局颁布的监测标准、方法执行</w:t>
            </w:r>
          </w:p>
        </w:tc>
        <w:tc>
          <w:tcPr>
            <w:tcW w:w="698" w:type="pct"/>
            <w:tcBorders>
              <w:top w:val="single" w:color="auto" w:sz="8" w:space="0"/>
              <w:left w:val="nil"/>
              <w:bottom w:val="single" w:color="auto" w:sz="4" w:space="0"/>
              <w:right w:val="single" w:color="auto" w:sz="12" w:space="0"/>
            </w:tcBorders>
            <w:shd w:val="clear" w:color="auto" w:fill="auto"/>
            <w:noWrap/>
            <w:vAlign w:val="center"/>
          </w:tcPr>
          <w:p w14:paraId="6B22DE67">
            <w:pPr>
              <w:pStyle w:val="48"/>
            </w:pPr>
            <w:r>
              <w:t>建设单位</w:t>
            </w:r>
          </w:p>
        </w:tc>
      </w:tr>
      <w:tr w14:paraId="5E962E53">
        <w:tblPrEx>
          <w:tblCellMar>
            <w:top w:w="0" w:type="dxa"/>
            <w:left w:w="108" w:type="dxa"/>
            <w:bottom w:w="0" w:type="dxa"/>
            <w:right w:w="108" w:type="dxa"/>
          </w:tblCellMar>
        </w:tblPrEx>
        <w:trPr>
          <w:trHeight w:val="624" w:hRule="atLeast"/>
        </w:trPr>
        <w:tc>
          <w:tcPr>
            <w:tcW w:w="1477" w:type="pct"/>
            <w:gridSpan w:val="2"/>
            <w:tcBorders>
              <w:top w:val="nil"/>
              <w:left w:val="single" w:color="auto" w:sz="12" w:space="0"/>
              <w:bottom w:val="single" w:color="auto" w:sz="4" w:space="0"/>
              <w:right w:val="single" w:color="auto" w:sz="4" w:space="0"/>
            </w:tcBorders>
            <w:shd w:val="clear" w:color="auto" w:fill="auto"/>
            <w:vAlign w:val="center"/>
          </w:tcPr>
          <w:p w14:paraId="6E7B09B0">
            <w:pPr>
              <w:pStyle w:val="48"/>
            </w:pPr>
            <w:r>
              <w:t>环境风险管理</w:t>
            </w:r>
          </w:p>
        </w:tc>
        <w:tc>
          <w:tcPr>
            <w:tcW w:w="2825" w:type="pct"/>
            <w:tcBorders>
              <w:top w:val="nil"/>
              <w:left w:val="nil"/>
              <w:bottom w:val="single" w:color="auto" w:sz="4" w:space="0"/>
              <w:right w:val="single" w:color="auto" w:sz="4" w:space="0"/>
            </w:tcBorders>
            <w:shd w:val="clear" w:color="auto" w:fill="auto"/>
            <w:vAlign w:val="center"/>
          </w:tcPr>
          <w:p w14:paraId="5E3771B1">
            <w:pPr>
              <w:pStyle w:val="48"/>
            </w:pPr>
            <w:r>
              <w:rPr>
                <w:rFonts w:hint="eastAsia" w:ascii="宋体" w:hAnsi="宋体" w:cs="宋体"/>
              </w:rPr>
              <w:t>①</w:t>
            </w:r>
            <w:r>
              <w:t>加强环保设施的管理，一旦发现不能正常运行应立即采取措施。</w:t>
            </w:r>
            <w:r>
              <w:rPr>
                <w:rFonts w:hint="eastAsia" w:ascii="宋体" w:hAnsi="宋体" w:cs="宋体"/>
              </w:rPr>
              <w:t>②</w:t>
            </w:r>
            <w:r>
              <w:t>加强职工培训，建全安全生产制度，防止生产事故发生，确保无污染事故发生；</w:t>
            </w:r>
            <w:r>
              <w:rPr>
                <w:rFonts w:hint="eastAsia" w:ascii="宋体" w:hAnsi="宋体" w:cs="宋体"/>
              </w:rPr>
              <w:t>③</w:t>
            </w:r>
            <w:r>
              <w:t>配备污染事故应急处理设备，制订相应处理措施，明确人员和操作规程，一旦发生污染事故能够迅速做出反应，及时上报并能采取有效控制。</w:t>
            </w:r>
          </w:p>
        </w:tc>
        <w:tc>
          <w:tcPr>
            <w:tcW w:w="698" w:type="pct"/>
            <w:tcBorders>
              <w:top w:val="nil"/>
              <w:left w:val="nil"/>
              <w:bottom w:val="single" w:color="auto" w:sz="4" w:space="0"/>
              <w:right w:val="single" w:color="auto" w:sz="12" w:space="0"/>
            </w:tcBorders>
            <w:shd w:val="clear" w:color="auto" w:fill="auto"/>
            <w:noWrap/>
            <w:vAlign w:val="center"/>
          </w:tcPr>
          <w:p w14:paraId="141D51DE">
            <w:pPr>
              <w:pStyle w:val="48"/>
            </w:pPr>
            <w:r>
              <w:t>建设单位</w:t>
            </w:r>
          </w:p>
        </w:tc>
      </w:tr>
      <w:tr w14:paraId="3E09A714">
        <w:tblPrEx>
          <w:tblCellMar>
            <w:top w:w="0" w:type="dxa"/>
            <w:left w:w="108" w:type="dxa"/>
            <w:bottom w:w="0" w:type="dxa"/>
            <w:right w:w="108" w:type="dxa"/>
          </w:tblCellMar>
        </w:tblPrEx>
        <w:trPr>
          <w:trHeight w:val="624" w:hRule="atLeast"/>
        </w:trPr>
        <w:tc>
          <w:tcPr>
            <w:tcW w:w="1477" w:type="pct"/>
            <w:gridSpan w:val="2"/>
            <w:tcBorders>
              <w:top w:val="nil"/>
              <w:left w:val="single" w:color="auto" w:sz="12" w:space="0"/>
              <w:bottom w:val="single" w:color="auto" w:sz="4" w:space="0"/>
              <w:right w:val="single" w:color="auto" w:sz="4" w:space="0"/>
            </w:tcBorders>
            <w:shd w:val="clear" w:color="auto" w:fill="auto"/>
            <w:vAlign w:val="center"/>
          </w:tcPr>
          <w:p w14:paraId="43E0968B">
            <w:pPr>
              <w:pStyle w:val="48"/>
            </w:pPr>
            <w:r>
              <w:t>其他</w:t>
            </w:r>
          </w:p>
        </w:tc>
        <w:tc>
          <w:tcPr>
            <w:tcW w:w="2825" w:type="pct"/>
            <w:tcBorders>
              <w:top w:val="nil"/>
              <w:left w:val="nil"/>
              <w:bottom w:val="single" w:color="auto" w:sz="4" w:space="0"/>
              <w:right w:val="single" w:color="auto" w:sz="4" w:space="0"/>
            </w:tcBorders>
            <w:shd w:val="clear" w:color="auto" w:fill="auto"/>
            <w:vAlign w:val="center"/>
          </w:tcPr>
          <w:p w14:paraId="3D002C12">
            <w:pPr>
              <w:pStyle w:val="48"/>
            </w:pPr>
            <w:r>
              <w:t>对项目产生的所有污染物产生情况、处置情况做好台账，备查工作</w:t>
            </w:r>
          </w:p>
        </w:tc>
        <w:tc>
          <w:tcPr>
            <w:tcW w:w="698" w:type="pct"/>
            <w:tcBorders>
              <w:top w:val="nil"/>
              <w:left w:val="nil"/>
              <w:bottom w:val="single" w:color="auto" w:sz="4" w:space="0"/>
              <w:right w:val="single" w:color="auto" w:sz="12" w:space="0"/>
            </w:tcBorders>
            <w:shd w:val="clear" w:color="auto" w:fill="auto"/>
            <w:noWrap/>
            <w:vAlign w:val="center"/>
          </w:tcPr>
          <w:p w14:paraId="53AAC4EC">
            <w:pPr>
              <w:pStyle w:val="48"/>
            </w:pPr>
            <w:r>
              <w:t>建设单位</w:t>
            </w:r>
          </w:p>
        </w:tc>
      </w:tr>
    </w:tbl>
    <w:p w14:paraId="105E9274">
      <w:pPr>
        <w:ind w:firstLine="519"/>
        <w:rPr>
          <w:rFonts w:cs="Times New Roman"/>
        </w:rPr>
        <w:sectPr>
          <w:footerReference r:id="rId14" w:type="default"/>
          <w:pgSz w:w="11906" w:h="16838"/>
          <w:pgMar w:top="1440" w:right="1797" w:bottom="1440" w:left="1797" w:header="851" w:footer="992" w:gutter="0"/>
          <w:cols w:space="425" w:num="1"/>
          <w:docGrid w:type="linesAndChars" w:linePitch="340" w:charSpace="4044"/>
        </w:sectPr>
      </w:pPr>
    </w:p>
    <w:p w14:paraId="5A0B0323">
      <w:pPr>
        <w:pStyle w:val="6"/>
        <w:spacing w:before="170" w:after="170"/>
        <w:rPr>
          <w:rFonts w:cs="Times New Roman"/>
        </w:rPr>
      </w:pPr>
      <w:bookmarkStart w:id="1007" w:name="_Toc121420919"/>
      <w:r>
        <w:rPr>
          <w:rFonts w:cs="Times New Roman"/>
        </w:rPr>
        <w:t>9.2 排污管理要求</w:t>
      </w:r>
      <w:bookmarkEnd w:id="1007"/>
    </w:p>
    <w:p w14:paraId="72D5A38F">
      <w:pPr>
        <w:pStyle w:val="7"/>
      </w:pPr>
      <w:bookmarkStart w:id="1008" w:name="_Toc121420920"/>
      <w:bookmarkStart w:id="1009" w:name="_Toc89786246"/>
      <w:bookmarkStart w:id="1010" w:name="_Toc86852465"/>
      <w:bookmarkStart w:id="1011" w:name="_Toc90997764"/>
      <w:bookmarkStart w:id="1012" w:name="_Toc90989349"/>
      <w:bookmarkStart w:id="1013" w:name="_Toc89882566"/>
      <w:bookmarkStart w:id="1014" w:name="_Toc90318526"/>
      <w:r>
        <w:t>9.2.1 污染物排放清单</w:t>
      </w:r>
      <w:bookmarkEnd w:id="1008"/>
      <w:bookmarkEnd w:id="1009"/>
      <w:bookmarkEnd w:id="1010"/>
      <w:bookmarkEnd w:id="1011"/>
      <w:bookmarkEnd w:id="1012"/>
      <w:bookmarkEnd w:id="1013"/>
      <w:bookmarkEnd w:id="1014"/>
    </w:p>
    <w:p w14:paraId="2054DFD8">
      <w:pPr>
        <w:ind w:firstLine="503"/>
        <w:rPr>
          <w:rFonts w:cs="Times New Roman"/>
          <w:spacing w:val="-4"/>
        </w:rPr>
      </w:pPr>
      <w:r>
        <w:rPr>
          <w:rFonts w:cs="Times New Roman"/>
          <w:spacing w:val="-4"/>
        </w:rPr>
        <w:t>项目污染物种类、排放浓度以及环境保护措施等情况详见下表所示。</w:t>
      </w:r>
    </w:p>
    <w:p w14:paraId="13A0A5B3">
      <w:pPr>
        <w:pStyle w:val="9"/>
      </w:pPr>
      <w:r>
        <w:t>表9.2-1  污染物排放情况以及处理措施</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451"/>
        <w:gridCol w:w="1732"/>
        <w:gridCol w:w="1296"/>
        <w:gridCol w:w="3855"/>
        <w:gridCol w:w="4564"/>
      </w:tblGrid>
      <w:tr w14:paraId="695BA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0" w:type="pct"/>
            <w:vAlign w:val="center"/>
          </w:tcPr>
          <w:p w14:paraId="72CBCA94">
            <w:pPr>
              <w:pStyle w:val="48"/>
            </w:pPr>
            <w:r>
              <w:t>污染物</w:t>
            </w:r>
          </w:p>
        </w:tc>
        <w:tc>
          <w:tcPr>
            <w:tcW w:w="512" w:type="pct"/>
            <w:vAlign w:val="center"/>
          </w:tcPr>
          <w:p w14:paraId="306511F9">
            <w:pPr>
              <w:pStyle w:val="48"/>
            </w:pPr>
            <w:r>
              <w:t>产污工序</w:t>
            </w:r>
          </w:p>
        </w:tc>
        <w:tc>
          <w:tcPr>
            <w:tcW w:w="611" w:type="pct"/>
            <w:vAlign w:val="center"/>
          </w:tcPr>
          <w:p w14:paraId="0454C3ED">
            <w:pPr>
              <w:pStyle w:val="48"/>
            </w:pPr>
            <w:r>
              <w:t>污染因子</w:t>
            </w:r>
          </w:p>
        </w:tc>
        <w:tc>
          <w:tcPr>
            <w:tcW w:w="457" w:type="pct"/>
            <w:vAlign w:val="center"/>
          </w:tcPr>
          <w:p w14:paraId="36FC99A9">
            <w:pPr>
              <w:pStyle w:val="48"/>
            </w:pPr>
            <w:r>
              <w:t>排放量</w:t>
            </w:r>
          </w:p>
        </w:tc>
        <w:tc>
          <w:tcPr>
            <w:tcW w:w="1360" w:type="pct"/>
            <w:vAlign w:val="center"/>
          </w:tcPr>
          <w:p w14:paraId="6571CA02">
            <w:pPr>
              <w:pStyle w:val="48"/>
            </w:pPr>
            <w:r>
              <w:t>处理措施</w:t>
            </w:r>
          </w:p>
        </w:tc>
        <w:tc>
          <w:tcPr>
            <w:tcW w:w="1610" w:type="pct"/>
            <w:vAlign w:val="center"/>
          </w:tcPr>
          <w:p w14:paraId="258273C4">
            <w:pPr>
              <w:pStyle w:val="48"/>
            </w:pPr>
            <w:r>
              <w:t>排放及控制标准</w:t>
            </w:r>
          </w:p>
        </w:tc>
      </w:tr>
      <w:tr w14:paraId="08AF2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0" w:type="pct"/>
            <w:vMerge w:val="restart"/>
            <w:vAlign w:val="center"/>
          </w:tcPr>
          <w:p w14:paraId="5241D856">
            <w:pPr>
              <w:pStyle w:val="48"/>
            </w:pPr>
            <w:r>
              <w:t>固废</w:t>
            </w:r>
          </w:p>
        </w:tc>
        <w:tc>
          <w:tcPr>
            <w:tcW w:w="512" w:type="pct"/>
            <w:vAlign w:val="center"/>
          </w:tcPr>
          <w:p w14:paraId="5E223D41">
            <w:pPr>
              <w:pStyle w:val="48"/>
            </w:pPr>
            <w:r>
              <w:rPr>
                <w:rFonts w:hint="eastAsia"/>
              </w:rPr>
              <w:t>原</w:t>
            </w:r>
            <w:r>
              <w:t>卤暂存</w:t>
            </w:r>
          </w:p>
        </w:tc>
        <w:tc>
          <w:tcPr>
            <w:tcW w:w="611" w:type="pct"/>
            <w:vAlign w:val="center"/>
          </w:tcPr>
          <w:p w14:paraId="1FABEF48">
            <w:pPr>
              <w:pStyle w:val="48"/>
            </w:pPr>
            <w:r>
              <w:t>卤水池残渣</w:t>
            </w:r>
          </w:p>
        </w:tc>
        <w:tc>
          <w:tcPr>
            <w:tcW w:w="457" w:type="pct"/>
            <w:vAlign w:val="center"/>
          </w:tcPr>
          <w:p w14:paraId="416069B6">
            <w:pPr>
              <w:pStyle w:val="48"/>
            </w:pPr>
            <w:r>
              <w:t>21.15m</w:t>
            </w:r>
            <w:r>
              <w:rPr>
                <w:vertAlign w:val="superscript"/>
              </w:rPr>
              <w:t>3</w:t>
            </w:r>
            <w:r>
              <w:t>/a</w:t>
            </w:r>
          </w:p>
        </w:tc>
        <w:tc>
          <w:tcPr>
            <w:tcW w:w="1360" w:type="pct"/>
            <w:vAlign w:val="center"/>
          </w:tcPr>
          <w:p w14:paraId="1252CC00">
            <w:pPr>
              <w:pStyle w:val="48"/>
            </w:pPr>
            <w:r>
              <w:t>依托建滔（衡阳）实业有限公司烧碱生产部盐泥压滤机压干处理后与烧碱生产部盐泥一并收集后外售</w:t>
            </w:r>
          </w:p>
        </w:tc>
        <w:tc>
          <w:tcPr>
            <w:tcW w:w="1610" w:type="pct"/>
            <w:vAlign w:val="center"/>
          </w:tcPr>
          <w:p w14:paraId="034E87CC">
            <w:pPr>
              <w:pStyle w:val="48"/>
            </w:pPr>
            <w:r>
              <w:t>《一般工业固体废物贮存和填埋污染控制标准》（GB18599-2020）</w:t>
            </w:r>
          </w:p>
        </w:tc>
      </w:tr>
      <w:tr w14:paraId="2FD68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0" w:type="pct"/>
            <w:vMerge w:val="continue"/>
            <w:vAlign w:val="center"/>
          </w:tcPr>
          <w:p w14:paraId="3CE9D095">
            <w:pPr>
              <w:pStyle w:val="48"/>
            </w:pPr>
          </w:p>
        </w:tc>
        <w:tc>
          <w:tcPr>
            <w:tcW w:w="512" w:type="pct"/>
            <w:vAlign w:val="center"/>
          </w:tcPr>
          <w:p w14:paraId="3C66BB8A">
            <w:pPr>
              <w:pStyle w:val="48"/>
            </w:pPr>
            <w:r>
              <w:t>设备维修</w:t>
            </w:r>
          </w:p>
        </w:tc>
        <w:tc>
          <w:tcPr>
            <w:tcW w:w="611" w:type="pct"/>
            <w:vAlign w:val="center"/>
          </w:tcPr>
          <w:p w14:paraId="687AAA0E">
            <w:pPr>
              <w:pStyle w:val="48"/>
            </w:pPr>
            <w:r>
              <w:t>废机油</w:t>
            </w:r>
          </w:p>
        </w:tc>
        <w:tc>
          <w:tcPr>
            <w:tcW w:w="457" w:type="pct"/>
            <w:vAlign w:val="center"/>
          </w:tcPr>
          <w:p w14:paraId="358AEEBB">
            <w:pPr>
              <w:pStyle w:val="48"/>
            </w:pPr>
            <w:r>
              <w:t>0.05 t/a</w:t>
            </w:r>
          </w:p>
        </w:tc>
        <w:tc>
          <w:tcPr>
            <w:tcW w:w="1360" w:type="pct"/>
            <w:vAlign w:val="center"/>
          </w:tcPr>
          <w:p w14:paraId="7FB6EE0B">
            <w:pPr>
              <w:pStyle w:val="48"/>
            </w:pPr>
            <w:r>
              <w:rPr>
                <w:rFonts w:hint="eastAsia"/>
              </w:rPr>
              <w:t>利用公司现有</w:t>
            </w:r>
            <w:r>
              <w:t>危废暂存间暂存后委托有资质单位处理</w:t>
            </w:r>
          </w:p>
        </w:tc>
        <w:tc>
          <w:tcPr>
            <w:tcW w:w="1610" w:type="pct"/>
            <w:vAlign w:val="center"/>
          </w:tcPr>
          <w:p w14:paraId="789BDABE">
            <w:pPr>
              <w:pStyle w:val="48"/>
            </w:pPr>
            <w:r>
              <w:t>《危险废物贮存污染控制标准》</w:t>
            </w:r>
          </w:p>
          <w:p w14:paraId="47E51011">
            <w:pPr>
              <w:pStyle w:val="48"/>
            </w:pPr>
            <w:r>
              <w:t>（GB18597-2001）</w:t>
            </w:r>
            <w:r>
              <w:rPr>
                <w:rFonts w:hint="eastAsia"/>
              </w:rPr>
              <w:t>及2013年修订</w:t>
            </w:r>
            <w:r>
              <w:t>要求</w:t>
            </w:r>
          </w:p>
        </w:tc>
      </w:tr>
    </w:tbl>
    <w:p w14:paraId="411C3C3D">
      <w:pPr>
        <w:ind w:firstLine="503"/>
        <w:rPr>
          <w:rFonts w:cs="Times New Roman"/>
          <w:spacing w:val="-4"/>
        </w:rPr>
        <w:sectPr>
          <w:pgSz w:w="16838" w:h="11906" w:orient="landscape"/>
          <w:pgMar w:top="1797" w:right="1440" w:bottom="1797" w:left="1440" w:header="851" w:footer="992" w:gutter="0"/>
          <w:cols w:space="425" w:num="1"/>
          <w:docGrid w:type="linesAndChars" w:linePitch="340" w:charSpace="4044"/>
        </w:sectPr>
      </w:pPr>
    </w:p>
    <w:p w14:paraId="40057962">
      <w:pPr>
        <w:pStyle w:val="7"/>
      </w:pPr>
      <w:bookmarkStart w:id="1015" w:name="_Toc89786247"/>
      <w:bookmarkStart w:id="1016" w:name="_Toc90997765"/>
      <w:bookmarkStart w:id="1017" w:name="_Toc90989350"/>
      <w:bookmarkStart w:id="1018" w:name="_Toc89882567"/>
      <w:bookmarkStart w:id="1019" w:name="_Toc86852466"/>
      <w:bookmarkStart w:id="1020" w:name="_Toc90318527"/>
      <w:bookmarkStart w:id="1021" w:name="_Toc121420921"/>
      <w:r>
        <w:t>9.2.2 污染物排放总量控制指标</w:t>
      </w:r>
      <w:bookmarkEnd w:id="1015"/>
      <w:bookmarkEnd w:id="1016"/>
      <w:bookmarkEnd w:id="1017"/>
      <w:bookmarkEnd w:id="1018"/>
      <w:bookmarkEnd w:id="1019"/>
      <w:bookmarkEnd w:id="1020"/>
      <w:bookmarkEnd w:id="1021"/>
    </w:p>
    <w:p w14:paraId="018788CA">
      <w:pPr>
        <w:ind w:firstLine="464"/>
        <w:rPr>
          <w:rFonts w:cs="Times New Roman"/>
          <w:spacing w:val="-4"/>
        </w:rPr>
      </w:pPr>
      <w:r>
        <w:rPr>
          <w:rFonts w:cs="Times New Roman"/>
          <w:spacing w:val="-4"/>
        </w:rPr>
        <w:t>本项目不涉及废水、废气污染物排放，固废依托建滔(衡阳)实业有限公司处理处置，本项目不设总量控制。</w:t>
      </w:r>
    </w:p>
    <w:p w14:paraId="7B9731B0">
      <w:pPr>
        <w:pStyle w:val="6"/>
        <w:spacing w:before="166" w:after="166"/>
        <w:rPr>
          <w:rFonts w:cs="Times New Roman"/>
        </w:rPr>
      </w:pPr>
      <w:bookmarkStart w:id="1022" w:name="_Toc40596895"/>
      <w:bookmarkStart w:id="1023" w:name="_Toc121420922"/>
      <w:bookmarkStart w:id="1024" w:name="_Toc505697556"/>
      <w:bookmarkStart w:id="1025" w:name="_Toc32410953"/>
      <w:bookmarkStart w:id="1026" w:name="_Toc32410952"/>
      <w:bookmarkStart w:id="1027" w:name="_Toc40596894"/>
      <w:bookmarkStart w:id="1028" w:name="_Toc505697555"/>
      <w:bookmarkStart w:id="1029" w:name="_Toc433180787"/>
      <w:bookmarkStart w:id="1030" w:name="_Toc433180786"/>
      <w:r>
        <w:rPr>
          <w:rFonts w:cs="Times New Roman"/>
        </w:rPr>
        <w:t>9.3 环境监测计划</w:t>
      </w:r>
      <w:bookmarkEnd w:id="1022"/>
      <w:bookmarkEnd w:id="1023"/>
      <w:bookmarkEnd w:id="1024"/>
      <w:bookmarkEnd w:id="1025"/>
    </w:p>
    <w:p w14:paraId="419B07D0">
      <w:pPr>
        <w:ind w:firstLine="480"/>
        <w:rPr>
          <w:rFonts w:cs="Times New Roman"/>
        </w:rPr>
      </w:pPr>
      <w:r>
        <w:rPr>
          <w:rFonts w:cs="Times New Roman"/>
        </w:rPr>
        <w:t>环境监测工作是环境管理的基础，能够及时、准确地反映企业排污状况及对环境的污染状况，有利于环保主管部门对辖区内环境保护的统一协调。本项目的日常环境监测工作将委托有监测资质的检测单位承担，公司协助监测单位取样。环境监测计划建议按下表执行。</w:t>
      </w:r>
    </w:p>
    <w:p w14:paraId="2121B6CD">
      <w:pPr>
        <w:pStyle w:val="9"/>
      </w:pPr>
      <w:r>
        <w:t>表9.3-1  监测项目及计划</w:t>
      </w:r>
    </w:p>
    <w:tbl>
      <w:tblPr>
        <w:tblStyle w:val="29"/>
        <w:tblW w:w="850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633"/>
        <w:gridCol w:w="787"/>
        <w:gridCol w:w="1945"/>
        <w:gridCol w:w="2551"/>
        <w:gridCol w:w="1418"/>
        <w:gridCol w:w="1173"/>
      </w:tblGrid>
      <w:tr w14:paraId="16112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97" w:hRule="atLeast"/>
          <w:tblHeader/>
          <w:jc w:val="center"/>
        </w:trPr>
        <w:tc>
          <w:tcPr>
            <w:tcW w:w="633" w:type="dxa"/>
            <w:vAlign w:val="center"/>
          </w:tcPr>
          <w:p w14:paraId="0183E937">
            <w:pPr>
              <w:pStyle w:val="48"/>
            </w:pPr>
            <w:r>
              <w:t>类别</w:t>
            </w:r>
          </w:p>
        </w:tc>
        <w:tc>
          <w:tcPr>
            <w:tcW w:w="787" w:type="dxa"/>
            <w:vAlign w:val="center"/>
          </w:tcPr>
          <w:p w14:paraId="206D2481">
            <w:pPr>
              <w:pStyle w:val="48"/>
            </w:pPr>
            <w:r>
              <w:t>监测项目</w:t>
            </w:r>
          </w:p>
        </w:tc>
        <w:tc>
          <w:tcPr>
            <w:tcW w:w="1945" w:type="dxa"/>
            <w:vAlign w:val="center"/>
          </w:tcPr>
          <w:p w14:paraId="244423EE">
            <w:pPr>
              <w:pStyle w:val="48"/>
            </w:pPr>
            <w:r>
              <w:t>监测点</w:t>
            </w:r>
          </w:p>
        </w:tc>
        <w:tc>
          <w:tcPr>
            <w:tcW w:w="2551" w:type="dxa"/>
            <w:vAlign w:val="center"/>
          </w:tcPr>
          <w:p w14:paraId="3586EB50">
            <w:pPr>
              <w:pStyle w:val="48"/>
            </w:pPr>
            <w:r>
              <w:t>主要监测内容</w:t>
            </w:r>
          </w:p>
        </w:tc>
        <w:tc>
          <w:tcPr>
            <w:tcW w:w="1418" w:type="dxa"/>
            <w:vAlign w:val="center"/>
          </w:tcPr>
          <w:p w14:paraId="61D16D87">
            <w:pPr>
              <w:pStyle w:val="48"/>
            </w:pPr>
            <w:r>
              <w:t>监测频率</w:t>
            </w:r>
          </w:p>
        </w:tc>
        <w:tc>
          <w:tcPr>
            <w:tcW w:w="1173" w:type="dxa"/>
            <w:vAlign w:val="center"/>
          </w:tcPr>
          <w:p w14:paraId="6FC1E5CA">
            <w:pPr>
              <w:pStyle w:val="48"/>
            </w:pPr>
            <w:r>
              <w:t>备注</w:t>
            </w:r>
          </w:p>
        </w:tc>
      </w:tr>
      <w:tr w14:paraId="2B590E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97" w:hRule="atLeast"/>
          <w:jc w:val="center"/>
        </w:trPr>
        <w:tc>
          <w:tcPr>
            <w:tcW w:w="633" w:type="dxa"/>
            <w:vMerge w:val="restart"/>
            <w:vAlign w:val="center"/>
          </w:tcPr>
          <w:p w14:paraId="2A2DB5AD">
            <w:pPr>
              <w:pStyle w:val="48"/>
            </w:pPr>
            <w:r>
              <w:t>污染源监测</w:t>
            </w:r>
          </w:p>
        </w:tc>
        <w:tc>
          <w:tcPr>
            <w:tcW w:w="787" w:type="dxa"/>
            <w:vAlign w:val="center"/>
          </w:tcPr>
          <w:p w14:paraId="73BAF399">
            <w:pPr>
              <w:pStyle w:val="48"/>
            </w:pPr>
            <w:r>
              <w:t>噪声</w:t>
            </w:r>
          </w:p>
        </w:tc>
        <w:tc>
          <w:tcPr>
            <w:tcW w:w="1945" w:type="dxa"/>
            <w:vAlign w:val="center"/>
          </w:tcPr>
          <w:p w14:paraId="0EB74FDE">
            <w:pPr>
              <w:pStyle w:val="48"/>
            </w:pPr>
            <w:r>
              <w:t>采卤场厂界</w:t>
            </w:r>
          </w:p>
        </w:tc>
        <w:tc>
          <w:tcPr>
            <w:tcW w:w="2551" w:type="dxa"/>
            <w:vAlign w:val="center"/>
          </w:tcPr>
          <w:p w14:paraId="175B2714">
            <w:pPr>
              <w:pStyle w:val="48"/>
            </w:pPr>
            <w:r>
              <w:t>等效A声级</w:t>
            </w:r>
          </w:p>
        </w:tc>
        <w:tc>
          <w:tcPr>
            <w:tcW w:w="1418" w:type="dxa"/>
            <w:vAlign w:val="center"/>
          </w:tcPr>
          <w:p w14:paraId="74A0497D">
            <w:pPr>
              <w:pStyle w:val="48"/>
            </w:pPr>
            <w:r>
              <w:t>1次/</w:t>
            </w:r>
            <w:r>
              <w:rPr>
                <w:rFonts w:hint="eastAsia"/>
              </w:rPr>
              <w:t>季度</w:t>
            </w:r>
          </w:p>
        </w:tc>
        <w:tc>
          <w:tcPr>
            <w:tcW w:w="1173" w:type="dxa"/>
            <w:vAlign w:val="center"/>
          </w:tcPr>
          <w:p w14:paraId="2CF7D730">
            <w:pPr>
              <w:pStyle w:val="48"/>
            </w:pPr>
            <w:r>
              <w:t>1天内昼夜各一时段</w:t>
            </w:r>
          </w:p>
        </w:tc>
      </w:tr>
      <w:tr w14:paraId="6356A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97" w:hRule="atLeast"/>
          <w:jc w:val="center"/>
        </w:trPr>
        <w:tc>
          <w:tcPr>
            <w:tcW w:w="633" w:type="dxa"/>
            <w:vMerge w:val="continue"/>
            <w:vAlign w:val="center"/>
          </w:tcPr>
          <w:p w14:paraId="4E44A24F">
            <w:pPr>
              <w:pStyle w:val="48"/>
            </w:pPr>
          </w:p>
        </w:tc>
        <w:tc>
          <w:tcPr>
            <w:tcW w:w="787" w:type="dxa"/>
            <w:vAlign w:val="center"/>
          </w:tcPr>
          <w:p w14:paraId="205D9DD5">
            <w:pPr>
              <w:pStyle w:val="48"/>
            </w:pPr>
            <w:r>
              <w:rPr>
                <w:rFonts w:hint="eastAsia"/>
              </w:rPr>
              <w:t>废水</w:t>
            </w:r>
          </w:p>
        </w:tc>
        <w:tc>
          <w:tcPr>
            <w:tcW w:w="1945" w:type="dxa"/>
            <w:vAlign w:val="center"/>
          </w:tcPr>
          <w:p w14:paraId="2CA896CC">
            <w:pPr>
              <w:pStyle w:val="48"/>
            </w:pPr>
            <w:r>
              <w:rPr>
                <w:rFonts w:hint="eastAsia"/>
              </w:rPr>
              <w:t>建滔（衡阳）实业有限公司厂区总排口</w:t>
            </w:r>
          </w:p>
        </w:tc>
        <w:tc>
          <w:tcPr>
            <w:tcW w:w="2551" w:type="dxa"/>
            <w:vAlign w:val="center"/>
          </w:tcPr>
          <w:p w14:paraId="60CB1ED4">
            <w:pPr>
              <w:pStyle w:val="48"/>
            </w:pPr>
            <w:r>
              <w:rPr>
                <w:rFonts w:hint="eastAsia"/>
              </w:rPr>
              <w:t>pH、COD、SS、BOD</w:t>
            </w:r>
            <w:r>
              <w:rPr>
                <w:rFonts w:hint="eastAsia"/>
                <w:vertAlign w:val="subscript"/>
              </w:rPr>
              <w:t>5</w:t>
            </w:r>
            <w:r>
              <w:rPr>
                <w:rFonts w:hint="eastAsia"/>
              </w:rPr>
              <w:t>、氨氮、总磷、氯化物</w:t>
            </w:r>
          </w:p>
        </w:tc>
        <w:tc>
          <w:tcPr>
            <w:tcW w:w="1418" w:type="dxa"/>
            <w:vAlign w:val="center"/>
          </w:tcPr>
          <w:p w14:paraId="510782EB">
            <w:pPr>
              <w:pStyle w:val="48"/>
            </w:pPr>
            <w:r>
              <w:rPr>
                <w:rFonts w:hint="eastAsia"/>
              </w:rPr>
              <w:t>与建滔（衡阳）实业有限公司自行监测计划一致</w:t>
            </w:r>
          </w:p>
        </w:tc>
        <w:tc>
          <w:tcPr>
            <w:tcW w:w="1173" w:type="dxa"/>
            <w:vAlign w:val="center"/>
          </w:tcPr>
          <w:p w14:paraId="422C1283">
            <w:pPr>
              <w:pStyle w:val="48"/>
            </w:pPr>
            <w:r>
              <w:rPr>
                <w:rFonts w:hint="eastAsia"/>
              </w:rPr>
              <w:t>/</w:t>
            </w:r>
          </w:p>
        </w:tc>
      </w:tr>
      <w:tr w14:paraId="7739C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97" w:hRule="atLeast"/>
          <w:jc w:val="center"/>
        </w:trPr>
        <w:tc>
          <w:tcPr>
            <w:tcW w:w="633" w:type="dxa"/>
            <w:vMerge w:val="restart"/>
            <w:vAlign w:val="center"/>
          </w:tcPr>
          <w:p w14:paraId="72060090">
            <w:pPr>
              <w:pStyle w:val="48"/>
            </w:pPr>
            <w:r>
              <w:t>环境质量监测</w:t>
            </w:r>
          </w:p>
        </w:tc>
        <w:tc>
          <w:tcPr>
            <w:tcW w:w="787" w:type="dxa"/>
            <w:vAlign w:val="center"/>
          </w:tcPr>
          <w:p w14:paraId="1BD8236A">
            <w:pPr>
              <w:pStyle w:val="48"/>
            </w:pPr>
            <w:r>
              <w:rPr>
                <w:rFonts w:hint="eastAsia"/>
              </w:rPr>
              <w:t>噪声</w:t>
            </w:r>
          </w:p>
        </w:tc>
        <w:tc>
          <w:tcPr>
            <w:tcW w:w="1945" w:type="dxa"/>
            <w:vAlign w:val="center"/>
          </w:tcPr>
          <w:p w14:paraId="7DC911CF">
            <w:pPr>
              <w:pStyle w:val="48"/>
            </w:pPr>
            <w:r>
              <w:t>采卤场厂界</w:t>
            </w:r>
          </w:p>
        </w:tc>
        <w:tc>
          <w:tcPr>
            <w:tcW w:w="2551" w:type="dxa"/>
            <w:vAlign w:val="center"/>
          </w:tcPr>
          <w:p w14:paraId="528384E0">
            <w:pPr>
              <w:pStyle w:val="48"/>
              <w:rPr>
                <w:szCs w:val="24"/>
              </w:rPr>
            </w:pPr>
            <w:r>
              <w:t>等效A声级</w:t>
            </w:r>
          </w:p>
        </w:tc>
        <w:tc>
          <w:tcPr>
            <w:tcW w:w="1418" w:type="dxa"/>
            <w:vAlign w:val="center"/>
          </w:tcPr>
          <w:p w14:paraId="1A89902B">
            <w:pPr>
              <w:pStyle w:val="48"/>
              <w:rPr>
                <w:rFonts w:ascii="宋体" w:hAnsi="宋体" w:cs="宋体"/>
              </w:rPr>
            </w:pPr>
            <w:r>
              <w:t>1次/</w:t>
            </w:r>
            <w:r>
              <w:rPr>
                <w:rFonts w:hint="eastAsia"/>
              </w:rPr>
              <w:t>季度</w:t>
            </w:r>
          </w:p>
        </w:tc>
        <w:tc>
          <w:tcPr>
            <w:tcW w:w="1173" w:type="dxa"/>
            <w:vAlign w:val="center"/>
          </w:tcPr>
          <w:p w14:paraId="27E9BCA3">
            <w:pPr>
              <w:pStyle w:val="48"/>
            </w:pPr>
            <w:r>
              <w:t>1天内昼夜各一时段</w:t>
            </w:r>
          </w:p>
        </w:tc>
      </w:tr>
      <w:tr w14:paraId="158D4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97" w:hRule="atLeast"/>
          <w:jc w:val="center"/>
        </w:trPr>
        <w:tc>
          <w:tcPr>
            <w:tcW w:w="633" w:type="dxa"/>
            <w:vMerge w:val="continue"/>
            <w:vAlign w:val="center"/>
          </w:tcPr>
          <w:p w14:paraId="4FF6BF98">
            <w:pPr>
              <w:pStyle w:val="48"/>
            </w:pPr>
          </w:p>
        </w:tc>
        <w:tc>
          <w:tcPr>
            <w:tcW w:w="787" w:type="dxa"/>
            <w:vAlign w:val="center"/>
          </w:tcPr>
          <w:p w14:paraId="0B5168B3">
            <w:pPr>
              <w:pStyle w:val="48"/>
            </w:pPr>
            <w:r>
              <w:t>地下水</w:t>
            </w:r>
          </w:p>
        </w:tc>
        <w:tc>
          <w:tcPr>
            <w:tcW w:w="1945" w:type="dxa"/>
            <w:vAlign w:val="center"/>
          </w:tcPr>
          <w:p w14:paraId="392488C7">
            <w:pPr>
              <w:pStyle w:val="48"/>
            </w:pPr>
            <w:r>
              <w:t>地下水监测井</w:t>
            </w:r>
          </w:p>
        </w:tc>
        <w:tc>
          <w:tcPr>
            <w:tcW w:w="2551" w:type="dxa"/>
            <w:vAlign w:val="center"/>
          </w:tcPr>
          <w:p w14:paraId="6F3A07B1">
            <w:pPr>
              <w:pStyle w:val="48"/>
              <w:rPr>
                <w:highlight w:val="yellow"/>
              </w:rPr>
            </w:pPr>
            <w:r>
              <w:rPr>
                <w:szCs w:val="24"/>
              </w:rPr>
              <w:t>水位、Cl</w:t>
            </w:r>
            <w:r>
              <w:rPr>
                <w:szCs w:val="24"/>
                <w:vertAlign w:val="superscript"/>
              </w:rPr>
              <w:t>-</w:t>
            </w:r>
          </w:p>
        </w:tc>
        <w:tc>
          <w:tcPr>
            <w:tcW w:w="1418" w:type="dxa"/>
            <w:vAlign w:val="center"/>
          </w:tcPr>
          <w:p w14:paraId="48999FAE">
            <w:pPr>
              <w:pStyle w:val="48"/>
            </w:pPr>
            <w:r>
              <w:rPr>
                <w:rFonts w:hint="eastAsia" w:ascii="宋体" w:hAnsi="宋体" w:cs="宋体"/>
              </w:rPr>
              <w:t>①</w:t>
            </w:r>
            <w:r>
              <w:t>丰枯各测一次。</w:t>
            </w:r>
          </w:p>
          <w:p w14:paraId="3A7A3C94">
            <w:pPr>
              <w:pStyle w:val="48"/>
            </w:pPr>
            <w:r>
              <w:rPr>
                <w:rFonts w:hint="eastAsia" w:ascii="宋体" w:hAnsi="宋体" w:cs="宋体"/>
              </w:rPr>
              <w:t>②</w:t>
            </w:r>
            <w:r>
              <w:t>如果发现渗漏及水质异常立刻加密监测频次。</w:t>
            </w:r>
          </w:p>
        </w:tc>
        <w:tc>
          <w:tcPr>
            <w:tcW w:w="1173" w:type="dxa"/>
            <w:vAlign w:val="center"/>
          </w:tcPr>
          <w:p w14:paraId="44E4799B">
            <w:pPr>
              <w:pStyle w:val="48"/>
            </w:pPr>
            <w:r>
              <w:rPr>
                <w:rFonts w:hint="eastAsia"/>
              </w:rPr>
              <w:t>/</w:t>
            </w:r>
          </w:p>
        </w:tc>
      </w:tr>
    </w:tbl>
    <w:p w14:paraId="2EDF7445">
      <w:pPr>
        <w:pStyle w:val="6"/>
        <w:spacing w:before="166" w:after="166"/>
        <w:rPr>
          <w:rFonts w:cs="Times New Roman"/>
        </w:rPr>
      </w:pPr>
      <w:bookmarkStart w:id="1031" w:name="_Toc121420923"/>
      <w:r>
        <w:rPr>
          <w:rFonts w:cs="Times New Roman"/>
        </w:rPr>
        <w:t>9.4 排污口设置及规范化管理</w:t>
      </w:r>
      <w:bookmarkEnd w:id="1026"/>
      <w:bookmarkEnd w:id="1027"/>
      <w:bookmarkEnd w:id="1028"/>
      <w:bookmarkEnd w:id="1029"/>
      <w:bookmarkEnd w:id="1031"/>
    </w:p>
    <w:p w14:paraId="1F3C16E9">
      <w:pPr>
        <w:ind w:firstLine="464"/>
        <w:rPr>
          <w:rFonts w:cs="Times New Roman"/>
          <w:spacing w:val="-4"/>
        </w:rPr>
      </w:pPr>
      <w:r>
        <w:rPr>
          <w:rFonts w:cs="Times New Roman"/>
          <w:spacing w:val="-4"/>
        </w:rPr>
        <w:t>按照国家环境保护总局《关于开展排放口规范化整治工作的通知》（环发[1999]24号）的有关规定，对各污染源排放口进行的规范化建设。</w:t>
      </w:r>
    </w:p>
    <w:p w14:paraId="31862CAC">
      <w:pPr>
        <w:pStyle w:val="7"/>
      </w:pPr>
      <w:bookmarkStart w:id="1032" w:name="_Toc89786250"/>
      <w:bookmarkStart w:id="1033" w:name="_Toc89882570"/>
      <w:bookmarkStart w:id="1034" w:name="_Toc90997768"/>
      <w:bookmarkStart w:id="1035" w:name="_Toc121420924"/>
      <w:bookmarkStart w:id="1036" w:name="_Toc90318530"/>
      <w:bookmarkStart w:id="1037" w:name="_Toc86852469"/>
      <w:bookmarkStart w:id="1038" w:name="_Toc90989353"/>
      <w:r>
        <w:t>9.4.1 排污口标志</w:t>
      </w:r>
      <w:bookmarkEnd w:id="1032"/>
      <w:bookmarkEnd w:id="1033"/>
      <w:bookmarkEnd w:id="1034"/>
      <w:bookmarkEnd w:id="1035"/>
      <w:bookmarkEnd w:id="1036"/>
      <w:bookmarkEnd w:id="1037"/>
      <w:bookmarkEnd w:id="1038"/>
    </w:p>
    <w:p w14:paraId="40B7542A">
      <w:pPr>
        <w:ind w:firstLine="464"/>
        <w:rPr>
          <w:rFonts w:cs="Times New Roman"/>
          <w:spacing w:val="-4"/>
        </w:rPr>
      </w:pPr>
      <w:r>
        <w:rPr>
          <w:rFonts w:cs="Times New Roman"/>
          <w:spacing w:val="-4"/>
        </w:rPr>
        <w:t>（1）污水排放口、废气排放口和噪声排放源图形标志</w:t>
      </w:r>
    </w:p>
    <w:p w14:paraId="3E625FCB">
      <w:pPr>
        <w:ind w:firstLine="464"/>
        <w:rPr>
          <w:rFonts w:cs="Times New Roman"/>
          <w:spacing w:val="-4"/>
        </w:rPr>
      </w:pPr>
      <w:r>
        <w:rPr>
          <w:rFonts w:cs="Times New Roman"/>
          <w:spacing w:val="-4"/>
        </w:rPr>
        <w:t>污水排放口、废气排放口和噪声排放源图形符号分为提示图形符号和警告图形符号两种，图形符号的设置按GB 15562.1-1995 执行。</w:t>
      </w:r>
    </w:p>
    <w:p w14:paraId="2D575EC0">
      <w:pPr>
        <w:ind w:firstLine="464"/>
        <w:rPr>
          <w:rFonts w:cs="Times New Roman"/>
          <w:spacing w:val="-4"/>
        </w:rPr>
      </w:pPr>
      <w:r>
        <w:rPr>
          <w:rFonts w:cs="Times New Roman"/>
          <w:spacing w:val="-4"/>
        </w:rPr>
        <w:t>（2）固体废物贮存（处置）场图形标志</w:t>
      </w:r>
    </w:p>
    <w:p w14:paraId="185E5026">
      <w:pPr>
        <w:ind w:firstLine="464"/>
        <w:rPr>
          <w:rFonts w:cs="Times New Roman"/>
          <w:spacing w:val="-4"/>
        </w:rPr>
      </w:pPr>
      <w:r>
        <w:rPr>
          <w:rFonts w:cs="Times New Roman"/>
          <w:spacing w:val="-4"/>
        </w:rPr>
        <w:t>固体废物贮存（处置）场图形符号分为提示图形符号和警告图形符号两种，图形符号的设置按GB15562.2-1995 执行。</w:t>
      </w:r>
    </w:p>
    <w:p w14:paraId="4B8A0992">
      <w:pPr>
        <w:ind w:firstLine="464"/>
        <w:rPr>
          <w:rFonts w:cs="Times New Roman"/>
          <w:spacing w:val="-4"/>
        </w:rPr>
      </w:pPr>
      <w:r>
        <w:rPr>
          <w:rFonts w:cs="Times New Roman"/>
          <w:spacing w:val="-4"/>
        </w:rPr>
        <w:t>各排污口图形应符合《环境保护图形标志--排放口（源）》（GB 15562.1-1995）。如下表所示：</w:t>
      </w:r>
    </w:p>
    <w:p w14:paraId="0F9575FB">
      <w:pPr>
        <w:pStyle w:val="9"/>
      </w:pPr>
      <w:r>
        <w:t>表9.4–</w:t>
      </w:r>
      <w:r>
        <w:fldChar w:fldCharType="begin"/>
      </w:r>
      <w:r>
        <w:instrText xml:space="preserve"> SEQ 表 \* ARABIC \s 2 </w:instrText>
      </w:r>
      <w:r>
        <w:fldChar w:fldCharType="separate"/>
      </w:r>
      <w:r>
        <w:t>1</w:t>
      </w:r>
      <w:r>
        <w:fldChar w:fldCharType="end"/>
      </w:r>
      <w:r>
        <w:rPr>
          <w:szCs w:val="22"/>
        </w:rPr>
        <w:t xml:space="preserve">  </w:t>
      </w:r>
      <w:r>
        <w:t>各排放口（源）标志</w:t>
      </w:r>
    </w:p>
    <w:tbl>
      <w:tblPr>
        <w:tblStyle w:val="29"/>
        <w:tblW w:w="8276" w:type="dxa"/>
        <w:tblInd w:w="12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2"/>
        <w:gridCol w:w="2827"/>
        <w:gridCol w:w="2378"/>
        <w:gridCol w:w="1159"/>
        <w:gridCol w:w="1210"/>
      </w:tblGrid>
      <w:tr w14:paraId="23C4F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14:paraId="52F31EDB">
            <w:pPr>
              <w:pStyle w:val="48"/>
            </w:pPr>
            <w:r>
              <w:t>序号</w:t>
            </w:r>
          </w:p>
        </w:tc>
        <w:tc>
          <w:tcPr>
            <w:tcW w:w="2827" w:type="dxa"/>
            <w:vAlign w:val="center"/>
          </w:tcPr>
          <w:p w14:paraId="1FBEAC43">
            <w:pPr>
              <w:pStyle w:val="48"/>
            </w:pPr>
            <w:r>
              <w:t>提示性图形符号</w:t>
            </w:r>
          </w:p>
        </w:tc>
        <w:tc>
          <w:tcPr>
            <w:tcW w:w="2378" w:type="dxa"/>
            <w:vAlign w:val="center"/>
          </w:tcPr>
          <w:p w14:paraId="779B110F">
            <w:pPr>
              <w:pStyle w:val="48"/>
            </w:pPr>
            <w:r>
              <w:t>警告图形符号</w:t>
            </w:r>
          </w:p>
        </w:tc>
        <w:tc>
          <w:tcPr>
            <w:tcW w:w="1159" w:type="dxa"/>
            <w:vAlign w:val="center"/>
          </w:tcPr>
          <w:p w14:paraId="03AF34F7">
            <w:pPr>
              <w:pStyle w:val="48"/>
            </w:pPr>
            <w:r>
              <w:t>名称</w:t>
            </w:r>
          </w:p>
        </w:tc>
        <w:tc>
          <w:tcPr>
            <w:tcW w:w="1210" w:type="dxa"/>
            <w:vAlign w:val="center"/>
          </w:tcPr>
          <w:p w14:paraId="11E86B45">
            <w:pPr>
              <w:pStyle w:val="48"/>
            </w:pPr>
            <w:r>
              <w:t>功能</w:t>
            </w:r>
          </w:p>
        </w:tc>
      </w:tr>
      <w:tr w14:paraId="3F179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14:paraId="5A8A4D4D">
            <w:pPr>
              <w:pStyle w:val="48"/>
            </w:pPr>
            <w:r>
              <w:t>1</w:t>
            </w:r>
          </w:p>
        </w:tc>
        <w:tc>
          <w:tcPr>
            <w:tcW w:w="2827" w:type="dxa"/>
            <w:vAlign w:val="center"/>
          </w:tcPr>
          <w:p w14:paraId="12936DC8">
            <w:pPr>
              <w:pStyle w:val="48"/>
            </w:pPr>
            <w:r>
              <w:drawing>
                <wp:inline distT="0" distB="0" distL="114300" distR="114300">
                  <wp:extent cx="1028700" cy="1028700"/>
                  <wp:effectExtent l="0" t="0" r="0" b="0"/>
                  <wp:docPr id="627"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1" descr="1"/>
                          <pic:cNvPicPr>
                            <a:picLocks noChangeAspect="1"/>
                          </pic:cNvPicPr>
                        </pic:nvPicPr>
                        <pic:blipFill>
                          <a:blip r:embed="rId32"/>
                          <a:stretch>
                            <a:fillRect/>
                          </a:stretch>
                        </pic:blipFill>
                        <pic:spPr>
                          <a:xfrm>
                            <a:off x="0" y="0"/>
                            <a:ext cx="1028700" cy="1028700"/>
                          </a:xfrm>
                          <a:prstGeom prst="rect">
                            <a:avLst/>
                          </a:prstGeom>
                          <a:noFill/>
                          <a:ln>
                            <a:noFill/>
                          </a:ln>
                        </pic:spPr>
                      </pic:pic>
                    </a:graphicData>
                  </a:graphic>
                </wp:inline>
              </w:drawing>
            </w:r>
          </w:p>
        </w:tc>
        <w:tc>
          <w:tcPr>
            <w:tcW w:w="2378" w:type="dxa"/>
            <w:vAlign w:val="center"/>
          </w:tcPr>
          <w:p w14:paraId="5148E11E">
            <w:pPr>
              <w:pStyle w:val="48"/>
            </w:pPr>
            <w:r>
              <w:drawing>
                <wp:inline distT="0" distB="0" distL="114300" distR="114300">
                  <wp:extent cx="1127125" cy="1009650"/>
                  <wp:effectExtent l="0" t="0" r="0" b="0"/>
                  <wp:docPr id="628"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2" descr="4"/>
                          <pic:cNvPicPr>
                            <a:picLocks noChangeAspect="1"/>
                          </pic:cNvPicPr>
                        </pic:nvPicPr>
                        <pic:blipFill>
                          <a:blip r:embed="rId33"/>
                          <a:stretch>
                            <a:fillRect/>
                          </a:stretch>
                        </pic:blipFill>
                        <pic:spPr>
                          <a:xfrm>
                            <a:off x="0" y="0"/>
                            <a:ext cx="1130192" cy="1011916"/>
                          </a:xfrm>
                          <a:prstGeom prst="rect">
                            <a:avLst/>
                          </a:prstGeom>
                          <a:noFill/>
                          <a:ln>
                            <a:noFill/>
                          </a:ln>
                        </pic:spPr>
                      </pic:pic>
                    </a:graphicData>
                  </a:graphic>
                </wp:inline>
              </w:drawing>
            </w:r>
          </w:p>
        </w:tc>
        <w:tc>
          <w:tcPr>
            <w:tcW w:w="1159" w:type="dxa"/>
            <w:vAlign w:val="center"/>
          </w:tcPr>
          <w:p w14:paraId="7E5C1AA0">
            <w:pPr>
              <w:pStyle w:val="48"/>
            </w:pPr>
            <w:r>
              <w:t>污水排放口</w:t>
            </w:r>
          </w:p>
        </w:tc>
        <w:tc>
          <w:tcPr>
            <w:tcW w:w="1210" w:type="dxa"/>
            <w:vAlign w:val="center"/>
          </w:tcPr>
          <w:p w14:paraId="7E5E0EB4">
            <w:pPr>
              <w:pStyle w:val="48"/>
            </w:pPr>
            <w:r>
              <w:t>表示污水向水体排放</w:t>
            </w:r>
          </w:p>
        </w:tc>
      </w:tr>
      <w:tr w14:paraId="6DFED3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14:paraId="32EDC5F5">
            <w:pPr>
              <w:pStyle w:val="48"/>
            </w:pPr>
            <w:r>
              <w:t>2</w:t>
            </w:r>
          </w:p>
        </w:tc>
        <w:tc>
          <w:tcPr>
            <w:tcW w:w="2827" w:type="dxa"/>
            <w:vAlign w:val="center"/>
          </w:tcPr>
          <w:p w14:paraId="5FC4CDCE">
            <w:pPr>
              <w:pStyle w:val="48"/>
            </w:pPr>
            <w:r>
              <w:drawing>
                <wp:inline distT="0" distB="0" distL="114300" distR="114300">
                  <wp:extent cx="1047750" cy="1043305"/>
                  <wp:effectExtent l="0" t="0" r="0" b="4445"/>
                  <wp:docPr id="629" name="图片 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41" descr="2"/>
                          <pic:cNvPicPr>
                            <a:picLocks noChangeAspect="1"/>
                          </pic:cNvPicPr>
                        </pic:nvPicPr>
                        <pic:blipFill>
                          <a:blip r:embed="rId34"/>
                          <a:stretch>
                            <a:fillRect/>
                          </a:stretch>
                        </pic:blipFill>
                        <pic:spPr>
                          <a:xfrm>
                            <a:off x="0" y="0"/>
                            <a:ext cx="1052039" cy="1047962"/>
                          </a:xfrm>
                          <a:prstGeom prst="rect">
                            <a:avLst/>
                          </a:prstGeom>
                          <a:noFill/>
                          <a:ln>
                            <a:noFill/>
                          </a:ln>
                        </pic:spPr>
                      </pic:pic>
                    </a:graphicData>
                  </a:graphic>
                </wp:inline>
              </w:drawing>
            </w:r>
          </w:p>
        </w:tc>
        <w:tc>
          <w:tcPr>
            <w:tcW w:w="2378" w:type="dxa"/>
            <w:vAlign w:val="center"/>
          </w:tcPr>
          <w:p w14:paraId="3825124A">
            <w:pPr>
              <w:pStyle w:val="48"/>
            </w:pPr>
            <w:r>
              <w:drawing>
                <wp:inline distT="0" distB="0" distL="114300" distR="114300">
                  <wp:extent cx="1064260" cy="962025"/>
                  <wp:effectExtent l="0" t="0" r="2540" b="0"/>
                  <wp:docPr id="630"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4" descr="5"/>
                          <pic:cNvPicPr>
                            <a:picLocks noChangeAspect="1"/>
                          </pic:cNvPicPr>
                        </pic:nvPicPr>
                        <pic:blipFill>
                          <a:blip r:embed="rId35"/>
                          <a:stretch>
                            <a:fillRect/>
                          </a:stretch>
                        </pic:blipFill>
                        <pic:spPr>
                          <a:xfrm>
                            <a:off x="0" y="0"/>
                            <a:ext cx="1069626" cy="966434"/>
                          </a:xfrm>
                          <a:prstGeom prst="rect">
                            <a:avLst/>
                          </a:prstGeom>
                          <a:noFill/>
                          <a:ln>
                            <a:noFill/>
                          </a:ln>
                        </pic:spPr>
                      </pic:pic>
                    </a:graphicData>
                  </a:graphic>
                </wp:inline>
              </w:drawing>
            </w:r>
          </w:p>
        </w:tc>
        <w:tc>
          <w:tcPr>
            <w:tcW w:w="1159" w:type="dxa"/>
            <w:vAlign w:val="center"/>
          </w:tcPr>
          <w:p w14:paraId="14BFF5B0">
            <w:pPr>
              <w:pStyle w:val="48"/>
            </w:pPr>
            <w:r>
              <w:t>废气排放口</w:t>
            </w:r>
          </w:p>
        </w:tc>
        <w:tc>
          <w:tcPr>
            <w:tcW w:w="1210" w:type="dxa"/>
            <w:vAlign w:val="center"/>
          </w:tcPr>
          <w:p w14:paraId="7637E6EB">
            <w:pPr>
              <w:pStyle w:val="48"/>
            </w:pPr>
            <w:r>
              <w:t>表示废气向大气环境排放</w:t>
            </w:r>
          </w:p>
        </w:tc>
      </w:tr>
      <w:tr w14:paraId="72A9A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14:paraId="2DB8BBDC">
            <w:pPr>
              <w:pStyle w:val="48"/>
            </w:pPr>
            <w:r>
              <w:t>3</w:t>
            </w:r>
          </w:p>
        </w:tc>
        <w:tc>
          <w:tcPr>
            <w:tcW w:w="2827" w:type="dxa"/>
            <w:vAlign w:val="center"/>
          </w:tcPr>
          <w:p w14:paraId="4060E7AC">
            <w:pPr>
              <w:pStyle w:val="48"/>
            </w:pPr>
            <w:r>
              <w:drawing>
                <wp:inline distT="0" distB="0" distL="114300" distR="114300">
                  <wp:extent cx="1038225" cy="1038225"/>
                  <wp:effectExtent l="0" t="0" r="9525" b="9525"/>
                  <wp:docPr id="631"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5" descr="3"/>
                          <pic:cNvPicPr>
                            <a:picLocks noChangeAspect="1"/>
                          </pic:cNvPicPr>
                        </pic:nvPicPr>
                        <pic:blipFill>
                          <a:blip r:embed="rId36"/>
                          <a:stretch>
                            <a:fillRect/>
                          </a:stretch>
                        </pic:blipFill>
                        <pic:spPr>
                          <a:xfrm>
                            <a:off x="0" y="0"/>
                            <a:ext cx="1038225" cy="1038225"/>
                          </a:xfrm>
                          <a:prstGeom prst="rect">
                            <a:avLst/>
                          </a:prstGeom>
                          <a:noFill/>
                          <a:ln>
                            <a:noFill/>
                          </a:ln>
                        </pic:spPr>
                      </pic:pic>
                    </a:graphicData>
                  </a:graphic>
                </wp:inline>
              </w:drawing>
            </w:r>
          </w:p>
        </w:tc>
        <w:tc>
          <w:tcPr>
            <w:tcW w:w="2378" w:type="dxa"/>
            <w:vAlign w:val="center"/>
          </w:tcPr>
          <w:p w14:paraId="52C59167">
            <w:pPr>
              <w:pStyle w:val="48"/>
            </w:pPr>
            <w:r>
              <w:drawing>
                <wp:inline distT="0" distB="0" distL="114300" distR="114300">
                  <wp:extent cx="1183640" cy="1019175"/>
                  <wp:effectExtent l="0" t="0" r="0" b="0"/>
                  <wp:docPr id="632"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 descr="6"/>
                          <pic:cNvPicPr>
                            <a:picLocks noChangeAspect="1"/>
                          </pic:cNvPicPr>
                        </pic:nvPicPr>
                        <pic:blipFill>
                          <a:blip r:embed="rId37"/>
                          <a:stretch>
                            <a:fillRect/>
                          </a:stretch>
                        </pic:blipFill>
                        <pic:spPr>
                          <a:xfrm>
                            <a:off x="0" y="0"/>
                            <a:ext cx="1187373" cy="1022154"/>
                          </a:xfrm>
                          <a:prstGeom prst="rect">
                            <a:avLst/>
                          </a:prstGeom>
                          <a:noFill/>
                          <a:ln>
                            <a:noFill/>
                          </a:ln>
                        </pic:spPr>
                      </pic:pic>
                    </a:graphicData>
                  </a:graphic>
                </wp:inline>
              </w:drawing>
            </w:r>
          </w:p>
        </w:tc>
        <w:tc>
          <w:tcPr>
            <w:tcW w:w="1159" w:type="dxa"/>
            <w:vAlign w:val="center"/>
          </w:tcPr>
          <w:p w14:paraId="537DD47D">
            <w:pPr>
              <w:pStyle w:val="48"/>
            </w:pPr>
            <w:r>
              <w:t>噪声排放源</w:t>
            </w:r>
          </w:p>
        </w:tc>
        <w:tc>
          <w:tcPr>
            <w:tcW w:w="1210" w:type="dxa"/>
            <w:vAlign w:val="center"/>
          </w:tcPr>
          <w:p w14:paraId="79630DFA">
            <w:pPr>
              <w:pStyle w:val="48"/>
            </w:pPr>
            <w:r>
              <w:t>表示噪声向外环境排放</w:t>
            </w:r>
          </w:p>
        </w:tc>
      </w:tr>
      <w:tr w14:paraId="6E227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14:paraId="33E39B28">
            <w:pPr>
              <w:pStyle w:val="48"/>
            </w:pPr>
            <w:r>
              <w:t>4</w:t>
            </w:r>
          </w:p>
        </w:tc>
        <w:tc>
          <w:tcPr>
            <w:tcW w:w="2827" w:type="dxa"/>
            <w:vAlign w:val="center"/>
          </w:tcPr>
          <w:p w14:paraId="1D1D29C0">
            <w:pPr>
              <w:pStyle w:val="48"/>
            </w:pPr>
            <w:r>
              <w:drawing>
                <wp:inline distT="0" distB="0" distL="114300" distR="114300">
                  <wp:extent cx="1114425" cy="1109980"/>
                  <wp:effectExtent l="0" t="0" r="0" b="0"/>
                  <wp:docPr id="63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45"/>
                          <pic:cNvPicPr>
                            <a:picLocks noChangeAspect="1"/>
                          </pic:cNvPicPr>
                        </pic:nvPicPr>
                        <pic:blipFill>
                          <a:blip r:embed="rId38"/>
                          <a:stretch>
                            <a:fillRect/>
                          </a:stretch>
                        </pic:blipFill>
                        <pic:spPr>
                          <a:xfrm>
                            <a:off x="0" y="0"/>
                            <a:ext cx="1116341" cy="1112014"/>
                          </a:xfrm>
                          <a:prstGeom prst="rect">
                            <a:avLst/>
                          </a:prstGeom>
                          <a:noFill/>
                          <a:ln>
                            <a:noFill/>
                          </a:ln>
                        </pic:spPr>
                      </pic:pic>
                    </a:graphicData>
                  </a:graphic>
                </wp:inline>
              </w:drawing>
            </w:r>
          </w:p>
        </w:tc>
        <w:tc>
          <w:tcPr>
            <w:tcW w:w="2378" w:type="dxa"/>
            <w:vAlign w:val="center"/>
          </w:tcPr>
          <w:p w14:paraId="382D07B3">
            <w:pPr>
              <w:pStyle w:val="48"/>
            </w:pPr>
            <w:r>
              <w:drawing>
                <wp:inline distT="0" distB="0" distL="114300" distR="114300">
                  <wp:extent cx="1085850" cy="975995"/>
                  <wp:effectExtent l="0" t="0" r="0" b="0"/>
                  <wp:docPr id="63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46"/>
                          <pic:cNvPicPr>
                            <a:picLocks noChangeAspect="1"/>
                          </pic:cNvPicPr>
                        </pic:nvPicPr>
                        <pic:blipFill>
                          <a:blip r:embed="rId39"/>
                          <a:stretch>
                            <a:fillRect/>
                          </a:stretch>
                        </pic:blipFill>
                        <pic:spPr>
                          <a:xfrm>
                            <a:off x="0" y="0"/>
                            <a:ext cx="1088908" cy="978746"/>
                          </a:xfrm>
                          <a:prstGeom prst="rect">
                            <a:avLst/>
                          </a:prstGeom>
                          <a:noFill/>
                          <a:ln>
                            <a:noFill/>
                          </a:ln>
                        </pic:spPr>
                      </pic:pic>
                    </a:graphicData>
                  </a:graphic>
                </wp:inline>
              </w:drawing>
            </w:r>
          </w:p>
        </w:tc>
        <w:tc>
          <w:tcPr>
            <w:tcW w:w="1159" w:type="dxa"/>
            <w:vAlign w:val="center"/>
          </w:tcPr>
          <w:p w14:paraId="57770920">
            <w:pPr>
              <w:pStyle w:val="48"/>
            </w:pPr>
            <w:r>
              <w:t>一般固体废物</w:t>
            </w:r>
          </w:p>
        </w:tc>
        <w:tc>
          <w:tcPr>
            <w:tcW w:w="1210" w:type="dxa"/>
            <w:vAlign w:val="center"/>
          </w:tcPr>
          <w:p w14:paraId="6AB5E336">
            <w:pPr>
              <w:pStyle w:val="48"/>
            </w:pPr>
            <w:r>
              <w:t>表示一般固体废物贮存、处置场</w:t>
            </w:r>
          </w:p>
        </w:tc>
      </w:tr>
      <w:tr w14:paraId="7DDD6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2" w:type="dxa"/>
            <w:vAlign w:val="center"/>
          </w:tcPr>
          <w:p w14:paraId="7C9FF0DD">
            <w:pPr>
              <w:pStyle w:val="48"/>
            </w:pPr>
            <w:r>
              <w:t>5</w:t>
            </w:r>
          </w:p>
        </w:tc>
        <w:tc>
          <w:tcPr>
            <w:tcW w:w="2827" w:type="dxa"/>
            <w:vAlign w:val="center"/>
          </w:tcPr>
          <w:p w14:paraId="503E8F40">
            <w:pPr>
              <w:pStyle w:val="48"/>
            </w:pPr>
          </w:p>
        </w:tc>
        <w:tc>
          <w:tcPr>
            <w:tcW w:w="2378" w:type="dxa"/>
            <w:vAlign w:val="center"/>
          </w:tcPr>
          <w:p w14:paraId="6061ABD3">
            <w:pPr>
              <w:pStyle w:val="48"/>
            </w:pPr>
            <w:r>
              <w:drawing>
                <wp:inline distT="0" distB="0" distL="114300" distR="114300">
                  <wp:extent cx="1091565" cy="942975"/>
                  <wp:effectExtent l="0" t="0" r="0" b="0"/>
                  <wp:docPr id="63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47"/>
                          <pic:cNvPicPr>
                            <a:picLocks noChangeAspect="1"/>
                          </pic:cNvPicPr>
                        </pic:nvPicPr>
                        <pic:blipFill>
                          <a:blip r:embed="rId40"/>
                          <a:stretch>
                            <a:fillRect/>
                          </a:stretch>
                        </pic:blipFill>
                        <pic:spPr>
                          <a:xfrm>
                            <a:off x="0" y="0"/>
                            <a:ext cx="1095186" cy="945666"/>
                          </a:xfrm>
                          <a:prstGeom prst="rect">
                            <a:avLst/>
                          </a:prstGeom>
                          <a:noFill/>
                          <a:ln>
                            <a:noFill/>
                          </a:ln>
                        </pic:spPr>
                      </pic:pic>
                    </a:graphicData>
                  </a:graphic>
                </wp:inline>
              </w:drawing>
            </w:r>
          </w:p>
        </w:tc>
        <w:tc>
          <w:tcPr>
            <w:tcW w:w="1159" w:type="dxa"/>
            <w:vAlign w:val="center"/>
          </w:tcPr>
          <w:p w14:paraId="249EF7D4">
            <w:pPr>
              <w:pStyle w:val="48"/>
            </w:pPr>
            <w:r>
              <w:t>危险废物</w:t>
            </w:r>
          </w:p>
        </w:tc>
        <w:tc>
          <w:tcPr>
            <w:tcW w:w="1210" w:type="dxa"/>
            <w:vAlign w:val="center"/>
          </w:tcPr>
          <w:p w14:paraId="2DED4368">
            <w:pPr>
              <w:pStyle w:val="48"/>
            </w:pPr>
            <w:r>
              <w:t>表示危险废物贮存、处置场</w:t>
            </w:r>
          </w:p>
        </w:tc>
      </w:tr>
    </w:tbl>
    <w:p w14:paraId="7361F816">
      <w:pPr>
        <w:ind w:firstLine="480"/>
        <w:rPr>
          <w:rFonts w:cs="Times New Roman"/>
        </w:rPr>
      </w:pPr>
    </w:p>
    <w:p w14:paraId="62CD437F">
      <w:pPr>
        <w:pStyle w:val="7"/>
      </w:pPr>
      <w:bookmarkStart w:id="1039" w:name="_Toc90997769"/>
      <w:bookmarkStart w:id="1040" w:name="_Toc89786251"/>
      <w:bookmarkStart w:id="1041" w:name="_Toc90989354"/>
      <w:bookmarkStart w:id="1042" w:name="_Toc86852470"/>
      <w:bookmarkStart w:id="1043" w:name="_Toc90318531"/>
      <w:bookmarkStart w:id="1044" w:name="_Toc89882571"/>
      <w:bookmarkStart w:id="1045" w:name="_Toc121420925"/>
      <w:r>
        <w:t>9.4.2 排污口立标</w:t>
      </w:r>
      <w:bookmarkEnd w:id="1039"/>
      <w:bookmarkEnd w:id="1040"/>
      <w:bookmarkEnd w:id="1041"/>
      <w:bookmarkEnd w:id="1042"/>
      <w:bookmarkEnd w:id="1043"/>
      <w:bookmarkEnd w:id="1044"/>
      <w:bookmarkEnd w:id="1045"/>
    </w:p>
    <w:p w14:paraId="23EA5855">
      <w:pPr>
        <w:ind w:firstLine="464"/>
        <w:rPr>
          <w:rFonts w:cs="Times New Roman"/>
          <w:spacing w:val="-4"/>
        </w:rPr>
      </w:pPr>
      <w:r>
        <w:rPr>
          <w:rFonts w:cs="Times New Roman"/>
          <w:spacing w:val="-4"/>
        </w:rPr>
        <w:t>污染物排放口的环保图形标志牌应设置在靠近采样点，并设在醒目处，标志牌设置高度为其上边缘距离地面约2m；</w:t>
      </w:r>
    </w:p>
    <w:p w14:paraId="54053B5E">
      <w:pPr>
        <w:ind w:firstLine="464"/>
        <w:rPr>
          <w:rFonts w:cs="Times New Roman"/>
          <w:spacing w:val="-4"/>
        </w:rPr>
      </w:pPr>
      <w:r>
        <w:rPr>
          <w:rFonts w:cs="Times New Roman"/>
          <w:spacing w:val="-4"/>
        </w:rPr>
        <w:t>本项目应在以下位置树立排污口标志。</w:t>
      </w:r>
    </w:p>
    <w:p w14:paraId="23AEA19D">
      <w:pPr>
        <w:ind w:firstLine="464"/>
        <w:rPr>
          <w:rFonts w:cs="Times New Roman"/>
          <w:spacing w:val="-4"/>
        </w:rPr>
      </w:pPr>
      <w:r>
        <w:rPr>
          <w:rFonts w:cs="Times New Roman"/>
          <w:spacing w:val="-4"/>
        </w:rPr>
        <w:t>（1）噪声：采卤泵房；</w:t>
      </w:r>
    </w:p>
    <w:p w14:paraId="52A4979D">
      <w:pPr>
        <w:ind w:firstLine="464"/>
        <w:rPr>
          <w:rFonts w:cs="Times New Roman"/>
          <w:spacing w:val="-4"/>
        </w:rPr>
      </w:pPr>
      <w:r>
        <w:rPr>
          <w:rFonts w:cs="Times New Roman"/>
          <w:spacing w:val="-4"/>
        </w:rPr>
        <w:t>（2）一般工业固废</w:t>
      </w:r>
      <w:r>
        <w:rPr>
          <w:rFonts w:hint="eastAsia" w:cs="Times New Roman"/>
          <w:spacing w:val="-4"/>
        </w:rPr>
        <w:t>暂存间；</w:t>
      </w:r>
    </w:p>
    <w:p w14:paraId="35946DB6">
      <w:pPr>
        <w:ind w:firstLine="464"/>
        <w:rPr>
          <w:rFonts w:cs="Times New Roman"/>
          <w:spacing w:val="-4"/>
        </w:rPr>
      </w:pPr>
      <w:r>
        <w:rPr>
          <w:rFonts w:cs="Times New Roman"/>
          <w:spacing w:val="-4"/>
        </w:rPr>
        <w:t>（3）危险废物：危废暂存间。</w:t>
      </w:r>
    </w:p>
    <w:p w14:paraId="48C88492">
      <w:pPr>
        <w:pStyle w:val="7"/>
      </w:pPr>
      <w:bookmarkStart w:id="1046" w:name="_Toc86852471"/>
      <w:bookmarkStart w:id="1047" w:name="_Toc90997770"/>
      <w:bookmarkStart w:id="1048" w:name="_Toc90989355"/>
      <w:bookmarkStart w:id="1049" w:name="_Toc89786252"/>
      <w:bookmarkStart w:id="1050" w:name="_Toc89882572"/>
      <w:bookmarkStart w:id="1051" w:name="_Toc121420926"/>
      <w:bookmarkStart w:id="1052" w:name="_Toc90318532"/>
      <w:r>
        <w:t>9.4.3 排污口管理</w:t>
      </w:r>
      <w:bookmarkEnd w:id="1046"/>
      <w:bookmarkEnd w:id="1047"/>
      <w:bookmarkEnd w:id="1048"/>
      <w:bookmarkEnd w:id="1049"/>
      <w:bookmarkEnd w:id="1050"/>
      <w:bookmarkEnd w:id="1051"/>
      <w:bookmarkEnd w:id="1052"/>
    </w:p>
    <w:p w14:paraId="33DC7169">
      <w:pPr>
        <w:ind w:firstLine="464"/>
        <w:rPr>
          <w:rFonts w:cs="Times New Roman"/>
          <w:spacing w:val="-4"/>
        </w:rPr>
      </w:pPr>
      <w:r>
        <w:rPr>
          <w:rFonts w:cs="Times New Roman"/>
          <w:spacing w:val="-4"/>
        </w:rPr>
        <w:t>排污口是企业污染物进入环境，污染环境的通道，强化排污口的管理是实施污染物总量控制的基础工作之一，也是区域环境管理逐步实现污染物排放科学化、定量化的重要手段。</w:t>
      </w:r>
    </w:p>
    <w:p w14:paraId="3EEA7DFC">
      <w:pPr>
        <w:ind w:firstLine="464"/>
        <w:rPr>
          <w:rFonts w:cs="Times New Roman"/>
          <w:spacing w:val="-4"/>
        </w:rPr>
      </w:pPr>
      <w:r>
        <w:rPr>
          <w:rFonts w:cs="Times New Roman"/>
          <w:spacing w:val="-4"/>
        </w:rPr>
        <w:t>具体管理原则如下：</w:t>
      </w:r>
    </w:p>
    <w:p w14:paraId="2A124352">
      <w:pPr>
        <w:ind w:firstLine="464"/>
        <w:rPr>
          <w:rFonts w:cs="Times New Roman"/>
          <w:spacing w:val="-4"/>
        </w:rPr>
      </w:pPr>
      <w:r>
        <w:rPr>
          <w:rFonts w:cs="Times New Roman"/>
          <w:spacing w:val="-4"/>
        </w:rPr>
        <w:t>A.向环境排放污染物的排放口必须规范化。</w:t>
      </w:r>
    </w:p>
    <w:p w14:paraId="7D06AF45">
      <w:pPr>
        <w:ind w:firstLine="464"/>
        <w:rPr>
          <w:rFonts w:cs="Times New Roman"/>
          <w:spacing w:val="-4"/>
        </w:rPr>
      </w:pPr>
      <w:r>
        <w:rPr>
          <w:rFonts w:cs="Times New Roman"/>
          <w:spacing w:val="-4"/>
        </w:rPr>
        <w:t>B.如实向环保管理部门申报排污口数量、位置及排放的主要污染物种类、数量、浓度、排放去向等情况。</w:t>
      </w:r>
    </w:p>
    <w:p w14:paraId="01C37217">
      <w:pPr>
        <w:ind w:firstLine="464"/>
        <w:rPr>
          <w:rFonts w:cs="Times New Roman"/>
          <w:spacing w:val="-4"/>
        </w:rPr>
      </w:pPr>
      <w:r>
        <w:rPr>
          <w:rFonts w:cs="Times New Roman"/>
          <w:spacing w:val="-4"/>
        </w:rPr>
        <w:t>C.废气排气装置应设置便于采样、监测的采样孔和采样平台，设置应符合《污染源监测技术规范》。</w:t>
      </w:r>
    </w:p>
    <w:p w14:paraId="20E6B170">
      <w:pPr>
        <w:ind w:firstLine="464"/>
        <w:rPr>
          <w:rFonts w:cs="Times New Roman"/>
          <w:spacing w:val="-4"/>
        </w:rPr>
      </w:pPr>
      <w:r>
        <w:rPr>
          <w:rFonts w:cs="Times New Roman"/>
          <w:spacing w:val="-4"/>
        </w:rPr>
        <w:t>D.工程固体废弃物堆存时，应设置专用堆放场地，并有防扬散、防流失、对有毒有害固体废弃物采取防渗漏措施。</w:t>
      </w:r>
    </w:p>
    <w:p w14:paraId="0626204E">
      <w:pPr>
        <w:pStyle w:val="7"/>
      </w:pPr>
      <w:bookmarkStart w:id="1053" w:name="_Toc90318533"/>
      <w:bookmarkStart w:id="1054" w:name="_Toc90989356"/>
      <w:bookmarkStart w:id="1055" w:name="_Toc90997771"/>
      <w:bookmarkStart w:id="1056" w:name="_Toc121420927"/>
      <w:bookmarkStart w:id="1057" w:name="_Toc86852472"/>
      <w:bookmarkStart w:id="1058" w:name="_Toc89786253"/>
      <w:bookmarkStart w:id="1059" w:name="_Toc89882573"/>
      <w:r>
        <w:t>9.4.4 排污口建档管理</w:t>
      </w:r>
      <w:bookmarkEnd w:id="1053"/>
      <w:bookmarkEnd w:id="1054"/>
      <w:bookmarkEnd w:id="1055"/>
      <w:bookmarkEnd w:id="1056"/>
      <w:bookmarkEnd w:id="1057"/>
      <w:bookmarkEnd w:id="1058"/>
      <w:bookmarkEnd w:id="1059"/>
    </w:p>
    <w:p w14:paraId="79F6B498">
      <w:pPr>
        <w:ind w:firstLine="464"/>
        <w:rPr>
          <w:rFonts w:cs="Times New Roman"/>
          <w:spacing w:val="-4"/>
        </w:rPr>
      </w:pPr>
      <w:r>
        <w:rPr>
          <w:rFonts w:cs="Times New Roman"/>
          <w:spacing w:val="-4"/>
        </w:rPr>
        <w:t>（1）本项目应使用国家环保局统一印制的《中华人民共和国规范化排污口标志登记证》，并按要求填写有关内容。</w:t>
      </w:r>
    </w:p>
    <w:p w14:paraId="6D61CBF1">
      <w:pPr>
        <w:ind w:firstLine="464"/>
        <w:rPr>
          <w:rFonts w:cs="Times New Roman"/>
          <w:spacing w:val="-4"/>
        </w:rPr>
      </w:pPr>
      <w:r>
        <w:rPr>
          <w:rFonts w:cs="Times New Roman"/>
          <w:spacing w:val="-4"/>
        </w:rPr>
        <w:t>（2）根据排污口管理内容要求，项目建成投产后，应将主要污染物种类、数量、浓度、排放去向、立标情况及设施运行情况记录于档案。</w:t>
      </w:r>
    </w:p>
    <w:p w14:paraId="1CC783A9">
      <w:pPr>
        <w:pStyle w:val="6"/>
        <w:spacing w:before="166" w:after="166"/>
        <w:rPr>
          <w:rFonts w:cs="Times New Roman"/>
        </w:rPr>
      </w:pPr>
      <w:bookmarkStart w:id="1060" w:name="_Toc90318534"/>
      <w:bookmarkStart w:id="1061" w:name="_Toc121420928"/>
      <w:r>
        <w:rPr>
          <w:rFonts w:cs="Times New Roman"/>
        </w:rPr>
        <w:t>9.5 三同时”验收要求内容</w:t>
      </w:r>
      <w:bookmarkEnd w:id="1060"/>
      <w:bookmarkEnd w:id="1061"/>
    </w:p>
    <w:p w14:paraId="4C588ADF">
      <w:pPr>
        <w:ind w:firstLine="464"/>
        <w:rPr>
          <w:rFonts w:cs="Times New Roman"/>
          <w:spacing w:val="-4"/>
        </w:rPr>
      </w:pPr>
      <w:r>
        <w:rPr>
          <w:rFonts w:cs="Times New Roman"/>
          <w:spacing w:val="-4"/>
        </w:rPr>
        <w:t>为了便于环境保护主管部门对工程的环保验收以及日后生产的环境监督与环境管理，评价拟定“三同时”验收计划如表10.5-1。</w:t>
      </w:r>
    </w:p>
    <w:p w14:paraId="6468B809">
      <w:pPr>
        <w:pStyle w:val="9"/>
      </w:pPr>
      <w:r>
        <w:t>表9.5-1  “三同时”验收要求</w:t>
      </w:r>
    </w:p>
    <w:tbl>
      <w:tblPr>
        <w:tblStyle w:val="29"/>
        <w:tblW w:w="900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276"/>
        <w:gridCol w:w="5201"/>
        <w:gridCol w:w="1710"/>
      </w:tblGrid>
      <w:tr w14:paraId="586CD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17" w:type="dxa"/>
            <w:vAlign w:val="center"/>
          </w:tcPr>
          <w:p w14:paraId="2ED2B6BD">
            <w:pPr>
              <w:pStyle w:val="48"/>
            </w:pPr>
            <w:r>
              <w:t>序号</w:t>
            </w:r>
          </w:p>
        </w:tc>
        <w:tc>
          <w:tcPr>
            <w:tcW w:w="1276" w:type="dxa"/>
            <w:vAlign w:val="center"/>
          </w:tcPr>
          <w:p w14:paraId="71E03AA2">
            <w:pPr>
              <w:pStyle w:val="48"/>
            </w:pPr>
            <w:r>
              <w:t>项目</w:t>
            </w:r>
          </w:p>
        </w:tc>
        <w:tc>
          <w:tcPr>
            <w:tcW w:w="5201" w:type="dxa"/>
            <w:vAlign w:val="center"/>
          </w:tcPr>
          <w:p w14:paraId="064F958E">
            <w:pPr>
              <w:pStyle w:val="48"/>
            </w:pPr>
            <w:r>
              <w:t>具体环保措施</w:t>
            </w:r>
          </w:p>
        </w:tc>
        <w:tc>
          <w:tcPr>
            <w:tcW w:w="1710" w:type="dxa"/>
            <w:vAlign w:val="center"/>
          </w:tcPr>
          <w:p w14:paraId="4FEE34FC">
            <w:pPr>
              <w:pStyle w:val="48"/>
            </w:pPr>
            <w:r>
              <w:t>预期效果</w:t>
            </w:r>
          </w:p>
        </w:tc>
      </w:tr>
      <w:tr w14:paraId="2EE9E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17" w:type="dxa"/>
            <w:vAlign w:val="center"/>
          </w:tcPr>
          <w:p w14:paraId="40A10060">
            <w:pPr>
              <w:pStyle w:val="48"/>
            </w:pPr>
            <w:r>
              <w:t>1</w:t>
            </w:r>
          </w:p>
        </w:tc>
        <w:tc>
          <w:tcPr>
            <w:tcW w:w="1276" w:type="dxa"/>
            <w:vAlign w:val="center"/>
          </w:tcPr>
          <w:p w14:paraId="4A84390E">
            <w:pPr>
              <w:pStyle w:val="48"/>
            </w:pPr>
            <w:r>
              <w:t>固废处置</w:t>
            </w:r>
          </w:p>
        </w:tc>
        <w:tc>
          <w:tcPr>
            <w:tcW w:w="5201" w:type="dxa"/>
            <w:vAlign w:val="center"/>
          </w:tcPr>
          <w:p w14:paraId="53D27CDA">
            <w:pPr>
              <w:pStyle w:val="48"/>
            </w:pPr>
            <w:r>
              <w:t>卤水池残渣依托建滔（衡阳）实业有限公司烧碱生产部盐泥压滤机压干处理后与烧碱生产部盐泥一并收集后外售；废机油</w:t>
            </w:r>
            <w:r>
              <w:rPr>
                <w:rFonts w:hint="eastAsia"/>
              </w:rPr>
              <w:t>利用</w:t>
            </w:r>
            <w:r>
              <w:t>公司</w:t>
            </w:r>
            <w:r>
              <w:rPr>
                <w:rFonts w:hint="eastAsia"/>
              </w:rPr>
              <w:t>现有</w:t>
            </w:r>
            <w:r>
              <w:t>危废暂存间暂存后委托有资质单位处理。</w:t>
            </w:r>
          </w:p>
        </w:tc>
        <w:tc>
          <w:tcPr>
            <w:tcW w:w="1710" w:type="dxa"/>
            <w:vAlign w:val="center"/>
          </w:tcPr>
          <w:p w14:paraId="524C9A54">
            <w:pPr>
              <w:pStyle w:val="48"/>
            </w:pPr>
            <w:r>
              <w:t>安全处置</w:t>
            </w:r>
          </w:p>
        </w:tc>
      </w:tr>
      <w:tr w14:paraId="64331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17" w:type="dxa"/>
            <w:vAlign w:val="center"/>
          </w:tcPr>
          <w:p w14:paraId="5EAEA93E">
            <w:pPr>
              <w:pStyle w:val="48"/>
            </w:pPr>
            <w:r>
              <w:t>2</w:t>
            </w:r>
          </w:p>
        </w:tc>
        <w:tc>
          <w:tcPr>
            <w:tcW w:w="1276" w:type="dxa"/>
            <w:vAlign w:val="center"/>
          </w:tcPr>
          <w:p w14:paraId="1CB38E87">
            <w:pPr>
              <w:pStyle w:val="48"/>
            </w:pPr>
            <w:r>
              <w:t>噪声治理</w:t>
            </w:r>
          </w:p>
        </w:tc>
        <w:tc>
          <w:tcPr>
            <w:tcW w:w="5201" w:type="dxa"/>
            <w:vAlign w:val="center"/>
          </w:tcPr>
          <w:p w14:paraId="5E7D2D80">
            <w:pPr>
              <w:pStyle w:val="48"/>
            </w:pPr>
            <w:r>
              <w:t>建筑隔声、隔声罩、消音器、基础减震；厂区绿化隔声</w:t>
            </w:r>
          </w:p>
        </w:tc>
        <w:tc>
          <w:tcPr>
            <w:tcW w:w="1710" w:type="dxa"/>
            <w:vAlign w:val="center"/>
          </w:tcPr>
          <w:p w14:paraId="22DD67DC">
            <w:pPr>
              <w:pStyle w:val="48"/>
            </w:pPr>
            <w:r>
              <w:t>达标排放</w:t>
            </w:r>
          </w:p>
        </w:tc>
      </w:tr>
      <w:tr w14:paraId="26D7DB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817" w:type="dxa"/>
            <w:vAlign w:val="center"/>
          </w:tcPr>
          <w:p w14:paraId="474702D5">
            <w:pPr>
              <w:pStyle w:val="48"/>
            </w:pPr>
            <w:r>
              <w:t>3</w:t>
            </w:r>
          </w:p>
        </w:tc>
        <w:tc>
          <w:tcPr>
            <w:tcW w:w="1276" w:type="dxa"/>
            <w:vAlign w:val="center"/>
          </w:tcPr>
          <w:p w14:paraId="6ED03A2C">
            <w:pPr>
              <w:pStyle w:val="48"/>
            </w:pPr>
            <w:r>
              <w:t>风险</w:t>
            </w:r>
          </w:p>
        </w:tc>
        <w:tc>
          <w:tcPr>
            <w:tcW w:w="5201" w:type="dxa"/>
            <w:vAlign w:val="center"/>
          </w:tcPr>
          <w:p w14:paraId="6D68690F">
            <w:pPr>
              <w:pStyle w:val="48"/>
            </w:pPr>
            <w:r>
              <w:t>1、井场：卤井井壁套管中技术套管外有固井套管和固井水泥层，在采集卤工程安装有自动监测系统，监测回卤井回卤压力和回卤量；</w:t>
            </w:r>
          </w:p>
          <w:p w14:paraId="68766E11">
            <w:pPr>
              <w:pStyle w:val="48"/>
            </w:pPr>
            <w:r>
              <w:t>2、采卤场：采卤中心地面全部进行硬化处理，</w:t>
            </w:r>
            <w:r>
              <w:rPr>
                <w:rFonts w:hint="eastAsia"/>
              </w:rPr>
              <w:t>卤水池、淡卤池设置围堰，</w:t>
            </w:r>
            <w:r>
              <w:t>设防污沟收集泄漏卤水，卤水池、淡卤池作防渗处理。</w:t>
            </w:r>
          </w:p>
          <w:p w14:paraId="597D9658">
            <w:pPr>
              <w:pStyle w:val="48"/>
            </w:pPr>
            <w:r>
              <w:t xml:space="preserve"> 3、管线：管廊在建设时应采取防渗措施，在回卤管道沿途设置压力检测器、控制阀等。</w:t>
            </w:r>
          </w:p>
          <w:p w14:paraId="618906E3">
            <w:pPr>
              <w:spacing w:line="240" w:lineRule="auto"/>
              <w:ind w:firstLine="420"/>
              <w:rPr>
                <w:sz w:val="21"/>
                <w:szCs w:val="21"/>
              </w:rPr>
            </w:pPr>
            <w:r>
              <w:rPr>
                <w:rFonts w:hint="eastAsia"/>
                <w:sz w:val="21"/>
                <w:szCs w:val="21"/>
              </w:rPr>
              <w:t>4、矿区地表塌陷：严格控制开采高度、溶腔跨度，及时对采空区进行充填，定期对矿区进行地下水水位、地表移动和地面沉降观测，严控矿区建筑物高度等。</w:t>
            </w:r>
          </w:p>
        </w:tc>
        <w:tc>
          <w:tcPr>
            <w:tcW w:w="1710" w:type="dxa"/>
            <w:vAlign w:val="center"/>
          </w:tcPr>
          <w:p w14:paraId="42F6D0CC">
            <w:pPr>
              <w:pStyle w:val="48"/>
            </w:pPr>
            <w:r>
              <w:t>环境风险可控</w:t>
            </w:r>
          </w:p>
        </w:tc>
      </w:tr>
    </w:tbl>
    <w:p w14:paraId="293F66EC">
      <w:pPr>
        <w:widowControl/>
        <w:ind w:firstLine="464"/>
        <w:jc w:val="left"/>
        <w:rPr>
          <w:rFonts w:cs="Times New Roman"/>
          <w:spacing w:val="-4"/>
        </w:rPr>
      </w:pPr>
      <w:r>
        <w:rPr>
          <w:rFonts w:cs="Times New Roman"/>
          <w:spacing w:val="-4"/>
        </w:rPr>
        <w:br w:type="page"/>
      </w:r>
    </w:p>
    <w:bookmarkEnd w:id="1030"/>
    <w:p w14:paraId="212CD2BA">
      <w:pPr>
        <w:pStyle w:val="5"/>
        <w:spacing w:before="166" w:after="166"/>
        <w:rPr>
          <w:rFonts w:ascii="Times New Roman" w:hAnsi="Times New Roman"/>
        </w:rPr>
        <w:sectPr>
          <w:pgSz w:w="11905" w:h="16838"/>
          <w:pgMar w:top="1440" w:right="1803" w:bottom="1440" w:left="1803" w:header="851" w:footer="992" w:gutter="0"/>
          <w:cols w:space="0" w:num="1"/>
          <w:docGrid w:type="lines" w:linePitch="332" w:charSpace="0"/>
        </w:sectPr>
      </w:pPr>
    </w:p>
    <w:p w14:paraId="4B71E478">
      <w:pPr>
        <w:pStyle w:val="5"/>
        <w:spacing w:before="166" w:after="166"/>
        <w:rPr>
          <w:rFonts w:ascii="Times New Roman" w:hAnsi="Times New Roman"/>
        </w:rPr>
      </w:pPr>
      <w:bookmarkStart w:id="1062" w:name="_Toc121420929"/>
      <w:r>
        <w:rPr>
          <w:rFonts w:ascii="Times New Roman" w:hAnsi="Times New Roman"/>
        </w:rPr>
        <w:t>第10章 结论及建议</w:t>
      </w:r>
      <w:bookmarkEnd w:id="1062"/>
    </w:p>
    <w:p w14:paraId="32125D97">
      <w:pPr>
        <w:kinsoku w:val="0"/>
        <w:wordWrap/>
        <w:overflowPunct w:val="0"/>
        <w:topLinePunct w:val="0"/>
        <w:autoSpaceDE w:val="0"/>
        <w:autoSpaceDN w:val="0"/>
        <w:spacing w:before="166" w:beforeLines="50" w:after="166" w:afterLines="50"/>
        <w:ind w:firstLine="0" w:firstLineChars="0"/>
        <w:jc w:val="left"/>
        <w:outlineLvl w:val="1"/>
        <w:rPr>
          <w:rFonts w:cs="Times New Roman"/>
          <w:b/>
          <w:sz w:val="30"/>
        </w:rPr>
      </w:pPr>
      <w:bookmarkStart w:id="1063" w:name="_Toc121420930"/>
      <w:r>
        <w:rPr>
          <w:rFonts w:cs="Times New Roman"/>
          <w:b/>
          <w:sz w:val="30"/>
        </w:rPr>
        <w:t>10.1 结论</w:t>
      </w:r>
      <w:bookmarkEnd w:id="1063"/>
    </w:p>
    <w:p w14:paraId="61112E7A">
      <w:pPr>
        <w:keepNext/>
        <w:keepLines/>
        <w:ind w:firstLine="0" w:firstLineChars="0"/>
        <w:outlineLvl w:val="2"/>
        <w:rPr>
          <w:rFonts w:cs="Times New Roman"/>
          <w:b/>
          <w:bCs/>
          <w:sz w:val="28"/>
          <w:szCs w:val="32"/>
        </w:rPr>
      </w:pPr>
      <w:bookmarkStart w:id="1064" w:name="_Toc90318537"/>
      <w:bookmarkStart w:id="1065" w:name="_Toc89882577"/>
      <w:bookmarkStart w:id="1066" w:name="_Toc90997775"/>
      <w:bookmarkStart w:id="1067" w:name="_Toc90989360"/>
      <w:bookmarkStart w:id="1068" w:name="_Toc89786264"/>
      <w:bookmarkStart w:id="1069" w:name="_Toc86852485"/>
      <w:bookmarkStart w:id="1070" w:name="_Toc121420931"/>
      <w:r>
        <w:rPr>
          <w:rFonts w:cs="Times New Roman"/>
          <w:b/>
          <w:bCs/>
          <w:sz w:val="28"/>
          <w:szCs w:val="32"/>
        </w:rPr>
        <w:t>10.1.1 项目概况</w:t>
      </w:r>
      <w:bookmarkEnd w:id="1064"/>
      <w:bookmarkEnd w:id="1065"/>
      <w:bookmarkEnd w:id="1066"/>
      <w:bookmarkEnd w:id="1067"/>
      <w:bookmarkEnd w:id="1068"/>
      <w:bookmarkEnd w:id="1069"/>
      <w:bookmarkEnd w:id="1070"/>
    </w:p>
    <w:p w14:paraId="7C8EBF03">
      <w:pPr>
        <w:ind w:firstLine="480"/>
        <w:jc w:val="left"/>
        <w:rPr>
          <w:rFonts w:cs="Times New Roman"/>
          <w:szCs w:val="24"/>
        </w:rPr>
      </w:pPr>
      <w:r>
        <w:rPr>
          <w:rFonts w:cs="Times New Roman"/>
          <w:szCs w:val="24"/>
        </w:rPr>
        <w:t>衡阳建滔化工有限公司岩盐矿隶属于衡阳建滔化工有限公司，位于衡阳市北部，属衡阳市松木经济开发区管辖。本项目为改扩建项目，本项目主要建设内容为：新建采卤井两对（CK25-CK26、CK27-CK28），卤水泵房和采输卤系统依托原有，主要产品为原卤，本项目建成后，老采区ZK10、ZK12、CK3三口井停采，总体生产规模维持不变，设计生产规模为150万t/a</w:t>
      </w:r>
      <w:r>
        <w:rPr>
          <w:rFonts w:cs="Times New Roman"/>
        </w:rPr>
        <w:t>（原矿）</w:t>
      </w:r>
      <w:r>
        <w:rPr>
          <w:rFonts w:cs="Times New Roman"/>
          <w:szCs w:val="24"/>
        </w:rPr>
        <w:t>，服务年限为60年。项目总投资800万元，其中环保投资21万元，占总投资的2.6%。</w:t>
      </w:r>
    </w:p>
    <w:p w14:paraId="1A8F55A4">
      <w:pPr>
        <w:keepNext/>
        <w:keepLines/>
        <w:ind w:firstLine="0" w:firstLineChars="0"/>
        <w:outlineLvl w:val="2"/>
        <w:rPr>
          <w:rFonts w:cs="Times New Roman"/>
          <w:b/>
          <w:bCs/>
          <w:sz w:val="28"/>
          <w:szCs w:val="32"/>
        </w:rPr>
      </w:pPr>
      <w:bookmarkStart w:id="1071" w:name="_Toc121420932"/>
      <w:bookmarkStart w:id="1072" w:name="_Toc86852486"/>
      <w:bookmarkStart w:id="1073" w:name="_Toc89882578"/>
      <w:bookmarkStart w:id="1074" w:name="_Toc89786265"/>
      <w:bookmarkStart w:id="1075" w:name="_Toc90997776"/>
      <w:bookmarkStart w:id="1076" w:name="_Toc90318538"/>
      <w:bookmarkStart w:id="1077" w:name="_Toc90989361"/>
      <w:r>
        <w:rPr>
          <w:rFonts w:cs="Times New Roman"/>
          <w:b/>
          <w:bCs/>
          <w:sz w:val="28"/>
          <w:szCs w:val="32"/>
        </w:rPr>
        <w:t>10.1.2 项目建设的环保可行性分析</w:t>
      </w:r>
      <w:bookmarkEnd w:id="1071"/>
      <w:bookmarkEnd w:id="1072"/>
      <w:bookmarkEnd w:id="1073"/>
      <w:bookmarkEnd w:id="1074"/>
      <w:bookmarkEnd w:id="1075"/>
      <w:bookmarkEnd w:id="1076"/>
      <w:bookmarkEnd w:id="1077"/>
    </w:p>
    <w:p w14:paraId="26441219">
      <w:pPr>
        <w:ind w:firstLine="480"/>
        <w:jc w:val="left"/>
        <w:rPr>
          <w:rFonts w:cs="Times New Roman"/>
          <w:szCs w:val="24"/>
        </w:rPr>
      </w:pPr>
      <w:r>
        <w:rPr>
          <w:rFonts w:cs="Times New Roman"/>
          <w:szCs w:val="24"/>
        </w:rPr>
        <w:t>1、与产业政策的符合性分析</w:t>
      </w:r>
    </w:p>
    <w:p w14:paraId="573CE8A6">
      <w:pPr>
        <w:ind w:firstLine="480"/>
        <w:jc w:val="left"/>
        <w:rPr>
          <w:rFonts w:cs="Times New Roman"/>
          <w:szCs w:val="24"/>
        </w:rPr>
      </w:pPr>
      <w:r>
        <w:rPr>
          <w:rFonts w:cs="Times New Roman"/>
          <w:szCs w:val="24"/>
        </w:rPr>
        <w:t>本工程主要开采岩盐矿，生产规模为150万吨/a(</w:t>
      </w:r>
      <w:r>
        <w:rPr>
          <w:rFonts w:hint="eastAsia" w:cs="Times New Roman"/>
          <w:szCs w:val="24"/>
        </w:rPr>
        <w:t>原矿</w:t>
      </w:r>
      <w:r>
        <w:rPr>
          <w:rFonts w:cs="Times New Roman"/>
          <w:szCs w:val="24"/>
        </w:rPr>
        <w:t>)，对照《产业结构调整指导目录（2019年本）》，本项目不属于鼓励类、限制类和淘汰类，为允许类，符合国家有关法律、法规和政策规定的。</w:t>
      </w:r>
    </w:p>
    <w:p w14:paraId="332B672B">
      <w:pPr>
        <w:ind w:firstLine="480"/>
        <w:jc w:val="left"/>
        <w:rPr>
          <w:rFonts w:cs="Times New Roman"/>
          <w:szCs w:val="24"/>
        </w:rPr>
      </w:pPr>
      <w:r>
        <w:rPr>
          <w:rFonts w:cs="Times New Roman"/>
          <w:szCs w:val="24"/>
        </w:rPr>
        <w:t>2、与环保、行业政策的符合性分析</w:t>
      </w:r>
    </w:p>
    <w:p w14:paraId="08436F3A">
      <w:pPr>
        <w:ind w:firstLine="480"/>
        <w:jc w:val="left"/>
        <w:rPr>
          <w:rFonts w:cs="Times New Roman"/>
          <w:szCs w:val="24"/>
        </w:rPr>
      </w:pPr>
      <w:r>
        <w:rPr>
          <w:rFonts w:cs="Times New Roman"/>
          <w:szCs w:val="24"/>
        </w:rPr>
        <w:t>综合以上分析，本项目的建设符合湖南省、衡阳市的环境保护规划和相关环保政策的要求，符合衡阳市矿产资源总体规划的要求。因此，从法规政策角度分析，本项目的建设是合理的。</w:t>
      </w:r>
    </w:p>
    <w:p w14:paraId="401D8B34">
      <w:pPr>
        <w:ind w:firstLine="480"/>
        <w:jc w:val="left"/>
        <w:rPr>
          <w:rFonts w:cs="Times New Roman"/>
          <w:szCs w:val="24"/>
        </w:rPr>
      </w:pPr>
      <w:r>
        <w:rPr>
          <w:rFonts w:cs="Times New Roman"/>
          <w:szCs w:val="24"/>
        </w:rPr>
        <w:t>3、达标排放</w:t>
      </w:r>
    </w:p>
    <w:p w14:paraId="6D2615A2">
      <w:pPr>
        <w:ind w:firstLine="480"/>
        <w:jc w:val="left"/>
        <w:rPr>
          <w:rFonts w:cs="Times New Roman"/>
          <w:szCs w:val="24"/>
        </w:rPr>
      </w:pPr>
      <w:r>
        <w:rPr>
          <w:rFonts w:cs="Times New Roman"/>
          <w:szCs w:val="24"/>
        </w:rPr>
        <w:t>本项目采矿过程不涉及废气、废水排放，不新增噪声源，矿区现状噪声强度能达到《工业企业厂界环境噪声排放标准》（GB12348-2008）表1中的3类标准；生产过程中产生的固废均得到安全处置，不外排。在采取本报告书提出的各项污染防治措施后，项目生产过程中污染物均可做到达标排放。</w:t>
      </w:r>
    </w:p>
    <w:p w14:paraId="58F223A2">
      <w:pPr>
        <w:ind w:firstLine="480"/>
        <w:jc w:val="left"/>
        <w:rPr>
          <w:rFonts w:cs="Times New Roman"/>
          <w:szCs w:val="24"/>
        </w:rPr>
      </w:pPr>
      <w:r>
        <w:rPr>
          <w:rFonts w:cs="Times New Roman"/>
          <w:szCs w:val="24"/>
        </w:rPr>
        <w:t>7、总量控制</w:t>
      </w:r>
    </w:p>
    <w:p w14:paraId="22BA7678">
      <w:pPr>
        <w:ind w:firstLine="480"/>
        <w:jc w:val="left"/>
        <w:rPr>
          <w:rFonts w:cs="Times New Roman"/>
          <w:szCs w:val="24"/>
        </w:rPr>
      </w:pPr>
      <w:r>
        <w:rPr>
          <w:rFonts w:cs="Times New Roman"/>
          <w:szCs w:val="24"/>
        </w:rPr>
        <w:t>结合本工程生产特点，本项目不需设置总量控制。</w:t>
      </w:r>
    </w:p>
    <w:p w14:paraId="33BC39EE">
      <w:pPr>
        <w:keepNext/>
        <w:keepLines/>
        <w:ind w:firstLine="0" w:firstLineChars="0"/>
        <w:outlineLvl w:val="2"/>
        <w:rPr>
          <w:rFonts w:cs="Times New Roman"/>
          <w:b/>
          <w:bCs/>
          <w:sz w:val="28"/>
          <w:szCs w:val="32"/>
        </w:rPr>
      </w:pPr>
      <w:bookmarkStart w:id="1078" w:name="_Toc90997777"/>
      <w:bookmarkStart w:id="1079" w:name="_Toc90318539"/>
      <w:bookmarkStart w:id="1080" w:name="_Toc90989362"/>
      <w:bookmarkStart w:id="1081" w:name="_Toc89786266"/>
      <w:bookmarkStart w:id="1082" w:name="_Toc89882579"/>
      <w:bookmarkStart w:id="1083" w:name="_Toc121420933"/>
      <w:bookmarkStart w:id="1084" w:name="_Toc86852487"/>
      <w:r>
        <w:rPr>
          <w:rFonts w:cs="Times New Roman"/>
          <w:b/>
          <w:bCs/>
          <w:sz w:val="28"/>
          <w:szCs w:val="32"/>
        </w:rPr>
        <w:t>10.1.3 环境质量现状</w:t>
      </w:r>
      <w:bookmarkEnd w:id="1078"/>
      <w:bookmarkEnd w:id="1079"/>
      <w:bookmarkEnd w:id="1080"/>
      <w:bookmarkEnd w:id="1081"/>
      <w:bookmarkEnd w:id="1082"/>
      <w:bookmarkEnd w:id="1083"/>
      <w:bookmarkEnd w:id="1084"/>
    </w:p>
    <w:p w14:paraId="791D4ACC">
      <w:pPr>
        <w:ind w:firstLine="480"/>
        <w:jc w:val="left"/>
        <w:rPr>
          <w:rFonts w:cs="Times New Roman"/>
          <w:szCs w:val="24"/>
        </w:rPr>
      </w:pPr>
      <w:r>
        <w:rPr>
          <w:rFonts w:cs="Times New Roman"/>
          <w:szCs w:val="24"/>
        </w:rPr>
        <w:t>1、环境空气质量现状</w:t>
      </w:r>
    </w:p>
    <w:p w14:paraId="2A15A68A">
      <w:pPr>
        <w:ind w:firstLine="480"/>
        <w:jc w:val="left"/>
        <w:rPr>
          <w:rFonts w:cs="Times New Roman"/>
          <w:szCs w:val="24"/>
        </w:rPr>
      </w:pPr>
      <w:r>
        <w:rPr>
          <w:rFonts w:cs="Times New Roman"/>
          <w:szCs w:val="24"/>
        </w:rPr>
        <w:t>根据衡阳市环境空气质量常规监测点衡阳化工总厂2021年空气监测数据，松木经开区为环境空气“</w:t>
      </w:r>
      <w:r>
        <w:rPr>
          <w:rFonts w:hint="eastAsia" w:cs="Times New Roman"/>
          <w:szCs w:val="24"/>
        </w:rPr>
        <w:t>不</w:t>
      </w:r>
      <w:r>
        <w:rPr>
          <w:rFonts w:cs="Times New Roman"/>
          <w:szCs w:val="24"/>
        </w:rPr>
        <w:t>达标区域”。</w:t>
      </w:r>
      <w:r>
        <w:rPr>
          <w:rFonts w:hint="eastAsia"/>
        </w:rPr>
        <w:t xml:space="preserve"> </w:t>
      </w:r>
      <w:bookmarkStart w:id="1085" w:name="_Hlk113283521"/>
      <w:r>
        <w:rPr>
          <w:rFonts w:hint="eastAsia"/>
        </w:rPr>
        <w:t>根据</w:t>
      </w:r>
      <w:r>
        <w:rPr>
          <w:rFonts w:hint="eastAsia" w:cs="Times New Roman"/>
          <w:szCs w:val="24"/>
        </w:rPr>
        <w:t>2022年4月发布《衡阳市“十四五”空气质量改善规划》（衡环函【2022】16号），2025年松木经开区PM</w:t>
      </w:r>
      <w:r>
        <w:rPr>
          <w:rFonts w:hint="eastAsia" w:cs="Times New Roman"/>
          <w:szCs w:val="24"/>
          <w:vertAlign w:val="subscript"/>
        </w:rPr>
        <w:t>2.5</w:t>
      </w:r>
      <w:r>
        <w:rPr>
          <w:rFonts w:hint="eastAsia" w:cs="Times New Roman"/>
          <w:szCs w:val="24"/>
        </w:rPr>
        <w:t>年平均浓度下降至</w:t>
      </w:r>
      <w:r>
        <w:rPr>
          <w:rFonts w:cs="Times New Roman"/>
          <w:szCs w:val="24"/>
        </w:rPr>
        <w:t>33μg/m</w:t>
      </w:r>
      <w:r>
        <w:rPr>
          <w:rFonts w:cs="Times New Roman"/>
          <w:szCs w:val="24"/>
          <w:vertAlign w:val="superscript"/>
        </w:rPr>
        <w:t>3</w:t>
      </w:r>
      <w:r>
        <w:rPr>
          <w:rFonts w:hint="eastAsia" w:cs="Times New Roman"/>
          <w:szCs w:val="24"/>
        </w:rPr>
        <w:t>。</w:t>
      </w:r>
      <w:bookmarkEnd w:id="1085"/>
    </w:p>
    <w:p w14:paraId="07605678">
      <w:pPr>
        <w:ind w:firstLine="480"/>
        <w:jc w:val="left"/>
        <w:rPr>
          <w:rFonts w:cs="Times New Roman"/>
          <w:szCs w:val="24"/>
        </w:rPr>
      </w:pPr>
      <w:r>
        <w:rPr>
          <w:rFonts w:cs="Times New Roman"/>
          <w:szCs w:val="24"/>
        </w:rPr>
        <w:t>2、地表水环境质量现状</w:t>
      </w:r>
    </w:p>
    <w:p w14:paraId="7C105AA2">
      <w:pPr>
        <w:ind w:firstLine="480"/>
        <w:jc w:val="left"/>
        <w:rPr>
          <w:rFonts w:cs="Times New Roman"/>
          <w:szCs w:val="24"/>
        </w:rPr>
      </w:pPr>
      <w:r>
        <w:rPr>
          <w:rFonts w:cs="Times New Roman"/>
          <w:szCs w:val="24"/>
        </w:rPr>
        <w:t>本次地表水评价在松木污水处理厂排污口上游500m、松木污水处理厂排污口下游1000m布设2个监测断面，监测结果表明，各监测断面中各监测因子浓度均达到《地表水环境质量标准》（GB3838-2002）</w:t>
      </w:r>
      <w:r>
        <w:rPr>
          <w:rFonts w:hint="eastAsia" w:ascii="宋体" w:hAnsi="宋体" w:cs="宋体"/>
          <w:szCs w:val="24"/>
        </w:rPr>
        <w:t>Ⅲ</w:t>
      </w:r>
      <w:r>
        <w:rPr>
          <w:rFonts w:cs="Times New Roman"/>
          <w:szCs w:val="24"/>
        </w:rPr>
        <w:t>类水质标准要求。</w:t>
      </w:r>
    </w:p>
    <w:p w14:paraId="3A1E1A4B">
      <w:pPr>
        <w:ind w:firstLine="480"/>
        <w:jc w:val="left"/>
        <w:rPr>
          <w:rFonts w:cs="Times New Roman"/>
          <w:szCs w:val="24"/>
        </w:rPr>
      </w:pPr>
      <w:r>
        <w:rPr>
          <w:rFonts w:cs="Times New Roman"/>
          <w:szCs w:val="24"/>
        </w:rPr>
        <w:t>3、地下水环境质量现状</w:t>
      </w:r>
    </w:p>
    <w:p w14:paraId="6A41C7D0">
      <w:pPr>
        <w:ind w:firstLine="480"/>
        <w:jc w:val="left"/>
        <w:rPr>
          <w:rFonts w:cs="Times New Roman"/>
          <w:szCs w:val="24"/>
        </w:rPr>
      </w:pPr>
      <w:r>
        <w:rPr>
          <w:rFonts w:cs="Times New Roman"/>
          <w:szCs w:val="24"/>
        </w:rPr>
        <w:t>地下水评价在矿区附近布设3个监测点，各监测点位中各监测因子浓度均达到《地下水质量标准》（GB/T14848-2017）中的</w:t>
      </w:r>
      <w:r>
        <w:rPr>
          <w:rFonts w:hint="eastAsia" w:ascii="宋体" w:hAnsi="宋体" w:cs="宋体"/>
          <w:szCs w:val="24"/>
        </w:rPr>
        <w:t>Ⅲ</w:t>
      </w:r>
      <w:r>
        <w:rPr>
          <w:rFonts w:cs="Times New Roman"/>
          <w:szCs w:val="24"/>
        </w:rPr>
        <w:t>类水质标准。</w:t>
      </w:r>
    </w:p>
    <w:p w14:paraId="73E03E0B">
      <w:pPr>
        <w:ind w:firstLine="480"/>
        <w:jc w:val="left"/>
        <w:rPr>
          <w:rFonts w:cs="Times New Roman"/>
          <w:szCs w:val="24"/>
        </w:rPr>
      </w:pPr>
      <w:r>
        <w:rPr>
          <w:rFonts w:cs="Times New Roman"/>
          <w:szCs w:val="24"/>
        </w:rPr>
        <w:t>4、声环境质量现状</w:t>
      </w:r>
    </w:p>
    <w:p w14:paraId="5DC096B7">
      <w:pPr>
        <w:ind w:firstLine="480"/>
        <w:jc w:val="left"/>
        <w:rPr>
          <w:rFonts w:cs="Times New Roman"/>
          <w:szCs w:val="24"/>
        </w:rPr>
      </w:pPr>
      <w:r>
        <w:rPr>
          <w:rFonts w:cs="Times New Roman"/>
          <w:szCs w:val="24"/>
        </w:rPr>
        <w:t>评价在矿区周边设置了4个声环境测点，分昼、夜进行监测。监测结果表明，各噪声测点等效连续A声级均低于《声环境质量标准》（GB3096-2008）中的3类</w:t>
      </w:r>
      <w:r>
        <w:rPr>
          <w:rFonts w:hint="eastAsia" w:cs="Times New Roman"/>
          <w:szCs w:val="24"/>
        </w:rPr>
        <w:t>及4</w:t>
      </w:r>
      <w:r>
        <w:rPr>
          <w:rFonts w:cs="Times New Roman"/>
          <w:szCs w:val="24"/>
        </w:rPr>
        <w:t>a</w:t>
      </w:r>
      <w:r>
        <w:rPr>
          <w:rFonts w:hint="eastAsia" w:cs="Times New Roman"/>
          <w:szCs w:val="24"/>
        </w:rPr>
        <w:t>类</w:t>
      </w:r>
      <w:r>
        <w:rPr>
          <w:rFonts w:cs="Times New Roman"/>
          <w:szCs w:val="24"/>
        </w:rPr>
        <w:t>标准。</w:t>
      </w:r>
    </w:p>
    <w:p w14:paraId="515E6CF8">
      <w:pPr>
        <w:keepNext/>
        <w:keepLines/>
        <w:ind w:firstLine="0" w:firstLineChars="0"/>
        <w:outlineLvl w:val="2"/>
        <w:rPr>
          <w:rFonts w:cs="Times New Roman"/>
          <w:b/>
          <w:bCs/>
          <w:sz w:val="28"/>
          <w:szCs w:val="32"/>
        </w:rPr>
      </w:pPr>
      <w:bookmarkStart w:id="1086" w:name="_Toc86852488"/>
      <w:bookmarkStart w:id="1087" w:name="_Toc89882580"/>
      <w:bookmarkStart w:id="1088" w:name="_Toc89786267"/>
      <w:bookmarkStart w:id="1089" w:name="_Toc90318540"/>
      <w:bookmarkStart w:id="1090" w:name="_Toc90997778"/>
      <w:bookmarkStart w:id="1091" w:name="_Toc90989363"/>
      <w:bookmarkStart w:id="1092" w:name="_Toc121420934"/>
      <w:r>
        <w:rPr>
          <w:rFonts w:cs="Times New Roman"/>
          <w:b/>
          <w:bCs/>
          <w:sz w:val="28"/>
          <w:szCs w:val="32"/>
        </w:rPr>
        <w:t>10.1.4 污染源强及环保措施</w:t>
      </w:r>
      <w:bookmarkEnd w:id="1086"/>
      <w:bookmarkEnd w:id="1087"/>
      <w:bookmarkEnd w:id="1088"/>
      <w:bookmarkEnd w:id="1089"/>
      <w:bookmarkEnd w:id="1090"/>
      <w:bookmarkEnd w:id="1091"/>
      <w:bookmarkEnd w:id="1092"/>
    </w:p>
    <w:p w14:paraId="75AE77B6">
      <w:pPr>
        <w:ind w:firstLine="480"/>
        <w:jc w:val="left"/>
        <w:rPr>
          <w:rFonts w:cs="Times New Roman"/>
          <w:szCs w:val="24"/>
        </w:rPr>
      </w:pPr>
      <w:r>
        <w:rPr>
          <w:rFonts w:cs="Times New Roman"/>
          <w:szCs w:val="24"/>
        </w:rPr>
        <w:t>1、废气</w:t>
      </w:r>
    </w:p>
    <w:p w14:paraId="147BA0F7">
      <w:pPr>
        <w:ind w:firstLine="480"/>
        <w:rPr>
          <w:rFonts w:cs="Times New Roman"/>
        </w:rPr>
      </w:pPr>
      <w:r>
        <w:rPr>
          <w:rFonts w:cs="Times New Roman"/>
        </w:rPr>
        <w:t>本项目无废气排放。</w:t>
      </w:r>
    </w:p>
    <w:p w14:paraId="1BB2D494">
      <w:pPr>
        <w:ind w:firstLine="480"/>
        <w:jc w:val="left"/>
        <w:rPr>
          <w:rFonts w:cs="Times New Roman"/>
          <w:szCs w:val="24"/>
        </w:rPr>
      </w:pPr>
      <w:r>
        <w:rPr>
          <w:rFonts w:cs="Times New Roman"/>
          <w:szCs w:val="24"/>
        </w:rPr>
        <w:t>2、废水</w:t>
      </w:r>
    </w:p>
    <w:p w14:paraId="34972277">
      <w:pPr>
        <w:ind w:firstLine="480"/>
        <w:rPr>
          <w:rFonts w:cs="Times New Roman"/>
        </w:rPr>
      </w:pPr>
      <w:r>
        <w:rPr>
          <w:rFonts w:cs="Times New Roman"/>
        </w:rPr>
        <w:t>本项目无废水产生。</w:t>
      </w:r>
    </w:p>
    <w:p w14:paraId="6A971941">
      <w:pPr>
        <w:ind w:firstLine="480"/>
        <w:jc w:val="left"/>
        <w:rPr>
          <w:rFonts w:cs="Times New Roman"/>
          <w:szCs w:val="24"/>
        </w:rPr>
      </w:pPr>
      <w:r>
        <w:rPr>
          <w:rFonts w:cs="Times New Roman"/>
          <w:szCs w:val="24"/>
        </w:rPr>
        <w:t>3、噪声</w:t>
      </w:r>
    </w:p>
    <w:p w14:paraId="6C910CE1">
      <w:pPr>
        <w:ind w:firstLine="480"/>
        <w:jc w:val="left"/>
        <w:rPr>
          <w:rFonts w:cs="Times New Roman"/>
          <w:szCs w:val="24"/>
        </w:rPr>
      </w:pPr>
      <w:r>
        <w:rPr>
          <w:rFonts w:cs="Times New Roman"/>
          <w:szCs w:val="24"/>
        </w:rPr>
        <w:t>本项目噪声主要来源于采卤车间，本项目采卤车间不新增噪声源，现状噪声监测数据满足《声环境质量标准》（GB3096-2008）中3类标准，本项目噪声对周边敏感点环境影响较小。</w:t>
      </w:r>
    </w:p>
    <w:p w14:paraId="1E0E500A">
      <w:pPr>
        <w:ind w:firstLine="480"/>
        <w:jc w:val="left"/>
        <w:rPr>
          <w:rFonts w:cs="Times New Roman"/>
          <w:szCs w:val="24"/>
        </w:rPr>
      </w:pPr>
      <w:r>
        <w:rPr>
          <w:rFonts w:cs="Times New Roman"/>
          <w:szCs w:val="24"/>
        </w:rPr>
        <w:t>4、固体废物</w:t>
      </w:r>
    </w:p>
    <w:p w14:paraId="37639A20">
      <w:pPr>
        <w:ind w:firstLine="480"/>
        <w:jc w:val="left"/>
        <w:rPr>
          <w:rFonts w:cs="Times New Roman"/>
          <w:szCs w:val="24"/>
        </w:rPr>
      </w:pPr>
      <w:r>
        <w:rPr>
          <w:rFonts w:cs="Times New Roman"/>
          <w:szCs w:val="24"/>
        </w:rPr>
        <w:t>本项目产生的固体废物主要为</w:t>
      </w:r>
      <w:bookmarkStart w:id="1093" w:name="_Hlk89697021"/>
      <w:r>
        <w:rPr>
          <w:rFonts w:cs="Times New Roman"/>
          <w:szCs w:val="24"/>
        </w:rPr>
        <w:t>卤水池残渣和废机油</w:t>
      </w:r>
      <w:bookmarkEnd w:id="1093"/>
      <w:r>
        <w:rPr>
          <w:rFonts w:cs="Times New Roman"/>
          <w:szCs w:val="24"/>
        </w:rPr>
        <w:t>。</w:t>
      </w:r>
    </w:p>
    <w:p w14:paraId="16505226">
      <w:pPr>
        <w:ind w:firstLine="480"/>
        <w:jc w:val="left"/>
        <w:rPr>
          <w:rFonts w:cs="Times New Roman"/>
          <w:szCs w:val="24"/>
        </w:rPr>
      </w:pPr>
      <w:bookmarkStart w:id="1094" w:name="_Hlk89697073"/>
      <w:r>
        <w:rPr>
          <w:rFonts w:cs="Times New Roman"/>
          <w:szCs w:val="24"/>
        </w:rPr>
        <w:t>卤水池残渣依托建滔（衡阳）实业有限公司烧碱生产部盐泥压滤机压干处理后与烧碱生产部盐泥一并收集后外售。废机油经机修车间统一收集后，</w:t>
      </w:r>
      <w:r>
        <w:rPr>
          <w:rFonts w:hint="eastAsia" w:cs="Times New Roman"/>
          <w:szCs w:val="24"/>
        </w:rPr>
        <w:t>利用现有</w:t>
      </w:r>
      <w:r>
        <w:rPr>
          <w:rFonts w:cs="Times New Roman"/>
          <w:szCs w:val="24"/>
        </w:rPr>
        <w:t>危废暂存间暂存，并委托有资质单位处理。</w:t>
      </w:r>
      <w:bookmarkEnd w:id="1094"/>
      <w:r>
        <w:rPr>
          <w:rFonts w:cs="Times New Roman"/>
          <w:szCs w:val="24"/>
        </w:rPr>
        <w:t>本项目对营运期固体废物均妥善处理，对环境影响不大。</w:t>
      </w:r>
    </w:p>
    <w:p w14:paraId="24C96BCF">
      <w:pPr>
        <w:keepNext/>
        <w:keepLines/>
        <w:ind w:firstLine="0" w:firstLineChars="0"/>
        <w:outlineLvl w:val="2"/>
        <w:rPr>
          <w:rFonts w:cs="Times New Roman"/>
          <w:b/>
          <w:bCs/>
          <w:sz w:val="28"/>
          <w:szCs w:val="32"/>
        </w:rPr>
      </w:pPr>
      <w:bookmarkStart w:id="1095" w:name="_Toc90318541"/>
      <w:bookmarkStart w:id="1096" w:name="_Toc121420935"/>
      <w:bookmarkStart w:id="1097" w:name="_Toc90997779"/>
      <w:bookmarkStart w:id="1098" w:name="_Toc90989364"/>
      <w:bookmarkStart w:id="1099" w:name="_Toc86852489"/>
      <w:bookmarkStart w:id="1100" w:name="_Toc89882581"/>
      <w:bookmarkStart w:id="1101" w:name="_Toc89786268"/>
      <w:r>
        <w:rPr>
          <w:rFonts w:cs="Times New Roman"/>
          <w:b/>
          <w:bCs/>
          <w:sz w:val="28"/>
          <w:szCs w:val="32"/>
        </w:rPr>
        <w:t>10.1.5环境影响预测与分析</w:t>
      </w:r>
      <w:bookmarkEnd w:id="1095"/>
      <w:bookmarkEnd w:id="1096"/>
      <w:bookmarkEnd w:id="1097"/>
      <w:bookmarkEnd w:id="1098"/>
      <w:bookmarkEnd w:id="1099"/>
      <w:bookmarkEnd w:id="1100"/>
      <w:bookmarkEnd w:id="1101"/>
    </w:p>
    <w:p w14:paraId="199BC165">
      <w:pPr>
        <w:ind w:firstLine="480"/>
        <w:jc w:val="left"/>
        <w:rPr>
          <w:rFonts w:cs="Times New Roman"/>
          <w:szCs w:val="24"/>
        </w:rPr>
      </w:pPr>
      <w:r>
        <w:rPr>
          <w:rFonts w:cs="Times New Roman"/>
          <w:szCs w:val="24"/>
        </w:rPr>
        <w:t>1、固废废物</w:t>
      </w:r>
    </w:p>
    <w:p w14:paraId="14934150">
      <w:pPr>
        <w:ind w:firstLine="480"/>
        <w:jc w:val="left"/>
        <w:rPr>
          <w:rFonts w:cs="Times New Roman"/>
          <w:szCs w:val="24"/>
        </w:rPr>
      </w:pPr>
      <w:r>
        <w:rPr>
          <w:rFonts w:cs="Times New Roman"/>
          <w:szCs w:val="24"/>
        </w:rPr>
        <w:t>本项目产生的固体废物主要为卤水池残渣和废机油。本项目卤水池残渣成分主要为钙镁泥浆，属于一般工业固废，依托建滔（衡阳）实业有限公司烧碱生产部盐泥压滤机压干处理后与烧碱生产部盐泥一并收集后外售。废机油经机修车间统一收集后，</w:t>
      </w:r>
      <w:r>
        <w:rPr>
          <w:rFonts w:hint="eastAsia" w:cs="Times New Roman"/>
          <w:szCs w:val="24"/>
        </w:rPr>
        <w:t>利用现有</w:t>
      </w:r>
      <w:r>
        <w:rPr>
          <w:rFonts w:cs="Times New Roman"/>
          <w:szCs w:val="24"/>
        </w:rPr>
        <w:t>危废暂存间暂存，并委托有资质单位处理。在采取评价中提出的环保措施后，固体废物可得到安全处置。</w:t>
      </w:r>
    </w:p>
    <w:p w14:paraId="2CFD2266">
      <w:pPr>
        <w:ind w:firstLine="480"/>
        <w:jc w:val="left"/>
        <w:rPr>
          <w:rFonts w:cs="Times New Roman"/>
          <w:szCs w:val="24"/>
        </w:rPr>
      </w:pPr>
      <w:r>
        <w:rPr>
          <w:rFonts w:cs="Times New Roman"/>
          <w:szCs w:val="24"/>
        </w:rPr>
        <w:t>2、生态环境</w:t>
      </w:r>
    </w:p>
    <w:p w14:paraId="205D48B1">
      <w:pPr>
        <w:ind w:firstLine="480"/>
        <w:jc w:val="left"/>
        <w:rPr>
          <w:rFonts w:cs="Times New Roman"/>
          <w:szCs w:val="24"/>
        </w:rPr>
      </w:pPr>
      <w:r>
        <w:rPr>
          <w:rFonts w:cs="Times New Roman"/>
          <w:szCs w:val="24"/>
        </w:rPr>
        <w:t>本项目是对矿山的开采，对现有的土地利用现状影响较小，矿区通过治理和生态恢复措施，使被破坏的土壤植被和地貌形态基本得到恢复，使生态系统逐渐向良性循环方向发展，能使区域内的生态环境得到有效的改善。从矿区生态环境现状及岩盐矿多年运行实践来看，采卤生产未对矿区动植物资源造成明显破坏。</w:t>
      </w:r>
      <w:r>
        <w:rPr>
          <w:rFonts w:hint="eastAsia" w:cs="Times New Roman"/>
          <w:szCs w:val="24"/>
        </w:rPr>
        <w:t>在合理布置采区，保证保安矿柱的宽度、护顶矿层厚度和采取一定监测、应急处置措施的情况下，其引发地面塌陷（岩溶和采空区）、地裂缝、地面沉降地质灾害的危险性可控。</w:t>
      </w:r>
    </w:p>
    <w:p w14:paraId="35DE983F">
      <w:pPr>
        <w:ind w:firstLine="480"/>
        <w:jc w:val="left"/>
        <w:rPr>
          <w:rFonts w:cs="Times New Roman"/>
          <w:szCs w:val="24"/>
        </w:rPr>
      </w:pPr>
      <w:r>
        <w:rPr>
          <w:rFonts w:cs="Times New Roman"/>
          <w:szCs w:val="24"/>
        </w:rPr>
        <w:t>3、地下水环境</w:t>
      </w:r>
    </w:p>
    <w:p w14:paraId="07A411AC">
      <w:pPr>
        <w:ind w:firstLine="480"/>
        <w:jc w:val="left"/>
        <w:rPr>
          <w:rFonts w:cs="Times New Roman"/>
          <w:szCs w:val="24"/>
        </w:rPr>
      </w:pPr>
      <w:r>
        <w:rPr>
          <w:rFonts w:cs="Times New Roman"/>
          <w:szCs w:val="24"/>
        </w:rPr>
        <w:t>本项目非正常状况选取</w:t>
      </w:r>
      <w:r>
        <w:rPr>
          <w:rFonts w:hint="eastAsia" w:cs="Times New Roman"/>
          <w:szCs w:val="24"/>
        </w:rPr>
        <w:t>为卤水罐卤水泄漏、管廊内集卤管道破裂（含接口处）和井管破裂</w:t>
      </w:r>
      <w:r>
        <w:rPr>
          <w:rFonts w:cs="Times New Roman"/>
          <w:szCs w:val="24"/>
        </w:rPr>
        <w:t>进入地下水作为预测分析对象。</w:t>
      </w:r>
    </w:p>
    <w:p w14:paraId="74FD2923">
      <w:pPr>
        <w:ind w:firstLine="480"/>
        <w:jc w:val="left"/>
        <w:rPr>
          <w:rFonts w:cs="Times New Roman"/>
          <w:szCs w:val="24"/>
        </w:rPr>
      </w:pPr>
      <w:r>
        <w:rPr>
          <w:rFonts w:cs="Times New Roman"/>
          <w:szCs w:val="24"/>
        </w:rPr>
        <w:t>根据预测结果，</w:t>
      </w:r>
      <w:r>
        <w:rPr>
          <w:rFonts w:hint="eastAsia" w:cs="Times New Roman"/>
          <w:szCs w:val="24"/>
        </w:rPr>
        <w:t>对于采卤场卤水池泄漏事故，</w:t>
      </w:r>
      <w:r>
        <w:rPr>
          <w:rFonts w:cs="Times New Roman"/>
          <w:szCs w:val="24"/>
        </w:rPr>
        <w:t>100d时，氯化物预测最大浓度为3085.3mg/L，污染物沿X方向超标距离28m。500d时，氯化物预测最大浓度为513mg/L，污染物沿X方向超标距离40m。1000d时，氯化物预测最大浓度为126mg/L，污染物不超标。3650d时，氯化物预测最大浓度为0.46mg/L，污染物不超标。100d时，硫酸盐预测最大浓度为202.14mg/L，污染物不超标。500d时，硫酸盐预测最大浓度为29.7mg/L，污染物不超标。1000d时，硫酸盐预测最大浓度为8.23mg/L，污染物不超标。3650d时，硫酸盐预测最大浓度为0.03mg/L，污染物不超标。</w:t>
      </w:r>
    </w:p>
    <w:p w14:paraId="07BE6AF2">
      <w:pPr>
        <w:ind w:firstLine="480"/>
        <w:jc w:val="left"/>
        <w:rPr>
          <w:rFonts w:cs="Times New Roman"/>
          <w:szCs w:val="24"/>
        </w:rPr>
      </w:pPr>
      <w:r>
        <w:rPr>
          <w:rFonts w:hint="eastAsia" w:cs="Times New Roman"/>
          <w:szCs w:val="24"/>
        </w:rPr>
        <w:t>对于输卤管线卤水泄漏事故，100d时，氯化物预测最大浓度为2574.64mg/L，污染物沿X方向超标距离27.3m。500d时，氯化物预测最大浓度为428.49mg/L，污染物沿X方向超标距离37.9m。1000d时，氯化物预测最大浓度为  104.81mg/L，污染物不超标。3650d时，氯化物预测最大浓度为0.316mg/L，污染物不超标。100d时，硫酸盐预测最大浓度为138.31mg/L，污染物不超标。500d时，硫酸盐预测最大浓度为20.3mg/L，污染物不超标。1000d时，硫酸盐预测最大浓度为5.63mg/L，污染物不超标。3650d时，硫酸盐预测最大浓度为0.021mg/L，污染物不超标。</w:t>
      </w:r>
    </w:p>
    <w:p w14:paraId="1AFBCB58">
      <w:pPr>
        <w:ind w:firstLine="480"/>
        <w:jc w:val="left"/>
        <w:rPr>
          <w:rFonts w:cs="Times New Roman"/>
          <w:szCs w:val="24"/>
        </w:rPr>
      </w:pPr>
      <w:r>
        <w:rPr>
          <w:rFonts w:hint="eastAsia" w:cs="Times New Roman"/>
          <w:szCs w:val="24"/>
        </w:rPr>
        <w:t>对于采卤井卤水泄漏事故，100d时，氯化物预测最大浓度为925.59mg/L，污染物沿X方向超标距离23.5m。500d时，氯化物预测最大浓度为154.04mg/L，污染物不超标。1000d时，氯化物预测最大浓度为37.7mg/L，污染物不超标。3650d时，氯化物预测最大浓度为0.11mg/L，污染物不超标。100d时，硫酸盐预测最大浓度为60.6mg/L，污染物不超标。500d时，硫酸盐预测最大浓度为8.91mg/L，污染物不超标。1000d时，硫酸盐预测最大浓度为2.47mg/L，污染物不超标。3650d时，硫酸盐预测最大浓度为0.009mg/L，污染物不超标。</w:t>
      </w:r>
    </w:p>
    <w:p w14:paraId="16F8BA67">
      <w:pPr>
        <w:ind w:firstLine="480"/>
        <w:jc w:val="left"/>
        <w:rPr>
          <w:rFonts w:cs="Times New Roman"/>
          <w:szCs w:val="24"/>
        </w:rPr>
      </w:pPr>
      <w:r>
        <w:rPr>
          <w:rFonts w:cs="Times New Roman"/>
          <w:szCs w:val="24"/>
        </w:rPr>
        <w:t>采卤</w:t>
      </w:r>
      <w:r>
        <w:rPr>
          <w:rFonts w:hint="eastAsia" w:cs="Times New Roman"/>
          <w:szCs w:val="24"/>
        </w:rPr>
        <w:t>过程</w:t>
      </w:r>
      <w:r>
        <w:rPr>
          <w:rFonts w:cs="Times New Roman"/>
          <w:szCs w:val="24"/>
        </w:rPr>
        <w:t>卤水发生泄露时，泄漏点附近地下水氯化物局部超标，超标距离在泄漏点40m内，</w:t>
      </w:r>
      <w:r>
        <w:rPr>
          <w:rFonts w:hint="eastAsia" w:cs="Times New Roman"/>
          <w:szCs w:val="24"/>
        </w:rPr>
        <w:t>基本可以控制在矿区范围内。矿山生产生活用水自湘江抽取，园区地下水不作为生活饮用水。</w:t>
      </w:r>
      <w:r>
        <w:rPr>
          <w:rFonts w:cs="Times New Roman"/>
          <w:szCs w:val="24"/>
        </w:rPr>
        <w:t>当发现非正常泄漏时，应迅速控制或切断排放源，对泄露物质进行封闭、截流，使污染地下水扩散得到有效抑制，最大限度地保护下游地下水水质安全，将损失降到最低限度。</w:t>
      </w:r>
    </w:p>
    <w:p w14:paraId="543768DC">
      <w:pPr>
        <w:ind w:firstLine="480"/>
        <w:jc w:val="left"/>
        <w:rPr>
          <w:rFonts w:cs="Times New Roman"/>
          <w:szCs w:val="24"/>
        </w:rPr>
      </w:pPr>
      <w:r>
        <w:rPr>
          <w:rFonts w:cs="Times New Roman"/>
          <w:szCs w:val="24"/>
        </w:rPr>
        <w:t>综上所述，采取控制措施后，项目对地下水环境的影响可接受。</w:t>
      </w:r>
    </w:p>
    <w:p w14:paraId="2DDEA738">
      <w:pPr>
        <w:ind w:firstLine="480"/>
        <w:jc w:val="left"/>
        <w:rPr>
          <w:rFonts w:cs="Times New Roman"/>
          <w:szCs w:val="24"/>
        </w:rPr>
      </w:pPr>
      <w:r>
        <w:rPr>
          <w:rFonts w:cs="Times New Roman"/>
          <w:szCs w:val="24"/>
        </w:rPr>
        <w:t>4、公众参与</w:t>
      </w:r>
    </w:p>
    <w:p w14:paraId="3275C997">
      <w:pPr>
        <w:ind w:firstLine="480"/>
        <w:jc w:val="left"/>
        <w:rPr>
          <w:rFonts w:cs="Times New Roman"/>
          <w:szCs w:val="24"/>
        </w:rPr>
      </w:pPr>
      <w:r>
        <w:rPr>
          <w:rFonts w:cs="Times New Roman"/>
          <w:szCs w:val="24"/>
        </w:rPr>
        <w:t>本次环评针对项目概况和群众所关心的一些环境问题，衡阳建滔化工有限公司根据《环境影响评价公众参与办法》（2019.1.1）要求完成了公众参与调查。从调查结果及调查反馈中可知，没有公众反对该项目的运营。在今后的工作中，需要企业进一步开展公众参与活动，结合公众意见并严格执行环评提出的环境保护措施，做到发展经济的同时注意环境保护，最终达到提高人民生活质量的目的。</w:t>
      </w:r>
    </w:p>
    <w:p w14:paraId="754104C7">
      <w:pPr>
        <w:keepNext/>
        <w:keepLines/>
        <w:ind w:firstLine="0" w:firstLineChars="0"/>
        <w:outlineLvl w:val="2"/>
        <w:rPr>
          <w:rFonts w:cs="Times New Roman"/>
          <w:b/>
          <w:bCs/>
          <w:sz w:val="28"/>
          <w:szCs w:val="24"/>
        </w:rPr>
      </w:pPr>
      <w:bookmarkStart w:id="1102" w:name="_Toc86852490"/>
      <w:bookmarkStart w:id="1103" w:name="_Toc121420936"/>
      <w:bookmarkStart w:id="1104" w:name="_Toc90318542"/>
      <w:bookmarkStart w:id="1105" w:name="_Toc90989365"/>
      <w:bookmarkStart w:id="1106" w:name="_Toc90997780"/>
      <w:bookmarkStart w:id="1107" w:name="_Toc89882582"/>
      <w:bookmarkStart w:id="1108" w:name="_Toc89786269"/>
      <w:r>
        <w:rPr>
          <w:rFonts w:cs="Times New Roman"/>
          <w:b/>
          <w:bCs/>
          <w:sz w:val="28"/>
          <w:szCs w:val="32"/>
        </w:rPr>
        <w:t>10.1.6</w:t>
      </w:r>
      <w:bookmarkEnd w:id="1102"/>
      <w:r>
        <w:rPr>
          <w:rFonts w:cs="Times New Roman"/>
          <w:b/>
          <w:bCs/>
          <w:sz w:val="28"/>
          <w:szCs w:val="24"/>
        </w:rPr>
        <w:t xml:space="preserve"> </w:t>
      </w:r>
      <w:bookmarkStart w:id="1109" w:name="_Toc86852491"/>
      <w:r>
        <w:rPr>
          <w:rFonts w:cs="Times New Roman"/>
          <w:b/>
          <w:bCs/>
          <w:sz w:val="28"/>
          <w:szCs w:val="32"/>
        </w:rPr>
        <w:t>总结论</w:t>
      </w:r>
      <w:bookmarkEnd w:id="1103"/>
      <w:bookmarkEnd w:id="1104"/>
      <w:bookmarkEnd w:id="1105"/>
      <w:bookmarkEnd w:id="1106"/>
      <w:bookmarkEnd w:id="1107"/>
      <w:bookmarkEnd w:id="1108"/>
      <w:bookmarkEnd w:id="1109"/>
    </w:p>
    <w:p w14:paraId="2541166B">
      <w:pPr>
        <w:ind w:firstLine="480"/>
        <w:jc w:val="left"/>
        <w:rPr>
          <w:rFonts w:cs="Times New Roman"/>
          <w:szCs w:val="24"/>
        </w:rPr>
      </w:pPr>
      <w:r>
        <w:rPr>
          <w:rFonts w:cs="Times New Roman"/>
          <w:szCs w:val="24"/>
        </w:rPr>
        <w:t>综上所述，本项目的建设利用工程现有的场地建设，综合利用矿山资源，符合《产业结构调整指导目录（2019年本）》等国家相关产业政策要求。项目所在地环境质量现状监测结果良好，有一定的环境容量。项目在认真落实本评价提出的各项环保措施及风险防范措施，并严格执行“三同时”制度的情况下，从环保角度看，工程的建设是可行的。</w:t>
      </w:r>
    </w:p>
    <w:p w14:paraId="4833F276">
      <w:pPr>
        <w:kinsoku w:val="0"/>
        <w:wordWrap/>
        <w:overflowPunct w:val="0"/>
        <w:topLinePunct w:val="0"/>
        <w:autoSpaceDE w:val="0"/>
        <w:autoSpaceDN w:val="0"/>
        <w:spacing w:before="166" w:beforeLines="50" w:after="166" w:afterLines="50"/>
        <w:ind w:firstLine="0" w:firstLineChars="0"/>
        <w:jc w:val="left"/>
        <w:outlineLvl w:val="1"/>
        <w:rPr>
          <w:rFonts w:cs="Times New Roman"/>
          <w:b/>
          <w:sz w:val="30"/>
        </w:rPr>
      </w:pPr>
      <w:bookmarkStart w:id="1110" w:name="_Toc121420937"/>
      <w:r>
        <w:rPr>
          <w:rFonts w:cs="Times New Roman"/>
          <w:b/>
          <w:sz w:val="30"/>
        </w:rPr>
        <w:t>10.2建议</w:t>
      </w:r>
      <w:bookmarkEnd w:id="1110"/>
      <w:bookmarkStart w:id="1111" w:name="_Toc63257264"/>
    </w:p>
    <w:p w14:paraId="6D624005">
      <w:pPr>
        <w:ind w:firstLine="480"/>
        <w:jc w:val="left"/>
        <w:rPr>
          <w:rFonts w:cs="Times New Roman"/>
          <w:szCs w:val="24"/>
        </w:rPr>
      </w:pPr>
      <w:r>
        <w:rPr>
          <w:rFonts w:cs="Times New Roman"/>
          <w:szCs w:val="24"/>
        </w:rPr>
        <w:t>（1）建设方应严格执行国家有关环保政策，严格环保措施，做到各项污染源均达标排放。</w:t>
      </w:r>
    </w:p>
    <w:p w14:paraId="6251CDEB">
      <w:pPr>
        <w:ind w:firstLine="480"/>
        <w:jc w:val="left"/>
        <w:rPr>
          <w:rFonts w:cs="Times New Roman"/>
          <w:szCs w:val="24"/>
        </w:rPr>
      </w:pPr>
      <w:r>
        <w:rPr>
          <w:rFonts w:cs="Times New Roman"/>
          <w:szCs w:val="24"/>
        </w:rPr>
        <w:t>（2）生产过程中认真落实溶腔上方建构筑物变形观测；同时开展地表变形长期观测，及时掌握采卤地面沉降情况，发现问题及时采取措施处理。</w:t>
      </w:r>
    </w:p>
    <w:p w14:paraId="73F21AF4">
      <w:pPr>
        <w:ind w:firstLine="480"/>
        <w:jc w:val="left"/>
        <w:rPr>
          <w:rFonts w:cs="Times New Roman"/>
          <w:szCs w:val="24"/>
        </w:rPr>
      </w:pPr>
      <w:r>
        <w:rPr>
          <w:rFonts w:cs="Times New Roman"/>
          <w:szCs w:val="24"/>
        </w:rPr>
        <w:t>（3）重视源头治理，推行清洁生产技术，杜绝采集卤过程跑、冒、滴、漏；在加强技术管理的同时，加强生产管理，严防恶性污染事故的发生。</w:t>
      </w:r>
    </w:p>
    <w:p w14:paraId="157C61F3">
      <w:pPr>
        <w:ind w:firstLine="480"/>
        <w:jc w:val="left"/>
        <w:rPr>
          <w:rFonts w:cs="Times New Roman"/>
          <w:szCs w:val="24"/>
        </w:rPr>
      </w:pPr>
      <w:r>
        <w:rPr>
          <w:rFonts w:cs="Times New Roman"/>
          <w:szCs w:val="24"/>
        </w:rPr>
        <w:t>（4）工程建设应严格遵守“三同时”环保要求，确保环保资金到位。特别注意落实对矿区水土保持、生态恢复等防治措施，将矿区建设对周围环境的影响降到最低。</w:t>
      </w:r>
      <w:bookmarkEnd w:id="1111"/>
    </w:p>
    <w:sectPr>
      <w:pgSz w:w="11905" w:h="16838"/>
      <w:pgMar w:top="1440" w:right="1803" w:bottom="1440" w:left="1803" w:header="851" w:footer="992" w:gutter="0"/>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5D737">
    <w:pPr>
      <w:ind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0F28A">
    <w:pPr>
      <w:framePr w:wrap="around" w:vAnchor="text" w:hAnchor="margin" w:xAlign="center" w:y="1"/>
      <w:ind w:firstLine="480"/>
    </w:pPr>
    <w:r>
      <w:fldChar w:fldCharType="begin"/>
    </w:r>
    <w:r>
      <w:instrText xml:space="preserve">PAGE  </w:instrText>
    </w:r>
    <w:r>
      <w:fldChar w:fldCharType="end"/>
    </w:r>
  </w:p>
  <w:p w14:paraId="7A417592">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D16BF">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235F">
    <w:pPr>
      <w:framePr w:wrap="around" w:vAnchor="text" w:hAnchor="margin" w:xAlign="center" w:y="1"/>
      <w:ind w:firstLine="480"/>
    </w:pPr>
    <w:r>
      <w:fldChar w:fldCharType="begin"/>
    </w:r>
    <w:r>
      <w:instrText xml:space="preserve">PAGE  </w:instrText>
    </w:r>
    <w:r>
      <w:fldChar w:fldCharType="end"/>
    </w:r>
  </w:p>
  <w:p w14:paraId="474E8154">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320374"/>
      <w:docPartObj>
        <w:docPartGallery w:val="autotext"/>
      </w:docPartObj>
    </w:sdtPr>
    <w:sdtContent>
      <w:p w14:paraId="7B67BBB1">
        <w:pPr>
          <w:pStyle w:val="21"/>
          <w:ind w:firstLine="480"/>
          <w:jc w:val="center"/>
        </w:pPr>
        <w:r>
          <w:fldChar w:fldCharType="begin"/>
        </w:r>
        <w:r>
          <w:instrText xml:space="preserve">PAGE   \* MERGEFORMAT</w:instrText>
        </w:r>
        <w:r>
          <w:fldChar w:fldCharType="separate"/>
        </w:r>
        <w:r>
          <w:t>30</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6223976"/>
      <w:docPartObj>
        <w:docPartGallery w:val="autotext"/>
      </w:docPartObj>
    </w:sdtPr>
    <w:sdtContent>
      <w:p w14:paraId="10D8206D">
        <w:pPr>
          <w:pStyle w:val="21"/>
          <w:jc w:val="center"/>
        </w:pPr>
        <w:r>
          <w:fldChar w:fldCharType="begin"/>
        </w:r>
        <w:r>
          <w:instrText xml:space="preserve">PAGE   \* MERGEFORMAT</w:instrText>
        </w:r>
        <w:r>
          <w:fldChar w:fldCharType="separate"/>
        </w:r>
        <w:r>
          <w:rPr>
            <w:lang w:val="zh-CN"/>
          </w:rPr>
          <w:t>71</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7314935"/>
    </w:sdtPr>
    <w:sdtContent>
      <w:p w14:paraId="5148F54A">
        <w:pPr>
          <w:ind w:firstLine="480"/>
          <w:jc w:val="center"/>
        </w:pPr>
        <w:r>
          <w:fldChar w:fldCharType="begin"/>
        </w:r>
        <w:r>
          <w:instrText xml:space="preserve">PAGE   \* MERGEFORMAT</w:instrText>
        </w:r>
        <w:r>
          <w:fldChar w:fldCharType="separate"/>
        </w:r>
        <w:r>
          <w:rPr>
            <w:lang w:val="zh-CN"/>
          </w:rPr>
          <w:t>137</w:t>
        </w:r>
        <w:r>
          <w:fldChar w:fldCharType="end"/>
        </w:r>
      </w:p>
    </w:sdtContent>
  </w:sdt>
  <w:p w14:paraId="5FDEEC28">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833B9">
    <w:pPr>
      <w:pStyle w:val="2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8B0DC">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B424F">
    <w:pP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30"/>
  <w:drawingGridVerticalSpacing w:val="170"/>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ZlNGIwZmI4ZTFmN2U2MzBlYTUxMzQyY2VkMWEwOWQifQ=="/>
  </w:docVars>
  <w:rsids>
    <w:rsidRoot w:val="001B28D7"/>
    <w:rsid w:val="00000FD0"/>
    <w:rsid w:val="00001CDB"/>
    <w:rsid w:val="0000430B"/>
    <w:rsid w:val="00010416"/>
    <w:rsid w:val="00010E63"/>
    <w:rsid w:val="00011272"/>
    <w:rsid w:val="00011D31"/>
    <w:rsid w:val="00012BBE"/>
    <w:rsid w:val="00012EE3"/>
    <w:rsid w:val="00013C78"/>
    <w:rsid w:val="0001418C"/>
    <w:rsid w:val="00016203"/>
    <w:rsid w:val="00016E46"/>
    <w:rsid w:val="0002239C"/>
    <w:rsid w:val="000225F7"/>
    <w:rsid w:val="00023654"/>
    <w:rsid w:val="00023710"/>
    <w:rsid w:val="000238E0"/>
    <w:rsid w:val="00023C97"/>
    <w:rsid w:val="0002420B"/>
    <w:rsid w:val="000242DE"/>
    <w:rsid w:val="000253E8"/>
    <w:rsid w:val="00026C19"/>
    <w:rsid w:val="000303F1"/>
    <w:rsid w:val="00031476"/>
    <w:rsid w:val="0003163C"/>
    <w:rsid w:val="00031661"/>
    <w:rsid w:val="0003376F"/>
    <w:rsid w:val="00034EB5"/>
    <w:rsid w:val="00040E34"/>
    <w:rsid w:val="000410C0"/>
    <w:rsid w:val="000426D4"/>
    <w:rsid w:val="00042AC6"/>
    <w:rsid w:val="00042FF5"/>
    <w:rsid w:val="00044203"/>
    <w:rsid w:val="00044EAD"/>
    <w:rsid w:val="00045F5A"/>
    <w:rsid w:val="0004634D"/>
    <w:rsid w:val="0005241C"/>
    <w:rsid w:val="000535E6"/>
    <w:rsid w:val="00054C34"/>
    <w:rsid w:val="0006124F"/>
    <w:rsid w:val="00062C60"/>
    <w:rsid w:val="00062CAB"/>
    <w:rsid w:val="00063C94"/>
    <w:rsid w:val="000659AA"/>
    <w:rsid w:val="00066FC9"/>
    <w:rsid w:val="00070A9C"/>
    <w:rsid w:val="00073406"/>
    <w:rsid w:val="000768B8"/>
    <w:rsid w:val="00080DFF"/>
    <w:rsid w:val="00081845"/>
    <w:rsid w:val="00081C43"/>
    <w:rsid w:val="0008213A"/>
    <w:rsid w:val="000833BB"/>
    <w:rsid w:val="000839B0"/>
    <w:rsid w:val="00083AE2"/>
    <w:rsid w:val="000850B6"/>
    <w:rsid w:val="000864D5"/>
    <w:rsid w:val="000864FD"/>
    <w:rsid w:val="000900E2"/>
    <w:rsid w:val="00090CCE"/>
    <w:rsid w:val="00093858"/>
    <w:rsid w:val="000940CD"/>
    <w:rsid w:val="000949EA"/>
    <w:rsid w:val="000A18B4"/>
    <w:rsid w:val="000A2A16"/>
    <w:rsid w:val="000A59EE"/>
    <w:rsid w:val="000A649F"/>
    <w:rsid w:val="000A7984"/>
    <w:rsid w:val="000B0A44"/>
    <w:rsid w:val="000B1199"/>
    <w:rsid w:val="000B1593"/>
    <w:rsid w:val="000B38B3"/>
    <w:rsid w:val="000B437E"/>
    <w:rsid w:val="000B4CE7"/>
    <w:rsid w:val="000B58EF"/>
    <w:rsid w:val="000B5A2F"/>
    <w:rsid w:val="000B6378"/>
    <w:rsid w:val="000B6A5B"/>
    <w:rsid w:val="000B707F"/>
    <w:rsid w:val="000B73A2"/>
    <w:rsid w:val="000B7BA6"/>
    <w:rsid w:val="000C07BC"/>
    <w:rsid w:val="000C090C"/>
    <w:rsid w:val="000C3435"/>
    <w:rsid w:val="000C5344"/>
    <w:rsid w:val="000C6037"/>
    <w:rsid w:val="000C772A"/>
    <w:rsid w:val="000D028D"/>
    <w:rsid w:val="000D0669"/>
    <w:rsid w:val="000D191E"/>
    <w:rsid w:val="000D20B1"/>
    <w:rsid w:val="000D20DA"/>
    <w:rsid w:val="000D3381"/>
    <w:rsid w:val="000D3975"/>
    <w:rsid w:val="000D3FD6"/>
    <w:rsid w:val="000D7E41"/>
    <w:rsid w:val="000E0DC4"/>
    <w:rsid w:val="000E0FE1"/>
    <w:rsid w:val="000E19C2"/>
    <w:rsid w:val="000E29A2"/>
    <w:rsid w:val="000E30E1"/>
    <w:rsid w:val="000E3B99"/>
    <w:rsid w:val="000E4D76"/>
    <w:rsid w:val="000E5232"/>
    <w:rsid w:val="000E694B"/>
    <w:rsid w:val="000F098D"/>
    <w:rsid w:val="000F0CB6"/>
    <w:rsid w:val="000F13C3"/>
    <w:rsid w:val="000F45E0"/>
    <w:rsid w:val="000F4844"/>
    <w:rsid w:val="000F78FB"/>
    <w:rsid w:val="001009B2"/>
    <w:rsid w:val="00102DFE"/>
    <w:rsid w:val="00102E34"/>
    <w:rsid w:val="00102FAB"/>
    <w:rsid w:val="00103566"/>
    <w:rsid w:val="00112EDB"/>
    <w:rsid w:val="00114423"/>
    <w:rsid w:val="00114E86"/>
    <w:rsid w:val="00114F81"/>
    <w:rsid w:val="0011543A"/>
    <w:rsid w:val="001155E0"/>
    <w:rsid w:val="00115623"/>
    <w:rsid w:val="001157B7"/>
    <w:rsid w:val="001162BD"/>
    <w:rsid w:val="00116987"/>
    <w:rsid w:val="00116D5E"/>
    <w:rsid w:val="00122503"/>
    <w:rsid w:val="00122F69"/>
    <w:rsid w:val="0012339E"/>
    <w:rsid w:val="001246C6"/>
    <w:rsid w:val="00125093"/>
    <w:rsid w:val="00125874"/>
    <w:rsid w:val="00125B30"/>
    <w:rsid w:val="00125D0D"/>
    <w:rsid w:val="001279B7"/>
    <w:rsid w:val="001328BF"/>
    <w:rsid w:val="00133B0B"/>
    <w:rsid w:val="001345B3"/>
    <w:rsid w:val="00135450"/>
    <w:rsid w:val="001368D8"/>
    <w:rsid w:val="00137255"/>
    <w:rsid w:val="00137F79"/>
    <w:rsid w:val="001406CC"/>
    <w:rsid w:val="00140E99"/>
    <w:rsid w:val="001415B6"/>
    <w:rsid w:val="00142DA6"/>
    <w:rsid w:val="00142DC6"/>
    <w:rsid w:val="00143C99"/>
    <w:rsid w:val="00143F5C"/>
    <w:rsid w:val="00145FE9"/>
    <w:rsid w:val="0014786C"/>
    <w:rsid w:val="00151BF1"/>
    <w:rsid w:val="00153B60"/>
    <w:rsid w:val="00153C63"/>
    <w:rsid w:val="00153FE2"/>
    <w:rsid w:val="00156986"/>
    <w:rsid w:val="00160559"/>
    <w:rsid w:val="0016438E"/>
    <w:rsid w:val="00167663"/>
    <w:rsid w:val="00172CEE"/>
    <w:rsid w:val="00176E1F"/>
    <w:rsid w:val="00181947"/>
    <w:rsid w:val="00181AB7"/>
    <w:rsid w:val="0018216C"/>
    <w:rsid w:val="00182579"/>
    <w:rsid w:val="00184451"/>
    <w:rsid w:val="001851F6"/>
    <w:rsid w:val="00185564"/>
    <w:rsid w:val="0018710B"/>
    <w:rsid w:val="00187446"/>
    <w:rsid w:val="0018784E"/>
    <w:rsid w:val="0019009A"/>
    <w:rsid w:val="0019189C"/>
    <w:rsid w:val="001931AB"/>
    <w:rsid w:val="001937DC"/>
    <w:rsid w:val="00197CB7"/>
    <w:rsid w:val="001A07FD"/>
    <w:rsid w:val="001A0854"/>
    <w:rsid w:val="001A186F"/>
    <w:rsid w:val="001A2A84"/>
    <w:rsid w:val="001A40EE"/>
    <w:rsid w:val="001A4E11"/>
    <w:rsid w:val="001B1023"/>
    <w:rsid w:val="001B1403"/>
    <w:rsid w:val="001B22BC"/>
    <w:rsid w:val="001B28D7"/>
    <w:rsid w:val="001B2BE0"/>
    <w:rsid w:val="001B38C0"/>
    <w:rsid w:val="001B543B"/>
    <w:rsid w:val="001B632C"/>
    <w:rsid w:val="001B7AD0"/>
    <w:rsid w:val="001B7D86"/>
    <w:rsid w:val="001C0359"/>
    <w:rsid w:val="001C215E"/>
    <w:rsid w:val="001C33DF"/>
    <w:rsid w:val="001C3A67"/>
    <w:rsid w:val="001C44B7"/>
    <w:rsid w:val="001C6188"/>
    <w:rsid w:val="001C6BA4"/>
    <w:rsid w:val="001D17B9"/>
    <w:rsid w:val="001D1BF1"/>
    <w:rsid w:val="001D1E24"/>
    <w:rsid w:val="001D2946"/>
    <w:rsid w:val="001D3E32"/>
    <w:rsid w:val="001D7315"/>
    <w:rsid w:val="001D7A10"/>
    <w:rsid w:val="001E0D9B"/>
    <w:rsid w:val="001E1569"/>
    <w:rsid w:val="001E1AC0"/>
    <w:rsid w:val="001E3560"/>
    <w:rsid w:val="001E4335"/>
    <w:rsid w:val="001E4D30"/>
    <w:rsid w:val="001E5A92"/>
    <w:rsid w:val="001E61C9"/>
    <w:rsid w:val="001E6A83"/>
    <w:rsid w:val="001F01ED"/>
    <w:rsid w:val="001F19D1"/>
    <w:rsid w:val="001F2B50"/>
    <w:rsid w:val="001F3655"/>
    <w:rsid w:val="001F44E0"/>
    <w:rsid w:val="001F6794"/>
    <w:rsid w:val="00200492"/>
    <w:rsid w:val="00200B84"/>
    <w:rsid w:val="00201D1C"/>
    <w:rsid w:val="0020325F"/>
    <w:rsid w:val="0020466F"/>
    <w:rsid w:val="0020477C"/>
    <w:rsid w:val="00205B98"/>
    <w:rsid w:val="0020625C"/>
    <w:rsid w:val="0020725C"/>
    <w:rsid w:val="0020782B"/>
    <w:rsid w:val="00210D32"/>
    <w:rsid w:val="00211C0A"/>
    <w:rsid w:val="00212C48"/>
    <w:rsid w:val="002140E0"/>
    <w:rsid w:val="00214E77"/>
    <w:rsid w:val="0021603D"/>
    <w:rsid w:val="002177EF"/>
    <w:rsid w:val="00220CDA"/>
    <w:rsid w:val="00222980"/>
    <w:rsid w:val="00222BE8"/>
    <w:rsid w:val="00222DD7"/>
    <w:rsid w:val="00223428"/>
    <w:rsid w:val="00223FAE"/>
    <w:rsid w:val="00224ECE"/>
    <w:rsid w:val="002258C9"/>
    <w:rsid w:val="00225D70"/>
    <w:rsid w:val="00227B91"/>
    <w:rsid w:val="00230A6B"/>
    <w:rsid w:val="0023211E"/>
    <w:rsid w:val="002328AF"/>
    <w:rsid w:val="00232ABA"/>
    <w:rsid w:val="00232DA8"/>
    <w:rsid w:val="00233B6A"/>
    <w:rsid w:val="00234637"/>
    <w:rsid w:val="0023718D"/>
    <w:rsid w:val="002378E0"/>
    <w:rsid w:val="00240184"/>
    <w:rsid w:val="00241038"/>
    <w:rsid w:val="00241CC3"/>
    <w:rsid w:val="002435C0"/>
    <w:rsid w:val="00244741"/>
    <w:rsid w:val="00244C20"/>
    <w:rsid w:val="002454FC"/>
    <w:rsid w:val="002473A1"/>
    <w:rsid w:val="00247B4A"/>
    <w:rsid w:val="00252305"/>
    <w:rsid w:val="002534DD"/>
    <w:rsid w:val="00255B7A"/>
    <w:rsid w:val="00255E14"/>
    <w:rsid w:val="00256A75"/>
    <w:rsid w:val="00256BF6"/>
    <w:rsid w:val="00257256"/>
    <w:rsid w:val="00257D55"/>
    <w:rsid w:val="00257F05"/>
    <w:rsid w:val="00260C40"/>
    <w:rsid w:val="00260F79"/>
    <w:rsid w:val="002610BB"/>
    <w:rsid w:val="00262D33"/>
    <w:rsid w:val="00263B1A"/>
    <w:rsid w:val="00264785"/>
    <w:rsid w:val="00266B57"/>
    <w:rsid w:val="00267E76"/>
    <w:rsid w:val="002749FF"/>
    <w:rsid w:val="00275A0E"/>
    <w:rsid w:val="00276269"/>
    <w:rsid w:val="00276D70"/>
    <w:rsid w:val="00280036"/>
    <w:rsid w:val="00281078"/>
    <w:rsid w:val="002837D9"/>
    <w:rsid w:val="002838ED"/>
    <w:rsid w:val="00287DDF"/>
    <w:rsid w:val="00287F2A"/>
    <w:rsid w:val="00290657"/>
    <w:rsid w:val="002916B3"/>
    <w:rsid w:val="0029337E"/>
    <w:rsid w:val="002935EB"/>
    <w:rsid w:val="00293876"/>
    <w:rsid w:val="002938CA"/>
    <w:rsid w:val="00293E99"/>
    <w:rsid w:val="0029498D"/>
    <w:rsid w:val="00295CDF"/>
    <w:rsid w:val="00297407"/>
    <w:rsid w:val="002A1462"/>
    <w:rsid w:val="002A1A49"/>
    <w:rsid w:val="002A1DCB"/>
    <w:rsid w:val="002A2798"/>
    <w:rsid w:val="002A2C72"/>
    <w:rsid w:val="002A3E69"/>
    <w:rsid w:val="002A3F97"/>
    <w:rsid w:val="002A5B11"/>
    <w:rsid w:val="002A5D21"/>
    <w:rsid w:val="002A7773"/>
    <w:rsid w:val="002B06FC"/>
    <w:rsid w:val="002B0DF3"/>
    <w:rsid w:val="002B0E30"/>
    <w:rsid w:val="002B32B3"/>
    <w:rsid w:val="002B33F8"/>
    <w:rsid w:val="002B3C8E"/>
    <w:rsid w:val="002B4411"/>
    <w:rsid w:val="002B5B9A"/>
    <w:rsid w:val="002B6E99"/>
    <w:rsid w:val="002C05F8"/>
    <w:rsid w:val="002C06FC"/>
    <w:rsid w:val="002C1AC1"/>
    <w:rsid w:val="002C484C"/>
    <w:rsid w:val="002C48AB"/>
    <w:rsid w:val="002C7320"/>
    <w:rsid w:val="002D15E5"/>
    <w:rsid w:val="002D23AE"/>
    <w:rsid w:val="002D43AC"/>
    <w:rsid w:val="002D76D8"/>
    <w:rsid w:val="002E2F34"/>
    <w:rsid w:val="002E322F"/>
    <w:rsid w:val="002E3292"/>
    <w:rsid w:val="002E5EEF"/>
    <w:rsid w:val="002E7587"/>
    <w:rsid w:val="002E7A2B"/>
    <w:rsid w:val="002F0A05"/>
    <w:rsid w:val="002F1D3E"/>
    <w:rsid w:val="002F2AE9"/>
    <w:rsid w:val="002F2D34"/>
    <w:rsid w:val="002F2DA8"/>
    <w:rsid w:val="002F2F2E"/>
    <w:rsid w:val="002F2FC8"/>
    <w:rsid w:val="002F437B"/>
    <w:rsid w:val="002F4ABF"/>
    <w:rsid w:val="002F60A6"/>
    <w:rsid w:val="002F6469"/>
    <w:rsid w:val="002F7AD7"/>
    <w:rsid w:val="003021D5"/>
    <w:rsid w:val="00302365"/>
    <w:rsid w:val="00302F1A"/>
    <w:rsid w:val="0030309A"/>
    <w:rsid w:val="003044F7"/>
    <w:rsid w:val="0030548C"/>
    <w:rsid w:val="0030667D"/>
    <w:rsid w:val="00307775"/>
    <w:rsid w:val="003079A9"/>
    <w:rsid w:val="00310EA6"/>
    <w:rsid w:val="0031178D"/>
    <w:rsid w:val="00312420"/>
    <w:rsid w:val="00312803"/>
    <w:rsid w:val="00313B6E"/>
    <w:rsid w:val="00313FF5"/>
    <w:rsid w:val="003140B1"/>
    <w:rsid w:val="00314686"/>
    <w:rsid w:val="00314E90"/>
    <w:rsid w:val="00317BCE"/>
    <w:rsid w:val="00317D20"/>
    <w:rsid w:val="003216AC"/>
    <w:rsid w:val="003229EC"/>
    <w:rsid w:val="0032360A"/>
    <w:rsid w:val="003239F7"/>
    <w:rsid w:val="00324496"/>
    <w:rsid w:val="003246DD"/>
    <w:rsid w:val="00324CFE"/>
    <w:rsid w:val="00325939"/>
    <w:rsid w:val="003260CE"/>
    <w:rsid w:val="0032627D"/>
    <w:rsid w:val="00326AC6"/>
    <w:rsid w:val="00327814"/>
    <w:rsid w:val="0033016C"/>
    <w:rsid w:val="00332793"/>
    <w:rsid w:val="0033313F"/>
    <w:rsid w:val="00336914"/>
    <w:rsid w:val="00336DED"/>
    <w:rsid w:val="00336F31"/>
    <w:rsid w:val="003370EA"/>
    <w:rsid w:val="0033731B"/>
    <w:rsid w:val="003374DF"/>
    <w:rsid w:val="00337C58"/>
    <w:rsid w:val="003400EB"/>
    <w:rsid w:val="003414E3"/>
    <w:rsid w:val="00341687"/>
    <w:rsid w:val="003435B5"/>
    <w:rsid w:val="00345109"/>
    <w:rsid w:val="00346303"/>
    <w:rsid w:val="003546EB"/>
    <w:rsid w:val="00356D80"/>
    <w:rsid w:val="00357BDF"/>
    <w:rsid w:val="003609C2"/>
    <w:rsid w:val="00362705"/>
    <w:rsid w:val="00362964"/>
    <w:rsid w:val="00362A0B"/>
    <w:rsid w:val="00364056"/>
    <w:rsid w:val="0036526E"/>
    <w:rsid w:val="00365950"/>
    <w:rsid w:val="00365BAF"/>
    <w:rsid w:val="00367B19"/>
    <w:rsid w:val="00371194"/>
    <w:rsid w:val="00372C8F"/>
    <w:rsid w:val="0037318A"/>
    <w:rsid w:val="003734C8"/>
    <w:rsid w:val="00375EE7"/>
    <w:rsid w:val="0037748B"/>
    <w:rsid w:val="0038260F"/>
    <w:rsid w:val="00383A72"/>
    <w:rsid w:val="003850B6"/>
    <w:rsid w:val="0038687A"/>
    <w:rsid w:val="003875D1"/>
    <w:rsid w:val="00390195"/>
    <w:rsid w:val="003902F6"/>
    <w:rsid w:val="003905A0"/>
    <w:rsid w:val="00390757"/>
    <w:rsid w:val="00391B0B"/>
    <w:rsid w:val="00393250"/>
    <w:rsid w:val="00394578"/>
    <w:rsid w:val="0039762E"/>
    <w:rsid w:val="00397CA6"/>
    <w:rsid w:val="003A0475"/>
    <w:rsid w:val="003A0A66"/>
    <w:rsid w:val="003A0E0B"/>
    <w:rsid w:val="003A0EAE"/>
    <w:rsid w:val="003A228F"/>
    <w:rsid w:val="003A251E"/>
    <w:rsid w:val="003A31BB"/>
    <w:rsid w:val="003A6DB8"/>
    <w:rsid w:val="003B77DE"/>
    <w:rsid w:val="003B7F94"/>
    <w:rsid w:val="003C0C90"/>
    <w:rsid w:val="003C0D64"/>
    <w:rsid w:val="003C28A8"/>
    <w:rsid w:val="003C4769"/>
    <w:rsid w:val="003C4AC0"/>
    <w:rsid w:val="003C622A"/>
    <w:rsid w:val="003D77D0"/>
    <w:rsid w:val="003E0351"/>
    <w:rsid w:val="003E2602"/>
    <w:rsid w:val="003E31C0"/>
    <w:rsid w:val="003E46F5"/>
    <w:rsid w:val="003E4D43"/>
    <w:rsid w:val="003E5002"/>
    <w:rsid w:val="003E575B"/>
    <w:rsid w:val="003E6B5D"/>
    <w:rsid w:val="003E6F3F"/>
    <w:rsid w:val="003E74F4"/>
    <w:rsid w:val="003E79EB"/>
    <w:rsid w:val="003F0FBF"/>
    <w:rsid w:val="003F15A9"/>
    <w:rsid w:val="003F6110"/>
    <w:rsid w:val="003F66CD"/>
    <w:rsid w:val="003F6E22"/>
    <w:rsid w:val="003F6E36"/>
    <w:rsid w:val="003F6EF8"/>
    <w:rsid w:val="00404E5A"/>
    <w:rsid w:val="0040555D"/>
    <w:rsid w:val="0040667A"/>
    <w:rsid w:val="0040677E"/>
    <w:rsid w:val="0041071E"/>
    <w:rsid w:val="004123BE"/>
    <w:rsid w:val="00412C18"/>
    <w:rsid w:val="004160FE"/>
    <w:rsid w:val="004163F2"/>
    <w:rsid w:val="004172D2"/>
    <w:rsid w:val="004178CB"/>
    <w:rsid w:val="0042133C"/>
    <w:rsid w:val="00421D93"/>
    <w:rsid w:val="00423921"/>
    <w:rsid w:val="00424FAF"/>
    <w:rsid w:val="00426BD8"/>
    <w:rsid w:val="00426D4C"/>
    <w:rsid w:val="004274D7"/>
    <w:rsid w:val="00427C16"/>
    <w:rsid w:val="00430228"/>
    <w:rsid w:val="004303A5"/>
    <w:rsid w:val="0043092E"/>
    <w:rsid w:val="00430D65"/>
    <w:rsid w:val="00432253"/>
    <w:rsid w:val="004342F1"/>
    <w:rsid w:val="0043451D"/>
    <w:rsid w:val="00435B2E"/>
    <w:rsid w:val="0043612B"/>
    <w:rsid w:val="004367FB"/>
    <w:rsid w:val="0044311A"/>
    <w:rsid w:val="00447ABF"/>
    <w:rsid w:val="004508AF"/>
    <w:rsid w:val="00453993"/>
    <w:rsid w:val="00455A13"/>
    <w:rsid w:val="00457D44"/>
    <w:rsid w:val="0046018D"/>
    <w:rsid w:val="00461711"/>
    <w:rsid w:val="00465233"/>
    <w:rsid w:val="004669F9"/>
    <w:rsid w:val="00471059"/>
    <w:rsid w:val="00472631"/>
    <w:rsid w:val="00474DA3"/>
    <w:rsid w:val="0047667C"/>
    <w:rsid w:val="00480DDB"/>
    <w:rsid w:val="00481D02"/>
    <w:rsid w:val="00483581"/>
    <w:rsid w:val="00483E11"/>
    <w:rsid w:val="00491986"/>
    <w:rsid w:val="00492EF5"/>
    <w:rsid w:val="00492F94"/>
    <w:rsid w:val="00493512"/>
    <w:rsid w:val="00494F16"/>
    <w:rsid w:val="00496267"/>
    <w:rsid w:val="0049700E"/>
    <w:rsid w:val="004978E4"/>
    <w:rsid w:val="00497A23"/>
    <w:rsid w:val="004A00C0"/>
    <w:rsid w:val="004A0AFD"/>
    <w:rsid w:val="004A1491"/>
    <w:rsid w:val="004A2331"/>
    <w:rsid w:val="004A63ED"/>
    <w:rsid w:val="004B251F"/>
    <w:rsid w:val="004B2BD8"/>
    <w:rsid w:val="004B303F"/>
    <w:rsid w:val="004B5DC1"/>
    <w:rsid w:val="004B5F40"/>
    <w:rsid w:val="004B6ED8"/>
    <w:rsid w:val="004B7457"/>
    <w:rsid w:val="004B7D9E"/>
    <w:rsid w:val="004C16A0"/>
    <w:rsid w:val="004C1B7F"/>
    <w:rsid w:val="004C1DBE"/>
    <w:rsid w:val="004C31F0"/>
    <w:rsid w:val="004C60FB"/>
    <w:rsid w:val="004C649A"/>
    <w:rsid w:val="004D15BC"/>
    <w:rsid w:val="004D21A9"/>
    <w:rsid w:val="004D4334"/>
    <w:rsid w:val="004D510A"/>
    <w:rsid w:val="004D6045"/>
    <w:rsid w:val="004D7B24"/>
    <w:rsid w:val="004E0DFC"/>
    <w:rsid w:val="004E0FD9"/>
    <w:rsid w:val="004E255D"/>
    <w:rsid w:val="004E4F18"/>
    <w:rsid w:val="004E5588"/>
    <w:rsid w:val="004E5918"/>
    <w:rsid w:val="004F00AE"/>
    <w:rsid w:val="004F01B4"/>
    <w:rsid w:val="004F0B5F"/>
    <w:rsid w:val="004F137C"/>
    <w:rsid w:val="004F1636"/>
    <w:rsid w:val="004F314C"/>
    <w:rsid w:val="004F349C"/>
    <w:rsid w:val="004F5EB7"/>
    <w:rsid w:val="004F615B"/>
    <w:rsid w:val="00504268"/>
    <w:rsid w:val="005055F3"/>
    <w:rsid w:val="005064C4"/>
    <w:rsid w:val="0050682E"/>
    <w:rsid w:val="00507007"/>
    <w:rsid w:val="0050750B"/>
    <w:rsid w:val="00510564"/>
    <w:rsid w:val="0051497E"/>
    <w:rsid w:val="00515479"/>
    <w:rsid w:val="00516123"/>
    <w:rsid w:val="00521E4B"/>
    <w:rsid w:val="0052330D"/>
    <w:rsid w:val="00523E23"/>
    <w:rsid w:val="005247C3"/>
    <w:rsid w:val="00525325"/>
    <w:rsid w:val="005309E7"/>
    <w:rsid w:val="00532542"/>
    <w:rsid w:val="00533DD1"/>
    <w:rsid w:val="0053525D"/>
    <w:rsid w:val="005376B5"/>
    <w:rsid w:val="005406A3"/>
    <w:rsid w:val="00543960"/>
    <w:rsid w:val="00543D01"/>
    <w:rsid w:val="00544473"/>
    <w:rsid w:val="00545062"/>
    <w:rsid w:val="0054506F"/>
    <w:rsid w:val="00550A31"/>
    <w:rsid w:val="00550F1D"/>
    <w:rsid w:val="00552B64"/>
    <w:rsid w:val="00552D7A"/>
    <w:rsid w:val="005548A5"/>
    <w:rsid w:val="00562186"/>
    <w:rsid w:val="00564A16"/>
    <w:rsid w:val="00564C12"/>
    <w:rsid w:val="00564F82"/>
    <w:rsid w:val="0056647D"/>
    <w:rsid w:val="00570435"/>
    <w:rsid w:val="00570B34"/>
    <w:rsid w:val="00570BC7"/>
    <w:rsid w:val="005711DD"/>
    <w:rsid w:val="0057180E"/>
    <w:rsid w:val="0057627C"/>
    <w:rsid w:val="005762A7"/>
    <w:rsid w:val="0057634A"/>
    <w:rsid w:val="00576544"/>
    <w:rsid w:val="00577150"/>
    <w:rsid w:val="0058128E"/>
    <w:rsid w:val="00585F91"/>
    <w:rsid w:val="005871DB"/>
    <w:rsid w:val="00587614"/>
    <w:rsid w:val="00591D95"/>
    <w:rsid w:val="00594312"/>
    <w:rsid w:val="005945F0"/>
    <w:rsid w:val="005948B1"/>
    <w:rsid w:val="00595197"/>
    <w:rsid w:val="00596C6B"/>
    <w:rsid w:val="005974A2"/>
    <w:rsid w:val="005A1B91"/>
    <w:rsid w:val="005A36BE"/>
    <w:rsid w:val="005A41AA"/>
    <w:rsid w:val="005A4FAD"/>
    <w:rsid w:val="005A50DF"/>
    <w:rsid w:val="005A6BD6"/>
    <w:rsid w:val="005A77BD"/>
    <w:rsid w:val="005A7CC3"/>
    <w:rsid w:val="005B12A6"/>
    <w:rsid w:val="005B15E9"/>
    <w:rsid w:val="005B2389"/>
    <w:rsid w:val="005B2590"/>
    <w:rsid w:val="005B2EBB"/>
    <w:rsid w:val="005B386D"/>
    <w:rsid w:val="005B405A"/>
    <w:rsid w:val="005C1F9A"/>
    <w:rsid w:val="005C3DBE"/>
    <w:rsid w:val="005C408F"/>
    <w:rsid w:val="005C63F0"/>
    <w:rsid w:val="005C6B16"/>
    <w:rsid w:val="005D0A14"/>
    <w:rsid w:val="005D170F"/>
    <w:rsid w:val="005D2EFB"/>
    <w:rsid w:val="005D41A7"/>
    <w:rsid w:val="005D6953"/>
    <w:rsid w:val="005E1106"/>
    <w:rsid w:val="005E1663"/>
    <w:rsid w:val="005E17CC"/>
    <w:rsid w:val="005E1A36"/>
    <w:rsid w:val="005E1B02"/>
    <w:rsid w:val="005E1DAD"/>
    <w:rsid w:val="005E29AA"/>
    <w:rsid w:val="005E2A8F"/>
    <w:rsid w:val="005E4E6D"/>
    <w:rsid w:val="005E5290"/>
    <w:rsid w:val="005E7E24"/>
    <w:rsid w:val="005F1396"/>
    <w:rsid w:val="005F26DB"/>
    <w:rsid w:val="005F3204"/>
    <w:rsid w:val="005F4AD8"/>
    <w:rsid w:val="005F4D69"/>
    <w:rsid w:val="005F7628"/>
    <w:rsid w:val="005F7C06"/>
    <w:rsid w:val="005F7C2F"/>
    <w:rsid w:val="005F7CBC"/>
    <w:rsid w:val="006050D8"/>
    <w:rsid w:val="00605F1B"/>
    <w:rsid w:val="00605F87"/>
    <w:rsid w:val="00606311"/>
    <w:rsid w:val="006078C3"/>
    <w:rsid w:val="0061068E"/>
    <w:rsid w:val="00612782"/>
    <w:rsid w:val="0061564B"/>
    <w:rsid w:val="00616B0D"/>
    <w:rsid w:val="006179EC"/>
    <w:rsid w:val="0062007B"/>
    <w:rsid w:val="00621630"/>
    <w:rsid w:val="00621C41"/>
    <w:rsid w:val="00623517"/>
    <w:rsid w:val="00623EDD"/>
    <w:rsid w:val="006247EE"/>
    <w:rsid w:val="00624F16"/>
    <w:rsid w:val="00626D84"/>
    <w:rsid w:val="00626E44"/>
    <w:rsid w:val="00626F01"/>
    <w:rsid w:val="00627011"/>
    <w:rsid w:val="006277D4"/>
    <w:rsid w:val="00631AFF"/>
    <w:rsid w:val="00633F5A"/>
    <w:rsid w:val="00635BD8"/>
    <w:rsid w:val="00637D53"/>
    <w:rsid w:val="00640C74"/>
    <w:rsid w:val="00640D32"/>
    <w:rsid w:val="00642D1A"/>
    <w:rsid w:val="00645363"/>
    <w:rsid w:val="00651134"/>
    <w:rsid w:val="0065245E"/>
    <w:rsid w:val="00652F06"/>
    <w:rsid w:val="00655D92"/>
    <w:rsid w:val="006565F2"/>
    <w:rsid w:val="006569B3"/>
    <w:rsid w:val="00657B40"/>
    <w:rsid w:val="0066187D"/>
    <w:rsid w:val="00662A77"/>
    <w:rsid w:val="00662E00"/>
    <w:rsid w:val="00662FA6"/>
    <w:rsid w:val="00663894"/>
    <w:rsid w:val="00666462"/>
    <w:rsid w:val="006670E4"/>
    <w:rsid w:val="00671D60"/>
    <w:rsid w:val="00672544"/>
    <w:rsid w:val="00672927"/>
    <w:rsid w:val="00674888"/>
    <w:rsid w:val="00674DBE"/>
    <w:rsid w:val="00675582"/>
    <w:rsid w:val="00677A82"/>
    <w:rsid w:val="00681011"/>
    <w:rsid w:val="00681E85"/>
    <w:rsid w:val="006821D3"/>
    <w:rsid w:val="00682695"/>
    <w:rsid w:val="00684379"/>
    <w:rsid w:val="00691DC6"/>
    <w:rsid w:val="006946CA"/>
    <w:rsid w:val="00695B09"/>
    <w:rsid w:val="00695D44"/>
    <w:rsid w:val="006A0A22"/>
    <w:rsid w:val="006A11AB"/>
    <w:rsid w:val="006A32FD"/>
    <w:rsid w:val="006A3488"/>
    <w:rsid w:val="006A4D56"/>
    <w:rsid w:val="006B05C3"/>
    <w:rsid w:val="006B2F63"/>
    <w:rsid w:val="006B5A02"/>
    <w:rsid w:val="006B5D4A"/>
    <w:rsid w:val="006B5F80"/>
    <w:rsid w:val="006B64C4"/>
    <w:rsid w:val="006C216F"/>
    <w:rsid w:val="006C3368"/>
    <w:rsid w:val="006C4B7D"/>
    <w:rsid w:val="006C6555"/>
    <w:rsid w:val="006C6CDF"/>
    <w:rsid w:val="006C7527"/>
    <w:rsid w:val="006C7A00"/>
    <w:rsid w:val="006D1205"/>
    <w:rsid w:val="006D12E6"/>
    <w:rsid w:val="006D3741"/>
    <w:rsid w:val="006D37DC"/>
    <w:rsid w:val="006D6CA3"/>
    <w:rsid w:val="006D7718"/>
    <w:rsid w:val="006E1425"/>
    <w:rsid w:val="006E1A3C"/>
    <w:rsid w:val="006E2796"/>
    <w:rsid w:val="006E3E6D"/>
    <w:rsid w:val="006E4513"/>
    <w:rsid w:val="006E4772"/>
    <w:rsid w:val="006E51C7"/>
    <w:rsid w:val="006E60A3"/>
    <w:rsid w:val="006E73B6"/>
    <w:rsid w:val="006F0E8A"/>
    <w:rsid w:val="006F0EB3"/>
    <w:rsid w:val="006F1ADD"/>
    <w:rsid w:val="006F262A"/>
    <w:rsid w:val="006F3AE8"/>
    <w:rsid w:val="006F4C96"/>
    <w:rsid w:val="006F4D55"/>
    <w:rsid w:val="006F4E9A"/>
    <w:rsid w:val="006F517B"/>
    <w:rsid w:val="006F5FE1"/>
    <w:rsid w:val="007017C8"/>
    <w:rsid w:val="007035B1"/>
    <w:rsid w:val="00706616"/>
    <w:rsid w:val="007066D1"/>
    <w:rsid w:val="007101C1"/>
    <w:rsid w:val="0071064F"/>
    <w:rsid w:val="00712BD9"/>
    <w:rsid w:val="0071348E"/>
    <w:rsid w:val="00714989"/>
    <w:rsid w:val="00714BEC"/>
    <w:rsid w:val="007222B3"/>
    <w:rsid w:val="00722B46"/>
    <w:rsid w:val="0073097A"/>
    <w:rsid w:val="00731840"/>
    <w:rsid w:val="00732F13"/>
    <w:rsid w:val="00733C69"/>
    <w:rsid w:val="00735FFC"/>
    <w:rsid w:val="00737EE6"/>
    <w:rsid w:val="007402AD"/>
    <w:rsid w:val="007409BD"/>
    <w:rsid w:val="007423FE"/>
    <w:rsid w:val="007424F5"/>
    <w:rsid w:val="0074284B"/>
    <w:rsid w:val="00743BE7"/>
    <w:rsid w:val="0074427A"/>
    <w:rsid w:val="0074478A"/>
    <w:rsid w:val="007471A1"/>
    <w:rsid w:val="00751006"/>
    <w:rsid w:val="007511A2"/>
    <w:rsid w:val="00752483"/>
    <w:rsid w:val="00755A40"/>
    <w:rsid w:val="00757C99"/>
    <w:rsid w:val="00757DA3"/>
    <w:rsid w:val="007602C9"/>
    <w:rsid w:val="00761075"/>
    <w:rsid w:val="00761182"/>
    <w:rsid w:val="00761347"/>
    <w:rsid w:val="00761459"/>
    <w:rsid w:val="0076156A"/>
    <w:rsid w:val="00761C47"/>
    <w:rsid w:val="00762AFF"/>
    <w:rsid w:val="00763FA5"/>
    <w:rsid w:val="00764A58"/>
    <w:rsid w:val="00765EE1"/>
    <w:rsid w:val="00767869"/>
    <w:rsid w:val="00767DD6"/>
    <w:rsid w:val="0077112E"/>
    <w:rsid w:val="0077219C"/>
    <w:rsid w:val="007740B7"/>
    <w:rsid w:val="007753CF"/>
    <w:rsid w:val="00775B59"/>
    <w:rsid w:val="007831BB"/>
    <w:rsid w:val="007840AC"/>
    <w:rsid w:val="0078438D"/>
    <w:rsid w:val="007849F5"/>
    <w:rsid w:val="00784F75"/>
    <w:rsid w:val="00785670"/>
    <w:rsid w:val="00787401"/>
    <w:rsid w:val="00791AD3"/>
    <w:rsid w:val="00792350"/>
    <w:rsid w:val="0079261D"/>
    <w:rsid w:val="00792A98"/>
    <w:rsid w:val="007945D2"/>
    <w:rsid w:val="00795ADD"/>
    <w:rsid w:val="007A079D"/>
    <w:rsid w:val="007A1B21"/>
    <w:rsid w:val="007A272A"/>
    <w:rsid w:val="007A3F79"/>
    <w:rsid w:val="007A51FB"/>
    <w:rsid w:val="007A774E"/>
    <w:rsid w:val="007B0DEA"/>
    <w:rsid w:val="007B21D4"/>
    <w:rsid w:val="007B32F8"/>
    <w:rsid w:val="007B5A05"/>
    <w:rsid w:val="007B6855"/>
    <w:rsid w:val="007B6901"/>
    <w:rsid w:val="007B717E"/>
    <w:rsid w:val="007B799E"/>
    <w:rsid w:val="007C10D8"/>
    <w:rsid w:val="007C1C2D"/>
    <w:rsid w:val="007C4472"/>
    <w:rsid w:val="007C457E"/>
    <w:rsid w:val="007C45A5"/>
    <w:rsid w:val="007C4E00"/>
    <w:rsid w:val="007C63F1"/>
    <w:rsid w:val="007C717A"/>
    <w:rsid w:val="007C7BAC"/>
    <w:rsid w:val="007D1304"/>
    <w:rsid w:val="007D495E"/>
    <w:rsid w:val="007D4D4B"/>
    <w:rsid w:val="007D53E2"/>
    <w:rsid w:val="007D75FC"/>
    <w:rsid w:val="007E0A0B"/>
    <w:rsid w:val="007E10FD"/>
    <w:rsid w:val="007E18F0"/>
    <w:rsid w:val="007E1F5D"/>
    <w:rsid w:val="007E2D54"/>
    <w:rsid w:val="007E45C1"/>
    <w:rsid w:val="007E4DC4"/>
    <w:rsid w:val="007E5FFB"/>
    <w:rsid w:val="007E7398"/>
    <w:rsid w:val="007E73AC"/>
    <w:rsid w:val="007E779D"/>
    <w:rsid w:val="007F1E95"/>
    <w:rsid w:val="007F3B80"/>
    <w:rsid w:val="007F3DB1"/>
    <w:rsid w:val="007F4310"/>
    <w:rsid w:val="007F4BE6"/>
    <w:rsid w:val="007F56C7"/>
    <w:rsid w:val="007F707D"/>
    <w:rsid w:val="008013C8"/>
    <w:rsid w:val="008015FF"/>
    <w:rsid w:val="00801C0B"/>
    <w:rsid w:val="00801DDC"/>
    <w:rsid w:val="00802D3B"/>
    <w:rsid w:val="00804052"/>
    <w:rsid w:val="00804803"/>
    <w:rsid w:val="00807873"/>
    <w:rsid w:val="00810CAE"/>
    <w:rsid w:val="008121A6"/>
    <w:rsid w:val="00812CF0"/>
    <w:rsid w:val="00814B9F"/>
    <w:rsid w:val="00816E14"/>
    <w:rsid w:val="0081718A"/>
    <w:rsid w:val="0082404E"/>
    <w:rsid w:val="00824197"/>
    <w:rsid w:val="00824DDB"/>
    <w:rsid w:val="00825F42"/>
    <w:rsid w:val="00826DEF"/>
    <w:rsid w:val="0082757A"/>
    <w:rsid w:val="0083084B"/>
    <w:rsid w:val="008330F5"/>
    <w:rsid w:val="00833D16"/>
    <w:rsid w:val="00833D6A"/>
    <w:rsid w:val="00834253"/>
    <w:rsid w:val="008357F8"/>
    <w:rsid w:val="008368E1"/>
    <w:rsid w:val="00836D62"/>
    <w:rsid w:val="00837E0B"/>
    <w:rsid w:val="00840263"/>
    <w:rsid w:val="00841560"/>
    <w:rsid w:val="008420C2"/>
    <w:rsid w:val="0084338A"/>
    <w:rsid w:val="0084353E"/>
    <w:rsid w:val="00843636"/>
    <w:rsid w:val="00843C3E"/>
    <w:rsid w:val="00843FC3"/>
    <w:rsid w:val="00844393"/>
    <w:rsid w:val="008443F1"/>
    <w:rsid w:val="00845038"/>
    <w:rsid w:val="00845D15"/>
    <w:rsid w:val="008464F0"/>
    <w:rsid w:val="0084690E"/>
    <w:rsid w:val="00846D00"/>
    <w:rsid w:val="00847885"/>
    <w:rsid w:val="0085189D"/>
    <w:rsid w:val="00853F52"/>
    <w:rsid w:val="008566EC"/>
    <w:rsid w:val="00856B5D"/>
    <w:rsid w:val="00861313"/>
    <w:rsid w:val="00861C1E"/>
    <w:rsid w:val="00863900"/>
    <w:rsid w:val="00865BA3"/>
    <w:rsid w:val="00866398"/>
    <w:rsid w:val="00866F9F"/>
    <w:rsid w:val="008708F9"/>
    <w:rsid w:val="00872018"/>
    <w:rsid w:val="00875339"/>
    <w:rsid w:val="008757AA"/>
    <w:rsid w:val="00876EEB"/>
    <w:rsid w:val="0087740D"/>
    <w:rsid w:val="00881C1F"/>
    <w:rsid w:val="00881D20"/>
    <w:rsid w:val="008826C4"/>
    <w:rsid w:val="008843E6"/>
    <w:rsid w:val="00885879"/>
    <w:rsid w:val="00887B4E"/>
    <w:rsid w:val="00890E1D"/>
    <w:rsid w:val="00890EB0"/>
    <w:rsid w:val="0089158D"/>
    <w:rsid w:val="00891D65"/>
    <w:rsid w:val="00892FA1"/>
    <w:rsid w:val="0089393B"/>
    <w:rsid w:val="00893A81"/>
    <w:rsid w:val="00894228"/>
    <w:rsid w:val="008957AF"/>
    <w:rsid w:val="00896961"/>
    <w:rsid w:val="008A18BC"/>
    <w:rsid w:val="008A1A59"/>
    <w:rsid w:val="008A1BA5"/>
    <w:rsid w:val="008A1E0A"/>
    <w:rsid w:val="008A258E"/>
    <w:rsid w:val="008A3CCE"/>
    <w:rsid w:val="008A5AEC"/>
    <w:rsid w:val="008A674F"/>
    <w:rsid w:val="008B07DA"/>
    <w:rsid w:val="008B175D"/>
    <w:rsid w:val="008B24B3"/>
    <w:rsid w:val="008B2C6D"/>
    <w:rsid w:val="008B51EA"/>
    <w:rsid w:val="008B59C2"/>
    <w:rsid w:val="008B6A2E"/>
    <w:rsid w:val="008C039D"/>
    <w:rsid w:val="008C0838"/>
    <w:rsid w:val="008C1DD2"/>
    <w:rsid w:val="008C2892"/>
    <w:rsid w:val="008C3D26"/>
    <w:rsid w:val="008C3FF3"/>
    <w:rsid w:val="008C4135"/>
    <w:rsid w:val="008C4153"/>
    <w:rsid w:val="008C42B9"/>
    <w:rsid w:val="008C4854"/>
    <w:rsid w:val="008C5E14"/>
    <w:rsid w:val="008C619B"/>
    <w:rsid w:val="008C62B8"/>
    <w:rsid w:val="008D17DE"/>
    <w:rsid w:val="008D2A87"/>
    <w:rsid w:val="008D4E4F"/>
    <w:rsid w:val="008D5ED3"/>
    <w:rsid w:val="008D7AEF"/>
    <w:rsid w:val="008E234F"/>
    <w:rsid w:val="008E5B8C"/>
    <w:rsid w:val="008E5E3C"/>
    <w:rsid w:val="008E65A4"/>
    <w:rsid w:val="008E7CFF"/>
    <w:rsid w:val="008F25D8"/>
    <w:rsid w:val="008F3C90"/>
    <w:rsid w:val="008F448E"/>
    <w:rsid w:val="008F4CB7"/>
    <w:rsid w:val="008F5215"/>
    <w:rsid w:val="008F6B00"/>
    <w:rsid w:val="008F6F5F"/>
    <w:rsid w:val="008F74F9"/>
    <w:rsid w:val="008F7881"/>
    <w:rsid w:val="008F7DAF"/>
    <w:rsid w:val="008F7E49"/>
    <w:rsid w:val="00901B02"/>
    <w:rsid w:val="009021D1"/>
    <w:rsid w:val="00902EB5"/>
    <w:rsid w:val="0090599B"/>
    <w:rsid w:val="00907236"/>
    <w:rsid w:val="00907F17"/>
    <w:rsid w:val="0091140C"/>
    <w:rsid w:val="00912E15"/>
    <w:rsid w:val="00923A0B"/>
    <w:rsid w:val="009277F7"/>
    <w:rsid w:val="00927ADA"/>
    <w:rsid w:val="00930CF0"/>
    <w:rsid w:val="00932EED"/>
    <w:rsid w:val="0093301F"/>
    <w:rsid w:val="00933358"/>
    <w:rsid w:val="00934497"/>
    <w:rsid w:val="00935100"/>
    <w:rsid w:val="00936529"/>
    <w:rsid w:val="0094054B"/>
    <w:rsid w:val="00940832"/>
    <w:rsid w:val="00941CA1"/>
    <w:rsid w:val="00941CD4"/>
    <w:rsid w:val="00941F89"/>
    <w:rsid w:val="00942FCC"/>
    <w:rsid w:val="0094323E"/>
    <w:rsid w:val="00945400"/>
    <w:rsid w:val="00945B01"/>
    <w:rsid w:val="00947768"/>
    <w:rsid w:val="00951231"/>
    <w:rsid w:val="00951BDF"/>
    <w:rsid w:val="00951C94"/>
    <w:rsid w:val="009530D8"/>
    <w:rsid w:val="00954D26"/>
    <w:rsid w:val="00957190"/>
    <w:rsid w:val="009577EB"/>
    <w:rsid w:val="00957850"/>
    <w:rsid w:val="009602A9"/>
    <w:rsid w:val="009633E9"/>
    <w:rsid w:val="00965627"/>
    <w:rsid w:val="00965CF2"/>
    <w:rsid w:val="009673C8"/>
    <w:rsid w:val="009700A6"/>
    <w:rsid w:val="00970297"/>
    <w:rsid w:val="009712D7"/>
    <w:rsid w:val="00971CEB"/>
    <w:rsid w:val="00971DED"/>
    <w:rsid w:val="00972C3E"/>
    <w:rsid w:val="00973B93"/>
    <w:rsid w:val="009748C3"/>
    <w:rsid w:val="00975A74"/>
    <w:rsid w:val="00976E8A"/>
    <w:rsid w:val="00977C91"/>
    <w:rsid w:val="00977DEC"/>
    <w:rsid w:val="0098045E"/>
    <w:rsid w:val="00981D89"/>
    <w:rsid w:val="00983829"/>
    <w:rsid w:val="009859D0"/>
    <w:rsid w:val="00985DA9"/>
    <w:rsid w:val="0098719A"/>
    <w:rsid w:val="00990931"/>
    <w:rsid w:val="00990F19"/>
    <w:rsid w:val="009931B1"/>
    <w:rsid w:val="00994DE8"/>
    <w:rsid w:val="009972D8"/>
    <w:rsid w:val="009A0C96"/>
    <w:rsid w:val="009A2A61"/>
    <w:rsid w:val="009A40D6"/>
    <w:rsid w:val="009A4395"/>
    <w:rsid w:val="009A5549"/>
    <w:rsid w:val="009A714B"/>
    <w:rsid w:val="009A7275"/>
    <w:rsid w:val="009B055D"/>
    <w:rsid w:val="009B08F5"/>
    <w:rsid w:val="009B11B9"/>
    <w:rsid w:val="009B2315"/>
    <w:rsid w:val="009B33B1"/>
    <w:rsid w:val="009B3FCE"/>
    <w:rsid w:val="009B5BF6"/>
    <w:rsid w:val="009B6079"/>
    <w:rsid w:val="009B6301"/>
    <w:rsid w:val="009B68EF"/>
    <w:rsid w:val="009B7926"/>
    <w:rsid w:val="009C0C3A"/>
    <w:rsid w:val="009C5F47"/>
    <w:rsid w:val="009C67AC"/>
    <w:rsid w:val="009C7132"/>
    <w:rsid w:val="009D0209"/>
    <w:rsid w:val="009D238B"/>
    <w:rsid w:val="009D2C4A"/>
    <w:rsid w:val="009D5878"/>
    <w:rsid w:val="009D6689"/>
    <w:rsid w:val="009E0F5B"/>
    <w:rsid w:val="009E0F5F"/>
    <w:rsid w:val="009E111A"/>
    <w:rsid w:val="009E1C4E"/>
    <w:rsid w:val="009E1F1F"/>
    <w:rsid w:val="009E229F"/>
    <w:rsid w:val="009E29CB"/>
    <w:rsid w:val="009E5A79"/>
    <w:rsid w:val="009F2ACA"/>
    <w:rsid w:val="009F5435"/>
    <w:rsid w:val="009F59F4"/>
    <w:rsid w:val="009F6CB7"/>
    <w:rsid w:val="00A0107D"/>
    <w:rsid w:val="00A013F9"/>
    <w:rsid w:val="00A018C8"/>
    <w:rsid w:val="00A036E4"/>
    <w:rsid w:val="00A04160"/>
    <w:rsid w:val="00A04BF3"/>
    <w:rsid w:val="00A04F57"/>
    <w:rsid w:val="00A0559F"/>
    <w:rsid w:val="00A05BD1"/>
    <w:rsid w:val="00A05C19"/>
    <w:rsid w:val="00A078B1"/>
    <w:rsid w:val="00A10215"/>
    <w:rsid w:val="00A10AD7"/>
    <w:rsid w:val="00A117F7"/>
    <w:rsid w:val="00A11B2A"/>
    <w:rsid w:val="00A133B4"/>
    <w:rsid w:val="00A133DA"/>
    <w:rsid w:val="00A13B5F"/>
    <w:rsid w:val="00A145D0"/>
    <w:rsid w:val="00A15E7E"/>
    <w:rsid w:val="00A1607B"/>
    <w:rsid w:val="00A162A0"/>
    <w:rsid w:val="00A20134"/>
    <w:rsid w:val="00A202FB"/>
    <w:rsid w:val="00A20457"/>
    <w:rsid w:val="00A21D37"/>
    <w:rsid w:val="00A22198"/>
    <w:rsid w:val="00A22B96"/>
    <w:rsid w:val="00A22D23"/>
    <w:rsid w:val="00A234C5"/>
    <w:rsid w:val="00A23BB5"/>
    <w:rsid w:val="00A23F84"/>
    <w:rsid w:val="00A24A91"/>
    <w:rsid w:val="00A2592A"/>
    <w:rsid w:val="00A264A3"/>
    <w:rsid w:val="00A308D3"/>
    <w:rsid w:val="00A31603"/>
    <w:rsid w:val="00A34A61"/>
    <w:rsid w:val="00A36109"/>
    <w:rsid w:val="00A37518"/>
    <w:rsid w:val="00A41490"/>
    <w:rsid w:val="00A44484"/>
    <w:rsid w:val="00A44660"/>
    <w:rsid w:val="00A4662C"/>
    <w:rsid w:val="00A4677E"/>
    <w:rsid w:val="00A514E8"/>
    <w:rsid w:val="00A54496"/>
    <w:rsid w:val="00A54A0D"/>
    <w:rsid w:val="00A57DD4"/>
    <w:rsid w:val="00A62274"/>
    <w:rsid w:val="00A63908"/>
    <w:rsid w:val="00A64A94"/>
    <w:rsid w:val="00A6713B"/>
    <w:rsid w:val="00A6728D"/>
    <w:rsid w:val="00A704D4"/>
    <w:rsid w:val="00A71866"/>
    <w:rsid w:val="00A71979"/>
    <w:rsid w:val="00A724F5"/>
    <w:rsid w:val="00A73D85"/>
    <w:rsid w:val="00A73EF3"/>
    <w:rsid w:val="00A76432"/>
    <w:rsid w:val="00A768B4"/>
    <w:rsid w:val="00A80497"/>
    <w:rsid w:val="00A81176"/>
    <w:rsid w:val="00A81825"/>
    <w:rsid w:val="00A83B6A"/>
    <w:rsid w:val="00A8415C"/>
    <w:rsid w:val="00A85523"/>
    <w:rsid w:val="00A85E0B"/>
    <w:rsid w:val="00A90C2E"/>
    <w:rsid w:val="00A9224B"/>
    <w:rsid w:val="00A92CF0"/>
    <w:rsid w:val="00A9480F"/>
    <w:rsid w:val="00A94FBD"/>
    <w:rsid w:val="00A9597F"/>
    <w:rsid w:val="00A95FFD"/>
    <w:rsid w:val="00AA10B8"/>
    <w:rsid w:val="00AA3D85"/>
    <w:rsid w:val="00AA64EB"/>
    <w:rsid w:val="00AB0267"/>
    <w:rsid w:val="00AB1343"/>
    <w:rsid w:val="00AB4BBD"/>
    <w:rsid w:val="00AB4F28"/>
    <w:rsid w:val="00AB6077"/>
    <w:rsid w:val="00AB6C74"/>
    <w:rsid w:val="00AC0AA6"/>
    <w:rsid w:val="00AC0CD6"/>
    <w:rsid w:val="00AC1099"/>
    <w:rsid w:val="00AC42C0"/>
    <w:rsid w:val="00AC4C57"/>
    <w:rsid w:val="00AC4E0B"/>
    <w:rsid w:val="00AC4EE9"/>
    <w:rsid w:val="00AC60E1"/>
    <w:rsid w:val="00AC6435"/>
    <w:rsid w:val="00AC664A"/>
    <w:rsid w:val="00AC684F"/>
    <w:rsid w:val="00AD19DF"/>
    <w:rsid w:val="00AD622F"/>
    <w:rsid w:val="00AD6D0B"/>
    <w:rsid w:val="00AE0EA1"/>
    <w:rsid w:val="00AE11E8"/>
    <w:rsid w:val="00AE1E60"/>
    <w:rsid w:val="00AE24CD"/>
    <w:rsid w:val="00AE28C2"/>
    <w:rsid w:val="00AE4A4F"/>
    <w:rsid w:val="00AF010A"/>
    <w:rsid w:val="00AF0417"/>
    <w:rsid w:val="00AF1E5A"/>
    <w:rsid w:val="00AF33DB"/>
    <w:rsid w:val="00AF3D1A"/>
    <w:rsid w:val="00AF4CD6"/>
    <w:rsid w:val="00AF51DB"/>
    <w:rsid w:val="00AF5DA2"/>
    <w:rsid w:val="00AF5E49"/>
    <w:rsid w:val="00AF7C99"/>
    <w:rsid w:val="00B002D6"/>
    <w:rsid w:val="00B014A8"/>
    <w:rsid w:val="00B041F1"/>
    <w:rsid w:val="00B06B4E"/>
    <w:rsid w:val="00B06CEB"/>
    <w:rsid w:val="00B070C3"/>
    <w:rsid w:val="00B0764E"/>
    <w:rsid w:val="00B0782B"/>
    <w:rsid w:val="00B07F01"/>
    <w:rsid w:val="00B126DD"/>
    <w:rsid w:val="00B128A0"/>
    <w:rsid w:val="00B131E1"/>
    <w:rsid w:val="00B14BBE"/>
    <w:rsid w:val="00B17D1C"/>
    <w:rsid w:val="00B205FB"/>
    <w:rsid w:val="00B206BC"/>
    <w:rsid w:val="00B22C84"/>
    <w:rsid w:val="00B23730"/>
    <w:rsid w:val="00B24471"/>
    <w:rsid w:val="00B30760"/>
    <w:rsid w:val="00B32E8A"/>
    <w:rsid w:val="00B3486D"/>
    <w:rsid w:val="00B35FDA"/>
    <w:rsid w:val="00B36636"/>
    <w:rsid w:val="00B37004"/>
    <w:rsid w:val="00B3730C"/>
    <w:rsid w:val="00B41182"/>
    <w:rsid w:val="00B4120B"/>
    <w:rsid w:val="00B41A37"/>
    <w:rsid w:val="00B4265C"/>
    <w:rsid w:val="00B42907"/>
    <w:rsid w:val="00B42FE9"/>
    <w:rsid w:val="00B439D8"/>
    <w:rsid w:val="00B43E77"/>
    <w:rsid w:val="00B46150"/>
    <w:rsid w:val="00B47C10"/>
    <w:rsid w:val="00B51209"/>
    <w:rsid w:val="00B5154A"/>
    <w:rsid w:val="00B5290F"/>
    <w:rsid w:val="00B531A5"/>
    <w:rsid w:val="00B53F28"/>
    <w:rsid w:val="00B5409B"/>
    <w:rsid w:val="00B5413B"/>
    <w:rsid w:val="00B55363"/>
    <w:rsid w:val="00B56492"/>
    <w:rsid w:val="00B565AC"/>
    <w:rsid w:val="00B57149"/>
    <w:rsid w:val="00B607C9"/>
    <w:rsid w:val="00B61649"/>
    <w:rsid w:val="00B62120"/>
    <w:rsid w:val="00B627E4"/>
    <w:rsid w:val="00B62F3E"/>
    <w:rsid w:val="00B66F3C"/>
    <w:rsid w:val="00B676E3"/>
    <w:rsid w:val="00B70F9B"/>
    <w:rsid w:val="00B714DE"/>
    <w:rsid w:val="00B76A25"/>
    <w:rsid w:val="00B7721C"/>
    <w:rsid w:val="00B77664"/>
    <w:rsid w:val="00B777AF"/>
    <w:rsid w:val="00B82008"/>
    <w:rsid w:val="00B864D9"/>
    <w:rsid w:val="00B87129"/>
    <w:rsid w:val="00B902C9"/>
    <w:rsid w:val="00B913D1"/>
    <w:rsid w:val="00B92B3E"/>
    <w:rsid w:val="00B95609"/>
    <w:rsid w:val="00B96A07"/>
    <w:rsid w:val="00BA02F2"/>
    <w:rsid w:val="00BA1DDA"/>
    <w:rsid w:val="00BA315F"/>
    <w:rsid w:val="00BA45E8"/>
    <w:rsid w:val="00BA6390"/>
    <w:rsid w:val="00BB3D0A"/>
    <w:rsid w:val="00BB46D4"/>
    <w:rsid w:val="00BB58DC"/>
    <w:rsid w:val="00BB6EA0"/>
    <w:rsid w:val="00BC0C5B"/>
    <w:rsid w:val="00BC13B7"/>
    <w:rsid w:val="00BC1545"/>
    <w:rsid w:val="00BC58E9"/>
    <w:rsid w:val="00BD0EA5"/>
    <w:rsid w:val="00BD1BA1"/>
    <w:rsid w:val="00BD3271"/>
    <w:rsid w:val="00BD3366"/>
    <w:rsid w:val="00BD56A6"/>
    <w:rsid w:val="00BD719A"/>
    <w:rsid w:val="00BD7256"/>
    <w:rsid w:val="00BE2A5B"/>
    <w:rsid w:val="00BE2E88"/>
    <w:rsid w:val="00BE3695"/>
    <w:rsid w:val="00BE5705"/>
    <w:rsid w:val="00BE604B"/>
    <w:rsid w:val="00BF13A6"/>
    <w:rsid w:val="00BF21B8"/>
    <w:rsid w:val="00BF2C18"/>
    <w:rsid w:val="00BF3181"/>
    <w:rsid w:val="00BF337D"/>
    <w:rsid w:val="00BF3763"/>
    <w:rsid w:val="00BF3BAB"/>
    <w:rsid w:val="00BF43DF"/>
    <w:rsid w:val="00BF6088"/>
    <w:rsid w:val="00C00D6F"/>
    <w:rsid w:val="00C036A8"/>
    <w:rsid w:val="00C055DD"/>
    <w:rsid w:val="00C10351"/>
    <w:rsid w:val="00C11EBA"/>
    <w:rsid w:val="00C124B6"/>
    <w:rsid w:val="00C12504"/>
    <w:rsid w:val="00C133B1"/>
    <w:rsid w:val="00C135B3"/>
    <w:rsid w:val="00C13C86"/>
    <w:rsid w:val="00C1440E"/>
    <w:rsid w:val="00C159B7"/>
    <w:rsid w:val="00C173B0"/>
    <w:rsid w:val="00C173E5"/>
    <w:rsid w:val="00C17F33"/>
    <w:rsid w:val="00C21B5E"/>
    <w:rsid w:val="00C222E7"/>
    <w:rsid w:val="00C22C1C"/>
    <w:rsid w:val="00C239AE"/>
    <w:rsid w:val="00C23FA1"/>
    <w:rsid w:val="00C25C91"/>
    <w:rsid w:val="00C25E70"/>
    <w:rsid w:val="00C30036"/>
    <w:rsid w:val="00C312C4"/>
    <w:rsid w:val="00C31CB7"/>
    <w:rsid w:val="00C32B73"/>
    <w:rsid w:val="00C34517"/>
    <w:rsid w:val="00C4023A"/>
    <w:rsid w:val="00C4023D"/>
    <w:rsid w:val="00C42729"/>
    <w:rsid w:val="00C42E55"/>
    <w:rsid w:val="00C43BAA"/>
    <w:rsid w:val="00C441C2"/>
    <w:rsid w:val="00C46025"/>
    <w:rsid w:val="00C46578"/>
    <w:rsid w:val="00C473CF"/>
    <w:rsid w:val="00C5297F"/>
    <w:rsid w:val="00C5352F"/>
    <w:rsid w:val="00C5362E"/>
    <w:rsid w:val="00C54654"/>
    <w:rsid w:val="00C557C6"/>
    <w:rsid w:val="00C55908"/>
    <w:rsid w:val="00C577F8"/>
    <w:rsid w:val="00C605A0"/>
    <w:rsid w:val="00C6122C"/>
    <w:rsid w:val="00C64BBD"/>
    <w:rsid w:val="00C65EDB"/>
    <w:rsid w:val="00C670B4"/>
    <w:rsid w:val="00C67B9D"/>
    <w:rsid w:val="00C7026F"/>
    <w:rsid w:val="00C721DA"/>
    <w:rsid w:val="00C730C2"/>
    <w:rsid w:val="00C7332F"/>
    <w:rsid w:val="00C733AD"/>
    <w:rsid w:val="00C754CD"/>
    <w:rsid w:val="00C756C3"/>
    <w:rsid w:val="00C762A2"/>
    <w:rsid w:val="00C765EB"/>
    <w:rsid w:val="00C804FE"/>
    <w:rsid w:val="00C8066F"/>
    <w:rsid w:val="00C82679"/>
    <w:rsid w:val="00C82C8A"/>
    <w:rsid w:val="00C830B9"/>
    <w:rsid w:val="00C8367F"/>
    <w:rsid w:val="00C8374E"/>
    <w:rsid w:val="00C84057"/>
    <w:rsid w:val="00C85B49"/>
    <w:rsid w:val="00C87A09"/>
    <w:rsid w:val="00C90E1A"/>
    <w:rsid w:val="00C92D32"/>
    <w:rsid w:val="00C92D53"/>
    <w:rsid w:val="00C94837"/>
    <w:rsid w:val="00C97CA9"/>
    <w:rsid w:val="00C97F33"/>
    <w:rsid w:val="00CA0156"/>
    <w:rsid w:val="00CA14CC"/>
    <w:rsid w:val="00CA37CA"/>
    <w:rsid w:val="00CA518D"/>
    <w:rsid w:val="00CA5396"/>
    <w:rsid w:val="00CA53D7"/>
    <w:rsid w:val="00CA660A"/>
    <w:rsid w:val="00CA6D0B"/>
    <w:rsid w:val="00CA6F32"/>
    <w:rsid w:val="00CA6FAB"/>
    <w:rsid w:val="00CA72AF"/>
    <w:rsid w:val="00CA7C8D"/>
    <w:rsid w:val="00CB1D73"/>
    <w:rsid w:val="00CB287A"/>
    <w:rsid w:val="00CB3B5C"/>
    <w:rsid w:val="00CB4033"/>
    <w:rsid w:val="00CB601E"/>
    <w:rsid w:val="00CB67AB"/>
    <w:rsid w:val="00CC077D"/>
    <w:rsid w:val="00CC0E22"/>
    <w:rsid w:val="00CC1995"/>
    <w:rsid w:val="00CC346B"/>
    <w:rsid w:val="00CC3F56"/>
    <w:rsid w:val="00CC413D"/>
    <w:rsid w:val="00CC43A1"/>
    <w:rsid w:val="00CC4679"/>
    <w:rsid w:val="00CC58E3"/>
    <w:rsid w:val="00CC77F1"/>
    <w:rsid w:val="00CD01F4"/>
    <w:rsid w:val="00CD3EC4"/>
    <w:rsid w:val="00CD3F6A"/>
    <w:rsid w:val="00CD4168"/>
    <w:rsid w:val="00CD65E7"/>
    <w:rsid w:val="00CD70A4"/>
    <w:rsid w:val="00CD70DB"/>
    <w:rsid w:val="00CE107F"/>
    <w:rsid w:val="00CE1524"/>
    <w:rsid w:val="00CE1AA1"/>
    <w:rsid w:val="00CE3EBD"/>
    <w:rsid w:val="00CE4D51"/>
    <w:rsid w:val="00CE6784"/>
    <w:rsid w:val="00CE781E"/>
    <w:rsid w:val="00CF0E6B"/>
    <w:rsid w:val="00CF1113"/>
    <w:rsid w:val="00CF134C"/>
    <w:rsid w:val="00CF16BD"/>
    <w:rsid w:val="00CF3048"/>
    <w:rsid w:val="00CF3611"/>
    <w:rsid w:val="00CF36D3"/>
    <w:rsid w:val="00CF42CD"/>
    <w:rsid w:val="00CF44F4"/>
    <w:rsid w:val="00CF459D"/>
    <w:rsid w:val="00CF7372"/>
    <w:rsid w:val="00D0061A"/>
    <w:rsid w:val="00D006D5"/>
    <w:rsid w:val="00D011C4"/>
    <w:rsid w:val="00D027F1"/>
    <w:rsid w:val="00D02B5F"/>
    <w:rsid w:val="00D03608"/>
    <w:rsid w:val="00D048AC"/>
    <w:rsid w:val="00D048D9"/>
    <w:rsid w:val="00D0563F"/>
    <w:rsid w:val="00D12CAD"/>
    <w:rsid w:val="00D138F3"/>
    <w:rsid w:val="00D13DCF"/>
    <w:rsid w:val="00D177AD"/>
    <w:rsid w:val="00D20BE6"/>
    <w:rsid w:val="00D2121C"/>
    <w:rsid w:val="00D2131A"/>
    <w:rsid w:val="00D226D9"/>
    <w:rsid w:val="00D22B30"/>
    <w:rsid w:val="00D23A65"/>
    <w:rsid w:val="00D260F2"/>
    <w:rsid w:val="00D303E2"/>
    <w:rsid w:val="00D304B9"/>
    <w:rsid w:val="00D319CD"/>
    <w:rsid w:val="00D336FF"/>
    <w:rsid w:val="00D34938"/>
    <w:rsid w:val="00D35C73"/>
    <w:rsid w:val="00D370AC"/>
    <w:rsid w:val="00D37C8B"/>
    <w:rsid w:val="00D40533"/>
    <w:rsid w:val="00D40CE8"/>
    <w:rsid w:val="00D41170"/>
    <w:rsid w:val="00D414AF"/>
    <w:rsid w:val="00D42005"/>
    <w:rsid w:val="00D42B11"/>
    <w:rsid w:val="00D4333F"/>
    <w:rsid w:val="00D4383D"/>
    <w:rsid w:val="00D44C9A"/>
    <w:rsid w:val="00D460B9"/>
    <w:rsid w:val="00D46F3E"/>
    <w:rsid w:val="00D470F4"/>
    <w:rsid w:val="00D47C17"/>
    <w:rsid w:val="00D511A9"/>
    <w:rsid w:val="00D52266"/>
    <w:rsid w:val="00D53183"/>
    <w:rsid w:val="00D5505A"/>
    <w:rsid w:val="00D602B6"/>
    <w:rsid w:val="00D611C2"/>
    <w:rsid w:val="00D628D4"/>
    <w:rsid w:val="00D63CF7"/>
    <w:rsid w:val="00D63E73"/>
    <w:rsid w:val="00D63FC5"/>
    <w:rsid w:val="00D642DA"/>
    <w:rsid w:val="00D64B95"/>
    <w:rsid w:val="00D65BAB"/>
    <w:rsid w:val="00D7058F"/>
    <w:rsid w:val="00D71649"/>
    <w:rsid w:val="00D73662"/>
    <w:rsid w:val="00D73977"/>
    <w:rsid w:val="00D76133"/>
    <w:rsid w:val="00D7730A"/>
    <w:rsid w:val="00D8060F"/>
    <w:rsid w:val="00D806F9"/>
    <w:rsid w:val="00D8128D"/>
    <w:rsid w:val="00D812D9"/>
    <w:rsid w:val="00D8740F"/>
    <w:rsid w:val="00D90E4E"/>
    <w:rsid w:val="00D92DEF"/>
    <w:rsid w:val="00D94C9E"/>
    <w:rsid w:val="00D957EB"/>
    <w:rsid w:val="00D970BE"/>
    <w:rsid w:val="00D97946"/>
    <w:rsid w:val="00DA14E1"/>
    <w:rsid w:val="00DA3E7C"/>
    <w:rsid w:val="00DA3EDD"/>
    <w:rsid w:val="00DA722E"/>
    <w:rsid w:val="00DB068B"/>
    <w:rsid w:val="00DB1779"/>
    <w:rsid w:val="00DB1A71"/>
    <w:rsid w:val="00DB6C27"/>
    <w:rsid w:val="00DC0D71"/>
    <w:rsid w:val="00DC25F3"/>
    <w:rsid w:val="00DC516F"/>
    <w:rsid w:val="00DC77C7"/>
    <w:rsid w:val="00DD2203"/>
    <w:rsid w:val="00DD27C6"/>
    <w:rsid w:val="00DD41BE"/>
    <w:rsid w:val="00DD6021"/>
    <w:rsid w:val="00DD67DE"/>
    <w:rsid w:val="00DD6921"/>
    <w:rsid w:val="00DD7804"/>
    <w:rsid w:val="00DE0E3A"/>
    <w:rsid w:val="00DE11D7"/>
    <w:rsid w:val="00DE337D"/>
    <w:rsid w:val="00DE46DF"/>
    <w:rsid w:val="00DE4847"/>
    <w:rsid w:val="00DE60B4"/>
    <w:rsid w:val="00DE6564"/>
    <w:rsid w:val="00DE670D"/>
    <w:rsid w:val="00DE6D74"/>
    <w:rsid w:val="00DE6E22"/>
    <w:rsid w:val="00DF0968"/>
    <w:rsid w:val="00DF0F64"/>
    <w:rsid w:val="00DF273B"/>
    <w:rsid w:val="00DF5815"/>
    <w:rsid w:val="00DF6CAA"/>
    <w:rsid w:val="00DF716F"/>
    <w:rsid w:val="00DF78E8"/>
    <w:rsid w:val="00E010BC"/>
    <w:rsid w:val="00E05834"/>
    <w:rsid w:val="00E071C5"/>
    <w:rsid w:val="00E105B2"/>
    <w:rsid w:val="00E111B6"/>
    <w:rsid w:val="00E11DFD"/>
    <w:rsid w:val="00E128DD"/>
    <w:rsid w:val="00E12C3D"/>
    <w:rsid w:val="00E1355A"/>
    <w:rsid w:val="00E14F1D"/>
    <w:rsid w:val="00E1560B"/>
    <w:rsid w:val="00E16B71"/>
    <w:rsid w:val="00E17D2E"/>
    <w:rsid w:val="00E20385"/>
    <w:rsid w:val="00E2112A"/>
    <w:rsid w:val="00E2154E"/>
    <w:rsid w:val="00E21890"/>
    <w:rsid w:val="00E2321E"/>
    <w:rsid w:val="00E25397"/>
    <w:rsid w:val="00E27AC9"/>
    <w:rsid w:val="00E27BCF"/>
    <w:rsid w:val="00E27DCD"/>
    <w:rsid w:val="00E303EE"/>
    <w:rsid w:val="00E33107"/>
    <w:rsid w:val="00E33781"/>
    <w:rsid w:val="00E33E63"/>
    <w:rsid w:val="00E34E32"/>
    <w:rsid w:val="00E4003B"/>
    <w:rsid w:val="00E40D4B"/>
    <w:rsid w:val="00E41077"/>
    <w:rsid w:val="00E43585"/>
    <w:rsid w:val="00E451B2"/>
    <w:rsid w:val="00E4666F"/>
    <w:rsid w:val="00E50623"/>
    <w:rsid w:val="00E52410"/>
    <w:rsid w:val="00E52735"/>
    <w:rsid w:val="00E54251"/>
    <w:rsid w:val="00E54FB4"/>
    <w:rsid w:val="00E56EF1"/>
    <w:rsid w:val="00E63B20"/>
    <w:rsid w:val="00E65B1C"/>
    <w:rsid w:val="00E65DB0"/>
    <w:rsid w:val="00E661ED"/>
    <w:rsid w:val="00E6685D"/>
    <w:rsid w:val="00E7032B"/>
    <w:rsid w:val="00E713FE"/>
    <w:rsid w:val="00E71A72"/>
    <w:rsid w:val="00E72BEA"/>
    <w:rsid w:val="00E74C64"/>
    <w:rsid w:val="00E74E91"/>
    <w:rsid w:val="00E75837"/>
    <w:rsid w:val="00E76563"/>
    <w:rsid w:val="00E769AE"/>
    <w:rsid w:val="00E7712A"/>
    <w:rsid w:val="00E77FF1"/>
    <w:rsid w:val="00E8058A"/>
    <w:rsid w:val="00E81402"/>
    <w:rsid w:val="00E81F22"/>
    <w:rsid w:val="00E82D2E"/>
    <w:rsid w:val="00E8325B"/>
    <w:rsid w:val="00E83648"/>
    <w:rsid w:val="00E857BF"/>
    <w:rsid w:val="00E86606"/>
    <w:rsid w:val="00E87212"/>
    <w:rsid w:val="00E9155E"/>
    <w:rsid w:val="00E92619"/>
    <w:rsid w:val="00E9309F"/>
    <w:rsid w:val="00E9379D"/>
    <w:rsid w:val="00E9404E"/>
    <w:rsid w:val="00E947CD"/>
    <w:rsid w:val="00E95553"/>
    <w:rsid w:val="00E969AE"/>
    <w:rsid w:val="00E96D02"/>
    <w:rsid w:val="00E97FCD"/>
    <w:rsid w:val="00EA1986"/>
    <w:rsid w:val="00EA2461"/>
    <w:rsid w:val="00EA286F"/>
    <w:rsid w:val="00EB0AAB"/>
    <w:rsid w:val="00EB3F34"/>
    <w:rsid w:val="00EB6651"/>
    <w:rsid w:val="00EB72F1"/>
    <w:rsid w:val="00EB7731"/>
    <w:rsid w:val="00EC0423"/>
    <w:rsid w:val="00EC0ACD"/>
    <w:rsid w:val="00EC1D44"/>
    <w:rsid w:val="00EC4247"/>
    <w:rsid w:val="00ED1DB1"/>
    <w:rsid w:val="00ED6141"/>
    <w:rsid w:val="00ED68BE"/>
    <w:rsid w:val="00EE1465"/>
    <w:rsid w:val="00EE1D32"/>
    <w:rsid w:val="00EE200A"/>
    <w:rsid w:val="00EE372C"/>
    <w:rsid w:val="00EE3E44"/>
    <w:rsid w:val="00EE5C8A"/>
    <w:rsid w:val="00EF09E9"/>
    <w:rsid w:val="00EF0F94"/>
    <w:rsid w:val="00EF163E"/>
    <w:rsid w:val="00EF1CE7"/>
    <w:rsid w:val="00EF240E"/>
    <w:rsid w:val="00EF2F57"/>
    <w:rsid w:val="00EF4858"/>
    <w:rsid w:val="00F00B3D"/>
    <w:rsid w:val="00F01675"/>
    <w:rsid w:val="00F024EA"/>
    <w:rsid w:val="00F02CB9"/>
    <w:rsid w:val="00F036E1"/>
    <w:rsid w:val="00F05567"/>
    <w:rsid w:val="00F05648"/>
    <w:rsid w:val="00F06785"/>
    <w:rsid w:val="00F07C75"/>
    <w:rsid w:val="00F10874"/>
    <w:rsid w:val="00F10A35"/>
    <w:rsid w:val="00F11723"/>
    <w:rsid w:val="00F118FE"/>
    <w:rsid w:val="00F11CBC"/>
    <w:rsid w:val="00F16EEE"/>
    <w:rsid w:val="00F203C1"/>
    <w:rsid w:val="00F212A6"/>
    <w:rsid w:val="00F23289"/>
    <w:rsid w:val="00F23DB9"/>
    <w:rsid w:val="00F240AF"/>
    <w:rsid w:val="00F240E1"/>
    <w:rsid w:val="00F25FAD"/>
    <w:rsid w:val="00F26370"/>
    <w:rsid w:val="00F26419"/>
    <w:rsid w:val="00F304B1"/>
    <w:rsid w:val="00F30D05"/>
    <w:rsid w:val="00F31D74"/>
    <w:rsid w:val="00F33326"/>
    <w:rsid w:val="00F344D2"/>
    <w:rsid w:val="00F3541E"/>
    <w:rsid w:val="00F359AF"/>
    <w:rsid w:val="00F35ADA"/>
    <w:rsid w:val="00F40B8B"/>
    <w:rsid w:val="00F417C1"/>
    <w:rsid w:val="00F42508"/>
    <w:rsid w:val="00F42592"/>
    <w:rsid w:val="00F425F7"/>
    <w:rsid w:val="00F44874"/>
    <w:rsid w:val="00F44986"/>
    <w:rsid w:val="00F456E1"/>
    <w:rsid w:val="00F46256"/>
    <w:rsid w:val="00F467DC"/>
    <w:rsid w:val="00F4729D"/>
    <w:rsid w:val="00F50229"/>
    <w:rsid w:val="00F5180B"/>
    <w:rsid w:val="00F525F8"/>
    <w:rsid w:val="00F55353"/>
    <w:rsid w:val="00F55BC2"/>
    <w:rsid w:val="00F62CCF"/>
    <w:rsid w:val="00F67B77"/>
    <w:rsid w:val="00F701A5"/>
    <w:rsid w:val="00F70D2B"/>
    <w:rsid w:val="00F72579"/>
    <w:rsid w:val="00F74792"/>
    <w:rsid w:val="00F74D80"/>
    <w:rsid w:val="00F74F08"/>
    <w:rsid w:val="00F75E8A"/>
    <w:rsid w:val="00F812AD"/>
    <w:rsid w:val="00F8304B"/>
    <w:rsid w:val="00F8325F"/>
    <w:rsid w:val="00F84435"/>
    <w:rsid w:val="00F84515"/>
    <w:rsid w:val="00F853F0"/>
    <w:rsid w:val="00F8691B"/>
    <w:rsid w:val="00F86B55"/>
    <w:rsid w:val="00F8747A"/>
    <w:rsid w:val="00F87D8D"/>
    <w:rsid w:val="00F9081E"/>
    <w:rsid w:val="00F91197"/>
    <w:rsid w:val="00F914E8"/>
    <w:rsid w:val="00F92CB5"/>
    <w:rsid w:val="00F94AE9"/>
    <w:rsid w:val="00F95BBD"/>
    <w:rsid w:val="00F97A2B"/>
    <w:rsid w:val="00FA235F"/>
    <w:rsid w:val="00FA3517"/>
    <w:rsid w:val="00FA4CF8"/>
    <w:rsid w:val="00FA62F0"/>
    <w:rsid w:val="00FB0BBC"/>
    <w:rsid w:val="00FB107F"/>
    <w:rsid w:val="00FB1503"/>
    <w:rsid w:val="00FB17BC"/>
    <w:rsid w:val="00FB1A0A"/>
    <w:rsid w:val="00FB39DE"/>
    <w:rsid w:val="00FB4FD1"/>
    <w:rsid w:val="00FB58BD"/>
    <w:rsid w:val="00FB58CF"/>
    <w:rsid w:val="00FB59F7"/>
    <w:rsid w:val="00FB69D1"/>
    <w:rsid w:val="00FB6AB2"/>
    <w:rsid w:val="00FC1054"/>
    <w:rsid w:val="00FD1C64"/>
    <w:rsid w:val="00FD2395"/>
    <w:rsid w:val="00FD2A6D"/>
    <w:rsid w:val="00FD5FF5"/>
    <w:rsid w:val="00FE0C7E"/>
    <w:rsid w:val="00FE13B8"/>
    <w:rsid w:val="00FE19C5"/>
    <w:rsid w:val="00FE20DC"/>
    <w:rsid w:val="00FE3AAF"/>
    <w:rsid w:val="00FE53FB"/>
    <w:rsid w:val="00FE6402"/>
    <w:rsid w:val="00FF169E"/>
    <w:rsid w:val="00FF318E"/>
    <w:rsid w:val="00FF3CB5"/>
    <w:rsid w:val="00FF4BDE"/>
    <w:rsid w:val="00FF7179"/>
    <w:rsid w:val="00FF78C6"/>
    <w:rsid w:val="135366A3"/>
    <w:rsid w:val="1B320AEC"/>
    <w:rsid w:val="1B693711"/>
    <w:rsid w:val="267C6CEF"/>
    <w:rsid w:val="27716323"/>
    <w:rsid w:val="2B1A383A"/>
    <w:rsid w:val="31E542D4"/>
    <w:rsid w:val="371073F5"/>
    <w:rsid w:val="38F93C2B"/>
    <w:rsid w:val="3E0A4B00"/>
    <w:rsid w:val="3ED02987"/>
    <w:rsid w:val="4F3E63B4"/>
    <w:rsid w:val="4FA445A2"/>
    <w:rsid w:val="50820535"/>
    <w:rsid w:val="5177377D"/>
    <w:rsid w:val="54E17BF5"/>
    <w:rsid w:val="567E430D"/>
    <w:rsid w:val="5D1864CD"/>
    <w:rsid w:val="5DAA6DC3"/>
    <w:rsid w:val="5E3E1B56"/>
    <w:rsid w:val="6C2C0899"/>
    <w:rsid w:val="752F6BAC"/>
    <w:rsid w:val="797E3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0" w:semiHidden="0" w:name="annotation text"/>
    <w:lsdException w:uiPriority="99" w:name="header"/>
    <w:lsdException w:qFormat="1" w:uiPriority="99" w:semiHidden="0" w:name="footer"/>
    <w:lsdException w:uiPriority="99" w:name="index heading"/>
    <w:lsdException w:unhideWhenUsed="0" w:uiPriority="35"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nhideWhenUsed="0"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qFormat="1"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0" w:name="Plain Text"/>
    <w:lsdException w:uiPriority="99" w:name="E-mail Signature"/>
    <w:lsdException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topLinePunct/>
      <w:adjustRightInd w:val="0"/>
      <w:snapToGrid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5">
    <w:name w:val="heading 1"/>
    <w:basedOn w:val="1"/>
    <w:next w:val="1"/>
    <w:link w:val="35"/>
    <w:qFormat/>
    <w:uiPriority w:val="9"/>
    <w:pPr>
      <w:keepNext/>
      <w:keepLines/>
      <w:spacing w:before="50" w:beforeLines="50" w:after="50" w:afterLines="50"/>
      <w:ind w:firstLine="0" w:firstLineChars="0"/>
      <w:jc w:val="center"/>
      <w:outlineLvl w:val="0"/>
    </w:pPr>
    <w:rPr>
      <w:rFonts w:ascii="宋体" w:hAnsi="宋体" w:cs="Times New Roman"/>
      <w:b/>
      <w:bCs/>
      <w:kern w:val="44"/>
      <w:sz w:val="32"/>
      <w:szCs w:val="44"/>
    </w:rPr>
  </w:style>
  <w:style w:type="paragraph" w:styleId="6">
    <w:name w:val="heading 2"/>
    <w:basedOn w:val="1"/>
    <w:next w:val="1"/>
    <w:link w:val="36"/>
    <w:unhideWhenUsed/>
    <w:qFormat/>
    <w:uiPriority w:val="9"/>
    <w:pPr>
      <w:kinsoku w:val="0"/>
      <w:wordWrap/>
      <w:overflowPunct w:val="0"/>
      <w:topLinePunct w:val="0"/>
      <w:autoSpaceDE w:val="0"/>
      <w:autoSpaceDN w:val="0"/>
      <w:spacing w:before="50" w:beforeLines="50" w:after="50" w:afterLines="50"/>
      <w:ind w:firstLine="0" w:firstLineChars="0"/>
      <w:jc w:val="left"/>
      <w:outlineLvl w:val="1"/>
    </w:pPr>
    <w:rPr>
      <w:b/>
      <w:sz w:val="30"/>
    </w:rPr>
  </w:style>
  <w:style w:type="paragraph" w:styleId="7">
    <w:name w:val="heading 3"/>
    <w:basedOn w:val="1"/>
    <w:next w:val="1"/>
    <w:link w:val="37"/>
    <w:unhideWhenUsed/>
    <w:qFormat/>
    <w:uiPriority w:val="9"/>
    <w:pPr>
      <w:keepNext/>
      <w:keepLines/>
      <w:ind w:firstLine="0" w:firstLineChars="0"/>
      <w:outlineLvl w:val="2"/>
    </w:pPr>
    <w:rPr>
      <w:rFonts w:cs="Times New Roman"/>
      <w:b/>
      <w:bCs/>
      <w:sz w:val="28"/>
      <w:szCs w:val="32"/>
    </w:rPr>
  </w:style>
  <w:style w:type="paragraph" w:styleId="8">
    <w:name w:val="heading 4"/>
    <w:basedOn w:val="1"/>
    <w:next w:val="1"/>
    <w:link w:val="38"/>
    <w:unhideWhenUsed/>
    <w:qFormat/>
    <w:uiPriority w:val="9"/>
    <w:pPr>
      <w:keepNext/>
      <w:keepLines/>
      <w:outlineLvl w:val="3"/>
    </w:pPr>
    <w:rPr>
      <w:rFonts w:cstheme="majorBidi"/>
      <w:b/>
      <w:bCs/>
      <w:szCs w:val="28"/>
    </w:rPr>
  </w:style>
  <w:style w:type="paragraph" w:styleId="9">
    <w:name w:val="heading 5"/>
    <w:basedOn w:val="1"/>
    <w:next w:val="1"/>
    <w:link w:val="39"/>
    <w:unhideWhenUsed/>
    <w:qFormat/>
    <w:uiPriority w:val="9"/>
    <w:pPr>
      <w:keepLines/>
      <w:ind w:firstLine="0" w:firstLineChars="0"/>
      <w:jc w:val="center"/>
      <w:outlineLvl w:val="4"/>
    </w:pPr>
    <w:rPr>
      <w:rFonts w:cs="Times New Roman"/>
      <w:b/>
      <w:bCs/>
      <w:sz w:val="21"/>
      <w:szCs w:val="28"/>
    </w:rPr>
  </w:style>
  <w:style w:type="paragraph" w:styleId="10">
    <w:name w:val="heading 6"/>
    <w:basedOn w:val="1"/>
    <w:next w:val="1"/>
    <w:link w:val="40"/>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paragraph" w:styleId="11">
    <w:name w:val="heading 7"/>
    <w:basedOn w:val="1"/>
    <w:next w:val="1"/>
    <w:link w:val="41"/>
    <w:unhideWhenUsed/>
    <w:qFormat/>
    <w:uiPriority w:val="9"/>
    <w:pPr>
      <w:keepNext/>
      <w:keepLines/>
      <w:spacing w:before="240" w:after="64" w:line="320" w:lineRule="auto"/>
      <w:outlineLvl w:val="6"/>
    </w:pPr>
    <w:rPr>
      <w:b/>
      <w:bCs/>
      <w:szCs w:val="24"/>
    </w:rPr>
  </w:style>
  <w:style w:type="paragraph" w:styleId="12">
    <w:name w:val="heading 8"/>
    <w:basedOn w:val="1"/>
    <w:next w:val="1"/>
    <w:link w:val="42"/>
    <w:qFormat/>
    <w:uiPriority w:val="0"/>
    <w:pPr>
      <w:keepNext/>
      <w:keepLines/>
      <w:jc w:val="left"/>
      <w:outlineLvl w:val="7"/>
    </w:pPr>
    <w:rPr>
      <w:rFonts w:ascii="Arial" w:hAnsi="Arial" w:cs="Times New Roman"/>
      <w:sz w:val="21"/>
      <w:szCs w:val="24"/>
    </w:rPr>
  </w:style>
  <w:style w:type="paragraph" w:styleId="13">
    <w:name w:val="heading 9"/>
    <w:basedOn w:val="1"/>
    <w:next w:val="1"/>
    <w:link w:val="43"/>
    <w:qFormat/>
    <w:uiPriority w:val="0"/>
    <w:pPr>
      <w:keepNext/>
      <w:keepLines/>
      <w:spacing w:before="240" w:after="64" w:line="320" w:lineRule="auto"/>
      <w:ind w:left="425" w:hanging="425"/>
      <w:outlineLvl w:val="8"/>
    </w:pPr>
    <w:rPr>
      <w:rFonts w:ascii="Arial" w:hAnsi="Arial" w:eastAsia="黑体" w:cs="Times New Roman"/>
      <w:sz w:val="21"/>
      <w:szCs w:val="21"/>
    </w:rPr>
  </w:style>
  <w:style w:type="character" w:default="1" w:styleId="32">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pPr>
    <w:rPr>
      <w:szCs w:val="20"/>
    </w:rPr>
  </w:style>
  <w:style w:type="paragraph" w:styleId="3">
    <w:name w:val="Body Text First Indent 2"/>
    <w:basedOn w:val="4"/>
    <w:next w:val="1"/>
    <w:qFormat/>
    <w:uiPriority w:val="0"/>
    <w:pPr>
      <w:spacing w:after="0"/>
      <w:ind w:left="0" w:leftChars="0"/>
    </w:pPr>
  </w:style>
  <w:style w:type="paragraph" w:styleId="4">
    <w:name w:val="Body Text Indent"/>
    <w:basedOn w:val="1"/>
    <w:unhideWhenUsed/>
    <w:qFormat/>
    <w:uiPriority w:val="99"/>
    <w:pPr>
      <w:spacing w:after="120"/>
      <w:ind w:left="420" w:leftChars="200"/>
    </w:pPr>
  </w:style>
  <w:style w:type="paragraph" w:styleId="14">
    <w:name w:val="toc 7"/>
    <w:basedOn w:val="1"/>
    <w:next w:val="1"/>
    <w:unhideWhenUsed/>
    <w:qFormat/>
    <w:uiPriority w:val="39"/>
    <w:pPr>
      <w:wordWrap/>
      <w:topLinePunct w:val="0"/>
      <w:adjustRightInd/>
      <w:snapToGrid/>
      <w:spacing w:line="240" w:lineRule="auto"/>
      <w:ind w:left="2520" w:leftChars="1200" w:firstLine="0" w:firstLineChars="0"/>
    </w:pPr>
    <w:rPr>
      <w:rFonts w:asciiTheme="minorHAnsi" w:hAnsiTheme="minorHAnsi" w:eastAsiaTheme="minorEastAsia"/>
      <w:sz w:val="21"/>
    </w:rPr>
  </w:style>
  <w:style w:type="paragraph" w:styleId="15">
    <w:name w:val="annotation text"/>
    <w:basedOn w:val="1"/>
    <w:link w:val="44"/>
    <w:unhideWhenUsed/>
    <w:uiPriority w:val="0"/>
    <w:pPr>
      <w:jc w:val="left"/>
    </w:pPr>
  </w:style>
  <w:style w:type="paragraph" w:styleId="16">
    <w:name w:val="Body Text"/>
    <w:basedOn w:val="1"/>
    <w:link w:val="53"/>
    <w:semiHidden/>
    <w:uiPriority w:val="99"/>
    <w:pPr>
      <w:spacing w:after="120"/>
    </w:pPr>
  </w:style>
  <w:style w:type="paragraph" w:styleId="17">
    <w:name w:val="toc 5"/>
    <w:basedOn w:val="1"/>
    <w:next w:val="1"/>
    <w:unhideWhenUsed/>
    <w:qFormat/>
    <w:uiPriority w:val="39"/>
    <w:pPr>
      <w:wordWrap/>
      <w:topLinePunct w:val="0"/>
      <w:adjustRightInd/>
      <w:snapToGrid/>
      <w:spacing w:line="240" w:lineRule="auto"/>
      <w:ind w:left="1680" w:leftChars="800" w:firstLine="0" w:firstLineChars="0"/>
    </w:pPr>
    <w:rPr>
      <w:rFonts w:asciiTheme="minorHAnsi" w:hAnsiTheme="minorHAnsi" w:eastAsiaTheme="minorEastAsia"/>
      <w:sz w:val="21"/>
    </w:rPr>
  </w:style>
  <w:style w:type="paragraph" w:styleId="18">
    <w:name w:val="toc 3"/>
    <w:basedOn w:val="1"/>
    <w:next w:val="1"/>
    <w:unhideWhenUsed/>
    <w:qFormat/>
    <w:uiPriority w:val="39"/>
    <w:pPr>
      <w:ind w:left="840" w:leftChars="400"/>
    </w:pPr>
  </w:style>
  <w:style w:type="paragraph" w:styleId="19">
    <w:name w:val="toc 8"/>
    <w:basedOn w:val="1"/>
    <w:next w:val="1"/>
    <w:link w:val="45"/>
    <w:unhideWhenUsed/>
    <w:qFormat/>
    <w:uiPriority w:val="39"/>
    <w:pPr>
      <w:wordWrap/>
      <w:topLinePunct w:val="0"/>
      <w:adjustRightInd/>
      <w:snapToGrid/>
      <w:spacing w:line="240" w:lineRule="auto"/>
      <w:ind w:left="2940" w:leftChars="1400" w:firstLine="0" w:firstLineChars="0"/>
    </w:pPr>
    <w:rPr>
      <w:rFonts w:asciiTheme="minorHAnsi" w:hAnsiTheme="minorHAnsi" w:eastAsiaTheme="minorEastAsia"/>
      <w:sz w:val="21"/>
    </w:rPr>
  </w:style>
  <w:style w:type="paragraph" w:styleId="20">
    <w:name w:val="Balloon Text"/>
    <w:basedOn w:val="1"/>
    <w:link w:val="46"/>
    <w:unhideWhenUsed/>
    <w:uiPriority w:val="99"/>
    <w:pPr>
      <w:spacing w:line="240" w:lineRule="auto"/>
    </w:pPr>
    <w:rPr>
      <w:sz w:val="18"/>
      <w:szCs w:val="18"/>
    </w:rPr>
  </w:style>
  <w:style w:type="paragraph" w:styleId="21">
    <w:name w:val="footer"/>
    <w:basedOn w:val="1"/>
    <w:link w:val="47"/>
    <w:unhideWhenUsed/>
    <w:qFormat/>
    <w:uiPriority w:val="99"/>
    <w:pPr>
      <w:widowControl/>
      <w:tabs>
        <w:tab w:val="center" w:pos="4680"/>
        <w:tab w:val="right" w:pos="9360"/>
      </w:tabs>
      <w:wordWrap/>
      <w:topLinePunct w:val="0"/>
      <w:adjustRightInd/>
      <w:snapToGrid/>
      <w:spacing w:line="240" w:lineRule="auto"/>
      <w:ind w:firstLine="0" w:firstLineChars="0"/>
      <w:jc w:val="left"/>
    </w:pPr>
    <w:rPr>
      <w:rFonts w:asciiTheme="minorHAnsi" w:hAnsiTheme="minorHAnsi" w:eastAsiaTheme="minorHAnsi"/>
      <w:kern w:val="0"/>
      <w:sz w:val="21"/>
      <w:szCs w:val="21"/>
    </w:rPr>
  </w:style>
  <w:style w:type="paragraph" w:styleId="22">
    <w:name w:val="header"/>
    <w:basedOn w:val="1"/>
    <w:link w:val="55"/>
    <w:semiHidden/>
    <w:unhideWhenUsed/>
    <w:uiPriority w:val="99"/>
    <w:pPr>
      <w:pBdr>
        <w:bottom w:val="single" w:color="auto" w:sz="6" w:space="1"/>
      </w:pBdr>
      <w:tabs>
        <w:tab w:val="center" w:pos="4153"/>
        <w:tab w:val="right" w:pos="8306"/>
      </w:tabs>
      <w:spacing w:line="240" w:lineRule="auto"/>
      <w:jc w:val="center"/>
    </w:pPr>
    <w:rPr>
      <w:sz w:val="18"/>
      <w:szCs w:val="18"/>
    </w:rPr>
  </w:style>
  <w:style w:type="paragraph" w:styleId="23">
    <w:name w:val="toc 1"/>
    <w:basedOn w:val="1"/>
    <w:next w:val="1"/>
    <w:unhideWhenUsed/>
    <w:qFormat/>
    <w:uiPriority w:val="39"/>
  </w:style>
  <w:style w:type="paragraph" w:styleId="24">
    <w:name w:val="toc 4"/>
    <w:basedOn w:val="1"/>
    <w:next w:val="1"/>
    <w:unhideWhenUsed/>
    <w:qFormat/>
    <w:uiPriority w:val="39"/>
    <w:pPr>
      <w:wordWrap/>
      <w:topLinePunct w:val="0"/>
      <w:adjustRightInd/>
      <w:snapToGrid/>
      <w:spacing w:line="240" w:lineRule="auto"/>
      <w:ind w:left="1260" w:leftChars="600" w:firstLine="0" w:firstLineChars="0"/>
    </w:pPr>
    <w:rPr>
      <w:rFonts w:asciiTheme="minorHAnsi" w:hAnsiTheme="minorHAnsi" w:eastAsiaTheme="minorEastAsia"/>
      <w:sz w:val="21"/>
    </w:rPr>
  </w:style>
  <w:style w:type="paragraph" w:styleId="25">
    <w:name w:val="toc 6"/>
    <w:basedOn w:val="1"/>
    <w:next w:val="1"/>
    <w:unhideWhenUsed/>
    <w:qFormat/>
    <w:uiPriority w:val="39"/>
    <w:pPr>
      <w:wordWrap/>
      <w:topLinePunct w:val="0"/>
      <w:adjustRightInd/>
      <w:snapToGrid/>
      <w:spacing w:line="240" w:lineRule="auto"/>
      <w:ind w:left="2100" w:leftChars="1000" w:firstLine="0" w:firstLineChars="0"/>
    </w:pPr>
    <w:rPr>
      <w:rFonts w:asciiTheme="minorHAnsi" w:hAnsiTheme="minorHAnsi" w:eastAsiaTheme="minorEastAsia"/>
      <w:sz w:val="21"/>
    </w:r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wordWrap/>
      <w:topLinePunct w:val="0"/>
      <w:adjustRightInd/>
      <w:snapToGrid/>
      <w:spacing w:line="240" w:lineRule="auto"/>
      <w:ind w:left="3360" w:leftChars="1600" w:firstLine="0" w:firstLineChars="0"/>
    </w:pPr>
    <w:rPr>
      <w:rFonts w:asciiTheme="minorHAnsi" w:hAnsiTheme="minorHAnsi" w:eastAsiaTheme="minorEastAsia"/>
      <w:sz w:val="21"/>
    </w:rPr>
  </w:style>
  <w:style w:type="paragraph" w:styleId="28">
    <w:name w:val="annotation subject"/>
    <w:basedOn w:val="15"/>
    <w:next w:val="15"/>
    <w:link w:val="52"/>
    <w:semiHidden/>
    <w:unhideWhenUsed/>
    <w:uiPriority w:val="99"/>
    <w:rPr>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Light List Accent 5"/>
    <w:basedOn w:val="29"/>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character" w:styleId="33">
    <w:name w:val="Hyperlink"/>
    <w:basedOn w:val="32"/>
    <w:unhideWhenUsed/>
    <w:qFormat/>
    <w:uiPriority w:val="99"/>
    <w:rPr>
      <w:color w:val="0000FF" w:themeColor="hyperlink"/>
      <w:u w:val="single"/>
      <w14:textFill>
        <w14:solidFill>
          <w14:schemeClr w14:val="hlink"/>
        </w14:solidFill>
      </w14:textFill>
    </w:rPr>
  </w:style>
  <w:style w:type="character" w:styleId="34">
    <w:name w:val="annotation reference"/>
    <w:basedOn w:val="32"/>
    <w:unhideWhenUsed/>
    <w:uiPriority w:val="0"/>
    <w:rPr>
      <w:sz w:val="21"/>
      <w:szCs w:val="21"/>
    </w:rPr>
  </w:style>
  <w:style w:type="character" w:customStyle="1" w:styleId="35">
    <w:name w:val="标题 1 字符"/>
    <w:basedOn w:val="32"/>
    <w:link w:val="5"/>
    <w:qFormat/>
    <w:uiPriority w:val="9"/>
    <w:rPr>
      <w:rFonts w:ascii="宋体" w:hAnsi="宋体"/>
      <w:b/>
      <w:bCs/>
      <w:kern w:val="44"/>
      <w:sz w:val="32"/>
      <w:szCs w:val="44"/>
    </w:rPr>
  </w:style>
  <w:style w:type="character" w:customStyle="1" w:styleId="36">
    <w:name w:val="标题 2 字符"/>
    <w:basedOn w:val="32"/>
    <w:link w:val="6"/>
    <w:qFormat/>
    <w:uiPriority w:val="9"/>
    <w:rPr>
      <w:rFonts w:cstheme="minorBidi"/>
      <w:b/>
      <w:kern w:val="2"/>
      <w:sz w:val="30"/>
      <w:szCs w:val="22"/>
    </w:rPr>
  </w:style>
  <w:style w:type="character" w:customStyle="1" w:styleId="37">
    <w:name w:val="标题 3 字符"/>
    <w:basedOn w:val="32"/>
    <w:link w:val="7"/>
    <w:qFormat/>
    <w:uiPriority w:val="9"/>
    <w:rPr>
      <w:rFonts w:ascii="Times New Roman" w:hAnsi="Times New Roman"/>
      <w:b/>
      <w:bCs/>
      <w:kern w:val="2"/>
      <w:sz w:val="28"/>
      <w:szCs w:val="32"/>
    </w:rPr>
  </w:style>
  <w:style w:type="character" w:customStyle="1" w:styleId="38">
    <w:name w:val="标题 4 字符"/>
    <w:basedOn w:val="32"/>
    <w:link w:val="8"/>
    <w:qFormat/>
    <w:uiPriority w:val="9"/>
    <w:rPr>
      <w:rFonts w:ascii="Times New Roman" w:hAnsi="Times New Roman" w:cstheme="majorBidi"/>
      <w:b/>
      <w:bCs/>
      <w:kern w:val="2"/>
      <w:sz w:val="24"/>
      <w:szCs w:val="28"/>
    </w:rPr>
  </w:style>
  <w:style w:type="character" w:customStyle="1" w:styleId="39">
    <w:name w:val="标题 5 字符"/>
    <w:link w:val="9"/>
    <w:qFormat/>
    <w:uiPriority w:val="9"/>
    <w:rPr>
      <w:rFonts w:ascii="Times New Roman" w:hAnsi="Times New Roman"/>
      <w:b/>
      <w:bCs/>
      <w:kern w:val="2"/>
      <w:sz w:val="21"/>
      <w:szCs w:val="28"/>
    </w:rPr>
  </w:style>
  <w:style w:type="character" w:customStyle="1" w:styleId="40">
    <w:name w:val="标题 6 字符"/>
    <w:basedOn w:val="32"/>
    <w:link w:val="10"/>
    <w:qFormat/>
    <w:uiPriority w:val="9"/>
    <w:rPr>
      <w:rFonts w:asciiTheme="majorHAnsi" w:hAnsiTheme="majorHAnsi" w:eastAsiaTheme="majorEastAsia" w:cstheme="majorBidi"/>
      <w:b/>
      <w:bCs/>
      <w:sz w:val="24"/>
      <w:szCs w:val="24"/>
    </w:rPr>
  </w:style>
  <w:style w:type="character" w:customStyle="1" w:styleId="41">
    <w:name w:val="标题 7 字符"/>
    <w:basedOn w:val="32"/>
    <w:link w:val="11"/>
    <w:qFormat/>
    <w:uiPriority w:val="9"/>
    <w:rPr>
      <w:b/>
      <w:bCs/>
      <w:sz w:val="24"/>
      <w:szCs w:val="24"/>
    </w:rPr>
  </w:style>
  <w:style w:type="character" w:customStyle="1" w:styleId="42">
    <w:name w:val="标题 8 字符"/>
    <w:basedOn w:val="32"/>
    <w:link w:val="12"/>
    <w:qFormat/>
    <w:uiPriority w:val="0"/>
    <w:rPr>
      <w:rFonts w:ascii="Arial" w:hAnsi="Arial" w:eastAsia="宋体" w:cs="Times New Roman"/>
      <w:szCs w:val="24"/>
    </w:rPr>
  </w:style>
  <w:style w:type="character" w:customStyle="1" w:styleId="43">
    <w:name w:val="标题 9 字符"/>
    <w:basedOn w:val="32"/>
    <w:link w:val="13"/>
    <w:qFormat/>
    <w:uiPriority w:val="0"/>
    <w:rPr>
      <w:rFonts w:ascii="Arial" w:hAnsi="Arial" w:eastAsia="黑体" w:cs="Times New Roman"/>
      <w:szCs w:val="21"/>
    </w:rPr>
  </w:style>
  <w:style w:type="character" w:customStyle="1" w:styleId="44">
    <w:name w:val="批注文字 字符"/>
    <w:basedOn w:val="32"/>
    <w:link w:val="15"/>
    <w:uiPriority w:val="0"/>
    <w:rPr>
      <w:rFonts w:ascii="Times New Roman" w:hAnsi="Times New Roman" w:cstheme="minorBidi"/>
      <w:kern w:val="2"/>
      <w:sz w:val="24"/>
      <w:szCs w:val="22"/>
    </w:rPr>
  </w:style>
  <w:style w:type="character" w:customStyle="1" w:styleId="45">
    <w:name w:val="TOC 8 字符"/>
    <w:link w:val="19"/>
    <w:uiPriority w:val="39"/>
    <w:rPr>
      <w:rFonts w:asciiTheme="minorHAnsi" w:hAnsiTheme="minorHAnsi" w:eastAsiaTheme="minorEastAsia"/>
      <w:sz w:val="21"/>
    </w:rPr>
  </w:style>
  <w:style w:type="character" w:customStyle="1" w:styleId="46">
    <w:name w:val="批注框文本 字符"/>
    <w:basedOn w:val="32"/>
    <w:link w:val="20"/>
    <w:uiPriority w:val="99"/>
    <w:rPr>
      <w:rFonts w:ascii="Times New Roman" w:hAnsi="Times New Roman" w:cstheme="minorBidi"/>
      <w:kern w:val="2"/>
      <w:sz w:val="18"/>
      <w:szCs w:val="18"/>
    </w:rPr>
  </w:style>
  <w:style w:type="character" w:customStyle="1" w:styleId="47">
    <w:name w:val="页脚 字符"/>
    <w:basedOn w:val="32"/>
    <w:link w:val="21"/>
    <w:qFormat/>
    <w:uiPriority w:val="99"/>
    <w:rPr>
      <w:rFonts w:asciiTheme="minorHAnsi" w:hAnsiTheme="minorHAnsi" w:eastAsiaTheme="minorHAnsi" w:cstheme="minorBidi"/>
      <w:sz w:val="21"/>
      <w:szCs w:val="21"/>
    </w:rPr>
  </w:style>
  <w:style w:type="paragraph" w:customStyle="1" w:styleId="48">
    <w:name w:val="表"/>
    <w:basedOn w:val="1"/>
    <w:next w:val="1"/>
    <w:qFormat/>
    <w:uiPriority w:val="0"/>
    <w:pPr>
      <w:spacing w:line="240" w:lineRule="auto"/>
      <w:ind w:firstLine="0" w:firstLineChars="0"/>
      <w:jc w:val="center"/>
    </w:pPr>
    <w:rPr>
      <w:rFonts w:cs="Times New Roman"/>
      <w:sz w:val="21"/>
    </w:rPr>
  </w:style>
  <w:style w:type="paragraph" w:customStyle="1" w:styleId="49">
    <w:name w:val="表文"/>
    <w:basedOn w:val="1"/>
    <w:link w:val="50"/>
    <w:qFormat/>
    <w:uiPriority w:val="99"/>
    <w:pPr>
      <w:wordWrap/>
      <w:topLinePunct w:val="0"/>
      <w:adjustRightInd/>
      <w:snapToGrid/>
      <w:spacing w:line="240" w:lineRule="auto"/>
      <w:ind w:firstLine="0" w:firstLineChars="0"/>
    </w:pPr>
    <w:rPr>
      <w:rFonts w:asciiTheme="minorHAnsi" w:hAnsiTheme="minorHAnsi" w:eastAsiaTheme="minorEastAsia"/>
      <w:sz w:val="21"/>
    </w:rPr>
  </w:style>
  <w:style w:type="character" w:customStyle="1" w:styleId="50">
    <w:name w:val="表文 Char"/>
    <w:link w:val="49"/>
    <w:qFormat/>
    <w:locked/>
    <w:uiPriority w:val="99"/>
    <w:rPr>
      <w:rFonts w:asciiTheme="minorHAnsi" w:hAnsiTheme="minorHAnsi" w:eastAsiaTheme="minorEastAsia" w:cstheme="minorBidi"/>
      <w:kern w:val="2"/>
      <w:sz w:val="21"/>
      <w:szCs w:val="22"/>
    </w:rPr>
  </w:style>
  <w:style w:type="paragraph" w:customStyle="1" w:styleId="51">
    <w:name w:val="表格"/>
    <w:basedOn w:val="1"/>
    <w:qFormat/>
    <w:uiPriority w:val="0"/>
    <w:pPr>
      <w:spacing w:line="240" w:lineRule="auto"/>
      <w:ind w:firstLine="0" w:firstLineChars="0"/>
      <w:jc w:val="center"/>
    </w:pPr>
    <w:rPr>
      <w:rFonts w:cs="Times New Roman"/>
      <w:sz w:val="21"/>
      <w:szCs w:val="21"/>
    </w:rPr>
  </w:style>
  <w:style w:type="character" w:customStyle="1" w:styleId="52">
    <w:name w:val="批注主题 字符"/>
    <w:basedOn w:val="44"/>
    <w:link w:val="28"/>
    <w:semiHidden/>
    <w:uiPriority w:val="99"/>
    <w:rPr>
      <w:rFonts w:ascii="Times New Roman" w:hAnsi="Times New Roman" w:cstheme="minorBidi"/>
      <w:b/>
      <w:bCs/>
      <w:kern w:val="2"/>
      <w:sz w:val="24"/>
      <w:szCs w:val="22"/>
    </w:rPr>
  </w:style>
  <w:style w:type="character" w:customStyle="1" w:styleId="53">
    <w:name w:val="正文文本 字符"/>
    <w:basedOn w:val="32"/>
    <w:link w:val="16"/>
    <w:semiHidden/>
    <w:uiPriority w:val="99"/>
    <w:rPr>
      <w:rFonts w:ascii="Times New Roman" w:hAnsi="Times New Roman" w:cstheme="minorBidi"/>
      <w:kern w:val="2"/>
      <w:sz w:val="24"/>
      <w:szCs w:val="22"/>
    </w:rPr>
  </w:style>
  <w:style w:type="character" w:customStyle="1" w:styleId="54">
    <w:name w:val="未处理的提及1"/>
    <w:basedOn w:val="32"/>
    <w:semiHidden/>
    <w:unhideWhenUsed/>
    <w:uiPriority w:val="99"/>
    <w:rPr>
      <w:color w:val="605E5C"/>
      <w:shd w:val="clear" w:color="auto" w:fill="E1DFDD"/>
    </w:rPr>
  </w:style>
  <w:style w:type="character" w:customStyle="1" w:styleId="55">
    <w:name w:val="页眉 字符"/>
    <w:basedOn w:val="32"/>
    <w:link w:val="22"/>
    <w:semiHidden/>
    <w:uiPriority w:val="99"/>
    <w:rPr>
      <w:rFonts w:ascii="Times New Roman" w:hAnsi="Times New Roman" w:cstheme="minorBidi"/>
      <w:kern w:val="2"/>
      <w:sz w:val="18"/>
      <w:szCs w:val="18"/>
    </w:rPr>
  </w:style>
  <w:style w:type="paragraph" w:customStyle="1" w:styleId="56">
    <w:name w:val="Revision"/>
    <w:hidden/>
    <w:semiHidden/>
    <w:uiPriority w:val="99"/>
    <w:rPr>
      <w:rFonts w:ascii="Times New Roman" w:hAnsi="Times New Roman" w:eastAsia="宋体" w:cstheme="minorBidi"/>
      <w:kern w:val="2"/>
      <w:sz w:val="24"/>
      <w:szCs w:val="22"/>
      <w:lang w:val="en-US" w:eastAsia="zh-CN" w:bidi="ar-SA"/>
    </w:rPr>
  </w:style>
  <w:style w:type="table" w:customStyle="1" w:styleId="57">
    <w:name w:val="网格型1"/>
    <w:basedOn w:val="29"/>
    <w:uiPriority w:val="59"/>
    <w:pPr>
      <w:widowControl w:val="0"/>
      <w:overflowPunct w:val="0"/>
      <w:autoSpaceDE w:val="0"/>
      <w:autoSpaceDN w:val="0"/>
      <w:adjustRightInd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8">
    <w:name w:val="未处理的提及2"/>
    <w:basedOn w:val="32"/>
    <w:semiHidden/>
    <w:unhideWhenUsed/>
    <w:qFormat/>
    <w:uiPriority w:val="99"/>
    <w:rPr>
      <w:color w:val="605E5C"/>
      <w:shd w:val="clear" w:color="auto" w:fill="E1DFDD"/>
    </w:rPr>
  </w:style>
  <w:style w:type="character" w:styleId="59">
    <w:name w:val="Placeholder Text"/>
    <w:basedOn w:val="32"/>
    <w:unhideWhenUsed/>
    <w:qFormat/>
    <w:uiPriority w:val="99"/>
    <w:rPr>
      <w:color w:val="808080"/>
    </w:rPr>
  </w:style>
  <w:style w:type="character" w:customStyle="1" w:styleId="60">
    <w:name w:val="未处理的提及3"/>
    <w:basedOn w:val="3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wmf"/><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7EA67B-A358-43DD-8300-DDB34F5EB04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142</Pages>
  <Words>77519</Words>
  <Characters>91395</Characters>
  <Lines>720</Lines>
  <Paragraphs>202</Paragraphs>
  <TotalTime>7</TotalTime>
  <ScaleCrop>false</ScaleCrop>
  <LinksUpToDate>false</LinksUpToDate>
  <CharactersWithSpaces>92122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2023-01-04T01:13:00Z</dcterms:created>
  <dc:creator>Administrator</dc:creator>
  <cp:lastModifiedBy>邓婷</cp:lastModifiedBy>
  <cp:lastPrinted>2023-01-04T01:14:00Z</cp:lastPrinted>
  <dcterms:modified xsi:type="dcterms:W3CDTF">2024-07-09T06:40:46Z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9853E62D95344466BEBD64A71650B940_13</vt:lpwstr>
  </property>
</Properties>
</file>