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p>
    <w:p>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p>
    <w:p>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：衡阳市生态环境局衡山分局</w:t>
      </w:r>
    </w:p>
    <w:p>
      <w:pPr>
        <w:ind w:firstLine="1080" w:firstLineChars="300"/>
        <w:rPr>
          <w:rFonts w:ascii="Times New Roman" w:hAnsi="Times New Roman"/>
          <w:sz w:val="36"/>
          <w:szCs w:val="36"/>
        </w:rPr>
      </w:pPr>
      <w:r>
        <w:rPr>
          <w:rFonts w:hint="eastAsia" w:ascii="Times New Roman" w:hAnsi="Times New Roman"/>
          <w:sz w:val="36"/>
          <w:szCs w:val="36"/>
        </w:rPr>
        <w:t>主要负责人签字</w:t>
      </w:r>
      <w:r>
        <w:rPr>
          <w:rFonts w:ascii="Times New Roman" w:hAnsi="Times New Roman"/>
          <w:sz w:val="36"/>
          <w:szCs w:val="36"/>
        </w:rPr>
        <w:t>：</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rPr>
        <w:t>2022</w:t>
      </w:r>
      <w:r>
        <w:rPr>
          <w:rFonts w:ascii="Times New Roman" w:hAnsi="Times New Roman" w:eastAsia="黑体"/>
          <w:sz w:val="32"/>
          <w:szCs w:val="32"/>
        </w:rPr>
        <w:t xml:space="preserve">年  </w:t>
      </w:r>
      <w:r>
        <w:rPr>
          <w:rFonts w:hint="eastAsia" w:ascii="Times New Roman" w:hAnsi="Times New Roman" w:eastAsia="黑体"/>
          <w:sz w:val="32"/>
          <w:szCs w:val="32"/>
        </w:rPr>
        <w:t xml:space="preserve">4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8  </w:t>
      </w:r>
      <w:r>
        <w:rPr>
          <w:rFonts w:ascii="Times New Roman" w:hAnsi="Times New Roman" w:eastAsia="黑体"/>
          <w:sz w:val="32"/>
          <w:szCs w:val="32"/>
        </w:rPr>
        <w:t>日</w:t>
      </w:r>
    </w:p>
    <w:p>
      <w:pPr>
        <w:jc w:val="center"/>
        <w:rPr>
          <w:rFonts w:ascii="Times New Roman" w:hAnsi="Times New Roman" w:eastAsia="黑体"/>
          <w:sz w:val="32"/>
          <w:szCs w:val="32"/>
        </w:rPr>
      </w:pPr>
    </w:p>
    <w:p>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pPr>
        <w:pStyle w:val="7"/>
        <w:shd w:val="clear" w:color="auto" w:fill="FFFFFF"/>
        <w:spacing w:before="0" w:beforeAutospacing="0" w:after="0" w:afterAutospacing="0" w:line="600" w:lineRule="atLeast"/>
        <w:jc w:val="center"/>
        <w:rPr>
          <w:rFonts w:ascii="仿宋" w:hAnsi="仿宋" w:eastAsia="仿宋"/>
          <w:color w:val="000000"/>
          <w:sz w:val="44"/>
          <w:szCs w:val="44"/>
        </w:rPr>
      </w:pPr>
      <w:r>
        <w:rPr>
          <w:rFonts w:hint="eastAsia" w:ascii="仿宋" w:hAnsi="仿宋" w:eastAsia="仿宋"/>
          <w:b/>
          <w:bCs/>
          <w:color w:val="000000"/>
          <w:sz w:val="44"/>
          <w:szCs w:val="44"/>
        </w:rPr>
        <w:t>2021年度部门整体支出绩效自评报告</w:t>
      </w:r>
    </w:p>
    <w:p>
      <w:pPr>
        <w:pStyle w:val="7"/>
        <w:shd w:val="clear" w:color="auto" w:fill="FFFFFF"/>
        <w:spacing w:before="0" w:beforeAutospacing="0" w:after="0" w:afterAutospacing="0" w:line="600" w:lineRule="atLeast"/>
        <w:jc w:val="center"/>
        <w:rPr>
          <w:rFonts w:ascii="仿宋" w:hAnsi="仿宋" w:eastAsia="仿宋"/>
          <w:color w:val="000000"/>
          <w:sz w:val="32"/>
          <w:szCs w:val="32"/>
        </w:rPr>
      </w:pPr>
      <w:r>
        <w:rPr>
          <w:rFonts w:hint="eastAsia" w:eastAsia="仿宋"/>
          <w:color w:val="000000"/>
          <w:sz w:val="32"/>
          <w:szCs w:val="32"/>
        </w:rPr>
        <w:t> </w:t>
      </w:r>
    </w:p>
    <w:p>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333333"/>
          <w:sz w:val="32"/>
          <w:szCs w:val="32"/>
        </w:rPr>
        <w:t>为进一步规范部门资金管理，牢固树立预算绩效理念，强化支出责任，提高预算资金使用效益，我局认真组织开展了2021年度部门预算绩效自评工作，现将我局2021年度部门整体支出绩效评价情况报告如下：</w:t>
      </w:r>
    </w:p>
    <w:p>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一、部门、单位基本情况</w:t>
      </w:r>
    </w:p>
    <w:p>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000000"/>
          <w:sz w:val="32"/>
          <w:szCs w:val="32"/>
        </w:rPr>
        <w:t>衡阳市生态环境局衡山分局是正科级全额拨款单位。</w:t>
      </w:r>
      <w:r>
        <w:rPr>
          <w:rFonts w:hint="eastAsia" w:eastAsia="仿宋"/>
          <w:color w:val="000000"/>
          <w:sz w:val="32"/>
          <w:szCs w:val="32"/>
        </w:rPr>
        <w:t> </w:t>
      </w:r>
    </w:p>
    <w:p>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000000"/>
          <w:sz w:val="32"/>
          <w:szCs w:val="32"/>
        </w:rPr>
        <w:t>1.主要职责：</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（一）</w:t>
      </w:r>
      <w:r>
        <w:rPr>
          <w:rFonts w:ascii="仿宋" w:hAnsi="仿宋" w:eastAsia="仿宋" w:cs="仿宋"/>
        </w:rPr>
        <w:t>贯彻执行国家、省和市有关生态环境的法律法规和政策，会同同级有关门拟订生态环境保护规划、制度，经批准后组织实施；会同同级有关部门编制并监督实施辖区内重点区域、流域、饮用水水源地生态环境规划和水功能区。</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（二）</w:t>
      </w:r>
      <w:r>
        <w:rPr>
          <w:rFonts w:ascii="仿宋" w:hAnsi="仿宋" w:eastAsia="仿宋" w:cs="仿宋"/>
        </w:rPr>
        <w:t>负责协调和监督管理辖区内生态环境保护工作，组织协调辖区内环境污染事故和生态破坏事件的调查处理，指导协调突发生态环境事件的应急、预警工作，参与实施生态环境损害赔偿制度。</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（三）</w:t>
      </w:r>
      <w:r>
        <w:rPr>
          <w:rFonts w:ascii="仿宋" w:hAnsi="仿宋" w:eastAsia="仿宋" w:cs="仿宋"/>
        </w:rPr>
        <w:t>负责监督管理减排目标的落实，根据国家、省和市下达的污染物减排指标，组织制定并监督实施辖区内污染物排放总量控制计划及相关措施，在市生态环境局授范围内承担排污许可证核发工作，并监督排污许可制度实施落实情况。监督检查污染物减排任务完成情况，实施生态环境保护目标责任制，组织协调应对气候变化和温室气体减排工作。</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（四）</w:t>
      </w:r>
      <w:r>
        <w:rPr>
          <w:rFonts w:ascii="仿宋" w:hAnsi="仿宋" w:eastAsia="仿宋" w:cs="仿宋"/>
        </w:rPr>
        <w:t>负责环境污染防治的监督管理，组织拟订辖区内大气、水、土壤、噪声、光、恶臭、固体废物、重金属、化学品、机动车等的污染防治管理制度并监督实施；会同有关部门监督管理饮用水水源地、地下水生态环境保护工作；组织指导城乡生态环境综合整治工作，监督农业面源污染治理工作；监督指导区域大气环境保护工作，组织实施区域大气污染防治联防控协作机制。</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（五）</w:t>
      </w:r>
      <w:r>
        <w:rPr>
          <w:rFonts w:ascii="仿宋" w:hAnsi="仿宋" w:eastAsia="仿宋" w:cs="仿宋"/>
        </w:rPr>
        <w:t>指导协调和监督生态保护修复工作，监督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牵头生物物种(含遗传资源)工作，组织协调生物多样性保护工作，参与生态保护补偿工作。</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（六）</w:t>
      </w:r>
      <w:r>
        <w:rPr>
          <w:rFonts w:ascii="仿宋" w:hAnsi="仿宋" w:eastAsia="仿宋" w:cs="仿宋"/>
        </w:rPr>
        <w:t>负责核与辐射安全的监督管理，负责牵头核安全工作协调机制有关工作，参与核事故应急处理，负责辐射环境事故应急处理；监督管理核设施和放射源安全，监督管理核设施、核技术应用、电磁辐射、伴有放射性矿产资源开发利用活动中的污染防治；负责对核材料管制和民用核安全设备的设计、制造、安装及无损检验活动实施监督管理。</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（七）</w:t>
      </w:r>
      <w:r>
        <w:rPr>
          <w:rFonts w:ascii="仿宋" w:hAnsi="仿宋" w:eastAsia="仿宋" w:cs="仿宋"/>
        </w:rPr>
        <w:t>负责生态环境准入的监督管理。拟订并组织实施生态环境准入清单，受市生态环境局委托，对经济和技术政策、发展规划及重大经济开发计划进行环境影响评价，按规定审批或审查重大开发建设区域、规划、项目环境影响评价。</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（八）</w:t>
      </w:r>
      <w:r>
        <w:rPr>
          <w:rFonts w:ascii="仿宋" w:hAnsi="仿宋" w:eastAsia="仿宋" w:cs="仿宋"/>
        </w:rPr>
        <w:t>负责生态环境监测工作，组织实施生态环境执法监测，负责生态环境质量监测、污染原监测和应急监测等相关工作。</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（九）</w:t>
      </w:r>
      <w:r>
        <w:rPr>
          <w:rFonts w:ascii="仿宋" w:hAnsi="仿宋" w:eastAsia="仿宋" w:cs="仿宋"/>
        </w:rPr>
        <w:t>协调配合生态环境保护督察工作；督促检查同级有关部门(单位）贯彻落实生态环境保护决策部署和"党政同责""一岗双责"情况，调度、指导和督促突出生态环境保护问题整改落实。</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w:t>
      </w:r>
      <w:r>
        <w:rPr>
          <w:rFonts w:ascii="仿宋" w:hAnsi="仿宋" w:eastAsia="仿宋" w:cs="仿宋"/>
        </w:rPr>
        <w:t>承担生态环境保护综合行政执法工作，组织开展辖区内生态环境保护执法检查活动，查处生态环境违法问题。</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（十一）</w:t>
      </w:r>
      <w:r>
        <w:rPr>
          <w:rFonts w:ascii="仿宋" w:hAnsi="仿宋" w:eastAsia="仿宋" w:cs="仿宋"/>
        </w:rPr>
        <w:t>组织开展和指导生态环境宣传教育工作，制定并组织实施生态环境保护宣传教育规划，推动社会组织和公众参与生态环境保护；开展生态环境科技工作，组织生态环境重大科学研究和技术工程示范，推动生态环境技术管理体系建设。</w:t>
      </w:r>
    </w:p>
    <w:p>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（十二）</w:t>
      </w:r>
      <w:r>
        <w:rPr>
          <w:rFonts w:ascii="仿宋" w:hAnsi="仿宋" w:eastAsia="仿宋" w:cs="仿宋"/>
        </w:rPr>
        <w:t>负责本行业、领域的应急管理工作，对本行业、领域的安全生产工作实施监督管理。</w:t>
      </w:r>
    </w:p>
    <w:p>
      <w:pPr>
        <w:pStyle w:val="3"/>
        <w:suppressAutoHyphens/>
        <w:spacing w:line="360" w:lineRule="auto"/>
        <w:ind w:left="420" w:leftChars="200" w:right="480" w:rightChars="229" w:firstLine="658"/>
        <w:rPr>
          <w:rFonts w:ascii="仿宋" w:hAnsi="仿宋" w:eastAsia="仿宋"/>
          <w:color w:val="000000"/>
        </w:rPr>
      </w:pPr>
      <w:r>
        <w:rPr>
          <w:rFonts w:hint="eastAsia" w:ascii="仿宋" w:hAnsi="仿宋" w:eastAsia="仿宋" w:cs="仿宋"/>
        </w:rPr>
        <w:t>（十三）</w:t>
      </w:r>
      <w:r>
        <w:rPr>
          <w:rFonts w:ascii="仿宋" w:hAnsi="仿宋" w:eastAsia="仿宋" w:cs="仿宋"/>
        </w:rPr>
        <w:t>完成市生态环境局和衡山县党委、政府交办的其他任务。</w:t>
      </w:r>
    </w:p>
    <w:p>
      <w:pPr>
        <w:pStyle w:val="7"/>
        <w:shd w:val="clear" w:color="auto" w:fill="FFFFFF"/>
        <w:spacing w:before="180" w:beforeAutospacing="0" w:after="0" w:afterAutospacing="0" w:line="600" w:lineRule="atLeast"/>
        <w:ind w:firstLine="599"/>
        <w:rPr>
          <w:rFonts w:ascii="仿宋" w:hAnsi="仿宋" w:eastAsia="仿宋"/>
          <w:color w:val="000000"/>
          <w:sz w:val="32"/>
          <w:szCs w:val="32"/>
        </w:rPr>
      </w:pPr>
      <w:r>
        <w:rPr>
          <w:rFonts w:hint="eastAsia" w:ascii="仿宋" w:hAnsi="仿宋" w:eastAsia="仿宋"/>
          <w:color w:val="000000"/>
          <w:sz w:val="32"/>
          <w:szCs w:val="32"/>
        </w:rPr>
        <w:t>2.内设机构及编制</w:t>
      </w:r>
      <w:r>
        <w:rPr>
          <w:rFonts w:hint="eastAsia" w:eastAsia="仿宋"/>
          <w:color w:val="000000"/>
          <w:sz w:val="32"/>
          <w:szCs w:val="32"/>
        </w:rPr>
        <w:t> </w:t>
      </w:r>
      <w:r>
        <w:rPr>
          <w:rFonts w:hint="eastAsia" w:ascii="仿宋" w:hAnsi="仿宋" w:eastAsia="仿宋"/>
          <w:color w:val="000000"/>
          <w:sz w:val="32"/>
          <w:szCs w:val="32"/>
        </w:rPr>
        <w:t>　　</w:t>
      </w:r>
    </w:p>
    <w:p>
      <w:pPr>
        <w:pStyle w:val="21"/>
        <w:shd w:val="clear" w:color="auto" w:fill="FFFFFF"/>
        <w:spacing w:before="0" w:beforeAutospacing="0" w:after="0" w:afterAutospacing="0" w:line="600" w:lineRule="atLeast"/>
        <w:ind w:firstLine="640"/>
        <w:rPr>
          <w:rFonts w:ascii="仿宋" w:hAnsi="仿宋" w:eastAsia="仿宋"/>
          <w:color w:val="000000"/>
          <w:sz w:val="32"/>
          <w:szCs w:val="32"/>
        </w:rPr>
      </w:pPr>
      <w:r>
        <w:rPr>
          <w:rFonts w:hint="eastAsia" w:ascii="仿宋" w:hAnsi="仿宋" w:eastAsia="仿宋"/>
          <w:color w:val="000000"/>
          <w:sz w:val="32"/>
          <w:szCs w:val="32"/>
        </w:rPr>
        <w:t>衡阳市生态环境局衡山分局是市生态环境局的派出机构，为正科级，内设办公室、综合股、水生态环境股、大气环境股、土壤生态环境股、自然生态和监测股、环境影响评价与排放管理股、固体废物与辐射管理股等8个股室，下设衡山生态环境综合行政执法大队、衡山生态环境监测站、衡山生态环境事务中心三个二级机构。</w:t>
      </w:r>
    </w:p>
    <w:p>
      <w:pPr>
        <w:pStyle w:val="21"/>
        <w:shd w:val="clear" w:color="auto" w:fill="FFFFFF"/>
        <w:spacing w:before="0" w:beforeAutospacing="0" w:after="0" w:afterAutospacing="0" w:line="600" w:lineRule="atLeast"/>
        <w:ind w:firstLine="640"/>
        <w:rPr>
          <w:rFonts w:ascii="仿宋" w:hAnsi="仿宋" w:eastAsia="仿宋"/>
          <w:color w:val="000000"/>
          <w:sz w:val="32"/>
          <w:szCs w:val="32"/>
        </w:rPr>
      </w:pPr>
      <w:r>
        <w:rPr>
          <w:rFonts w:hint="eastAsia" w:ascii="仿宋" w:hAnsi="仿宋" w:eastAsia="仿宋"/>
          <w:color w:val="000000"/>
          <w:sz w:val="32"/>
          <w:szCs w:val="32"/>
        </w:rPr>
        <w:t>我局人员编制数为44人，其中行政编制9人，事业编制35人，至2021年12月份，实有人数61人，其中在职35人（行政编8人，事业编27人）、临聘人员11人，退休15人；现有车辆2台。</w:t>
      </w:r>
    </w:p>
    <w:p>
      <w:pPr>
        <w:pStyle w:val="7"/>
        <w:shd w:val="clear" w:color="auto" w:fill="FFFFFF"/>
        <w:spacing w:before="18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b/>
          <w:bCs/>
          <w:color w:val="000000"/>
          <w:sz w:val="32"/>
          <w:szCs w:val="32"/>
        </w:rPr>
        <w:t>二、基本支出情况</w:t>
      </w:r>
    </w:p>
    <w:p>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Style w:val="22"/>
          <w:rFonts w:hint="eastAsia" w:ascii="仿宋" w:hAnsi="仿宋" w:eastAsia="仿宋"/>
          <w:color w:val="000000"/>
          <w:sz w:val="32"/>
          <w:szCs w:val="32"/>
        </w:rPr>
        <w:t>本年</w:t>
      </w:r>
      <w:r>
        <w:rPr>
          <w:rStyle w:val="22"/>
          <w:rFonts w:ascii="仿宋" w:hAnsi="仿宋" w:eastAsia="仿宋"/>
          <w:color w:val="000000"/>
          <w:sz w:val="32"/>
          <w:szCs w:val="32"/>
        </w:rPr>
        <w:t>基本支出</w:t>
      </w:r>
      <w:r>
        <w:rPr>
          <w:rStyle w:val="22"/>
          <w:rFonts w:hint="eastAsia" w:ascii="仿宋" w:hAnsi="仿宋" w:eastAsia="仿宋"/>
          <w:color w:val="000000"/>
          <w:sz w:val="32"/>
          <w:szCs w:val="32"/>
        </w:rPr>
        <w:t>494.48</w:t>
      </w:r>
      <w:r>
        <w:rPr>
          <w:rStyle w:val="22"/>
          <w:rFonts w:ascii="仿宋" w:hAnsi="仿宋" w:eastAsia="仿宋"/>
          <w:color w:val="000000"/>
          <w:sz w:val="32"/>
          <w:szCs w:val="32"/>
        </w:rPr>
        <w:t>万元</w:t>
      </w:r>
      <w:r>
        <w:rPr>
          <w:rStyle w:val="22"/>
          <w:rFonts w:hint="eastAsia" w:ascii="仿宋" w:hAnsi="仿宋" w:eastAsia="仿宋"/>
          <w:color w:val="000000"/>
          <w:sz w:val="32"/>
          <w:szCs w:val="32"/>
        </w:rPr>
        <w:t>，占总支出的44.37%</w:t>
      </w:r>
      <w:r>
        <w:rPr>
          <w:rStyle w:val="22"/>
          <w:rFonts w:ascii="仿宋" w:hAnsi="仿宋" w:eastAsia="仿宋"/>
          <w:color w:val="000000"/>
          <w:sz w:val="32"/>
          <w:szCs w:val="32"/>
        </w:rPr>
        <w:t>，</w:t>
      </w:r>
      <w:r>
        <w:rPr>
          <w:rStyle w:val="22"/>
          <w:rFonts w:hint="eastAsia" w:ascii="仿宋" w:hAnsi="仿宋" w:eastAsia="仿宋"/>
          <w:color w:val="000000"/>
          <w:sz w:val="32"/>
          <w:szCs w:val="32"/>
        </w:rPr>
        <w:t>其中</w:t>
      </w:r>
      <w:r>
        <w:rPr>
          <w:rStyle w:val="22"/>
          <w:rFonts w:ascii="仿宋" w:hAnsi="仿宋" w:eastAsia="仿宋"/>
          <w:color w:val="000000"/>
          <w:sz w:val="32"/>
          <w:szCs w:val="32"/>
        </w:rPr>
        <w:t>人员经费支出</w:t>
      </w:r>
      <w:r>
        <w:rPr>
          <w:rStyle w:val="22"/>
          <w:rFonts w:hint="eastAsia" w:ascii="仿宋" w:hAnsi="仿宋" w:eastAsia="仿宋"/>
          <w:color w:val="000000"/>
          <w:sz w:val="32"/>
          <w:szCs w:val="32"/>
        </w:rPr>
        <w:t>394.85</w:t>
      </w:r>
      <w:r>
        <w:rPr>
          <w:rStyle w:val="22"/>
          <w:rFonts w:ascii="仿宋" w:hAnsi="仿宋" w:eastAsia="仿宋"/>
          <w:color w:val="000000"/>
          <w:sz w:val="32"/>
          <w:szCs w:val="32"/>
        </w:rPr>
        <w:t>万元、日常公用经费支出</w:t>
      </w:r>
      <w:r>
        <w:rPr>
          <w:rStyle w:val="22"/>
          <w:rFonts w:hint="eastAsia" w:ascii="仿宋" w:hAnsi="仿宋" w:eastAsia="仿宋"/>
          <w:color w:val="000000"/>
          <w:sz w:val="32"/>
          <w:szCs w:val="32"/>
        </w:rPr>
        <w:t>99.62</w:t>
      </w:r>
      <w:r>
        <w:rPr>
          <w:rStyle w:val="22"/>
          <w:rFonts w:ascii="仿宋" w:hAnsi="仿宋" w:eastAsia="仿宋"/>
          <w:color w:val="000000"/>
          <w:sz w:val="32"/>
          <w:szCs w:val="32"/>
        </w:rPr>
        <w:t>万元</w:t>
      </w:r>
      <w:r>
        <w:rPr>
          <w:rStyle w:val="22"/>
          <w:rFonts w:hint="eastAsia" w:ascii="仿宋" w:hAnsi="仿宋" w:eastAsia="仿宋"/>
          <w:color w:val="000000"/>
          <w:sz w:val="32"/>
          <w:szCs w:val="32"/>
        </w:rPr>
        <w:t>。</w:t>
      </w:r>
    </w:p>
    <w:p>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三、项目支出情况</w:t>
      </w:r>
    </w:p>
    <w:p>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Style w:val="22"/>
          <w:rFonts w:ascii="仿宋" w:hAnsi="仿宋" w:eastAsia="仿宋"/>
          <w:color w:val="000000"/>
          <w:sz w:val="32"/>
          <w:szCs w:val="32"/>
        </w:rPr>
        <w:t>项目支出</w:t>
      </w:r>
      <w:r>
        <w:rPr>
          <w:rStyle w:val="22"/>
          <w:rFonts w:hint="eastAsia" w:ascii="仿宋" w:hAnsi="仿宋" w:eastAsia="仿宋"/>
          <w:color w:val="000000"/>
          <w:sz w:val="32"/>
          <w:szCs w:val="32"/>
        </w:rPr>
        <w:t>619.93</w:t>
      </w:r>
      <w:r>
        <w:rPr>
          <w:rStyle w:val="22"/>
          <w:rFonts w:ascii="仿宋" w:hAnsi="仿宋" w:eastAsia="仿宋"/>
          <w:color w:val="000000"/>
          <w:sz w:val="32"/>
          <w:szCs w:val="32"/>
        </w:rPr>
        <w:t>万元</w:t>
      </w:r>
      <w:r>
        <w:rPr>
          <w:rStyle w:val="22"/>
          <w:rFonts w:hint="eastAsia" w:ascii="仿宋" w:hAnsi="仿宋" w:eastAsia="仿宋"/>
          <w:color w:val="000000"/>
          <w:sz w:val="32"/>
          <w:szCs w:val="32"/>
        </w:rPr>
        <w:t>，占总支出的55.63%</w:t>
      </w:r>
      <w:r>
        <w:rPr>
          <w:rFonts w:hint="eastAsia" w:ascii="仿宋" w:hAnsi="仿宋" w:eastAsia="仿宋"/>
          <w:color w:val="000000"/>
          <w:sz w:val="32"/>
          <w:szCs w:val="32"/>
        </w:rPr>
        <w:t>，其中：环境监测与监察10万元，环境监测执法40万元，空气监测10万元，污染物减排工作经费20万元，湘江流域水污染综合整治28万元，湘江饮用水源控制监测经费20万元，业务经费36.59万元，2021年省级农村环境综合整治20万元，环保督察整改奖补资金50万元，农村环境整治整县推进项目92.82万元，岭坡金矿土壤污染治理79.08万元，饮用水水源保护167.94万元，其他污染防治工作经费45.5万元。</w:t>
      </w:r>
    </w:p>
    <w:p>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四、支出绩效情况</w:t>
      </w:r>
    </w:p>
    <w:p>
      <w:pPr>
        <w:spacing w:line="600" w:lineRule="exact"/>
        <w:ind w:firstLine="640" w:firstLineChars="200"/>
        <w:rPr>
          <w:rFonts w:ascii="仿宋" w:hAnsi="仿宋" w:eastAsia="仿宋" w:cs="宋体"/>
          <w:iCs/>
          <w:color w:val="000000" w:themeColor="text1"/>
          <w:kern w:val="0"/>
          <w:sz w:val="32"/>
          <w:szCs w:val="32"/>
        </w:rPr>
      </w:pPr>
      <w:r>
        <w:rPr>
          <w:rFonts w:hint="eastAsia" w:ascii="仿宋" w:hAnsi="仿宋" w:eastAsia="仿宋" w:cs="仿宋_GB2312"/>
          <w:color w:val="000000" w:themeColor="text1"/>
          <w:sz w:val="32"/>
          <w:szCs w:val="32"/>
        </w:rPr>
        <w:t>在衡阳市生态环境局和衡山县委、县政府的正确领导下，我县生态环境保护工作深入贯彻习近平新时代中国特色社会主义思想，</w:t>
      </w:r>
      <w:r>
        <w:rPr>
          <w:rFonts w:hint="eastAsia" w:ascii="仿宋" w:hAnsi="仿宋" w:eastAsia="仿宋" w:cs="宋体"/>
          <w:iCs/>
          <w:color w:val="000000" w:themeColor="text1"/>
          <w:kern w:val="0"/>
          <w:sz w:val="32"/>
          <w:szCs w:val="32"/>
        </w:rPr>
        <w:t>以提升生态环境质量为目标，以整改突出环境问题为抓手，以打好污染防治攻坚战为主线，生态环境质量显著改善，各方面工作有力有序稳步推进。</w:t>
      </w:r>
    </w:p>
    <w:p>
      <w:pPr>
        <w:spacing w:line="600" w:lineRule="exact"/>
        <w:ind w:firstLine="640" w:firstLineChars="200"/>
        <w:rPr>
          <w:rFonts w:ascii="仿宋" w:hAnsi="仿宋" w:eastAsia="仿宋" w:cs="宋体"/>
          <w:iCs/>
          <w:color w:val="000000" w:themeColor="text1"/>
          <w:kern w:val="0"/>
          <w:sz w:val="32"/>
          <w:szCs w:val="32"/>
        </w:rPr>
      </w:pPr>
      <w:r>
        <w:rPr>
          <w:rFonts w:hint="eastAsia" w:ascii="仿宋" w:hAnsi="仿宋" w:eastAsia="仿宋" w:cs="宋体"/>
          <w:iCs/>
          <w:color w:val="000000" w:themeColor="text1"/>
          <w:kern w:val="0"/>
          <w:sz w:val="32"/>
          <w:szCs w:val="32"/>
        </w:rPr>
        <w:t>2021年1-12月，衡山县环境空气优良天数比例为95.3%，提高3.5个百分点。其中优良天数348天，轻度污染天数13天，中度污染天数2天，重度污染天</w:t>
      </w:r>
      <w:bookmarkStart w:id="0" w:name="_GoBack"/>
      <w:bookmarkEnd w:id="0"/>
      <w:r>
        <w:rPr>
          <w:rFonts w:hint="eastAsia" w:ascii="仿宋" w:hAnsi="仿宋" w:eastAsia="仿宋" w:cs="宋体"/>
          <w:iCs/>
          <w:color w:val="000000" w:themeColor="text1"/>
          <w:kern w:val="0"/>
          <w:sz w:val="32"/>
          <w:szCs w:val="32"/>
        </w:rPr>
        <w:t>数2天，空气质量综合指数为3.04。PM2.5均值浓度为32ug/m3，较上年同期下降了8.6%，PM10均值浓度为52ug/m3，较上年同期下降了5.5%，O3均值浓度为120ug/m3。PM10、PM2.5月均浓度和全年优良天数比例均达到年目标值。地表水考核断面衡山自来水厂、熬洲、和平村、晓岚村水质均达到II类，县级集中式饮用水水源地水质达标率100％，保持II类水质，5个农村万人千吨饮用水源水质均达标。</w:t>
      </w:r>
    </w:p>
    <w:p>
      <w:pPr>
        <w:spacing w:line="56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（一）污染防治攻坚战任务全部完成</w:t>
      </w:r>
    </w:p>
    <w:p>
      <w:pPr>
        <w:spacing w:line="590" w:lineRule="exact"/>
        <w:ind w:firstLine="640" w:firstLineChars="200"/>
        <w:jc w:val="left"/>
        <w:rPr>
          <w:rFonts w:ascii="仿宋" w:hAnsi="仿宋" w:eastAsia="仿宋" w:cs="仿宋_GB2312"/>
          <w:b/>
          <w:sz w:val="32"/>
          <w:szCs w:val="32"/>
        </w:rPr>
      </w:pPr>
      <w:r>
        <w:rPr>
          <w:rFonts w:hint="eastAsia" w:ascii="仿宋" w:hAnsi="仿宋" w:eastAsia="仿宋" w:cs="仿宋_GB2312"/>
          <w:color w:val="000000" w:themeColor="text1"/>
          <w:sz w:val="32"/>
          <w:szCs w:val="32"/>
        </w:rPr>
        <w:t>根据年初制定的《衡山县深入打好污染防治攻坚战2021年度工作方案》，我局已将2021年污染防治攻坚战工作方案和县生态环境保护工作考核细则印发给各单位和乡镇，生态环境保护工作考核已纳入全县目标管理绩效考核。</w:t>
      </w:r>
      <w:r>
        <w:rPr>
          <w:rFonts w:hint="eastAsia" w:ascii="仿宋" w:hAnsi="仿宋" w:eastAsia="仿宋" w:cs="仿宋"/>
          <w:color w:val="000000" w:themeColor="text1"/>
          <w:sz w:val="32"/>
          <w:szCs w:val="32"/>
        </w:rPr>
        <w:t>根据市级污染防治攻坚战“夏季攻势任务清单”，涉及我县夏季攻势任务共8件，我县结合实际工作情况，在市级夏季攻势任务清单基础上新增1个任务，共9件，已全部分解到相关职能单位。县政府多次召开夏季攻势调度会推进整改任务工作，目前危险废物整治问题已完成；涉铊企业综合整治问题已完成；省生态环境警示片披露问题长江镇污水处理站已完成整改；永和乡地下水饮用水水源保护区已完成整改；东湖镇、店门镇、新桥镇污水处理设施已建成投入运行。</w:t>
      </w:r>
    </w:p>
    <w:p>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（二）持续推进突出环境问题整改</w:t>
      </w:r>
    </w:p>
    <w:p>
      <w:pPr>
        <w:spacing w:line="600" w:lineRule="exact"/>
        <w:ind w:firstLine="640" w:firstLineChars="200"/>
        <w:jc w:val="left"/>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一是</w:t>
      </w:r>
      <w:r>
        <w:rPr>
          <w:rFonts w:hint="eastAsia" w:ascii="仿宋" w:hAnsi="仿宋" w:eastAsia="仿宋" w:cs="仿宋_GB2312"/>
          <w:color w:val="000000" w:themeColor="text1"/>
          <w:sz w:val="32"/>
          <w:szCs w:val="32"/>
        </w:rPr>
        <w:t>今年第二轮中央生态环境保护督察期间，交办问题26件，已完成整改销号19件，自保区整改5件（衡山县天柱村修建电子厂，破坏生态环境问题；东湖镇坪田村矿山及加工厂污染问题；东湖镇东湖村矿山、加工厂关闭后未复垦复绿；东湖镇石泥矿、硅石矿场2017年关停，未进行生态修复；马迹镇胡芝瓷泥矿，存在安全隐患）、鸿城纸业整改2件共等7件阶段性办结，需关注问题巍峰矿业已完成整改正在销号。</w:t>
      </w:r>
      <w:r>
        <w:rPr>
          <w:rFonts w:hint="eastAsia" w:ascii="仿宋" w:hAnsi="仿宋" w:eastAsia="仿宋" w:cs="仿宋_GB2312"/>
          <w:b/>
          <w:color w:val="000000" w:themeColor="text1"/>
          <w:sz w:val="32"/>
          <w:szCs w:val="32"/>
        </w:rPr>
        <w:t>二是</w:t>
      </w:r>
      <w:r>
        <w:rPr>
          <w:rFonts w:hint="eastAsia" w:ascii="仿宋" w:hAnsi="仿宋" w:eastAsia="仿宋" w:cs="仿宋_GB2312"/>
          <w:color w:val="000000" w:themeColor="text1"/>
          <w:sz w:val="32"/>
          <w:szCs w:val="32"/>
        </w:rPr>
        <w:t>制定《衡山县贯彻落实省生态环境保护督察“回头看”及砂石行业生态环境保护专项督察反馈意见整改方案》并按方案积极推动整改工作。</w:t>
      </w:r>
      <w:r>
        <w:rPr>
          <w:rFonts w:hint="eastAsia" w:ascii="仿宋" w:hAnsi="仿宋" w:eastAsia="仿宋" w:cs="仿宋_GB2312"/>
          <w:b/>
          <w:color w:val="000000" w:themeColor="text1"/>
          <w:sz w:val="32"/>
          <w:szCs w:val="32"/>
        </w:rPr>
        <w:t>三是</w:t>
      </w:r>
      <w:r>
        <w:rPr>
          <w:rFonts w:hint="eastAsia" w:ascii="仿宋" w:hAnsi="仿宋" w:eastAsia="仿宋" w:cs="仿宋_GB2312"/>
          <w:color w:val="000000" w:themeColor="text1"/>
          <w:sz w:val="32"/>
          <w:szCs w:val="32"/>
        </w:rPr>
        <w:t>成立了以副县长周智勇为组长的衡山县生态环境赔偿领导小组，制定了《衡山县生态环境损害赔偿制度改革实施方案》，开展生态环境赔偿案件。已启动9件，办结7件。</w:t>
      </w:r>
    </w:p>
    <w:p>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（三）切实保障生态环境安全。</w:t>
      </w:r>
    </w:p>
    <w:p>
      <w:pPr>
        <w:pStyle w:val="7"/>
        <w:shd w:val="clear" w:color="auto" w:fill="FFFFFF"/>
        <w:spacing w:before="0" w:beforeAutospacing="0" w:after="0" w:afterAutospacing="0" w:line="315" w:lineRule="atLeast"/>
        <w:ind w:firstLine="600"/>
        <w:jc w:val="both"/>
        <w:rPr>
          <w:rFonts w:ascii="仿宋" w:hAnsi="仿宋" w:eastAsia="仿宋" w:cs="仿宋_GB2312"/>
          <w:kern w:val="2"/>
          <w:sz w:val="32"/>
          <w:szCs w:val="32"/>
        </w:rPr>
      </w:pPr>
      <w:r>
        <w:rPr>
          <w:rFonts w:hint="eastAsia" w:ascii="仿宋" w:hAnsi="仿宋" w:eastAsia="仿宋"/>
          <w:b/>
          <w:iCs/>
          <w:color w:val="000000" w:themeColor="text1"/>
          <w:sz w:val="32"/>
          <w:szCs w:val="32"/>
        </w:rPr>
        <w:t>1、持续抓好生态环境监管执法工作。</w:t>
      </w:r>
      <w:r>
        <w:rPr>
          <w:rFonts w:hint="eastAsia" w:ascii="仿宋" w:hAnsi="仿宋" w:eastAsia="仿宋" w:cs="仿宋_GB2312"/>
          <w:color w:val="000000" w:themeColor="text1"/>
          <w:kern w:val="2"/>
          <w:sz w:val="32"/>
          <w:szCs w:val="32"/>
        </w:rPr>
        <w:t>推进环境执法“双随机、一公开”监管全覆盖，全面推行移动终端执法，共出动环境执法人员800余人次，已完成对辖区内工业园区、各乡镇142家企事业单位进行现场执法检查。其中纳入排污许可重点管理单位20家,医疗机构17家，其他环境污染源企业105家。全年共计下达责令改正环境违法行为通知书28份、立案查处各类环境违法行为15件</w:t>
      </w:r>
      <w:r>
        <w:rPr>
          <w:rFonts w:hint="eastAsia" w:ascii="仿宋" w:hAnsi="仿宋" w:eastAsia="仿宋" w:cs="仿宋_GB2312"/>
          <w:kern w:val="2"/>
          <w:sz w:val="32"/>
          <w:szCs w:val="32"/>
        </w:rPr>
        <w:t>（其中2件正在办理中）责令停产整治2家、移送环境违法刑事犯罪线索1起，累计罚款金额75.8(76.8)万元。</w:t>
      </w:r>
    </w:p>
    <w:p>
      <w:pPr>
        <w:pStyle w:val="7"/>
        <w:shd w:val="clear" w:color="auto" w:fill="FFFFFF"/>
        <w:spacing w:before="0" w:beforeAutospacing="0" w:after="0" w:afterAutospacing="0"/>
        <w:ind w:firstLine="567"/>
        <w:jc w:val="both"/>
        <w:rPr>
          <w:rFonts w:ascii="仿宋" w:hAnsi="仿宋" w:eastAsia="仿宋" w:cs="仿宋_GB2312"/>
          <w:kern w:val="2"/>
          <w:sz w:val="32"/>
          <w:szCs w:val="32"/>
        </w:rPr>
      </w:pPr>
      <w:r>
        <w:rPr>
          <w:rFonts w:hint="eastAsia" w:ascii="仿宋" w:hAnsi="仿宋" w:eastAsia="仿宋"/>
          <w:b/>
          <w:iCs/>
          <w:sz w:val="32"/>
          <w:szCs w:val="32"/>
        </w:rPr>
        <w:t>2、全力查处环境信访投诉问题。</w:t>
      </w:r>
      <w:r>
        <w:rPr>
          <w:rFonts w:hint="eastAsia" w:ascii="仿宋" w:hAnsi="仿宋" w:eastAsia="仿宋" w:cs="仿宋_GB2312"/>
          <w:kern w:val="2"/>
          <w:sz w:val="32"/>
          <w:szCs w:val="32"/>
        </w:rPr>
        <w:t>充分发挥好环境信访、12369环保热线及12345投诉举报的监督作用，定期对群众的生态环境信访投诉进行梳理分析，对重复投诉、重点投诉问题实行督查督办和跟踪问效，确保人民群众关心、关注的突出生态环境问题切实得到解决。加强舆情应对，及时调查处理环境类舆情，加强舆情信息公开和舆情引导 。全年年共受理投诉125件（来电来访18件，政府“12345”热线92件、“12369”平台15），信访处理率100%，未发生未发生大的环境冲突事件及越级上访或集体上访问题。</w:t>
      </w:r>
    </w:p>
    <w:p>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（四）</w:t>
      </w:r>
      <w:r>
        <w:rPr>
          <w:rFonts w:hint="eastAsia" w:ascii="仿宋" w:hAnsi="仿宋" w:eastAsia="仿宋" w:cs="楷体_GB2312"/>
          <w:b/>
          <w:bCs/>
          <w:color w:val="000000" w:themeColor="text1"/>
          <w:sz w:val="32"/>
          <w:szCs w:val="32"/>
        </w:rPr>
        <w:t>全力护航县域经济发展。</w:t>
      </w:r>
    </w:p>
    <w:p>
      <w:pPr>
        <w:spacing w:line="580" w:lineRule="exact"/>
        <w:ind w:firstLine="640" w:firstLineChars="200"/>
        <w:rPr>
          <w:rFonts w:ascii="仿宋" w:hAnsi="仿宋" w:eastAsia="仿宋" w:cs="仿宋"/>
          <w:sz w:val="32"/>
          <w:szCs w:val="32"/>
        </w:rPr>
      </w:pPr>
      <w:r>
        <w:rPr>
          <w:rFonts w:hint="eastAsia" w:ascii="仿宋" w:hAnsi="仿宋" w:eastAsia="仿宋" w:cs="宋体"/>
          <w:b/>
          <w:iCs/>
          <w:kern w:val="0"/>
          <w:sz w:val="32"/>
          <w:szCs w:val="32"/>
        </w:rPr>
        <w:t>1、行政效能建设不断加强。</w:t>
      </w:r>
      <w:r>
        <w:rPr>
          <w:rFonts w:hint="eastAsia" w:ascii="仿宋" w:hAnsi="仿宋" w:eastAsia="仿宋" w:cs="仿宋"/>
          <w:sz w:val="32"/>
          <w:szCs w:val="32"/>
        </w:rPr>
        <w:t>不断提高窗口工作人员的岗位意识、责任意识和服务意识，全面公开服务内容、办事程序、申报材料、承诺时限、审批依据和收费标准，主动接受服务对象和社会的监督。实施政务服务“好差评”制度，窗口办事开展“一事一评”，让办事群众“愿评”“敢评”“办完即评”，不断提升政务服务满意度。严格环境准入管理和执行“三线一单”制度，实行源头严控。全面共计办理了26个项目的环评审批，其中报告书5个（承诺审批3个），报告表21个，网上登记表备案项目95个。组织开展了第一、二、三季度环评与排污评可监管工作，并督促企业按要求进行了整改和变更。对80家企业下达了排污权有偿使用费用缴款通知单，收缴排污权有偿使用费用41.8216万元。共计新核发排污许可证15个。对2家涉铊（涉重污水处理厂、春昌钨业）企业排污许可进行了变更。</w:t>
      </w:r>
    </w:p>
    <w:p>
      <w:pPr>
        <w:ind w:firstLine="640" w:firstLineChars="200"/>
        <w:jc w:val="left"/>
        <w:rPr>
          <w:rFonts w:ascii="仿宋" w:hAnsi="仿宋" w:eastAsia="仿宋" w:cs="仿宋"/>
          <w:b/>
          <w:color w:val="000000" w:themeColor="text1"/>
          <w:sz w:val="32"/>
          <w:szCs w:val="32"/>
        </w:rPr>
      </w:pPr>
      <w:r>
        <w:rPr>
          <w:rFonts w:hint="eastAsia" w:ascii="仿宋" w:hAnsi="仿宋" w:eastAsia="仿宋"/>
          <w:b/>
          <w:iCs/>
          <w:color w:val="000000" w:themeColor="text1"/>
          <w:sz w:val="32"/>
          <w:szCs w:val="32"/>
        </w:rPr>
        <w:t>2、环境监测服务工作全面完成。</w:t>
      </w:r>
      <w:r>
        <w:rPr>
          <w:rFonts w:hint="eastAsia" w:ascii="仿宋" w:hAnsi="仿宋" w:eastAsia="仿宋" w:cs="微软雅黑"/>
          <w:color w:val="000000"/>
          <w:sz w:val="32"/>
          <w:szCs w:val="32"/>
        </w:rPr>
        <w:t>一是</w:t>
      </w:r>
      <w:r>
        <w:rPr>
          <w:rFonts w:hint="eastAsia" w:ascii="仿宋" w:hAnsi="仿宋" w:eastAsia="仿宋" w:cs="宋体"/>
          <w:color w:val="000000"/>
          <w:sz w:val="32"/>
          <w:szCs w:val="32"/>
        </w:rPr>
        <w:t>按时按标准完成上级下达</w:t>
      </w:r>
      <w:r>
        <w:rPr>
          <w:rFonts w:hint="eastAsia" w:ascii="仿宋" w:hAnsi="仿宋" w:eastAsia="仿宋" w:cs="微软雅黑"/>
          <w:color w:val="000000"/>
          <w:sz w:val="32"/>
          <w:szCs w:val="32"/>
        </w:rPr>
        <w:t>的各项</w:t>
      </w:r>
      <w:r>
        <w:rPr>
          <w:rFonts w:hint="eastAsia" w:ascii="仿宋" w:hAnsi="仿宋" w:eastAsia="仿宋" w:cs="宋体"/>
          <w:color w:val="000000"/>
          <w:sz w:val="32"/>
          <w:szCs w:val="32"/>
        </w:rPr>
        <w:t>采样任务</w:t>
      </w:r>
      <w:r>
        <w:rPr>
          <w:rFonts w:hint="eastAsia" w:ascii="仿宋" w:hAnsi="仿宋" w:eastAsia="仿宋" w:cs="微软雅黑"/>
          <w:color w:val="000000"/>
          <w:sz w:val="32"/>
          <w:szCs w:val="32"/>
        </w:rPr>
        <w:t>，全年共完成各断面监测和</w:t>
      </w:r>
      <w:r>
        <w:rPr>
          <w:rFonts w:hint="eastAsia" w:ascii="仿宋" w:hAnsi="仿宋" w:eastAsia="仿宋" w:cs="宋体"/>
          <w:color w:val="000000"/>
          <w:sz w:val="32"/>
          <w:szCs w:val="32"/>
        </w:rPr>
        <w:t>加密监测采样送样</w:t>
      </w:r>
      <w:r>
        <w:rPr>
          <w:rFonts w:hint="eastAsia" w:ascii="仿宋" w:hAnsi="仿宋" w:eastAsia="仿宋" w:cs="微软雅黑"/>
          <w:color w:val="000000"/>
          <w:sz w:val="32"/>
          <w:szCs w:val="32"/>
        </w:rPr>
        <w:t>36</w:t>
      </w:r>
      <w:r>
        <w:rPr>
          <w:rFonts w:hint="eastAsia" w:ascii="仿宋" w:hAnsi="仿宋" w:eastAsia="仿宋" w:cs="宋体"/>
          <w:color w:val="000000"/>
          <w:sz w:val="32"/>
          <w:szCs w:val="32"/>
        </w:rPr>
        <w:t>期</w:t>
      </w:r>
      <w:r>
        <w:rPr>
          <w:rFonts w:hint="eastAsia" w:ascii="仿宋" w:hAnsi="仿宋" w:eastAsia="仿宋" w:cs="微软雅黑"/>
          <w:color w:val="000000"/>
          <w:sz w:val="32"/>
          <w:szCs w:val="32"/>
        </w:rPr>
        <w:t>，</w:t>
      </w:r>
      <w:r>
        <w:rPr>
          <w:rFonts w:hint="eastAsia" w:ascii="仿宋" w:hAnsi="仿宋" w:eastAsia="仿宋" w:cs="宋体"/>
          <w:color w:val="000000"/>
          <w:sz w:val="32"/>
          <w:szCs w:val="32"/>
        </w:rPr>
        <w:t>完成农村饮用水源水质监测</w:t>
      </w:r>
      <w:r>
        <w:rPr>
          <w:rFonts w:hint="eastAsia" w:ascii="仿宋" w:hAnsi="仿宋" w:eastAsia="仿宋" w:cs="微软雅黑"/>
          <w:color w:val="000000"/>
          <w:sz w:val="32"/>
          <w:szCs w:val="32"/>
        </w:rPr>
        <w:t>4</w:t>
      </w:r>
      <w:r>
        <w:rPr>
          <w:rFonts w:hint="eastAsia" w:ascii="仿宋" w:hAnsi="仿宋" w:eastAsia="仿宋" w:cs="宋体"/>
          <w:color w:val="000000"/>
          <w:sz w:val="32"/>
          <w:szCs w:val="32"/>
        </w:rPr>
        <w:t>期</w:t>
      </w:r>
      <w:r>
        <w:rPr>
          <w:rFonts w:hint="eastAsia" w:ascii="仿宋" w:hAnsi="仿宋" w:eastAsia="仿宋" w:cs="微软雅黑"/>
          <w:color w:val="000000"/>
          <w:sz w:val="32"/>
          <w:szCs w:val="32"/>
        </w:rPr>
        <w:t>，</w:t>
      </w:r>
      <w:r>
        <w:rPr>
          <w:rFonts w:hint="eastAsia" w:ascii="仿宋" w:hAnsi="仿宋" w:eastAsia="仿宋" w:cs="宋体"/>
          <w:color w:val="000000"/>
          <w:sz w:val="32"/>
          <w:szCs w:val="32"/>
        </w:rPr>
        <w:t>配合环境执法大队进行执法监测</w:t>
      </w:r>
      <w:r>
        <w:rPr>
          <w:rFonts w:hint="eastAsia" w:ascii="仿宋" w:hAnsi="仿宋" w:eastAsia="仿宋" w:cs="微软雅黑"/>
          <w:color w:val="000000"/>
          <w:sz w:val="32"/>
          <w:szCs w:val="32"/>
        </w:rPr>
        <w:t>13</w:t>
      </w:r>
      <w:r>
        <w:rPr>
          <w:rFonts w:hint="eastAsia" w:ascii="仿宋" w:hAnsi="仿宋" w:eastAsia="仿宋" w:cs="宋体"/>
          <w:color w:val="000000"/>
          <w:sz w:val="32"/>
          <w:szCs w:val="32"/>
        </w:rPr>
        <w:t>个，</w:t>
      </w:r>
      <w:r>
        <w:rPr>
          <w:rFonts w:hint="eastAsia" w:ascii="仿宋" w:hAnsi="仿宋" w:eastAsia="仿宋" w:cs="仿宋_GB2312"/>
          <w:color w:val="000000" w:themeColor="text1"/>
          <w:sz w:val="32"/>
          <w:szCs w:val="32"/>
        </w:rPr>
        <w:t>完成降雨监测12期，降尘监测4期，完成声功能区噪声监测3期，完成农村环境质量监测3期。完成16个入河排污口监测、20个点位道路交通噪声监测，101个环境噪声点位监测。完成我县8家重点污染源监督性监测。完成了我县涓水白果与湘潭交界的晓岚村断面自动监测站水站建设工作。</w:t>
      </w:r>
      <w:r>
        <w:rPr>
          <w:rFonts w:hint="eastAsia" w:ascii="仿宋" w:hAnsi="仿宋" w:eastAsia="仿宋" w:cs="微软雅黑"/>
          <w:color w:val="000000"/>
          <w:sz w:val="32"/>
          <w:szCs w:val="32"/>
        </w:rPr>
        <w:t>二是</w:t>
      </w:r>
      <w:r>
        <w:rPr>
          <w:rFonts w:hint="eastAsia" w:ascii="仿宋" w:hAnsi="仿宋" w:eastAsia="仿宋"/>
          <w:sz w:val="32"/>
          <w:szCs w:val="32"/>
        </w:rPr>
        <w:t>对全县已经发放排污许可证的重点管理和简化管理的79家企业，按污染源自行监测要求制定了自行监测方案，同时公布监测数据，重点企业联网率为100%。</w:t>
      </w:r>
    </w:p>
    <w:p>
      <w:pPr>
        <w:ind w:firstLine="640" w:firstLineChars="200"/>
        <w:rPr>
          <w:rFonts w:ascii="仿宋" w:hAnsi="仿宋" w:eastAsia="仿宋"/>
          <w:color w:val="000000" w:themeColor="text1"/>
          <w:sz w:val="32"/>
          <w:szCs w:val="32"/>
        </w:rPr>
      </w:pPr>
      <w:r>
        <w:rPr>
          <w:rFonts w:hint="eastAsia" w:ascii="仿宋" w:hAnsi="仿宋" w:eastAsia="仿宋" w:cs="宋体"/>
          <w:b/>
          <w:iCs/>
          <w:color w:val="000000" w:themeColor="text1"/>
          <w:kern w:val="0"/>
          <w:sz w:val="32"/>
          <w:szCs w:val="32"/>
        </w:rPr>
        <w:t>3、固废、辐射管理工作持续开展。</w:t>
      </w:r>
      <w:r>
        <w:rPr>
          <w:rFonts w:hint="eastAsia" w:ascii="仿宋" w:hAnsi="仿宋" w:eastAsia="仿宋" w:cs="仿宋"/>
          <w:b/>
          <w:color w:val="000000" w:themeColor="text1"/>
          <w:sz w:val="32"/>
          <w:szCs w:val="32"/>
        </w:rPr>
        <w:t>一是</w:t>
      </w:r>
      <w:r>
        <w:rPr>
          <w:rFonts w:hint="eastAsia" w:ascii="仿宋" w:hAnsi="仿宋" w:eastAsia="仿宋" w:cs="仿宋"/>
          <w:color w:val="000000" w:themeColor="text1"/>
          <w:sz w:val="32"/>
          <w:szCs w:val="32"/>
        </w:rPr>
        <w:t>开展了</w:t>
      </w:r>
      <w:r>
        <w:rPr>
          <w:rFonts w:hint="eastAsia" w:ascii="仿宋" w:hAnsi="仿宋" w:eastAsia="仿宋"/>
          <w:color w:val="000000" w:themeColor="text1"/>
          <w:sz w:val="32"/>
          <w:szCs w:val="32"/>
        </w:rPr>
        <w:t>2021年 “清废行动”</w:t>
      </w:r>
      <w:r>
        <w:rPr>
          <w:rFonts w:hint="eastAsia" w:ascii="仿宋" w:hAnsi="仿宋" w:eastAsia="仿宋" w:cs="仿宋_GB2312"/>
          <w:color w:val="000000" w:themeColor="text1"/>
          <w:sz w:val="32"/>
          <w:szCs w:val="32"/>
        </w:rPr>
        <w:t>。</w:t>
      </w:r>
      <w:r>
        <w:rPr>
          <w:rFonts w:hint="eastAsia" w:ascii="仿宋" w:hAnsi="仿宋" w:eastAsia="仿宋"/>
          <w:color w:val="000000" w:themeColor="text1"/>
          <w:sz w:val="32"/>
          <w:szCs w:val="32"/>
        </w:rPr>
        <w:t xml:space="preserve"> 对全县产生危险废物企业清排查20家，发放整改通知书8份，关停企业2家，行政处罚1家，要求企业对清排查发现的问题进行立行立改，对全县医疗机构进行医疗废物清排查，排查医疗机构7家，发放整改通知书3份，要求医疗机构对发现的问题进行立行立改。</w:t>
      </w:r>
      <w:r>
        <w:rPr>
          <w:rFonts w:hint="eastAsia" w:ascii="仿宋" w:hAnsi="仿宋" w:eastAsia="仿宋" w:cs="仿宋"/>
          <w:b/>
          <w:color w:val="000000" w:themeColor="text1"/>
          <w:sz w:val="32"/>
          <w:szCs w:val="32"/>
        </w:rPr>
        <w:t>二是</w:t>
      </w:r>
      <w:r>
        <w:rPr>
          <w:rFonts w:hint="eastAsia" w:ascii="仿宋" w:hAnsi="仿宋" w:eastAsia="仿宋" w:cs="仿宋_GB2312"/>
          <w:color w:val="000000" w:themeColor="text1"/>
          <w:sz w:val="32"/>
          <w:szCs w:val="32"/>
        </w:rPr>
        <w:t>开</w:t>
      </w:r>
      <w:r>
        <w:rPr>
          <w:rFonts w:hint="eastAsia" w:ascii="仿宋" w:hAnsi="仿宋" w:eastAsia="仿宋"/>
          <w:color w:val="000000" w:themeColor="text1"/>
          <w:sz w:val="32"/>
          <w:szCs w:val="32"/>
        </w:rPr>
        <w:t>展了全县危险废物大排查、大整治工作，对全县危险废物经营单位、产生单位进行深入排查，共计排查企业134家，发放立行立改通知书39份，要求企业对排查中发现的问题进行立行立改。</w:t>
      </w:r>
      <w:r>
        <w:rPr>
          <w:rFonts w:hint="eastAsia" w:ascii="仿宋" w:hAnsi="仿宋" w:eastAsia="仿宋" w:cs="仿宋"/>
          <w:b/>
          <w:color w:val="000000" w:themeColor="text1"/>
          <w:sz w:val="32"/>
          <w:szCs w:val="32"/>
        </w:rPr>
        <w:t>三是</w:t>
      </w:r>
      <w:r>
        <w:rPr>
          <w:rFonts w:hint="eastAsia" w:ascii="仿宋" w:hAnsi="仿宋" w:eastAsia="仿宋"/>
          <w:color w:val="000000" w:themeColor="text1"/>
          <w:sz w:val="32"/>
          <w:szCs w:val="32"/>
        </w:rPr>
        <w:t>对我县涉重涉铊企业进行清排查，并督促湖南省新源素生物工程有限公司、衡阳华宏化工实业有限公司对遗留的危险废进行转移，目前安全转移危险废物共计100吨。</w:t>
      </w:r>
    </w:p>
    <w:p>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（五）持续推进自然生态监督工作。</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s="仿宋"/>
          <w:b/>
          <w:color w:val="000000" w:themeColor="text1"/>
          <w:sz w:val="32"/>
          <w:szCs w:val="32"/>
        </w:rPr>
        <w:t>一是</w:t>
      </w:r>
      <w:r>
        <w:rPr>
          <w:rFonts w:hint="eastAsia" w:ascii="仿宋" w:hAnsi="仿宋" w:eastAsia="仿宋"/>
          <w:color w:val="000000" w:themeColor="text1"/>
          <w:sz w:val="32"/>
          <w:szCs w:val="32"/>
        </w:rPr>
        <w:t>加强对南岳衡山自保区内已关停的厂矿企业复绿，23家矿产加工企业已经全部关停退出，并已完成复绿。同时加强对关停的矿山企业全方位监管，坚决打击保护区内矿山非法开采行为。</w:t>
      </w:r>
      <w:r>
        <w:rPr>
          <w:rFonts w:hint="eastAsia" w:ascii="仿宋" w:hAnsi="仿宋" w:eastAsia="仿宋"/>
          <w:b/>
          <w:color w:val="000000" w:themeColor="text1"/>
          <w:sz w:val="32"/>
          <w:szCs w:val="32"/>
        </w:rPr>
        <w:t>二是</w:t>
      </w:r>
      <w:r>
        <w:rPr>
          <w:rFonts w:hint="eastAsia" w:ascii="仿宋" w:hAnsi="仿宋" w:eastAsia="仿宋"/>
          <w:color w:val="000000" w:themeColor="text1"/>
          <w:sz w:val="32"/>
          <w:szCs w:val="32"/>
        </w:rPr>
        <w:t>完成对23个</w:t>
      </w:r>
      <w:r>
        <w:rPr>
          <w:rFonts w:ascii="仿宋" w:hAnsi="仿宋" w:eastAsia="仿宋"/>
          <w:color w:val="000000" w:themeColor="text1"/>
          <w:sz w:val="32"/>
          <w:szCs w:val="32"/>
        </w:rPr>
        <w:t>人类活动点</w:t>
      </w:r>
      <w:r>
        <w:rPr>
          <w:rFonts w:hint="eastAsia" w:ascii="仿宋" w:hAnsi="仿宋" w:eastAsia="仿宋"/>
          <w:color w:val="000000" w:themeColor="text1"/>
          <w:sz w:val="32"/>
          <w:szCs w:val="32"/>
        </w:rPr>
        <w:t>根据所在功能区情况进行分类整改，并销号。</w:t>
      </w:r>
      <w:r>
        <w:rPr>
          <w:rFonts w:hint="eastAsia" w:ascii="仿宋" w:hAnsi="仿宋" w:eastAsia="仿宋"/>
          <w:b/>
          <w:sz w:val="32"/>
          <w:szCs w:val="32"/>
        </w:rPr>
        <w:t>三是</w:t>
      </w:r>
      <w:r>
        <w:rPr>
          <w:rFonts w:ascii="仿宋" w:hAnsi="仿宋" w:eastAsia="仿宋"/>
          <w:color w:val="000000" w:themeColor="text1"/>
          <w:sz w:val="32"/>
          <w:szCs w:val="32"/>
        </w:rPr>
        <w:t>编制了</w:t>
      </w:r>
      <w:r>
        <w:rPr>
          <w:rFonts w:hint="eastAsia" w:ascii="仿宋" w:hAnsi="仿宋" w:eastAsia="仿宋"/>
          <w:color w:val="000000" w:themeColor="text1"/>
          <w:sz w:val="32"/>
          <w:szCs w:val="32"/>
        </w:rPr>
        <w:t>衡山</w:t>
      </w:r>
      <w:r>
        <w:rPr>
          <w:rFonts w:ascii="仿宋" w:hAnsi="仿宋" w:eastAsia="仿宋"/>
          <w:color w:val="000000" w:themeColor="text1"/>
          <w:sz w:val="32"/>
          <w:szCs w:val="32"/>
        </w:rPr>
        <w:t>县生态文明建设示范县规划</w:t>
      </w:r>
      <w:r>
        <w:rPr>
          <w:rFonts w:hint="eastAsia" w:ascii="仿宋" w:hAnsi="仿宋" w:eastAsia="仿宋"/>
          <w:color w:val="000000" w:themeColor="text1"/>
          <w:sz w:val="32"/>
          <w:szCs w:val="32"/>
        </w:rPr>
        <w:t>，并推荐了双全新村成为市级生态文明建设村。</w:t>
      </w:r>
      <w:r>
        <w:rPr>
          <w:rFonts w:hint="eastAsia" w:ascii="仿宋" w:hAnsi="仿宋" w:eastAsia="仿宋"/>
          <w:b/>
          <w:sz w:val="32"/>
          <w:szCs w:val="32"/>
        </w:rPr>
        <w:t>四是</w:t>
      </w:r>
      <w:r>
        <w:rPr>
          <w:rFonts w:ascii="仿宋" w:hAnsi="仿宋" w:eastAsia="仿宋"/>
          <w:color w:val="000000" w:themeColor="text1"/>
          <w:sz w:val="32"/>
          <w:szCs w:val="32"/>
        </w:rPr>
        <w:t>在</w:t>
      </w:r>
      <w:r>
        <w:rPr>
          <w:rFonts w:hint="eastAsia" w:ascii="仿宋" w:hAnsi="仿宋" w:eastAsia="仿宋"/>
          <w:color w:val="000000" w:themeColor="text1"/>
          <w:sz w:val="32"/>
          <w:szCs w:val="32"/>
        </w:rPr>
        <w:t>县城</w:t>
      </w:r>
      <w:r>
        <w:rPr>
          <w:rFonts w:ascii="仿宋" w:hAnsi="仿宋" w:eastAsia="仿宋"/>
          <w:color w:val="000000" w:themeColor="text1"/>
          <w:sz w:val="32"/>
          <w:szCs w:val="32"/>
        </w:rPr>
        <w:t>自来水厂附近新建一个水质自动站</w:t>
      </w:r>
      <w:r>
        <w:rPr>
          <w:rFonts w:hint="eastAsia" w:ascii="仿宋" w:hAnsi="仿宋" w:eastAsia="仿宋"/>
          <w:color w:val="000000" w:themeColor="text1"/>
          <w:sz w:val="32"/>
          <w:szCs w:val="32"/>
        </w:rPr>
        <w:t>，完成了</w:t>
      </w:r>
      <w:r>
        <w:rPr>
          <w:rFonts w:ascii="仿宋" w:hAnsi="仿宋" w:eastAsia="仿宋"/>
          <w:color w:val="000000" w:themeColor="text1"/>
          <w:sz w:val="32"/>
          <w:szCs w:val="32"/>
        </w:rPr>
        <w:t>空气质量自动站和水质自动站周边警示标志和警示牌设立</w:t>
      </w:r>
      <w:r>
        <w:rPr>
          <w:rFonts w:hint="eastAsia" w:ascii="仿宋" w:hAnsi="仿宋" w:eastAsia="仿宋"/>
          <w:color w:val="000000" w:themeColor="text1"/>
          <w:sz w:val="32"/>
          <w:szCs w:val="32"/>
        </w:rPr>
        <w:t>工作，建立了</w:t>
      </w:r>
      <w:r>
        <w:rPr>
          <w:rFonts w:ascii="仿宋" w:hAnsi="仿宋" w:eastAsia="仿宋"/>
          <w:color w:val="000000" w:themeColor="text1"/>
          <w:sz w:val="32"/>
          <w:szCs w:val="32"/>
        </w:rPr>
        <w:t>点位长制度。</w:t>
      </w:r>
    </w:p>
    <w:p>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（六）着力开展环保宣教，提高公众参与度。</w:t>
      </w:r>
    </w:p>
    <w:p>
      <w:pPr>
        <w:spacing w:line="600" w:lineRule="exact"/>
        <w:ind w:firstLine="640" w:firstLineChars="200"/>
        <w:jc w:val="left"/>
        <w:rPr>
          <w:rFonts w:ascii="仿宋" w:hAnsi="仿宋" w:eastAsia="仿宋"/>
          <w:sz w:val="32"/>
          <w:szCs w:val="32"/>
        </w:rPr>
      </w:pPr>
      <w:r>
        <w:rPr>
          <w:rFonts w:hint="eastAsia" w:ascii="仿宋" w:hAnsi="仿宋" w:eastAsia="仿宋" w:cs="仿宋"/>
          <w:b/>
          <w:color w:val="000000" w:themeColor="text1"/>
          <w:sz w:val="32"/>
          <w:szCs w:val="32"/>
        </w:rPr>
        <w:t>一是</w:t>
      </w:r>
      <w:r>
        <w:rPr>
          <w:rFonts w:hint="eastAsia" w:ascii="仿宋" w:hAnsi="仿宋" w:eastAsia="仿宋" w:cs="仿宋_GB2312"/>
          <w:color w:val="000000" w:themeColor="text1"/>
          <w:sz w:val="32"/>
          <w:szCs w:val="32"/>
        </w:rPr>
        <w:t>组织县委、县政府主要领导进行生态文明学习,积极组织干部职工深入学习，增强全体干部职工的环保意识，提高执法水平，为促进环境保护法律法规的贯彻实施夯实基础。</w:t>
      </w:r>
      <w:r>
        <w:rPr>
          <w:rFonts w:hint="eastAsia" w:ascii="仿宋" w:hAnsi="仿宋" w:eastAsia="仿宋" w:cs="仿宋"/>
          <w:b/>
          <w:color w:val="000000" w:themeColor="text1"/>
          <w:sz w:val="32"/>
          <w:szCs w:val="32"/>
        </w:rPr>
        <w:t>二是</w:t>
      </w:r>
      <w:r>
        <w:rPr>
          <w:rFonts w:hint="eastAsia" w:ascii="仿宋" w:hAnsi="仿宋" w:eastAsia="仿宋" w:cs="仿宋_GB2312"/>
          <w:color w:val="000000" w:themeColor="text1"/>
          <w:sz w:val="32"/>
          <w:szCs w:val="32"/>
        </w:rPr>
        <w:t>组织6.5世界环境日宣传活动，发放世界环境日宣传画册5000余套，利用流动宣传车、微信平台、户外媒体等方式进行宣传，横挂环保横幅引导树立环保意识。开展“六进”活动，宣讲市民生态文明公约。</w:t>
      </w:r>
      <w:r>
        <w:rPr>
          <w:rFonts w:hint="eastAsia" w:ascii="仿宋" w:hAnsi="仿宋" w:eastAsia="仿宋" w:cs="仿宋"/>
          <w:b/>
          <w:color w:val="000000" w:themeColor="text1"/>
          <w:sz w:val="32"/>
          <w:szCs w:val="32"/>
        </w:rPr>
        <w:t>三是</w:t>
      </w:r>
      <w:r>
        <w:rPr>
          <w:rFonts w:hint="eastAsia" w:ascii="仿宋" w:hAnsi="仿宋" w:eastAsia="仿宋" w:cs="仿宋"/>
          <w:color w:val="000000" w:themeColor="text1"/>
          <w:sz w:val="32"/>
          <w:szCs w:val="32"/>
        </w:rPr>
        <w:t>结合环境执法综合大检查活动，明确企业污染防治责任，提高企业环境意识。</w:t>
      </w:r>
      <w:r>
        <w:rPr>
          <w:rFonts w:hint="eastAsia" w:ascii="仿宋" w:hAnsi="仿宋" w:eastAsia="仿宋" w:cs="仿宋"/>
          <w:b/>
          <w:color w:val="000000" w:themeColor="text1"/>
          <w:sz w:val="32"/>
          <w:szCs w:val="32"/>
        </w:rPr>
        <w:t>四是</w:t>
      </w:r>
      <w:r>
        <w:rPr>
          <w:rFonts w:hint="eastAsia" w:ascii="仿宋" w:hAnsi="仿宋" w:eastAsia="仿宋" w:cs="仿宋_GB2312"/>
          <w:color w:val="000000" w:themeColor="text1"/>
          <w:sz w:val="32"/>
          <w:szCs w:val="32"/>
        </w:rPr>
        <w:t>通过“衡山环保”微信平台，及时公布衡山环境保护动态和加强环境保护宣传和群众互动。五是积极开展了“5.22”</w:t>
      </w:r>
      <w:r>
        <w:rPr>
          <w:rFonts w:ascii="仿宋" w:hAnsi="仿宋" w:eastAsia="仿宋"/>
          <w:sz w:val="32"/>
          <w:szCs w:val="32"/>
        </w:rPr>
        <w:t>生物多样性保护宣传工作。</w:t>
      </w:r>
    </w:p>
    <w:p>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五、评价结论及建议</w:t>
      </w:r>
    </w:p>
    <w:p>
      <w:pPr>
        <w:pStyle w:val="7"/>
        <w:shd w:val="clear" w:color="auto" w:fill="FFFFFF"/>
        <w:spacing w:before="0" w:beforeAutospacing="0" w:after="0" w:afterAutospacing="0" w:line="600" w:lineRule="atLeast"/>
        <w:ind w:firstLine="639"/>
        <w:jc w:val="both"/>
        <w:rPr>
          <w:rFonts w:ascii="仿宋" w:hAnsi="仿宋" w:eastAsia="仿宋"/>
          <w:color w:val="000000"/>
          <w:sz w:val="30"/>
          <w:szCs w:val="30"/>
        </w:rPr>
      </w:pPr>
      <w:r>
        <w:rPr>
          <w:rFonts w:hint="eastAsia" w:ascii="仿宋" w:hAnsi="仿宋" w:eastAsia="仿宋"/>
          <w:color w:val="333333"/>
          <w:sz w:val="32"/>
          <w:szCs w:val="32"/>
        </w:rPr>
        <w:t>从整体情况来看，我局严格按照年初预算进行部门整体支出。在支出过程中，能严格遵守各项规章制度，"三公经费"从严管理，认真执行联审会签审核制度。所有项目都详细制定了方案，严格按方案组织实施，并加强了监督。尤其是在专项经费支出上，我们能专款专用，按项目实施计划的进度情况进行资金拨付，无截留、无挪用等现象。但是机关的支出管理项目还有待进一步细化和量化，进一步强化机关经费支出的刚性约束，项目支出按预算和工作进度执行，并进一步规范各项支出。</w:t>
      </w:r>
    </w:p>
    <w:p>
      <w:pPr>
        <w:pStyle w:val="7"/>
        <w:shd w:val="clear" w:color="auto" w:fill="FFFFFF"/>
        <w:spacing w:before="0" w:beforeAutospacing="0" w:after="0" w:afterAutospacing="0" w:line="600" w:lineRule="atLeast"/>
        <w:ind w:firstLine="639"/>
        <w:jc w:val="both"/>
        <w:rPr>
          <w:color w:val="000000"/>
          <w:sz w:val="30"/>
          <w:szCs w:val="30"/>
        </w:rPr>
      </w:pPr>
      <w:r>
        <w:rPr>
          <w:rFonts w:hint="eastAsia"/>
          <w:color w:val="000000"/>
          <w:sz w:val="30"/>
          <w:szCs w:val="30"/>
        </w:rPr>
        <w:t>  </w:t>
      </w:r>
    </w:p>
    <w:p>
      <w:pPr>
        <w:pStyle w:val="7"/>
        <w:shd w:val="clear" w:color="auto" w:fill="FFFFFF"/>
        <w:spacing w:before="0" w:beforeAutospacing="0" w:after="0" w:afterAutospacing="0" w:line="600" w:lineRule="atLeast"/>
        <w:ind w:firstLine="639"/>
        <w:jc w:val="both"/>
        <w:rPr>
          <w:rFonts w:ascii="仿宋" w:hAnsi="仿宋" w:eastAsia="仿宋"/>
          <w:color w:val="000000"/>
          <w:sz w:val="30"/>
          <w:szCs w:val="30"/>
        </w:rPr>
      </w:pPr>
    </w:p>
    <w:p>
      <w:pPr>
        <w:pStyle w:val="7"/>
        <w:shd w:val="clear" w:color="auto" w:fill="FFFFFF"/>
        <w:spacing w:before="0" w:beforeAutospacing="0" w:after="0" w:afterAutospacing="0" w:line="600" w:lineRule="atLeast"/>
        <w:ind w:firstLine="639"/>
        <w:jc w:val="both"/>
        <w:rPr>
          <w:rFonts w:hint="eastAsia" w:ascii="微软雅黑" w:hAnsi="微软雅黑"/>
          <w:color w:val="000000"/>
        </w:rPr>
      </w:pP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2022</w:t>
      </w:r>
      <w:r>
        <w:rPr>
          <w:rFonts w:hint="eastAsia" w:ascii="仿宋" w:hAnsi="仿宋" w:eastAsia="仿宋"/>
          <w:color w:val="000000"/>
          <w:sz w:val="30"/>
          <w:szCs w:val="30"/>
        </w:rPr>
        <w:t>年 4 月8日</w:t>
      </w:r>
      <w:r>
        <w:rPr>
          <w:rFonts w:ascii="微软雅黑" w:hAnsi="微软雅黑"/>
          <w:color w:val="000000"/>
        </w:rPr>
        <w:t> </w:t>
      </w: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p>
    <w:p>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pPr>
        <w:ind w:firstLine="640" w:firstLineChars="200"/>
        <w:rPr>
          <w:rFonts w:hint="eastAsia" w:ascii="Times New Roman" w:hAnsi="Times New Roman" w:eastAsia="仿宋"/>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pPr>
        <w:ind w:firstLine="640" w:firstLineChars="200"/>
        <w:rPr>
          <w:rFonts w:hint="eastAsia" w:ascii="Times New Roman" w:hAnsi="Times New Roman" w:eastAsia="仿宋"/>
          <w:sz w:val="32"/>
          <w:szCs w:val="32"/>
        </w:rPr>
      </w:pPr>
    </w:p>
    <w:p>
      <w:pPr>
        <w:ind w:firstLine="640" w:firstLineChars="200"/>
        <w:rPr>
          <w:rFonts w:hint="eastAsia" w:ascii="Times New Roman" w:hAnsi="Times New Roman" w:eastAsia="仿宋"/>
          <w:sz w:val="32"/>
          <w:szCs w:val="32"/>
        </w:rPr>
      </w:pPr>
    </w:p>
    <w:p>
      <w:pPr>
        <w:ind w:firstLine="640" w:firstLineChars="200"/>
        <w:rPr>
          <w:rFonts w:hint="eastAsia" w:ascii="Times New Roman" w:hAnsi="Times New Roman" w:eastAsia="仿宋"/>
          <w:sz w:val="32"/>
          <w:szCs w:val="32"/>
        </w:rPr>
      </w:pPr>
    </w:p>
    <w:p>
      <w:pPr>
        <w:ind w:firstLine="640" w:firstLineChars="200"/>
        <w:rPr>
          <w:rFonts w:ascii="Times New Roman" w:hAnsi="Times New Roman" w:eastAsia="仿宋_GB2312"/>
          <w:sz w:val="32"/>
          <w:szCs w:val="32"/>
        </w:rPr>
      </w:pPr>
    </w:p>
    <w:p>
      <w:pPr>
        <w:ind w:right="640"/>
        <w:rPr>
          <w:rFonts w:ascii="黑体" w:hAnsi="黑体" w:eastAsia="黑体" w:cs="黑体"/>
          <w:kern w:val="0"/>
          <w:sz w:val="32"/>
          <w:szCs w:val="32"/>
        </w:rPr>
      </w:pPr>
    </w:p>
    <w:p>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hint="eastAsia" w:ascii="Times New Roman" w:hAnsi="Times New Roman" w:eastAsia="仿宋_GB2312"/>
          <w:kern w:val="0"/>
          <w:sz w:val="32"/>
          <w:szCs w:val="32"/>
        </w:rPr>
        <w:t>1</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衡阳市生态环境局衡山分局</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411"/>
        <w:gridCol w:w="1981"/>
        <w:gridCol w:w="2240"/>
        <w:gridCol w:w="1832"/>
      </w:tblGrid>
      <w:tr>
        <w:trPr>
          <w:trHeight w:val="257" w:hRule="atLeast"/>
          <w:jc w:val="center"/>
        </w:trPr>
        <w:tc>
          <w:tcPr>
            <w:tcW w:w="34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198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4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198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44</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36</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100%</w:t>
            </w:r>
            <w:r>
              <w:rPr>
                <w:rFonts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376.36</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424.89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494.48</w:t>
            </w:r>
          </w:p>
        </w:tc>
      </w:tr>
      <w:tr>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43.97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128.20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99.62</w:t>
            </w:r>
          </w:p>
        </w:tc>
      </w:tr>
      <w:tr>
        <w:tblPrEx>
          <w:tblCellMar>
            <w:top w:w="0" w:type="dxa"/>
            <w:left w:w="108" w:type="dxa"/>
            <w:bottom w:w="0" w:type="dxa"/>
            <w:right w:w="108" w:type="dxa"/>
          </w:tblCellMar>
        </w:tblPrEx>
        <w:trPr>
          <w:trHeight w:val="475"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4.35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8.38</w:t>
            </w:r>
          </w:p>
        </w:tc>
      </w:tr>
      <w:tr>
        <w:tblPrEx>
          <w:tblCellMar>
            <w:top w:w="0" w:type="dxa"/>
            <w:left w:w="108" w:type="dxa"/>
            <w:bottom w:w="0" w:type="dxa"/>
            <w:right w:w="108" w:type="dxa"/>
          </w:tblCellMar>
        </w:tblPrEx>
        <w:trPr>
          <w:trHeight w:val="460"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6.25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7.47</w:t>
            </w:r>
          </w:p>
        </w:tc>
      </w:tr>
      <w:tr>
        <w:tblPrEx>
          <w:tblCellMar>
            <w:top w:w="0" w:type="dxa"/>
            <w:left w:w="108" w:type="dxa"/>
            <w:bottom w:w="0" w:type="dxa"/>
            <w:right w:w="108" w:type="dxa"/>
          </w:tblCellMar>
        </w:tblPrEx>
        <w:trPr>
          <w:trHeight w:val="475"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0.58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r>
      <w:tr>
        <w:tblPrEx>
          <w:tblCellMar>
            <w:top w:w="0" w:type="dxa"/>
            <w:left w:w="108" w:type="dxa"/>
            <w:bottom w:w="0" w:type="dxa"/>
            <w:right w:w="108" w:type="dxa"/>
          </w:tblCellMar>
        </w:tblPrEx>
        <w:trPr>
          <w:trHeight w:val="432"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32.79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111.7</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83.77</w:t>
            </w:r>
          </w:p>
        </w:tc>
      </w:tr>
      <w:tr>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12.91</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25</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18.76</w:t>
            </w:r>
            <w:r>
              <w:rPr>
                <w:rFonts w:ascii="Times New Roman" w:hAnsi="Times New Roman"/>
                <w:kern w:val="0"/>
                <w:szCs w:val="21"/>
              </w:rPr>
              <w:t>　</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8.97</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18</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13.91</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99"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8.97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18</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13.91</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3.94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7</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4.85</w:t>
            </w:r>
            <w:r>
              <w:rPr>
                <w:rFonts w:ascii="Times New Roman" w:hAnsi="Times New Roman"/>
                <w:kern w:val="0"/>
                <w:szCs w:val="21"/>
              </w:rPr>
              <w:t>　</w:t>
            </w:r>
          </w:p>
        </w:tc>
      </w:tr>
      <w:tr>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619.94</w:t>
            </w:r>
          </w:p>
        </w:tc>
      </w:tr>
      <w:tr>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p>
            <w:pPr>
              <w:widowControl/>
              <w:jc w:val="left"/>
              <w:rPr>
                <w:rFonts w:ascii="Times New Roman" w:hAnsi="Times New Roman"/>
                <w:kern w:val="0"/>
                <w:szCs w:val="21"/>
              </w:rPr>
            </w:pPr>
            <w:r>
              <w:rPr>
                <w:rFonts w:hint="eastAsia" w:ascii="Times New Roman" w:hAnsi="Times New Roman"/>
                <w:kern w:val="0"/>
                <w:szCs w:val="21"/>
              </w:rPr>
              <w:t>1、业务工作项目</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160.09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kern w:val="0"/>
                <w:szCs w:val="21"/>
              </w:rPr>
              <w:t>164.59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164.59</w:t>
            </w:r>
          </w:p>
        </w:tc>
      </w:tr>
      <w:tr>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业务经费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36.59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36.59</w:t>
            </w:r>
          </w:p>
        </w:tc>
      </w:tr>
      <w:tr>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环境监测与监察</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环境监测执法</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40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40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40</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大气监测</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15</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10</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污染物减排工作经费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湘江流域水污染综合整治</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28</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湘江饮用水源控制监测经费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排污权交易工作经费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其他环境保护工作经费</w:t>
            </w:r>
          </w:p>
        </w:tc>
        <w:tc>
          <w:tcPr>
            <w:tcW w:w="1981" w:type="dxa"/>
            <w:tcBorders>
              <w:top w:val="single" w:color="auto" w:sz="4" w:space="0"/>
              <w:left w:val="nil"/>
              <w:bottom w:val="single" w:color="auto" w:sz="4" w:space="0"/>
              <w:right w:val="single" w:color="000000" w:sz="4" w:space="0"/>
            </w:tcBorders>
            <w:vAlign w:val="center"/>
          </w:tcPr>
          <w:p>
            <w:pPr>
              <w:widowControl/>
              <w:jc w:val="center"/>
              <w:rPr>
                <w:rStyle w:val="19"/>
              </w:rPr>
            </w:pPr>
            <w:r>
              <w:rPr>
                <w:rFonts w:hint="eastAsia" w:ascii="Times New Roman" w:hAnsi="Times New Roman"/>
                <w:kern w:val="0"/>
                <w:szCs w:val="21"/>
              </w:rPr>
              <w:t>25.09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70</w:t>
            </w:r>
          </w:p>
        </w:tc>
      </w:tr>
      <w:tr>
        <w:tblPrEx>
          <w:tblCellMar>
            <w:top w:w="0" w:type="dxa"/>
            <w:left w:w="108" w:type="dxa"/>
            <w:bottom w:w="0" w:type="dxa"/>
            <w:right w:w="108" w:type="dxa"/>
          </w:tblCellMar>
        </w:tblPrEx>
        <w:trPr>
          <w:trHeight w:val="42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kern w:val="0"/>
                <w:szCs w:val="21"/>
              </w:rPr>
            </w:pPr>
            <w:r>
              <w:rPr>
                <w:rFonts w:hint="eastAsia" w:ascii="Times New Roman" w:hAnsi="Times New Roman"/>
                <w:kern w:val="0"/>
                <w:szCs w:val="21"/>
              </w:rPr>
              <w:t>第二轮中央环保督察交办问题整改奖补资金</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50</w:t>
            </w:r>
          </w:p>
        </w:tc>
      </w:tr>
      <w:tr>
        <w:tblPrEx>
          <w:tblCellMar>
            <w:top w:w="0" w:type="dxa"/>
            <w:left w:w="108" w:type="dxa"/>
            <w:bottom w:w="0" w:type="dxa"/>
            <w:right w:w="108" w:type="dxa"/>
          </w:tblCellMar>
        </w:tblPrEx>
        <w:trPr>
          <w:trHeight w:val="424" w:hRule="atLeast"/>
          <w:jc w:val="center"/>
        </w:trPr>
        <w:tc>
          <w:tcPr>
            <w:tcW w:w="3411"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2021年省农村环境综合整治资金</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20</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r>
              <w:rPr>
                <w:rFonts w:hint="eastAsia" w:ascii="Times New Roman" w:hAnsi="Times New Roman"/>
                <w:kern w:val="0"/>
                <w:szCs w:val="21"/>
              </w:rPr>
              <w:t>3、县级项目资金</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385.35</w:t>
            </w:r>
          </w:p>
        </w:tc>
      </w:tr>
      <w:tr>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1981"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218.33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125.81</w:t>
            </w:r>
            <w:r>
              <w:rPr>
                <w:rFonts w:ascii="Times New Roman" w:hAnsi="Times New Roman"/>
                <w:kern w:val="0"/>
                <w:szCs w:val="21"/>
              </w:rPr>
              <w:t>　</w:t>
            </w:r>
          </w:p>
        </w:tc>
      </w:tr>
      <w:tr>
        <w:tblPrEx>
          <w:tblCellMar>
            <w:top w:w="0" w:type="dxa"/>
            <w:left w:w="108" w:type="dxa"/>
            <w:bottom w:w="0" w:type="dxa"/>
            <w:right w:w="108" w:type="dxa"/>
          </w:tblCellMar>
        </w:tblPrEx>
        <w:trPr>
          <w:trHeight w:val="875" w:hRule="atLeast"/>
          <w:jc w:val="center"/>
        </w:trPr>
        <w:tc>
          <w:tcPr>
            <w:tcW w:w="3411"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053" w:type="dxa"/>
            <w:gridSpan w:val="3"/>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严格控制经费开支，量入为出，规范财务制度：严格资产购置支出，执行政府采购流程，通过电子卖场实行采购公开透明管理；压缩三公经费开支，严禁超范围超标准接待；严控办公经费使用，减少办公耗材支出，节约用电用水；压缩会议费培训费支出，尽量使用视频传达接收会议精神及培训内容等等。</w:t>
            </w:r>
            <w:r>
              <w:rPr>
                <w:rFonts w:ascii="Times New Roman" w:hAnsi="Times New Roman"/>
                <w:kern w:val="0"/>
                <w:szCs w:val="21"/>
              </w:rPr>
              <w:t>　</w:t>
            </w:r>
          </w:p>
        </w:tc>
      </w:tr>
    </w:tbl>
    <w:p>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pPr>
        <w:rPr>
          <w:rFonts w:ascii="Times New Roman" w:hAnsi="Times New Roman"/>
          <w:kern w:val="0"/>
          <w:sz w:val="22"/>
        </w:rPr>
      </w:pPr>
    </w:p>
    <w:p>
      <w:pPr>
        <w:rPr>
          <w:rFonts w:ascii="Times New Roman" w:hAnsi="Times New Roman"/>
          <w:kern w:val="0"/>
          <w:sz w:val="22"/>
        </w:rPr>
      </w:pPr>
    </w:p>
    <w:p>
      <w:pPr>
        <w:rPr>
          <w:rFonts w:ascii="Times New Roman" w:hAnsi="Times New Roman" w:eastAsia="黑体"/>
          <w:sz w:val="32"/>
          <w:szCs w:val="32"/>
        </w:rPr>
      </w:pPr>
      <w:r>
        <w:rPr>
          <w:rFonts w:ascii="Times New Roman" w:hAnsi="Times New Roman" w:eastAsia="仿宋_GB2312"/>
          <w:sz w:val="24"/>
        </w:rPr>
        <w:t>填表人：       填报日期：        联系电话：       单位负责人签字：</w:t>
      </w:r>
    </w:p>
    <w:p>
      <w:pPr>
        <w:rPr>
          <w:rFonts w:ascii="Times New Roman" w:hAnsi="Times New Roman"/>
          <w:kern w:val="0"/>
          <w:sz w:val="2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8"/>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衡阳市生态环境局衡山分局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1114.42</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1114.42</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按指出性质分：</w:t>
            </w:r>
          </w:p>
        </w:tc>
      </w:tr>
      <w:tr>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623.59</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其中：基本支出：494.48</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项目支出：619.94</w:t>
            </w:r>
          </w:p>
        </w:tc>
      </w:tr>
      <w:tr>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rPr>
              <w:t>490.83</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330" w:lineRule="atLeast"/>
              <w:jc w:val="left"/>
              <w:rPr>
                <w:rFonts w:ascii="宋体" w:hAnsi="宋体" w:cs="宋体"/>
                <w:color w:val="000000"/>
                <w:kern w:val="0"/>
                <w:sz w:val="18"/>
                <w:szCs w:val="18"/>
              </w:rPr>
            </w:pPr>
            <w:r>
              <w:rPr>
                <w:rFonts w:ascii="仿宋" w:hAnsi="仿宋" w:eastAsia="仿宋" w:cs="仿宋"/>
                <w:sz w:val="18"/>
                <w:szCs w:val="18"/>
              </w:rPr>
              <w:t>1</w:t>
            </w:r>
            <w:r>
              <w:rPr>
                <w:rFonts w:ascii="宋体" w:hAnsi="宋体" w:cs="宋体"/>
                <w:color w:val="000000"/>
                <w:kern w:val="0"/>
                <w:sz w:val="18"/>
                <w:szCs w:val="18"/>
              </w:rPr>
              <w:t>、贯彻执行国家、省和市有关生态环境的法律法规和政策，会同同级有关门拟订生态环境保护规划、制度，经批准后组织实施；会同同级有关部门编制并监督实施辖区内重点区域、流域、饮用水水源地生态环境规划和水功能区。</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2、负责协调和监督管理辖区内生态环境保护工作，组织协调辖区内环境污染事故和生态破坏事件的调查处理，指导协调突发生态环境事件的应急、预警工作，参与实施生态环境损害赔偿制度。</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3、负责监督管理减排目标的落实，根据国家、省和市下达的污染物减排指标，组织制定并监督实施辖区内污染物排放总量控制计划及相关措施，在市生态环境局授范围内承担排污许可证核发工作，并监督排污许可制度实施落实情况。监督检查污染物减排任务完成情况，实施生态环境保护目标责任制，组织协调应对气候变化和温室气体减排工作。</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4、负责环境污染防治的监督管理，组织拟订辖区内大气、水、土壤、噪声、光、恶臭、固体废物、重金属、化学品、机动车等的污染防治管理制度并监督实施；会同有关部门监督管理饮用水水源地、地下水生态环境保护工作；组织指导城乡生态环境综合整治工作，监督农业面源污染治理工作；监督指导区域大气环境保护工作，组织实施区域大气污染防治联防控协作机制。</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5、指导协调和监督生态保护修复工作，监督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牵头生物物种(含遗传资源)工作，组织协调生物多样性保护工作，参与生态保护补偿工作。</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6、负责核与辐射安全的监督管理，负责牵头核安全工作协调机制有关工作，参与核事故应急处理，负责辐射环境事故应急处理；监督管理核设施和放射源安全，监督管理核设施、核技术应用、电磁辐射、伴有放射性矿产资源开发利用活动中的污染防治；负责对核材料管制和民用核安全设备的设计、制造、安装及无损检验活动实施监督管理。</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7、负责生态环境准入的监督管理。拟订并组织实施生态环境准入清单，受市生态环境局委托，对经济和技术政策、发展规划及重大经济开发计划进行环境影响评价，按规定审批或审查重大开发建设区域、规划、项目环境影响评价。</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8、负责生态环境监测工作，组织实施生态环境执法监测，负责生态环境质量监测、污染原监测和应急监测等相关工作。</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9、协调配合生态环境保护督察工作；督促检查同级有关部门(单位）贯彻落实生态环境保护决策部署和"党政同责""一岗双责"情况，调度、指导和督促突出生态环境保护问题整改落实。</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10、承担生态环境保护综合行政执法工作，组织开展辖区内生态环境保护执法检查活动，查处生态环境违法问题。</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11、组织开展和指导生态环境宣传教育工作，制定并组织实施生态环境保护宣传教育规划，推动社会组织和公众参与生态环境保护；开展生态环境科技工作，组织生态环境重大科学研究和技术工程示范，推动生态环境技术管理体系建设。</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12、负责本行业、领域的应急管理工作，对本行业、领域的安全生产工作实施监督管理。</w:t>
            </w:r>
          </w:p>
          <w:p>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13、完成市生态环境局和衡山县党委、政府交办的其他任务。</w:t>
            </w:r>
          </w:p>
          <w:p>
            <w:pPr>
              <w:widowControl/>
              <w:jc w:val="center"/>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330" w:lineRule="atLeast"/>
              <w:jc w:val="left"/>
              <w:rPr>
                <w:color w:val="000000"/>
                <w:sz w:val="18"/>
                <w:szCs w:val="18"/>
              </w:rPr>
            </w:pPr>
            <w:r>
              <w:rPr>
                <w:rFonts w:ascii="宋体" w:hAnsi="宋体" w:cs="宋体"/>
                <w:color w:val="000000"/>
                <w:kern w:val="0"/>
                <w:sz w:val="18"/>
                <w:szCs w:val="18"/>
              </w:rPr>
              <w:t>将生态环境保护工作考核纳入全县目标管理绩效考核，完成夏季攻势整改任务工作，完成危险废物整治工作，完成督察问题整改工作，完成乡镇污水处理督查工作。继续推进土壤污染治理工作，专项督察砂石行业生态环境保护工作。继续推进生态环境赔偿案件进程</w:t>
            </w:r>
            <w:r>
              <w:rPr>
                <w:rFonts w:hint="eastAsia" w:ascii="宋体" w:hAnsi="宋体" w:cs="宋体"/>
                <w:color w:val="000000"/>
                <w:kern w:val="0"/>
                <w:sz w:val="18"/>
                <w:szCs w:val="18"/>
              </w:rPr>
              <w:t>；</w:t>
            </w:r>
            <w:r>
              <w:rPr>
                <w:rFonts w:ascii="宋体" w:hAnsi="宋体" w:cs="宋体"/>
                <w:color w:val="000000"/>
                <w:kern w:val="0"/>
                <w:sz w:val="18"/>
                <w:szCs w:val="18"/>
              </w:rPr>
              <w:t>抓好生态环境监管执法工作，全力查处环境信访投诉问题</w:t>
            </w:r>
            <w:r>
              <w:rPr>
                <w:rFonts w:hint="eastAsia" w:ascii="宋体" w:hAnsi="宋体" w:cs="宋体"/>
                <w:color w:val="000000"/>
                <w:kern w:val="0"/>
                <w:sz w:val="18"/>
                <w:szCs w:val="18"/>
              </w:rPr>
              <w:t>；</w:t>
            </w:r>
            <w:r>
              <w:rPr>
                <w:rFonts w:ascii="宋体" w:hAnsi="宋体" w:cs="宋体"/>
                <w:color w:val="000000"/>
                <w:kern w:val="0"/>
                <w:sz w:val="18"/>
                <w:szCs w:val="18"/>
              </w:rPr>
              <w:t>加强行政效能建设，全面完成环境监测服务工作，抓好固废、辐射管理工作，推进自然生态监督工作，开展环保宣教，提高公众参与度。</w:t>
            </w:r>
          </w:p>
        </w:tc>
      </w:tr>
      <w:tr>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spacing w:line="330" w:lineRule="atLeast"/>
              <w:jc w:val="center"/>
              <w:rPr>
                <w:color w:val="000000"/>
                <w:sz w:val="18"/>
                <w:szCs w:val="18"/>
              </w:rPr>
            </w:pPr>
            <w:r>
              <w:rPr>
                <w:rFonts w:ascii="宋体" w:hAnsi="宋体" w:cs="宋体"/>
                <w:color w:val="000000"/>
                <w:kern w:val="0"/>
                <w:sz w:val="18"/>
                <w:szCs w:val="18"/>
              </w:rPr>
              <w:t>抓好生态环境监管执法工作，全力查处环境信访投诉问题</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空气质量良好天数</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310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348</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县级集中式饮用水不源地水质达标率100%</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952"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督查问题整改率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环评审批项目办理个数</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26</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26</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9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饮用水源地水质</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Ⅱ类</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Ⅱ类</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28"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优良</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优良</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监测1-12月完成率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766"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全年预算收支</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1142.42万元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1142.42万元</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pPr>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督促</w:t>
            </w:r>
            <w:r>
              <w:rPr>
                <w:rFonts w:ascii="Times New Roman" w:hAnsi="Times New Roman" w:eastAsia="仿宋_GB2312"/>
                <w:color w:val="000000"/>
                <w:kern w:val="0"/>
                <w:szCs w:val="21"/>
              </w:rPr>
              <w:t>企业达标排放</w:t>
            </w:r>
            <w:r>
              <w:rPr>
                <w:rFonts w:hint="eastAsia" w:ascii="Times New Roman" w:hAnsi="Times New Roman" w:eastAsia="仿宋_GB2312"/>
                <w:color w:val="000000"/>
                <w:kern w:val="0"/>
                <w:szCs w:val="21"/>
              </w:rPr>
              <w:t>，降低环境风险</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有效控制</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ascii="Times New Roman" w:hAnsi="Times New Roman" w:eastAsia="仿宋_GB2312"/>
                <w:color w:val="000000"/>
                <w:kern w:val="0"/>
                <w:szCs w:val="21"/>
              </w:rPr>
              <w:t>有效</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开展环保宣教，提高公众参与度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提高升企业及群众环保意识</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县区生态环境质量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有改善</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环境质量推动社会可持继发展</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是否推动可持继发展</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1110" w:type="dxa"/>
            <w:vMerge w:val="restart"/>
            <w:tcBorders>
              <w:top w:val="single" w:color="auto" w:sz="4" w:space="0"/>
              <w:left w:val="nil"/>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w:t>
            </w:r>
            <w:r>
              <w:rPr>
                <w:rFonts w:ascii="Times New Roman" w:hAnsi="Times New Roman" w:eastAsia="仿宋_GB2312"/>
                <w:color w:val="000000"/>
                <w:kern w:val="0"/>
                <w:szCs w:val="21"/>
              </w:rPr>
              <w:t>对</w:t>
            </w:r>
            <w:r>
              <w:rPr>
                <w:rFonts w:hint="eastAsia" w:ascii="Times New Roman" w:hAnsi="Times New Roman" w:eastAsia="仿宋_GB2312"/>
                <w:color w:val="000000"/>
                <w:kern w:val="0"/>
                <w:szCs w:val="21"/>
              </w:rPr>
              <w:t>环保服务</w:t>
            </w:r>
            <w:r>
              <w:rPr>
                <w:rFonts w:ascii="Times New Roman" w:hAnsi="Times New Roman" w:eastAsia="仿宋_GB2312"/>
                <w:color w:val="000000"/>
                <w:kern w:val="0"/>
                <w:szCs w:val="21"/>
              </w:rPr>
              <w:t>满意度</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群众对环境质量满意度</w:t>
            </w:r>
          </w:p>
        </w:tc>
        <w:tc>
          <w:tcPr>
            <w:tcW w:w="1110" w:type="dxa"/>
            <w:tcBorders>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w:t>
            </w:r>
          </w:p>
        </w:tc>
        <w:tc>
          <w:tcPr>
            <w:tcW w:w="11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r>
    </w:tbl>
    <w:p>
      <w:pPr>
        <w:spacing w:beforeLines="50"/>
        <w:rPr>
          <w:rFonts w:ascii="Times New Roman" w:hAnsi="Times New Roman" w:eastAsia="黑体"/>
          <w:sz w:val="32"/>
          <w:szCs w:val="32"/>
        </w:rPr>
      </w:pPr>
      <w:r>
        <w:rPr>
          <w:rFonts w:ascii="Times New Roman" w:hAnsi="Times New Roman" w:eastAsia="仿宋_GB2312"/>
          <w:sz w:val="24"/>
        </w:rPr>
        <w:t>填表人：       填报日期：        联系电话：       单位负责人签字：</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环境监测与监察</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推进环境监测全覆盖</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w:t>
            </w:r>
          </w:p>
        </w:tc>
      </w:tr>
      <w:tr>
        <w:tblPrEx>
          <w:tblCellMar>
            <w:top w:w="0" w:type="dxa"/>
            <w:left w:w="108" w:type="dxa"/>
            <w:bottom w:w="0" w:type="dxa"/>
            <w:right w:w="108" w:type="dxa"/>
          </w:tblCellMar>
        </w:tblPrEx>
        <w:trPr>
          <w:trHeight w:val="101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对企业场监察率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监察监测是否及时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10万元</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保障辖区内企业良性发展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保障生态环境安全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widowControl/>
        <w:spacing w:line="600" w:lineRule="exact"/>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pPr>
        <w:rPr>
          <w:rFonts w:ascii="Times New Roman" w:hAnsi="Times New Roman" w:eastAsia="黑体"/>
          <w:sz w:val="32"/>
          <w:szCs w:val="32"/>
        </w:rPr>
      </w:pPr>
    </w:p>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3-2</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污染减排工作经费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对污染物排放进行总量控制，严把项目准入关，淘汰落后高污染工艺，优化产业结构。</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完成本年工作任务</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减排工作在规定时间开展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促进排污单树立环保意识</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控制环境污染</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是否有亲自</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jc w:val="left"/>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pPr>
        <w:rPr>
          <w:rFonts w:ascii="Times New Roman" w:hAnsi="Times New Roman" w:eastAsia="仿宋_GB2312"/>
          <w:sz w:val="24"/>
        </w:rPr>
      </w:pPr>
    </w:p>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3-3</w:t>
      </w:r>
    </w:p>
    <w:tbl>
      <w:tblPr>
        <w:tblStyle w:val="8"/>
        <w:tblW w:w="10215" w:type="dxa"/>
        <w:jc w:val="center"/>
        <w:tblLayout w:type="autofit"/>
        <w:tblCellMar>
          <w:top w:w="0" w:type="dxa"/>
          <w:left w:w="108" w:type="dxa"/>
          <w:bottom w:w="0" w:type="dxa"/>
          <w:right w:w="108" w:type="dxa"/>
        </w:tblCellMar>
      </w:tblPr>
      <w:tblGrid>
        <w:gridCol w:w="10215"/>
      </w:tblGrid>
      <w:tr>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业务经费</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健全生态环境保护督察，提升环保执法工作能力，加大信访查处力度，完成各项监测监察管理及环保宣传工作，增强群众环保意识。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完成年初任务</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信访处理率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信访结案率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及时处理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是否及时处理</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36.59万元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36.59万元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保障社会定</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是否有效环境安全</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beforeLines="50"/>
              <w:rPr>
                <w:rFonts w:ascii="Times New Roman" w:hAnsi="Times New Roman" w:eastAsia="方正小标宋_GBK"/>
                <w:color w:val="000000"/>
                <w:kern w:val="0"/>
                <w:sz w:val="36"/>
                <w:szCs w:val="36"/>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3-4</w:t>
      </w:r>
    </w:p>
    <w:tbl>
      <w:tblPr>
        <w:tblStyle w:val="8"/>
        <w:tblW w:w="10215" w:type="dxa"/>
        <w:jc w:val="center"/>
        <w:tblLayout w:type="autofit"/>
        <w:tblCellMar>
          <w:top w:w="0" w:type="dxa"/>
          <w:left w:w="108" w:type="dxa"/>
          <w:bottom w:w="0" w:type="dxa"/>
          <w:right w:w="108" w:type="dxa"/>
        </w:tblCellMar>
      </w:tblPr>
      <w:tblGrid>
        <w:gridCol w:w="10215"/>
      </w:tblGrid>
      <w:tr>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9"/>
              <w:gridCol w:w="1101"/>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10"/>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10"/>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湘江饮用水源控制监测</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确保县城饮用水安全，全年实时对湘江饮用水源监控监测，确保饮用水水质达到国家Ⅱ类标准，湘江衡山段水质达到国家Ⅲ类标准。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完成年度目标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采样送达期数</w:t>
                  </w: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水质达标率</w:t>
                  </w: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时限1年，12期</w:t>
                  </w: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是否每月及时报送</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保障饮用水安全</w:t>
                  </w:r>
                </w:p>
              </w:tc>
              <w:tc>
                <w:tcPr>
                  <w:tcW w:w="11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w:t>
                  </w: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是否水质达标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1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widowControl/>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pPr>
              <w:widowControl/>
              <w:jc w:val="center"/>
              <w:rPr>
                <w:rFonts w:ascii="Times New Roman" w:hAnsi="Times New Roman" w:eastAsia="方正小标宋_GBK"/>
                <w:color w:val="000000"/>
                <w:kern w:val="0"/>
                <w:sz w:val="36"/>
                <w:szCs w:val="36"/>
              </w:rPr>
            </w:pPr>
          </w:p>
        </w:tc>
      </w:tr>
    </w:tbl>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3-5</w:t>
      </w:r>
    </w:p>
    <w:tbl>
      <w:tblPr>
        <w:tblStyle w:val="8"/>
        <w:tblW w:w="10215" w:type="dxa"/>
        <w:jc w:val="center"/>
        <w:tblLayout w:type="autofit"/>
        <w:tblCellMar>
          <w:top w:w="0" w:type="dxa"/>
          <w:left w:w="108" w:type="dxa"/>
          <w:bottom w:w="0" w:type="dxa"/>
          <w:right w:w="108" w:type="dxa"/>
        </w:tblCellMar>
      </w:tblPr>
      <w:tblGrid>
        <w:gridCol w:w="10215"/>
      </w:tblGrid>
      <w:tr>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湘江流域水污染综合整治</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确保饮用水水质达到国家Ⅱ类标准，湘江衡山段水质达到国家Ⅲ类标准。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完成年度目标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水质点断面监测及污染物排查个数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断面及饮用水水质达标率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全年12期</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12期</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12期</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28万元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保障饮用水安全</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饮用水安全</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饮用水安全</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断面及饮用水水质达标率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3-6</w:t>
      </w:r>
    </w:p>
    <w:tbl>
      <w:tblPr>
        <w:tblStyle w:val="8"/>
        <w:tblW w:w="10215" w:type="dxa"/>
        <w:jc w:val="center"/>
        <w:tblLayout w:type="autofit"/>
        <w:tblCellMar>
          <w:top w:w="0" w:type="dxa"/>
          <w:left w:w="108" w:type="dxa"/>
          <w:bottom w:w="0" w:type="dxa"/>
          <w:right w:w="108" w:type="dxa"/>
        </w:tblCellMar>
      </w:tblPr>
      <w:tblGrid>
        <w:gridCol w:w="10215"/>
      </w:tblGrid>
      <w:tr>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空气监测</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用于日常空气质量监测，确保县城人民生态环境空气质量达到良好。</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完成年度目标</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全年良好天数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≥310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348</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全县空气质量指标达标率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95.34</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全年实时监测</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实时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人民生态环境得到改善</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有效改善</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效改善</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保障辖区内空气质量良好</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空气质量水平</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良好</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3-7</w:t>
      </w:r>
    </w:p>
    <w:tbl>
      <w:tblPr>
        <w:tblStyle w:val="8"/>
        <w:tblW w:w="10215" w:type="dxa"/>
        <w:jc w:val="center"/>
        <w:tblLayout w:type="autofit"/>
        <w:tblCellMar>
          <w:top w:w="0" w:type="dxa"/>
          <w:left w:w="108" w:type="dxa"/>
          <w:bottom w:w="0" w:type="dxa"/>
          <w:right w:w="108" w:type="dxa"/>
        </w:tblCellMar>
      </w:tblPr>
      <w:tblGrid>
        <w:gridCol w:w="10215"/>
      </w:tblGrid>
      <w:tr>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环境监测执法</w:t>
                  </w:r>
                </w:p>
              </w:tc>
            </w:tr>
            <w:tr>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r>
                    <w:rPr>
                      <w:rFonts w:ascii="Times New Roman" w:hAnsi="Times New Roman" w:eastAsia="仿宋_GB2312"/>
                      <w:szCs w:val="21"/>
                    </w:rPr>
                    <w:t>全年</w:t>
                  </w:r>
                </w:p>
                <w:p>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pPr>
                    <w:spacing w:line="240" w:lineRule="exact"/>
                    <w:jc w:val="center"/>
                    <w:rPr>
                      <w:rFonts w:ascii="Times New Roman" w:hAnsi="Times New Roman" w:eastAsia="仿宋_GB2312"/>
                      <w:szCs w:val="21"/>
                    </w:rPr>
                  </w:pPr>
                </w:p>
                <w:p>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加强生态环境监测执法，开展各类环保专项行动，对企业随时监督，随机抽查，加强企业及自然保护区的环保督察工作，全面覆盖。</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监管企业数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121</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执法及时</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执法是否及时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40万元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left"/>
                    <w:rPr>
                      <w:rFonts w:ascii="Times New Roman" w:hAnsi="Times New Roman" w:eastAsia="仿宋_GB2312"/>
                      <w:color w:val="000000"/>
                      <w:kern w:val="0"/>
                      <w:szCs w:val="21"/>
                    </w:rPr>
                  </w:pPr>
                </w:p>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有效保障辖区企业良性发展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有效性</w:t>
                  </w:r>
                </w:p>
              </w:tc>
              <w:tc>
                <w:tcPr>
                  <w:tcW w:w="110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有效保障生态环境安全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pPr>
        <w:widowControl/>
        <w:spacing w:line="600" w:lineRule="exact"/>
        <w:jc w:val="left"/>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- 2 -</w:t>
    </w:r>
    <w:r>
      <w:rPr>
        <w:rStyle w:val="10"/>
        <w:rFonts w:ascii="Times New Roman" w:hAnsi="Times New Roman"/>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OTFlZDdlOTM1MDZmNzNmODgxNDg5MGY1ZTM1MzQifQ=="/>
  </w:docVars>
  <w:rsids>
    <w:rsidRoot w:val="00C553EF"/>
    <w:rsid w:val="00012C93"/>
    <w:rsid w:val="00022FB4"/>
    <w:rsid w:val="000365EF"/>
    <w:rsid w:val="000734E3"/>
    <w:rsid w:val="000773D5"/>
    <w:rsid w:val="000779C3"/>
    <w:rsid w:val="00080625"/>
    <w:rsid w:val="00093B9D"/>
    <w:rsid w:val="00094646"/>
    <w:rsid w:val="000A561A"/>
    <w:rsid w:val="000B6B24"/>
    <w:rsid w:val="000D5901"/>
    <w:rsid w:val="000D5E7F"/>
    <w:rsid w:val="000E2B59"/>
    <w:rsid w:val="000F775C"/>
    <w:rsid w:val="00135131"/>
    <w:rsid w:val="00135395"/>
    <w:rsid w:val="00181536"/>
    <w:rsid w:val="00184AF2"/>
    <w:rsid w:val="0019798B"/>
    <w:rsid w:val="001A7CAB"/>
    <w:rsid w:val="001B56F4"/>
    <w:rsid w:val="001B69B6"/>
    <w:rsid w:val="001B6D56"/>
    <w:rsid w:val="001C04EF"/>
    <w:rsid w:val="001D6435"/>
    <w:rsid w:val="00220A85"/>
    <w:rsid w:val="002238BB"/>
    <w:rsid w:val="00225BED"/>
    <w:rsid w:val="002320EB"/>
    <w:rsid w:val="00252609"/>
    <w:rsid w:val="00262577"/>
    <w:rsid w:val="00276970"/>
    <w:rsid w:val="0027733A"/>
    <w:rsid w:val="00277E09"/>
    <w:rsid w:val="00296BAE"/>
    <w:rsid w:val="002A03D6"/>
    <w:rsid w:val="002D01D7"/>
    <w:rsid w:val="002F05A3"/>
    <w:rsid w:val="00302CAE"/>
    <w:rsid w:val="003056F3"/>
    <w:rsid w:val="003126FC"/>
    <w:rsid w:val="00323CF3"/>
    <w:rsid w:val="0032533F"/>
    <w:rsid w:val="00340691"/>
    <w:rsid w:val="003610D2"/>
    <w:rsid w:val="003636C4"/>
    <w:rsid w:val="0038692A"/>
    <w:rsid w:val="003A1408"/>
    <w:rsid w:val="003B08B9"/>
    <w:rsid w:val="003B7F5C"/>
    <w:rsid w:val="003E1FD6"/>
    <w:rsid w:val="003E5841"/>
    <w:rsid w:val="003F1540"/>
    <w:rsid w:val="004148E0"/>
    <w:rsid w:val="004217FE"/>
    <w:rsid w:val="00440BFE"/>
    <w:rsid w:val="00463FD5"/>
    <w:rsid w:val="00474AD0"/>
    <w:rsid w:val="00487AC5"/>
    <w:rsid w:val="00496F05"/>
    <w:rsid w:val="004E32FA"/>
    <w:rsid w:val="00537950"/>
    <w:rsid w:val="00551D43"/>
    <w:rsid w:val="00566BA9"/>
    <w:rsid w:val="00567AAC"/>
    <w:rsid w:val="00581EEE"/>
    <w:rsid w:val="005851E9"/>
    <w:rsid w:val="00591495"/>
    <w:rsid w:val="00592CD9"/>
    <w:rsid w:val="00594AEE"/>
    <w:rsid w:val="005D14EE"/>
    <w:rsid w:val="006264B7"/>
    <w:rsid w:val="006474CE"/>
    <w:rsid w:val="00662CE7"/>
    <w:rsid w:val="00695177"/>
    <w:rsid w:val="006964D9"/>
    <w:rsid w:val="006F37DA"/>
    <w:rsid w:val="007038F5"/>
    <w:rsid w:val="007123D7"/>
    <w:rsid w:val="00713B58"/>
    <w:rsid w:val="00724379"/>
    <w:rsid w:val="007260F1"/>
    <w:rsid w:val="00751BF0"/>
    <w:rsid w:val="00754D90"/>
    <w:rsid w:val="00764972"/>
    <w:rsid w:val="00771B0E"/>
    <w:rsid w:val="007A6F2C"/>
    <w:rsid w:val="007A7223"/>
    <w:rsid w:val="007B3731"/>
    <w:rsid w:val="007B3A23"/>
    <w:rsid w:val="007B5951"/>
    <w:rsid w:val="007C3C5A"/>
    <w:rsid w:val="007E2D1B"/>
    <w:rsid w:val="007E3E71"/>
    <w:rsid w:val="00800AA4"/>
    <w:rsid w:val="008049E5"/>
    <w:rsid w:val="00820BB7"/>
    <w:rsid w:val="0082138F"/>
    <w:rsid w:val="008241E1"/>
    <w:rsid w:val="00847A3C"/>
    <w:rsid w:val="00893AEC"/>
    <w:rsid w:val="008D0B13"/>
    <w:rsid w:val="008D50C0"/>
    <w:rsid w:val="008F73FB"/>
    <w:rsid w:val="00927766"/>
    <w:rsid w:val="00935F61"/>
    <w:rsid w:val="00940D4A"/>
    <w:rsid w:val="0095231A"/>
    <w:rsid w:val="00953EBC"/>
    <w:rsid w:val="00971DB4"/>
    <w:rsid w:val="0097394E"/>
    <w:rsid w:val="00974CBA"/>
    <w:rsid w:val="0098771B"/>
    <w:rsid w:val="009C1E0E"/>
    <w:rsid w:val="009D0C0A"/>
    <w:rsid w:val="009E1F0A"/>
    <w:rsid w:val="00A0127D"/>
    <w:rsid w:val="00A148B9"/>
    <w:rsid w:val="00A2187E"/>
    <w:rsid w:val="00A3605E"/>
    <w:rsid w:val="00A377C0"/>
    <w:rsid w:val="00A552DD"/>
    <w:rsid w:val="00A55C61"/>
    <w:rsid w:val="00A60233"/>
    <w:rsid w:val="00A801F4"/>
    <w:rsid w:val="00A8211F"/>
    <w:rsid w:val="00AC12C1"/>
    <w:rsid w:val="00AC4A78"/>
    <w:rsid w:val="00AC5F31"/>
    <w:rsid w:val="00AF15ED"/>
    <w:rsid w:val="00B049DD"/>
    <w:rsid w:val="00B17D23"/>
    <w:rsid w:val="00B45272"/>
    <w:rsid w:val="00B60F83"/>
    <w:rsid w:val="00B62F82"/>
    <w:rsid w:val="00B6478F"/>
    <w:rsid w:val="00B702EE"/>
    <w:rsid w:val="00B86511"/>
    <w:rsid w:val="00B86BA1"/>
    <w:rsid w:val="00B9399A"/>
    <w:rsid w:val="00B9419A"/>
    <w:rsid w:val="00BD4955"/>
    <w:rsid w:val="00C077D1"/>
    <w:rsid w:val="00C201EB"/>
    <w:rsid w:val="00C23636"/>
    <w:rsid w:val="00C553EF"/>
    <w:rsid w:val="00C5771B"/>
    <w:rsid w:val="00C61D48"/>
    <w:rsid w:val="00C641BD"/>
    <w:rsid w:val="00C91F4C"/>
    <w:rsid w:val="00C9428C"/>
    <w:rsid w:val="00CC6012"/>
    <w:rsid w:val="00CD7E4E"/>
    <w:rsid w:val="00CE1966"/>
    <w:rsid w:val="00CE4DFE"/>
    <w:rsid w:val="00CF0AA7"/>
    <w:rsid w:val="00D43C24"/>
    <w:rsid w:val="00D61342"/>
    <w:rsid w:val="00D64926"/>
    <w:rsid w:val="00D74987"/>
    <w:rsid w:val="00D812AD"/>
    <w:rsid w:val="00D8620A"/>
    <w:rsid w:val="00D90B2D"/>
    <w:rsid w:val="00D91F4B"/>
    <w:rsid w:val="00DC7EE1"/>
    <w:rsid w:val="00DD4AA2"/>
    <w:rsid w:val="00DD5A15"/>
    <w:rsid w:val="00DE66F6"/>
    <w:rsid w:val="00DF0070"/>
    <w:rsid w:val="00DF10CE"/>
    <w:rsid w:val="00E01819"/>
    <w:rsid w:val="00E039BF"/>
    <w:rsid w:val="00E21FF7"/>
    <w:rsid w:val="00E323CD"/>
    <w:rsid w:val="00E462E3"/>
    <w:rsid w:val="00E82F52"/>
    <w:rsid w:val="00E83D39"/>
    <w:rsid w:val="00E8571A"/>
    <w:rsid w:val="00E94B12"/>
    <w:rsid w:val="00EE2227"/>
    <w:rsid w:val="00EF0339"/>
    <w:rsid w:val="00F137EB"/>
    <w:rsid w:val="00F2080B"/>
    <w:rsid w:val="00F24A1E"/>
    <w:rsid w:val="00F55DE1"/>
    <w:rsid w:val="00F57037"/>
    <w:rsid w:val="00F814A6"/>
    <w:rsid w:val="00FA2BB2"/>
    <w:rsid w:val="00FA5747"/>
    <w:rsid w:val="00FC450D"/>
    <w:rsid w:val="00FD0565"/>
    <w:rsid w:val="00FD081E"/>
    <w:rsid w:val="00FD0E11"/>
    <w:rsid w:val="00FE100B"/>
    <w:rsid w:val="00FE4826"/>
    <w:rsid w:val="028D58A7"/>
    <w:rsid w:val="03043E77"/>
    <w:rsid w:val="0F262ACD"/>
    <w:rsid w:val="15DA6FC6"/>
    <w:rsid w:val="18934E7A"/>
    <w:rsid w:val="213F71DA"/>
    <w:rsid w:val="217D46AD"/>
    <w:rsid w:val="2CA61530"/>
    <w:rsid w:val="2E660FDE"/>
    <w:rsid w:val="398B5761"/>
    <w:rsid w:val="3F52287D"/>
    <w:rsid w:val="416B7C26"/>
    <w:rsid w:val="41C61B6B"/>
    <w:rsid w:val="44A75419"/>
    <w:rsid w:val="573A2E96"/>
    <w:rsid w:val="5C2F64BB"/>
    <w:rsid w:val="609A4BD3"/>
    <w:rsid w:val="62F62474"/>
    <w:rsid w:val="640815D9"/>
    <w:rsid w:val="66B91727"/>
    <w:rsid w:val="6AF80B9B"/>
    <w:rsid w:val="6BAD2A66"/>
    <w:rsid w:val="6CDE3E9F"/>
    <w:rsid w:val="71125845"/>
    <w:rsid w:val="773A3B3B"/>
    <w:rsid w:val="77A24B7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ody Text"/>
    <w:basedOn w:val="1"/>
    <w:link w:val="20"/>
    <w:qFormat/>
    <w:uiPriority w:val="1"/>
    <w:rPr>
      <w:rFonts w:asciiTheme="minorHAnsi" w:hAnsiTheme="minorHAnsi" w:eastAsiaTheme="minorEastAsia" w:cstheme="minorBidi"/>
      <w:sz w:val="32"/>
      <w:szCs w:val="32"/>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Times New Roman" w:hAnsi="Times New Roman" w:eastAsia="宋体" w:cs="Times New Roman"/>
      <w:sz w:val="24"/>
      <w:szCs w:val="24"/>
    </w:rPr>
  </w:style>
  <w:style w:type="character" w:customStyle="1" w:styleId="13">
    <w:name w:val="批注框文本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character" w:customStyle="1" w:styleId="19">
    <w:name w:val="Intense Emphasis"/>
    <w:basedOn w:val="9"/>
    <w:qFormat/>
    <w:uiPriority w:val="21"/>
    <w:rPr>
      <w:b/>
      <w:bCs/>
      <w:i/>
      <w:iCs/>
      <w:color w:val="4F81BD" w:themeColor="accent1"/>
    </w:rPr>
  </w:style>
  <w:style w:type="character" w:customStyle="1" w:styleId="20">
    <w:name w:val="正文文本 Char"/>
    <w:basedOn w:val="9"/>
    <w:link w:val="3"/>
    <w:uiPriority w:val="1"/>
    <w:rPr>
      <w:rFonts w:asciiTheme="minorHAnsi" w:hAnsiTheme="minorHAnsi" w:eastAsiaTheme="minorEastAsia" w:cstheme="minorBidi"/>
      <w:kern w:val="2"/>
      <w:sz w:val="32"/>
      <w:szCs w:val="32"/>
    </w:rPr>
  </w:style>
  <w:style w:type="paragraph" w:customStyle="1" w:styleId="21">
    <w:name w:val="a"/>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2">
    <w:name w:val="defaul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2191</Words>
  <Characters>12489</Characters>
  <Lines>104</Lines>
  <Paragraphs>29</Paragraphs>
  <TotalTime>8</TotalTime>
  <ScaleCrop>false</ScaleCrop>
  <LinksUpToDate>false</LinksUpToDate>
  <CharactersWithSpaces>14651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2022-09-21T10:58:00Z</dcterms:created>
  <dc:creator>lenovo</dc:creator>
  <cp:lastModifiedBy>好好先生</cp:lastModifiedBy>
  <cp:lastPrinted>2022-02-23T02:03:00Z</cp:lastPrinted>
  <dcterms:modified xsi:type="dcterms:W3CDTF">2023-09-19T07:14:19Z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5F86A98A86154C4C9C502509B3FC77D9_13</vt:lpwstr>
  </property>
</Properties>
</file>