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w:t>
      </w:r>
      <w:r>
        <w:rPr>
          <w:rFonts w:hint="eastAsia" w:ascii="Times New Roman" w:hAnsi="Times New Roman" w:eastAsia="方正小标宋简体"/>
          <w:sz w:val="36"/>
          <w:szCs w:val="36"/>
          <w:lang w:val="en-US" w:eastAsia="zh-CN"/>
        </w:rPr>
        <w:t>2</w:t>
      </w:r>
      <w:r>
        <w:rPr>
          <w:rFonts w:ascii="Times New Roman" w:hAnsi="Times New Roman" w:eastAsia="方正小标宋简体"/>
          <w:sz w:val="36"/>
          <w:szCs w:val="36"/>
        </w:rPr>
        <w:t>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：衡阳市水利水电规划设计院（</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jc w:val="center"/>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3</w:t>
      </w:r>
      <w:r>
        <w:rPr>
          <w:rFonts w:ascii="Times New Roman" w:hAnsi="Times New Roman" w:eastAsia="黑体"/>
          <w:sz w:val="32"/>
          <w:szCs w:val="32"/>
        </w:rPr>
        <w:t xml:space="preserve"> 月</w:t>
      </w:r>
      <w:r>
        <w:rPr>
          <w:rFonts w:hint="eastAsia" w:ascii="Times New Roman" w:hAnsi="Times New Roman" w:eastAsia="黑体"/>
          <w:sz w:val="32"/>
          <w:szCs w:val="32"/>
          <w:lang w:val="en-US" w:eastAsia="zh-CN"/>
        </w:rPr>
        <w:t>30</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rPr>
          <w:rFonts w:ascii="Times New Roman" w:hAnsi="Times New Roman" w:eastAsia="方正小标宋_GBK"/>
          <w:sz w:val="32"/>
          <w:szCs w:val="32"/>
        </w:rPr>
      </w:pPr>
    </w:p>
    <w:p>
      <w:pPr>
        <w:pStyle w:val="5"/>
        <w:widowControl/>
        <w:numPr>
          <w:ilvl w:val="0"/>
          <w:numId w:val="1"/>
        </w:numPr>
        <w:ind w:firstLine="640"/>
        <w:rPr>
          <w:rFonts w:eastAsia="黑体"/>
          <w:sz w:val="32"/>
          <w:szCs w:val="32"/>
        </w:rPr>
      </w:pPr>
      <w:r>
        <w:rPr>
          <w:rFonts w:eastAsia="黑体"/>
          <w:sz w:val="32"/>
          <w:szCs w:val="32"/>
        </w:rPr>
        <w:t>部门、单位基本情况</w:t>
      </w:r>
    </w:p>
    <w:p>
      <w:pPr>
        <w:pStyle w:val="5"/>
        <w:widowControl/>
        <w:ind w:firstLine="640"/>
        <w:rPr>
          <w:rFonts w:hint="eastAsia" w:eastAsia="仿宋_GB2312"/>
          <w:sz w:val="32"/>
          <w:szCs w:val="32"/>
        </w:rPr>
      </w:pPr>
      <w:r>
        <w:rPr>
          <w:rFonts w:hint="eastAsia" w:eastAsia="仿宋_GB2312"/>
          <w:sz w:val="32"/>
          <w:szCs w:val="32"/>
        </w:rPr>
        <w:t>为实现全过程预算绩效管理，强化部门责任意识，增强预算执行的科学性、合理性、规范性，优化财政资源配置，保障财政支出实现预期目标，提高财政资金使用绩效，根据《中华人民共和国预算法》《中共湖南省委办公厅</w:t>
      </w:r>
      <w:r>
        <w:rPr>
          <w:rFonts w:eastAsia="仿宋_GB2312"/>
          <w:sz w:val="32"/>
          <w:szCs w:val="32"/>
        </w:rPr>
        <w:t xml:space="preserve"> </w:t>
      </w:r>
      <w:r>
        <w:rPr>
          <w:rFonts w:hint="eastAsia" w:eastAsia="仿宋_GB2312"/>
          <w:sz w:val="32"/>
          <w:szCs w:val="32"/>
        </w:rPr>
        <w:t>湖南省人民政府办公厅关于全面实施预算绩效管理的实施意见》（湘办发〔</w:t>
      </w:r>
      <w:r>
        <w:rPr>
          <w:rFonts w:eastAsia="仿宋_GB2312"/>
          <w:sz w:val="32"/>
          <w:szCs w:val="32"/>
        </w:rPr>
        <w:t>2019</w:t>
      </w:r>
      <w:r>
        <w:rPr>
          <w:rFonts w:hint="eastAsia" w:eastAsia="仿宋_GB2312"/>
          <w:sz w:val="32"/>
          <w:szCs w:val="32"/>
        </w:rPr>
        <w:t>〕</w:t>
      </w:r>
      <w:r>
        <w:rPr>
          <w:rFonts w:eastAsia="仿宋_GB2312"/>
          <w:sz w:val="32"/>
          <w:szCs w:val="32"/>
        </w:rPr>
        <w:t>10</w:t>
      </w:r>
      <w:r>
        <w:rPr>
          <w:rFonts w:hint="eastAsia" w:eastAsia="仿宋_GB2312"/>
          <w:sz w:val="32"/>
          <w:szCs w:val="32"/>
        </w:rPr>
        <w:t>号）</w:t>
      </w:r>
      <w:r>
        <w:rPr>
          <w:rFonts w:hint="eastAsia" w:eastAsia="仿宋_GB2312"/>
          <w:sz w:val="32"/>
          <w:szCs w:val="32"/>
          <w:lang w:eastAsia="zh-CN"/>
        </w:rPr>
        <w:t>和《衡阳市预算绩效管理实施办法》（衡办发</w:t>
      </w:r>
      <w:r>
        <w:rPr>
          <w:rFonts w:hint="eastAsia" w:eastAsia="仿宋_GB2312"/>
          <w:sz w:val="32"/>
          <w:szCs w:val="32"/>
        </w:rPr>
        <w:t>〔</w:t>
      </w:r>
      <w:r>
        <w:rPr>
          <w:rFonts w:eastAsia="仿宋_GB2312"/>
          <w:sz w:val="32"/>
          <w:szCs w:val="32"/>
        </w:rPr>
        <w:t>20</w:t>
      </w:r>
      <w:r>
        <w:rPr>
          <w:rFonts w:hint="eastAsia" w:eastAsia="仿宋_GB2312"/>
          <w:sz w:val="32"/>
          <w:szCs w:val="32"/>
          <w:lang w:val="en-US" w:eastAsia="zh-CN"/>
        </w:rPr>
        <w:t>21</w:t>
      </w: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3</w:t>
      </w:r>
      <w:r>
        <w:rPr>
          <w:rFonts w:hint="eastAsia" w:eastAsia="仿宋_GB2312"/>
          <w:sz w:val="32"/>
          <w:szCs w:val="32"/>
        </w:rPr>
        <w:t>号</w:t>
      </w:r>
      <w:r>
        <w:rPr>
          <w:rFonts w:hint="eastAsia" w:eastAsia="仿宋_GB2312"/>
          <w:sz w:val="32"/>
          <w:szCs w:val="32"/>
          <w:lang w:eastAsia="zh-CN"/>
        </w:rPr>
        <w:t>）</w:t>
      </w:r>
      <w:r>
        <w:rPr>
          <w:rFonts w:hint="eastAsia" w:eastAsia="仿宋_GB2312"/>
          <w:sz w:val="32"/>
          <w:szCs w:val="32"/>
        </w:rPr>
        <w:t>等文件精神，开展</w:t>
      </w:r>
      <w:r>
        <w:rPr>
          <w:rFonts w:eastAsia="仿宋_GB2312"/>
          <w:sz w:val="32"/>
          <w:szCs w:val="32"/>
        </w:rPr>
        <w:t>202</w:t>
      </w:r>
      <w:r>
        <w:rPr>
          <w:rFonts w:hint="eastAsia" w:eastAsia="仿宋_GB2312"/>
          <w:sz w:val="32"/>
          <w:szCs w:val="32"/>
          <w:lang w:val="en-US" w:eastAsia="zh-CN"/>
        </w:rPr>
        <w:t>2</w:t>
      </w:r>
      <w:r>
        <w:rPr>
          <w:rFonts w:hint="eastAsia" w:eastAsia="仿宋_GB2312"/>
          <w:sz w:val="32"/>
          <w:szCs w:val="32"/>
        </w:rPr>
        <w:t>年度</w:t>
      </w:r>
      <w:r>
        <w:rPr>
          <w:rFonts w:hint="eastAsia" w:eastAsia="仿宋_GB2312"/>
          <w:sz w:val="32"/>
          <w:szCs w:val="32"/>
          <w:lang w:eastAsia="zh-CN"/>
        </w:rPr>
        <w:t>预算</w:t>
      </w:r>
      <w:r>
        <w:rPr>
          <w:rFonts w:hint="eastAsia" w:eastAsia="仿宋_GB2312"/>
          <w:sz w:val="32"/>
          <w:szCs w:val="32"/>
        </w:rPr>
        <w:t>支出绩效</w:t>
      </w:r>
      <w:r>
        <w:rPr>
          <w:rFonts w:hint="eastAsia" w:eastAsia="仿宋_GB2312"/>
          <w:sz w:val="32"/>
          <w:szCs w:val="32"/>
          <w:lang w:eastAsia="zh-CN"/>
        </w:rPr>
        <w:t>自评工作</w:t>
      </w:r>
      <w:r>
        <w:rPr>
          <w:rFonts w:hint="eastAsia" w:eastAsia="仿宋_GB2312"/>
          <w:sz w:val="32"/>
          <w:szCs w:val="32"/>
        </w:rPr>
        <w:t>：</w:t>
      </w:r>
    </w:p>
    <w:p>
      <w:pPr>
        <w:pStyle w:val="5"/>
        <w:widowControl/>
        <w:ind w:firstLine="640"/>
        <w:rPr>
          <w:rFonts w:eastAsia="黑体"/>
          <w:sz w:val="32"/>
          <w:szCs w:val="32"/>
        </w:rPr>
      </w:pPr>
      <w:r>
        <w:rPr>
          <w:rFonts w:eastAsia="黑体"/>
          <w:sz w:val="32"/>
          <w:szCs w:val="32"/>
        </w:rPr>
        <w:t>二、一般公共预算支出情况</w:t>
      </w:r>
    </w:p>
    <w:p>
      <w:pPr>
        <w:pStyle w:val="5"/>
        <w:widowControl/>
        <w:ind w:firstLine="643"/>
        <w:rPr>
          <w:rFonts w:eastAsia="楷体"/>
          <w:b/>
          <w:sz w:val="32"/>
          <w:szCs w:val="32"/>
        </w:rPr>
      </w:pPr>
      <w:r>
        <w:rPr>
          <w:rFonts w:eastAsia="楷体"/>
          <w:b/>
          <w:sz w:val="32"/>
          <w:szCs w:val="32"/>
        </w:rPr>
        <w:t>（一）基本支出情况</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我院2022年度年初预算数109.13万元，本年支出797.27万元，按收入来源分，财政拨款收入231.11万元，其他收入592.95万元。</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2022年设计院基本支出797.27万元，其中：人员支出621.27万元，公用经费支出176万元。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76"/>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“三公”经费支出情况，因我院是财政补助事业单位，财政预算拨款只有工资福利支出及个人与家庭补助支出，无此经费支出。</w:t>
      </w:r>
    </w:p>
    <w:p>
      <w:pPr>
        <w:pStyle w:val="5"/>
        <w:widowControl/>
        <w:ind w:firstLine="643"/>
        <w:rPr>
          <w:rFonts w:eastAsia="楷体"/>
          <w:b/>
          <w:sz w:val="32"/>
          <w:szCs w:val="32"/>
        </w:rPr>
      </w:pPr>
      <w:r>
        <w:rPr>
          <w:rFonts w:eastAsia="楷体"/>
          <w:b/>
          <w:sz w:val="32"/>
          <w:szCs w:val="32"/>
        </w:rPr>
        <w:t>（二）项目支出情况</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我院无2022年度专项资金安排和使用管理情况以及除专项资金以外的其他项目支出情况。</w:t>
      </w:r>
    </w:p>
    <w:p>
      <w:pPr>
        <w:pStyle w:val="5"/>
        <w:widowControl/>
        <w:numPr>
          <w:ilvl w:val="0"/>
          <w:numId w:val="1"/>
        </w:numPr>
        <w:ind w:left="0" w:leftChars="0" w:firstLine="640" w:firstLineChars="200"/>
        <w:rPr>
          <w:rFonts w:eastAsia="黑体"/>
          <w:sz w:val="32"/>
          <w:szCs w:val="32"/>
        </w:rPr>
      </w:pPr>
      <w:r>
        <w:rPr>
          <w:rFonts w:eastAsia="黑体"/>
          <w:sz w:val="32"/>
          <w:szCs w:val="32"/>
        </w:rPr>
        <w:t>政府性基金预算支出情况</w:t>
      </w:r>
    </w:p>
    <w:p>
      <w:pPr>
        <w:pStyle w:val="5"/>
        <w:widowControl/>
        <w:ind w:firstLine="640"/>
        <w:rPr>
          <w:rFonts w:hint="eastAsia" w:eastAsia="仿宋_GB2312"/>
          <w:sz w:val="32"/>
          <w:szCs w:val="32"/>
          <w:lang w:val="en-US" w:eastAsia="zh-CN"/>
        </w:rPr>
      </w:pPr>
      <w:r>
        <w:rPr>
          <w:rFonts w:hint="eastAsia" w:eastAsia="仿宋_GB2312"/>
          <w:sz w:val="32"/>
          <w:szCs w:val="32"/>
          <w:lang w:val="en-US" w:eastAsia="zh-CN"/>
        </w:rPr>
        <w:t>我院无政府性基金预算支出情况。</w:t>
      </w:r>
    </w:p>
    <w:p>
      <w:pPr>
        <w:pStyle w:val="5"/>
        <w:widowControl/>
        <w:numPr>
          <w:ilvl w:val="0"/>
          <w:numId w:val="1"/>
        </w:numPr>
        <w:ind w:left="0" w:leftChars="0" w:firstLine="640" w:firstLineChars="200"/>
        <w:rPr>
          <w:rFonts w:eastAsia="黑体"/>
          <w:sz w:val="32"/>
          <w:szCs w:val="32"/>
        </w:rPr>
      </w:pPr>
      <w:r>
        <w:rPr>
          <w:rFonts w:eastAsia="黑体"/>
          <w:sz w:val="32"/>
          <w:szCs w:val="32"/>
        </w:rPr>
        <w:t>国有资本经营预算支出情况</w:t>
      </w:r>
    </w:p>
    <w:p>
      <w:pPr>
        <w:pStyle w:val="5"/>
        <w:widowControl/>
        <w:ind w:firstLine="640"/>
        <w:rPr>
          <w:rFonts w:hint="eastAsia" w:eastAsia="仿宋_GB2312"/>
          <w:sz w:val="32"/>
          <w:szCs w:val="32"/>
          <w:lang w:val="en-US" w:eastAsia="zh-CN"/>
        </w:rPr>
      </w:pPr>
      <w:r>
        <w:rPr>
          <w:rFonts w:hint="eastAsia" w:eastAsia="仿宋_GB2312"/>
          <w:sz w:val="32"/>
          <w:szCs w:val="32"/>
          <w:lang w:val="en-US" w:eastAsia="zh-CN"/>
        </w:rPr>
        <w:t>我院无国有资本经营预算支出情况。</w:t>
      </w:r>
    </w:p>
    <w:p>
      <w:pPr>
        <w:pStyle w:val="5"/>
        <w:widowControl/>
        <w:numPr>
          <w:ilvl w:val="0"/>
          <w:numId w:val="1"/>
        </w:numPr>
        <w:ind w:left="0" w:leftChars="0" w:firstLine="640" w:firstLineChars="200"/>
        <w:rPr>
          <w:rFonts w:eastAsia="黑体"/>
          <w:sz w:val="32"/>
          <w:szCs w:val="32"/>
        </w:rPr>
      </w:pPr>
      <w:r>
        <w:rPr>
          <w:rFonts w:eastAsia="黑体"/>
          <w:sz w:val="32"/>
          <w:szCs w:val="32"/>
        </w:rPr>
        <w:t>社会保险基金预算支出情况</w:t>
      </w:r>
    </w:p>
    <w:p>
      <w:pPr>
        <w:pStyle w:val="5"/>
        <w:widowControl/>
        <w:ind w:firstLine="640"/>
        <w:rPr>
          <w:rFonts w:hint="eastAsia" w:eastAsia="仿宋_GB2312"/>
          <w:sz w:val="32"/>
          <w:szCs w:val="32"/>
          <w:lang w:val="en-US" w:eastAsia="zh-CN"/>
        </w:rPr>
      </w:pPr>
      <w:r>
        <w:rPr>
          <w:rFonts w:hint="eastAsia" w:eastAsia="仿宋_GB2312"/>
          <w:sz w:val="32"/>
          <w:szCs w:val="32"/>
          <w:lang w:val="en-US" w:eastAsia="zh-CN"/>
        </w:rPr>
        <w:t>我院无社会保险基金预算支出情况。</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2022年，在院全体干部职工同心协力，紧密配合的情况下，先后完成了以下主要设计项目：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①完成了衡东县荣桓水库除险加固可行性研究报告；衡阳市石鼓区南冲水库大坝应急抢险工程；衡东县东风、庙冲、方塘垅、东塘、梅花冲及渣冲六座水库除险加固工程初步设计；衡东县十座小型水库安全评价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②完成了石鼓区西湖保护圈（西岸堤XA0+000-XA1+840）治理工程可研、初设、技施；蒸水石鼓区石鼓保护圈（蒸水北堤ZSB0+000-ZSB1+800）治理工程可研、初设、技施；湘江常宁市江河保护圈治理工程初设、技施；湘江衡山县萱洲镇沅江浦至龙王港等五个保护圈治理工程可研、初设和技施设计；耒水武广高铁保护圈（衡南县段）治理工程可研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③完成了衡阳市雁峰区铜桥港排渍站新建工程项目建议书。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④完成了衡东县江东中型灌区续建配套与节水改造实施方案；衡东县甘溪灌区配套与节水改造项目立项建议报告。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⑤完成了衡阳市柿江河流治理方案；衡阳市龙荫港河流治理方案；石鼓区周冲涵闸除险加固项目设计；湖南高速衡阳物流港项目泄洪渠改造工程设计；衡东县泵业产业园配套设施占用农业灌溉水源、灌排设施替代工程设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420" w:leftChars="200" w:firstLine="57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⑥同时对2021年已完成的部分项目进行修改和后续施工服务，主要是衡东小型水库安全评价报告后续修改工作以及衡东县德圳水库除险加固工程、衡阳市石鼓区黄沙湾街道排渍站扩建工程的施工服务。</w:t>
      </w:r>
    </w:p>
    <w:p>
      <w:pPr>
        <w:pStyle w:val="5"/>
        <w:widowControl/>
        <w:ind w:firstLine="640"/>
        <w:rPr>
          <w:rFonts w:eastAsia="黑体"/>
          <w:sz w:val="32"/>
          <w:szCs w:val="32"/>
        </w:rPr>
      </w:pPr>
      <w:r>
        <w:rPr>
          <w:rFonts w:eastAsia="黑体"/>
          <w:sz w:val="32"/>
          <w:szCs w:val="32"/>
        </w:rPr>
        <w:t>七、存在的问题及原因分析</w:t>
      </w: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综合近几年我院批复预算看，财政核定拨付我院的基本支出经费预算基本围绕保在编人员的人员经费的一半</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从决算情况看，基本支出比重比较大，基本保障面临巨大的压力。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ascii="Times New Roman" w:hAnsi="Times New Roman" w:eastAsia="黑体"/>
          <w:sz w:val="32"/>
          <w:szCs w:val="32"/>
        </w:rPr>
      </w:pPr>
      <w:r>
        <w:rPr>
          <w:rFonts w:hint="eastAsia" w:ascii="仿宋_GB2312" w:hAnsi="仿宋_GB2312" w:eastAsia="仿宋_GB2312" w:cs="仿宋_GB2312"/>
          <w:color w:val="010101"/>
          <w:kern w:val="0"/>
          <w:sz w:val="28"/>
          <w:szCs w:val="28"/>
        </w:rPr>
        <w:t>　</w:t>
      </w:r>
      <w:r>
        <w:rPr>
          <w:rFonts w:hint="eastAsia" w:ascii="Times New Roman" w:hAnsi="Times New Roman" w:eastAsia="黑体"/>
          <w:sz w:val="32"/>
          <w:szCs w:val="32"/>
        </w:rPr>
        <w:t>　</w:t>
      </w:r>
      <w:r>
        <w:rPr>
          <w:rFonts w:hint="eastAsia" w:ascii="Times New Roman" w:hAnsi="Times New Roman" w:eastAsia="黑体"/>
          <w:sz w:val="32"/>
          <w:szCs w:val="32"/>
          <w:lang w:eastAsia="zh-CN"/>
        </w:rPr>
        <w:t>八、</w:t>
      </w:r>
      <w:r>
        <w:rPr>
          <w:rFonts w:ascii="Times New Roman" w:hAnsi="Times New Roman" w:eastAsia="黑体"/>
          <w:sz w:val="32"/>
          <w:szCs w:val="32"/>
        </w:rPr>
        <w:t>下一步改进措施</w:t>
      </w:r>
    </w:p>
    <w:p>
      <w:pPr>
        <w:keepNext w:val="0"/>
        <w:keepLines w:val="0"/>
        <w:pageBreakBefore w:val="0"/>
        <w:widowControl/>
        <w:kinsoku/>
        <w:wordWrap/>
        <w:overflowPunct/>
        <w:topLinePunct w:val="0"/>
        <w:autoSpaceDE/>
        <w:autoSpaceDN/>
        <w:bidi w:val="0"/>
        <w:adjustRightInd/>
        <w:snapToGrid/>
        <w:spacing w:before="157" w:beforeLines="50" w:after="157" w:afterLines="50" w:afterAutospacing="0" w:line="240" w:lineRule="auto"/>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加强预算编制的前瞻性，按照新《预算法》及其实施条例的相关规定，按政策规</w:t>
      </w:r>
      <w:bookmarkStart w:id="0" w:name="_GoBack"/>
      <w:bookmarkEnd w:id="0"/>
      <w:r>
        <w:rPr>
          <w:rFonts w:hint="eastAsia" w:ascii="Times New Roman" w:hAnsi="Times New Roman" w:eastAsia="仿宋_GB2312" w:cs="Times New Roman"/>
          <w:kern w:val="2"/>
          <w:sz w:val="32"/>
          <w:szCs w:val="32"/>
          <w:lang w:val="en-US" w:eastAsia="zh-CN" w:bidi="ar-SA"/>
        </w:rPr>
        <w:t>定及本部门的发展规划，结合上一年度预算执行情况和本年度预算收支变化因素，科学、合理地编制本年预算草案，避免预算支出与实际执行出现较大偏差的情况。</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1120" w:firstLineChars="400"/>
      </w:pPr>
      <w:r>
        <w:rPr>
          <w:rFonts w:hint="eastAsia" w:ascii="仿宋_GB2312" w:hAnsi="仿宋_GB2312" w:eastAsia="仿宋_GB2312" w:cs="仿宋_GB2312"/>
          <w:color w:val="010101"/>
          <w:kern w:val="0"/>
          <w:sz w:val="28"/>
          <w:szCs w:val="28"/>
          <w:lang w:val="en-US" w:eastAsia="zh-CN"/>
        </w:rPr>
        <w:t>无。</w:t>
      </w:r>
    </w:p>
    <w:sectPr>
      <w:pgSz w:w="11906" w:h="16838"/>
      <w:pgMar w:top="1417" w:right="1134"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636D9A"/>
    <w:multiLevelType w:val="singleLevel"/>
    <w:tmpl w:val="56636D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YmM5ZmY1NDY2MzA3YzM1NDY2NzJlYWJjMjcwY2QifQ=="/>
  </w:docVars>
  <w:rsids>
    <w:rsidRoot w:val="00000000"/>
    <w:rsid w:val="01E62E31"/>
    <w:rsid w:val="05B93258"/>
    <w:rsid w:val="0ADC1F30"/>
    <w:rsid w:val="13D96662"/>
    <w:rsid w:val="14B55017"/>
    <w:rsid w:val="1BCD0E68"/>
    <w:rsid w:val="233B1B05"/>
    <w:rsid w:val="240F7F39"/>
    <w:rsid w:val="2E4A3140"/>
    <w:rsid w:val="345D76F2"/>
    <w:rsid w:val="38390E06"/>
    <w:rsid w:val="3B557681"/>
    <w:rsid w:val="3FA77F4E"/>
    <w:rsid w:val="42FE370F"/>
    <w:rsid w:val="445853A4"/>
    <w:rsid w:val="45854B21"/>
    <w:rsid w:val="48891012"/>
    <w:rsid w:val="4EE337C7"/>
    <w:rsid w:val="5AB15BDB"/>
    <w:rsid w:val="5E052AEA"/>
    <w:rsid w:val="5F185A9C"/>
    <w:rsid w:val="5FEB5BB0"/>
    <w:rsid w:val="754F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WPS_1591846392</cp:lastModifiedBy>
  <cp:lastPrinted>2022-04-01T01:36:00Z</cp:lastPrinted>
  <dcterms:modified xsi:type="dcterms:W3CDTF">2023-09-21T08:35:03Z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E7E6C33E13DD468B862DD3497A18B560_13</vt:lpwstr>
  </property>
</Properties>
</file>