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tbl>
      <w:tblPr>
        <w:tblStyle w:val="2"/>
        <w:tblW w:w="999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2"/>
        <w:gridCol w:w="1261"/>
        <w:gridCol w:w="1155"/>
        <w:gridCol w:w="1230"/>
        <w:gridCol w:w="1107"/>
        <w:gridCol w:w="993"/>
        <w:gridCol w:w="85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填报单位： （盖章）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</w:rPr>
              <w:t>2022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项目支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  <w:t>市政设施管理考核以奖代补资金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年初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全年</w:t>
            </w:r>
          </w:p>
          <w:p>
            <w:pPr>
              <w:widowControl/>
              <w:spacing w:line="240" w:lineRule="exact"/>
              <w:ind w:firstLine="210" w:firstLineChars="100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全年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执行率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年度资金总额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其中：当年财政拨款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财政拨款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上年结转资金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年度总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体目标</w:t>
            </w: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市政设施完好率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95%以上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全部完成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产出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考核占比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市政设施完好率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≥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完成时间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2022年12月底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2022年12月底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奖补资金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200万元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200万元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效益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（30分）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经济效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奖补资金分配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200万元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200万元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社会效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对社会发展的促进作用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加强市政设施维护管理考核，营造“比、拼、赶、超”的氛围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生态效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益指标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奖补资金落到实处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提高服务质量，确保奖补资金奖励公平、公正，并确实用到市政设施管理中来。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满意度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指标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eastAsia="zh-CN"/>
              </w:rPr>
              <w:t>处理投诉及领导交办事项满意度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.对上级及“12345”热线交办的任务，出现推诿扯皮、有令不行、有禁不止、敷衍应付、落实不力的，每发现一次扣相应责任单位2分；对交办的任务没有落实，再次交办的，双倍扣分。2.受到市级或市级以上领导批评的，每次扣相应的责任单位2分，通报表扬一次奖2分。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beforeLines="50"/>
      </w:pPr>
      <w:r>
        <w:rPr>
          <w:rFonts w:ascii="Times New Roman" w:hAnsi="Times New Roman" w:eastAsia="仿宋_GB2312"/>
          <w:sz w:val="24"/>
        </w:rPr>
        <w:t>填表人：        填报日期：        联系电话：  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4ZmFhZmUwMzRhNjllZGM3MWZlYWMxNjIyYmQwZGYifQ=="/>
  </w:docVars>
  <w:rsids>
    <w:rsidRoot w:val="16A30569"/>
    <w:rsid w:val="03C150CE"/>
    <w:rsid w:val="16A30569"/>
    <w:rsid w:val="1F4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683</Characters>
  <Lines>0</Lines>
  <Paragraphs>0</Paragraphs>
  <TotalTime>0</TotalTime>
  <ScaleCrop>false</ScaleCrop>
  <LinksUpToDate>false</LinksUpToDate>
  <CharactersWithSpaces>752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2023-03-13T07:44:00Z</dcterms:created>
  <dc:creator></dc:creator>
  <cp:lastModifiedBy>Mr.吴</cp:lastModifiedBy>
  <dcterms:modified xsi:type="dcterms:W3CDTF">2023-03-28T00:51:33Z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17568E35432B4BDA961AEFD39C5D94EB</vt:lpwstr>
  </property>
</Properties>
</file>