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pPr>
        <w:rPr>
          <w:rFonts w:ascii="Times New Roman" w:hAnsi="Times New Roman" w:eastAsia="方正小标宋_GBK"/>
          <w:sz w:val="32"/>
          <w:szCs w:val="32"/>
        </w:rPr>
      </w:pPr>
    </w:p>
    <w:p>
      <w:pPr>
        <w:pStyle w:val="9"/>
        <w:widowControl/>
        <w:ind w:firstLine="640"/>
        <w:rPr>
          <w:rFonts w:eastAsia="黑体"/>
          <w:sz w:val="32"/>
          <w:szCs w:val="32"/>
        </w:rPr>
      </w:pPr>
      <w:r>
        <w:rPr>
          <w:rFonts w:eastAsia="黑体"/>
          <w:sz w:val="32"/>
          <w:szCs w:val="32"/>
        </w:rPr>
        <w:t>一、部门、单位基本情况</w:t>
      </w:r>
    </w:p>
    <w:p>
      <w:pPr>
        <w:pStyle w:val="9"/>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衡阳市住房和城乡建设局为行政单位，执行行政单位会计制度，零基财政预算单位，实行财政国库集中支付，现有</w:t>
      </w:r>
      <w:r>
        <w:rPr>
          <w:rFonts w:hint="eastAsia" w:ascii="仿宋" w:hAnsi="仿宋" w:eastAsia="仿宋" w:cs="仿宋"/>
          <w:color w:val="auto"/>
          <w:sz w:val="32"/>
          <w:szCs w:val="32"/>
        </w:rPr>
        <w:t>在职职工</w:t>
      </w:r>
      <w:r>
        <w:rPr>
          <w:rFonts w:hint="eastAsia" w:ascii="仿宋" w:hAnsi="仿宋" w:eastAsia="仿宋" w:cs="仿宋"/>
          <w:color w:val="auto"/>
          <w:sz w:val="32"/>
          <w:szCs w:val="32"/>
          <w:lang w:val="en-US" w:eastAsia="zh-CN"/>
        </w:rPr>
        <w:t>87</w:t>
      </w:r>
      <w:r>
        <w:rPr>
          <w:rFonts w:hint="eastAsia" w:ascii="仿宋" w:hAnsi="仿宋" w:eastAsia="仿宋" w:cs="仿宋"/>
          <w:color w:val="auto"/>
          <w:sz w:val="32"/>
          <w:szCs w:val="32"/>
        </w:rPr>
        <w:t>人，离退休人员</w:t>
      </w:r>
      <w:r>
        <w:rPr>
          <w:rFonts w:hint="eastAsia" w:ascii="仿宋" w:hAnsi="仿宋" w:eastAsia="仿宋" w:cs="仿宋"/>
          <w:color w:val="auto"/>
          <w:sz w:val="32"/>
          <w:szCs w:val="32"/>
          <w:lang w:val="en-US" w:eastAsia="zh-CN"/>
        </w:rPr>
        <w:t>149</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主要职责概括起来是“三建四业”：“三建”即城乡建设、保障性住房建设、工程建设；“四业”即建筑业、房地产业、勘察设计咨询业、市政公用事业。主要任务是</w:t>
      </w:r>
      <w:r>
        <w:rPr>
          <w:rFonts w:hint="eastAsia" w:ascii="仿宋" w:hAnsi="仿宋" w:eastAsia="仿宋" w:cs="仿宋"/>
          <w:sz w:val="32"/>
          <w:szCs w:val="32"/>
        </w:rPr>
        <w:t>牵头推进新型城市化战略的工作</w:t>
      </w:r>
      <w:r>
        <w:rPr>
          <w:rFonts w:hint="eastAsia" w:ascii="仿宋" w:hAnsi="仿宋" w:eastAsia="仿宋" w:cs="仿宋"/>
          <w:sz w:val="32"/>
          <w:szCs w:val="32"/>
          <w:lang w:eastAsia="zh-CN"/>
        </w:rPr>
        <w:t>，</w:t>
      </w:r>
      <w:r>
        <w:rPr>
          <w:rFonts w:hint="eastAsia" w:ascii="仿宋" w:hAnsi="仿宋" w:eastAsia="仿宋" w:cs="仿宋"/>
          <w:sz w:val="32"/>
          <w:szCs w:val="32"/>
        </w:rPr>
        <w:t>负贯彻执行国家、省有关推进新型城市化、城乡建设、工程建设、建筑业、勘察设计咨询业、市政公用事业的方针政策和法律法规，拟订全市的城市化发展战略、中长期规划及年度计划并组织实施;负责城市公用事业和市政设施建设、维护、运营安全和应急管理;指导县(市)区住房和城乡建设工作。</w:t>
      </w:r>
    </w:p>
    <w:p>
      <w:pPr>
        <w:pStyle w:val="9"/>
        <w:widowControl/>
        <w:ind w:firstLine="640"/>
        <w:rPr>
          <w:rFonts w:eastAsia="黑体"/>
          <w:sz w:val="32"/>
          <w:szCs w:val="32"/>
        </w:rPr>
      </w:pPr>
      <w:r>
        <w:rPr>
          <w:rFonts w:eastAsia="黑体"/>
          <w:sz w:val="32"/>
          <w:szCs w:val="32"/>
        </w:rPr>
        <w:t>二、一般公共预算支出情况</w:t>
      </w:r>
    </w:p>
    <w:p>
      <w:pPr>
        <w:pStyle w:val="9"/>
        <w:widowControl/>
        <w:ind w:firstLine="643"/>
        <w:rPr>
          <w:rFonts w:eastAsia="楷体"/>
          <w:b/>
          <w:sz w:val="32"/>
          <w:szCs w:val="32"/>
        </w:rPr>
      </w:pPr>
      <w:r>
        <w:rPr>
          <w:rFonts w:eastAsia="楷体"/>
          <w:b/>
          <w:sz w:val="32"/>
          <w:szCs w:val="32"/>
        </w:rPr>
        <w:t>（一）基本支出情况</w:t>
      </w:r>
    </w:p>
    <w:p>
      <w:pPr>
        <w:pStyle w:val="9"/>
        <w:widowControl/>
        <w:spacing w:line="600" w:lineRule="exact"/>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支出系保障我局机构正常运转、完成日常工作任务而发生的各项支出，用于在职和离休人员基本工资、津贴补贴等人员经费以及办公费、印刷费、水电费、办公设备购置等日常公用经费。2022年我局基本支出2618.37万元，较上年减少2.79万元，下降0.11%。</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2022年初财政对我局预算批复的总支出为 2774.64万元，预算批复基本支出为1625.76万元，其中工资福利性支出1100.10万元、商品和服务支出310.14万元、对个人和家庭的补助215.52万元。</w:t>
      </w:r>
    </w:p>
    <w:p>
      <w:pPr>
        <w:pStyle w:val="9"/>
        <w:widowControl/>
        <w:ind w:firstLine="643"/>
        <w:rPr>
          <w:rFonts w:eastAsia="楷体"/>
          <w:b/>
          <w:sz w:val="32"/>
          <w:szCs w:val="32"/>
        </w:rPr>
      </w:pPr>
      <w:r>
        <w:rPr>
          <w:rFonts w:hint="eastAsia" w:ascii="仿宋" w:hAnsi="仿宋" w:eastAsia="仿宋" w:cs="仿宋"/>
          <w:color w:val="auto"/>
          <w:kern w:val="2"/>
          <w:sz w:val="32"/>
          <w:szCs w:val="32"/>
          <w:lang w:val="en-US" w:eastAsia="zh-CN" w:bidi="ar-SA"/>
        </w:rPr>
        <w:t>2022年局机关总支出决算数为5226.1万元，其中基本支出决算数为</w:t>
      </w:r>
      <w:r>
        <w:rPr>
          <w:rFonts w:hint="eastAsia" w:ascii="仿宋" w:hAnsi="仿宋" w:eastAsia="仿宋" w:cs="仿宋"/>
          <w:kern w:val="2"/>
          <w:sz w:val="32"/>
          <w:szCs w:val="32"/>
          <w:lang w:val="en-US" w:eastAsia="zh-CN" w:bidi="ar-SA"/>
        </w:rPr>
        <w:t>2618.37</w:t>
      </w:r>
      <w:r>
        <w:rPr>
          <w:rFonts w:hint="eastAsia" w:ascii="仿宋" w:hAnsi="仿宋" w:eastAsia="仿宋" w:cs="仿宋"/>
          <w:color w:val="auto"/>
          <w:kern w:val="2"/>
          <w:sz w:val="32"/>
          <w:szCs w:val="32"/>
          <w:lang w:val="en-US" w:eastAsia="zh-CN" w:bidi="ar-SA"/>
        </w:rPr>
        <w:t>万元，包含工资福利支出1906.93万元；商品和服务支出2283.04万元；对家庭和个人的补助816.01万元；资本性支出220.12万元。年度决算基本支出总额超年初预算批复2451.46万元。</w:t>
      </w:r>
    </w:p>
    <w:p>
      <w:pPr>
        <w:pStyle w:val="9"/>
        <w:widowControl/>
        <w:ind w:firstLine="643"/>
        <w:rPr>
          <w:rFonts w:eastAsia="楷体"/>
          <w:b/>
          <w:sz w:val="32"/>
          <w:szCs w:val="32"/>
        </w:rPr>
      </w:pPr>
      <w:r>
        <w:rPr>
          <w:rFonts w:eastAsia="楷体"/>
          <w:b/>
          <w:sz w:val="32"/>
          <w:szCs w:val="32"/>
        </w:rPr>
        <w:t>（二）项目支出情况</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我单位</w:t>
      </w:r>
      <w:r>
        <w:rPr>
          <w:rFonts w:ascii="Times New Roman" w:hAnsi="Times New Roman" w:eastAsia="仿宋"/>
          <w:sz w:val="32"/>
          <w:szCs w:val="32"/>
        </w:rPr>
        <w:t>202</w:t>
      </w:r>
      <w:r>
        <w:rPr>
          <w:rFonts w:hint="eastAsia" w:ascii="Times New Roman" w:hAnsi="Times New Roman" w:eastAsia="仿宋"/>
          <w:sz w:val="32"/>
          <w:szCs w:val="32"/>
        </w:rPr>
        <w:t>2</w:t>
      </w:r>
      <w:r>
        <w:rPr>
          <w:rFonts w:ascii="Times New Roman" w:hAnsi="Times New Roman" w:eastAsia="仿宋"/>
          <w:sz w:val="32"/>
          <w:szCs w:val="32"/>
        </w:rPr>
        <w:t>年度</w:t>
      </w:r>
      <w:r>
        <w:rPr>
          <w:rFonts w:hint="eastAsia" w:ascii="Times New Roman" w:hAnsi="Times New Roman" w:eastAsia="仿宋"/>
          <w:sz w:val="32"/>
          <w:szCs w:val="32"/>
          <w:lang w:val="en-US" w:eastAsia="zh-CN"/>
        </w:rPr>
        <w:t>无</w:t>
      </w:r>
      <w:r>
        <w:rPr>
          <w:rFonts w:ascii="Times New Roman" w:hAnsi="Times New Roman" w:eastAsia="仿宋"/>
          <w:sz w:val="32"/>
          <w:szCs w:val="32"/>
        </w:rPr>
        <w:t>专项资金安排和使用管理情况。</w:t>
      </w:r>
    </w:p>
    <w:p>
      <w:pPr>
        <w:widowControl/>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其他项目支出情况</w:t>
      </w:r>
      <w:r>
        <w:rPr>
          <w:rFonts w:hint="eastAsia" w:ascii="Times New Roman" w:hAnsi="Times New Roman" w:eastAsia="仿宋"/>
          <w:sz w:val="32"/>
          <w:szCs w:val="32"/>
          <w:lang w:eastAsia="zh-CN"/>
        </w:rPr>
        <w:t>：</w:t>
      </w:r>
    </w:p>
    <w:p>
      <w:pPr>
        <w:widowControl/>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2022年度局机关项目支出2607.74万元，其中驻市住建局纪检组工作经费8.04万元，房屋维修资金7.68万元，民兵训练基地建设工程项目款50.55万元，职业年金记实15.28万元，军转干部工资163.88万元，公益性岗位军退人员补贴14.7万元，抚恤金86.71万元，行政性收费执收成本11.5万元，2021年度在职人员绩效奖11.42万元，经营性资产管理购买服务佣6.53万元，房屋安全鉴定工作经费4.58万元，行政诉讼复议工作经1.5万元，征收管理工作经12万元，历史文化名城启动资金34.43万元，自建房安全隐患排查整治工作经费48.1万元，其它资金三29.45万元，其它资金2万元，蒸阳北路延伸工程绿化工程62.3万元，市本级房屋建筑和市政设施普查项目经费67.2万元，历史文化名城启动资0.76万元，信息中心运转经费72万元，施工图审查服务费用（城建）599.72万元，恒丰路前期费用55.5万元，市政桥梁检测经200万元，建设路工程款98万元，蒸水南堤综合改造项目遗留问题118.59万元，湘江公铁大桥检测经40.95万元，常运路工程项目前期费用3万元，蒸阳北路工程三标段诉讼代理63万元，施工图审查项目费用199.31万元，建设路工程一194.92万元，蔡伦大道监理费17.8万元，建设路工程款二140万元，酃湖大道前期费用14.66万元，角山污水处理厂配套管网、拥军路监理费一27万元，一厂一策方案编制27万元，2022年资金缺口197.69万元。</w:t>
      </w:r>
    </w:p>
    <w:p>
      <w:pPr>
        <w:pStyle w:val="9"/>
        <w:widowControl/>
        <w:ind w:firstLine="640"/>
        <w:rPr>
          <w:rFonts w:eastAsia="黑体"/>
          <w:sz w:val="32"/>
          <w:szCs w:val="32"/>
        </w:rPr>
      </w:pPr>
      <w:r>
        <w:rPr>
          <w:rFonts w:eastAsia="黑体"/>
          <w:sz w:val="32"/>
          <w:szCs w:val="32"/>
        </w:rPr>
        <w:t>三、政府性基金预算支出情况</w:t>
      </w:r>
    </w:p>
    <w:p>
      <w:pPr>
        <w:pStyle w:val="9"/>
        <w:widowControl/>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pStyle w:val="9"/>
        <w:widowControl/>
        <w:ind w:firstLine="640"/>
        <w:rPr>
          <w:rFonts w:eastAsia="黑体"/>
          <w:sz w:val="32"/>
          <w:szCs w:val="32"/>
        </w:rPr>
      </w:pPr>
      <w:r>
        <w:rPr>
          <w:rFonts w:eastAsia="黑体"/>
          <w:sz w:val="32"/>
          <w:szCs w:val="32"/>
        </w:rPr>
        <w:t>四、国有资本经营预算支出情况</w:t>
      </w:r>
    </w:p>
    <w:p>
      <w:pPr>
        <w:pStyle w:val="9"/>
        <w:widowControl/>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pStyle w:val="9"/>
        <w:widowControl/>
        <w:ind w:firstLine="640"/>
        <w:rPr>
          <w:rFonts w:eastAsia="黑体"/>
          <w:sz w:val="32"/>
          <w:szCs w:val="32"/>
        </w:rPr>
      </w:pPr>
      <w:r>
        <w:rPr>
          <w:rFonts w:eastAsia="黑体"/>
          <w:sz w:val="32"/>
          <w:szCs w:val="32"/>
        </w:rPr>
        <w:t>五、社会保险基金预算支出情况</w:t>
      </w:r>
    </w:p>
    <w:p>
      <w:pPr>
        <w:pStyle w:val="9"/>
        <w:widowControl/>
        <w:ind w:firstLine="64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各部门根据市委、市政府年度工作计划及工作重点、立法工作计划和监督工作计划的要求，通过住建系统共同努力，认真履行职责，较好地完成了年初确定的各项工作任务，推进住房及城镇建设事业各项工作进展，取得了较好的成绩，为全市经济社会发展作出了积极贡献。根据《部门整体支出绩效评价指标》自评分</w:t>
      </w:r>
      <w:r>
        <w:rPr>
          <w:rFonts w:hint="eastAsia" w:ascii="仿宋" w:hAnsi="仿宋" w:eastAsia="仿宋" w:cs="仿宋"/>
          <w:color w:val="auto"/>
          <w:sz w:val="32"/>
          <w:szCs w:val="32"/>
          <w:highlight w:val="none"/>
          <w:lang w:val="en-US" w:eastAsia="zh-CN"/>
        </w:rPr>
        <w:t>99</w:t>
      </w:r>
      <w:r>
        <w:rPr>
          <w:rFonts w:hint="eastAsia" w:ascii="仿宋" w:hAnsi="仿宋" w:eastAsia="仿宋" w:cs="仿宋"/>
          <w:color w:val="auto"/>
          <w:sz w:val="32"/>
          <w:szCs w:val="32"/>
          <w:lang w:val="en-US" w:eastAsia="zh-CN"/>
        </w:rPr>
        <w:t>分（详见附件3）。主要绩效如下：</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目标完成情况：通过预算执行，保障局机关在职人员87人、离退休人员149人正常办公、生活秩序。重点围绕全市城乡建设、工程建设、建筑业、市政设施建设、维护、运营安全和应急管理开展各项工作，为衡阳市城市建设保驾护航。</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出情况：保障住建局局机关在职人员87人、离退休人员149人正常办公、生活秩序。基本满足在职人员和离退休的正常办公、生活要求。在2022年度完成各项资金支出进度要求，保障住建局各项工作顺利开展，工资薪金按时发放。总成本控制在</w:t>
      </w:r>
      <w:r>
        <w:rPr>
          <w:rFonts w:hint="eastAsia" w:ascii="仿宋" w:hAnsi="仿宋" w:eastAsia="仿宋" w:cs="仿宋"/>
          <w:color w:val="auto"/>
          <w:kern w:val="2"/>
          <w:sz w:val="32"/>
          <w:szCs w:val="32"/>
          <w:lang w:val="en-US" w:eastAsia="zh-CN" w:bidi="ar-SA"/>
        </w:rPr>
        <w:t>5226.1</w:t>
      </w:r>
      <w:r>
        <w:rPr>
          <w:rFonts w:hint="eastAsia" w:ascii="仿宋" w:hAnsi="仿宋" w:eastAsia="仿宋" w:cs="仿宋"/>
          <w:color w:val="auto"/>
          <w:sz w:val="32"/>
          <w:szCs w:val="32"/>
          <w:lang w:val="en-US" w:eastAsia="zh-CN"/>
        </w:rPr>
        <w:t>万元，其中</w:t>
      </w:r>
      <w:r>
        <w:rPr>
          <w:rFonts w:hint="eastAsia" w:ascii="仿宋" w:hAnsi="仿宋" w:eastAsia="仿宋" w:cs="仿宋"/>
          <w:color w:val="auto"/>
          <w:kern w:val="2"/>
          <w:sz w:val="32"/>
          <w:szCs w:val="32"/>
          <w:lang w:val="en-US" w:eastAsia="zh-CN" w:bidi="ar-SA"/>
        </w:rPr>
        <w:t>工资福利支出1906.93万元，商品和服务支出2283.04万元，对家庭和个人的补助816.01万元，资本性支出220.12万元，</w:t>
      </w:r>
      <w:r>
        <w:rPr>
          <w:rFonts w:hint="eastAsia" w:ascii="仿宋" w:hAnsi="仿宋" w:eastAsia="仿宋" w:cs="仿宋"/>
          <w:color w:val="auto"/>
          <w:sz w:val="32"/>
          <w:szCs w:val="32"/>
          <w:lang w:val="en-US" w:eastAsia="zh-CN"/>
        </w:rPr>
        <w:t>项目支出</w:t>
      </w:r>
      <w:r>
        <w:rPr>
          <w:rFonts w:hint="eastAsia" w:ascii="Times New Roman" w:hAnsi="Times New Roman" w:eastAsia="仿宋" w:cs="Times New Roman"/>
          <w:sz w:val="32"/>
          <w:szCs w:val="32"/>
          <w:lang w:val="en-US" w:eastAsia="zh-CN"/>
        </w:rPr>
        <w:t>2607.74</w:t>
      </w:r>
      <w:r>
        <w:rPr>
          <w:rFonts w:hint="eastAsia" w:ascii="仿宋" w:hAnsi="仿宋" w:eastAsia="仿宋" w:cs="仿宋"/>
          <w:color w:val="auto"/>
          <w:sz w:val="32"/>
          <w:szCs w:val="32"/>
          <w:lang w:val="en-US" w:eastAsia="zh-CN"/>
        </w:rPr>
        <w:t>万元。</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效益情况：</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经济效益：通过厉行节约，努力减少各项支出，确保财政资金的正确使用。</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社会效益：通过项目实施，切实保障重点项目建设、农村危房改造，公租房维护及管理，市政设施建设与维护，保障城市建设各项工作进展顺利。</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环境效益：通过项目实施，减少污水排放、建筑工地噪音及建筑垃圾管理，减少环境污染，提高环境质量。</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可持续影响：体现政策导向，发挥住建局专业优势，带动住建局各项工作的可持续发展。</w:t>
      </w:r>
    </w:p>
    <w:p>
      <w:pPr>
        <w:pStyle w:val="9"/>
        <w:widowControl/>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5、服务对象满意度：通过项目实施，力争衡阳市人民对住建局实施的项目满意度达到较好水平。</w:t>
      </w:r>
    </w:p>
    <w:p>
      <w:pPr>
        <w:pStyle w:val="9"/>
        <w:widowControl/>
        <w:ind w:firstLine="640"/>
        <w:rPr>
          <w:rFonts w:eastAsia="黑体"/>
          <w:sz w:val="32"/>
          <w:szCs w:val="32"/>
        </w:rPr>
      </w:pPr>
      <w:r>
        <w:rPr>
          <w:rFonts w:eastAsia="黑体"/>
          <w:sz w:val="32"/>
          <w:szCs w:val="32"/>
        </w:rPr>
        <w:t>七、存在的问题及原因分析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基本</w:t>
      </w:r>
      <w:r>
        <w:rPr>
          <w:rFonts w:hint="eastAsia" w:ascii="仿宋" w:hAnsi="仿宋" w:eastAsia="仿宋"/>
          <w:sz w:val="32"/>
          <w:szCs w:val="32"/>
        </w:rPr>
        <w:t>支出财政经费保障水平偏低。</w:t>
      </w:r>
    </w:p>
    <w:p>
      <w:pPr>
        <w:widowControl/>
        <w:ind w:firstLine="640" w:firstLineChars="200"/>
        <w:rPr>
          <w:rFonts w:eastAsia="黑体"/>
          <w:sz w:val="32"/>
          <w:szCs w:val="32"/>
        </w:rPr>
      </w:pPr>
      <w:r>
        <w:rPr>
          <w:rFonts w:hint="eastAsia" w:ascii="仿宋" w:hAnsi="仿宋" w:eastAsia="仿宋"/>
          <w:sz w:val="32"/>
          <w:szCs w:val="32"/>
        </w:rPr>
        <w:t>我局属财政零基预算单位，经费来源全部依靠财政全额拨款，综合近几年我局批复预算看，财政安排的</w:t>
      </w:r>
      <w:r>
        <w:rPr>
          <w:rFonts w:hint="eastAsia" w:ascii="仿宋" w:hAnsi="仿宋" w:eastAsia="仿宋"/>
          <w:sz w:val="32"/>
          <w:szCs w:val="32"/>
          <w:lang w:eastAsia="zh-CN"/>
        </w:rPr>
        <w:t>基本</w:t>
      </w:r>
      <w:r>
        <w:rPr>
          <w:rFonts w:hint="eastAsia" w:ascii="仿宋" w:hAnsi="仿宋" w:eastAsia="仿宋"/>
          <w:sz w:val="32"/>
          <w:szCs w:val="32"/>
        </w:rPr>
        <w:t>支出只有</w:t>
      </w:r>
      <w:r>
        <w:rPr>
          <w:rFonts w:hint="eastAsia" w:ascii="仿宋" w:hAnsi="仿宋" w:eastAsia="仿宋"/>
          <w:color w:val="auto"/>
          <w:sz w:val="32"/>
          <w:szCs w:val="32"/>
          <w:lang w:val="en-US" w:eastAsia="zh-CN"/>
        </w:rPr>
        <w:t>1625.76</w:t>
      </w:r>
      <w:r>
        <w:rPr>
          <w:rFonts w:hint="eastAsia" w:ascii="仿宋" w:hAnsi="仿宋" w:eastAsia="仿宋"/>
          <w:color w:val="auto"/>
          <w:sz w:val="32"/>
          <w:szCs w:val="32"/>
        </w:rPr>
        <w:t>万，而20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年实际发生了</w:t>
      </w:r>
      <w:r>
        <w:rPr>
          <w:rFonts w:hint="eastAsia" w:ascii="仿宋" w:hAnsi="仿宋" w:eastAsia="仿宋" w:cs="仿宋"/>
          <w:kern w:val="2"/>
          <w:sz w:val="32"/>
          <w:szCs w:val="32"/>
          <w:lang w:val="en-US" w:eastAsia="zh-CN" w:bidi="ar-SA"/>
        </w:rPr>
        <w:t>2618.37</w:t>
      </w:r>
      <w:r>
        <w:rPr>
          <w:rFonts w:hint="eastAsia" w:ascii="仿宋" w:hAnsi="仿宋" w:eastAsia="仿宋"/>
          <w:color w:val="auto"/>
          <w:sz w:val="32"/>
          <w:szCs w:val="32"/>
        </w:rPr>
        <w:t>万</w:t>
      </w:r>
      <w:r>
        <w:rPr>
          <w:rFonts w:hint="eastAsia" w:ascii="仿宋" w:hAnsi="仿宋" w:eastAsia="仿宋"/>
          <w:sz w:val="32"/>
          <w:szCs w:val="32"/>
        </w:rPr>
        <w:t>元，往年财政从我局收取的城市基础设施配套费中安排一部分经费弥补我局工作经费不足，而2016年、2017</w:t>
      </w:r>
      <w:r>
        <w:rPr>
          <w:rFonts w:hint="eastAsia" w:ascii="仿宋" w:hAnsi="仿宋" w:eastAsia="仿宋"/>
          <w:sz w:val="32"/>
          <w:szCs w:val="32"/>
          <w:lang w:eastAsia="zh-CN"/>
        </w:rPr>
        <w:t>、</w:t>
      </w:r>
      <w:r>
        <w:rPr>
          <w:rFonts w:hint="eastAsia" w:ascii="仿宋" w:hAnsi="仿宋" w:eastAsia="仿宋"/>
          <w:sz w:val="32"/>
          <w:szCs w:val="32"/>
          <w:lang w:val="en-US" w:eastAsia="zh-CN"/>
        </w:rPr>
        <w:t>2018、2019、2020、2021、2022</w:t>
      </w:r>
      <w:r>
        <w:rPr>
          <w:rFonts w:hint="eastAsia" w:ascii="仿宋" w:hAnsi="仿宋" w:eastAsia="仿宋"/>
          <w:sz w:val="32"/>
          <w:szCs w:val="32"/>
        </w:rPr>
        <w:t>年财政未予安排，以致于我局工作开展较为困难。</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pPr>
        <w:widowControl/>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）科学合理编制预算，严格执行预算</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进一步加强局内部各科室各部门的预算管理意识，严格按照预算编制的相关制度和要求，公用经费根据单位的年度工作重点和项目专项工作规划，本着“勤俭节约、保障运转”的原则做好预算编制工作；编制范围尽可能全面、不漏项目；进一步提高预算编制的科学性、合理性、严谨性。尽量避免预算支出与实际执行出现较大偏差的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）完善管理制度，进一步加强资产管理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进一步贯彻落实中央“八项规定</w:t>
      </w:r>
      <w:r>
        <w:rPr>
          <w:rFonts w:ascii="仿宋" w:hAnsi="仿宋" w:eastAsia="仿宋"/>
          <w:sz w:val="32"/>
          <w:szCs w:val="32"/>
        </w:rPr>
        <w:t>”</w:t>
      </w:r>
      <w:r>
        <w:rPr>
          <w:rFonts w:hint="eastAsia" w:ascii="仿宋" w:hAnsi="仿宋" w:eastAsia="仿宋"/>
          <w:sz w:val="32"/>
          <w:szCs w:val="32"/>
        </w:rPr>
        <w:t>和湖南省委“九条规定”及衡阳市委“十条规定”，建立本部门公务支出管理制度及厉行节约制度，加强经费审批和控制，规范支出标准与范围，并严格执行。严格按照《固定资产管理办法》的规定加强固定资产管理，及时登记,加强资产卡片管理，及时输入衡阳市资产动态管理系统,确保</w:t>
      </w:r>
      <w:r>
        <w:rPr>
          <w:rFonts w:hint="eastAsia" w:ascii="仿宋" w:hAnsi="仿宋" w:eastAsia="仿宋"/>
          <w:sz w:val="32"/>
          <w:szCs w:val="32"/>
          <w:lang w:eastAsia="zh-CN"/>
        </w:rPr>
        <w:t>账账</w:t>
      </w:r>
      <w:r>
        <w:rPr>
          <w:rFonts w:hint="eastAsia" w:ascii="仿宋" w:hAnsi="仿宋" w:eastAsia="仿宋"/>
          <w:sz w:val="32"/>
          <w:szCs w:val="32"/>
        </w:rPr>
        <w:t>、</w:t>
      </w:r>
      <w:r>
        <w:rPr>
          <w:rFonts w:hint="eastAsia" w:ascii="仿宋" w:hAnsi="仿宋" w:eastAsia="仿宋"/>
          <w:sz w:val="32"/>
          <w:szCs w:val="32"/>
          <w:lang w:eastAsia="zh-CN"/>
        </w:rPr>
        <w:t>账</w:t>
      </w:r>
      <w:r>
        <w:rPr>
          <w:rFonts w:hint="eastAsia" w:ascii="仿宋" w:hAnsi="仿宋" w:eastAsia="仿宋"/>
          <w:sz w:val="32"/>
          <w:szCs w:val="32"/>
        </w:rPr>
        <w:t>实相符。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加强会计核算基础工作</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pPr>
      <w:r>
        <w:rPr>
          <w:rFonts w:hint="eastAsia" w:ascii="仿宋" w:hAnsi="仿宋" w:eastAsia="仿宋"/>
          <w:sz w:val="32"/>
          <w:szCs w:val="32"/>
        </w:rPr>
        <w:t>进一步建立、健全各项会计核算和内控制度，强化会计监督职能和审核责任；加强对财务人员的业务培训和继续教育工作，提高财会人员的整体执业水平。</w:t>
      </w:r>
    </w:p>
    <w:p>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无。</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ind w:firstLine="640" w:firstLineChars="200"/>
        <w:rPr>
          <w:rFonts w:ascii="黑体" w:hAnsi="黑体" w:eastAsia="黑体" w:cs="黑体"/>
          <w:kern w:val="0"/>
          <w:sz w:val="32"/>
          <w:szCs w:val="32"/>
        </w:rPr>
      </w:pPr>
      <w:r>
        <w:rPr>
          <w:rFonts w:ascii="Times New Roman" w:hAnsi="Times New Roman" w:eastAsia="仿宋_GB2312"/>
          <w:sz w:val="32"/>
          <w:szCs w:val="32"/>
        </w:rPr>
        <w:t>3.项目支出绩效自评表</w:t>
      </w: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6"/>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82</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87</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1.06</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tblPrEx>
          <w:tblCellMar>
            <w:top w:w="0" w:type="dxa"/>
            <w:left w:w="108" w:type="dxa"/>
            <w:bottom w:w="0" w:type="dxa"/>
            <w:right w:w="108" w:type="dxa"/>
          </w:tblCellMar>
        </w:tblPrEx>
        <w:trPr>
          <w:trHeight w:val="44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cs="Times New Roman"/>
                <w:kern w:val="0"/>
                <w:szCs w:val="21"/>
                <w:lang w:val="en-US" w:eastAsia="zh-CN"/>
              </w:rPr>
              <w:t>26211536.71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16257600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26183680.54</w:t>
            </w: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kern w:val="0"/>
                <w:szCs w:val="21"/>
                <w:lang w:val="en-US"/>
              </w:rPr>
            </w:pPr>
            <w:r>
              <w:rPr>
                <w:rFonts w:hint="eastAsia" w:ascii="Times New Roman" w:hAnsi="Times New Roman" w:cs="Times New Roman"/>
                <w:kern w:val="0"/>
                <w:szCs w:val="21"/>
                <w:lang w:val="en-US" w:eastAsia="zh-CN"/>
              </w:rPr>
              <w:t>3538155.18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2162000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2551918.52</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2860930.17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1665000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2059730.48</w:t>
            </w:r>
          </w:p>
        </w:tc>
      </w:tr>
      <w:tr>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453803.84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257000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306869.81</w:t>
            </w:r>
          </w:p>
        </w:tc>
      </w:tr>
      <w:tr>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53469.87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13579.5</w:t>
            </w:r>
          </w:p>
        </w:tc>
      </w:tr>
      <w:tr>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169951.3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210000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171738.73</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158522.3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160000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159904.73</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158522.3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159904.73</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11429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50000</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11834</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eastAsia="Times New Roman"/>
                <w:kern w:val="0"/>
                <w:szCs w:val="21"/>
              </w:rPr>
              <w:t>18467095.38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11488800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26077367.30</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eastAsia="Times New Roman"/>
                <w:kern w:val="0"/>
                <w:szCs w:val="21"/>
                <w:lang w:val="en-US"/>
              </w:rPr>
            </w:pPr>
            <w:r>
              <w:rPr>
                <w:rFonts w:hint="eastAsia" w:ascii="Times New Roman" w:hAnsi="Times New Roman"/>
                <w:kern w:val="0"/>
                <w:szCs w:val="21"/>
                <w:lang w:eastAsia="zh-CN"/>
              </w:rPr>
              <w:t>施工图审查</w:t>
            </w:r>
            <w:r>
              <w:rPr>
                <w:rFonts w:hint="eastAsia" w:ascii="Times New Roman" w:hAnsi="Times New Roman"/>
                <w:kern w:val="0"/>
                <w:szCs w:val="21"/>
                <w:lang w:val="en-US" w:eastAsia="zh-CN"/>
              </w:rPr>
              <w:t>服务费用（城建）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8706605.66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8000000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7990226</w:t>
            </w:r>
          </w:p>
        </w:tc>
      </w:tr>
      <w:tr>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eastAsia="Times New Roman"/>
                <w:kern w:val="0"/>
                <w:szCs w:val="21"/>
              </w:rPr>
            </w:pPr>
            <w:r>
              <w:rPr>
                <w:rFonts w:hint="eastAsia" w:ascii="Times New Roman" w:hAnsi="Times New Roman"/>
                <w:kern w:val="0"/>
                <w:szCs w:val="21"/>
                <w:lang w:eastAsia="zh-CN"/>
              </w:rPr>
              <w:t>市政设施管理考核以奖代补资金（城建）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2000000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排水防涝项目前期工作经费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262000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lang w:eastAsia="zh-CN"/>
              </w:rPr>
              <w:t>防雷检测费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117451.15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农村危房改造资金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52680.89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民兵训练基地建设工程款</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2012821.68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505540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直管公房赔偿款</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160700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房屋建筑和市政设施普查费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100000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邓小伟养老、医疗</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91355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常运路前期费用</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451224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诉讼判决相关费用</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790000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一厂一策方案编制费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373000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湘江公铁大桥</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409500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409500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地下管线普查工程</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3695907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王家凤直管公房拆迁安置费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178750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农村住房设计通用图集编制</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412500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eastAsia="zh-CN"/>
              </w:rPr>
              <w:t>黑臭水体治理专项经费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4600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房屋安全鉴定工作经费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45,835.37</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行政诉讼复议工作经费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15,000.00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信息中心运转经费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rPr>
            </w:pPr>
            <w:r>
              <w:rPr>
                <w:rFonts w:hint="eastAsia" w:ascii="Times New Roman" w:hAnsi="Times New Roman"/>
                <w:kern w:val="0"/>
                <w:szCs w:val="21"/>
                <w:lang w:val="en-US" w:eastAsia="zh-CN"/>
              </w:rPr>
              <w:t>648000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720000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720000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征收管理工作经费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val="en-US" w:eastAsia="zh-CN"/>
              </w:rPr>
              <w:t>120,000.00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驻市住建局纪检组工作经费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208800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80,351.54</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lang w:val="en-US" w:eastAsia="zh-CN"/>
              </w:rPr>
            </w:pPr>
            <w:r>
              <w:rPr>
                <w:rFonts w:hint="eastAsia" w:ascii="Times New Roman" w:hAnsi="Times New Roman"/>
                <w:kern w:val="0"/>
                <w:szCs w:val="21"/>
                <w:lang w:val="en-US" w:eastAsia="zh-CN"/>
              </w:rPr>
              <w:t>房屋维修资金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76800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lang w:val="en-US" w:eastAsia="zh-CN"/>
              </w:rPr>
            </w:pPr>
            <w:r>
              <w:rPr>
                <w:rFonts w:hint="eastAsia" w:ascii="Times New Roman" w:hAnsi="Times New Roman"/>
                <w:kern w:val="0"/>
                <w:szCs w:val="21"/>
                <w:lang w:val="en-US" w:eastAsia="zh-CN"/>
              </w:rPr>
              <w:t>职业年金记实</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152790.03</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lang w:val="en-US" w:eastAsia="zh-CN"/>
              </w:rPr>
            </w:pPr>
            <w:r>
              <w:rPr>
                <w:rFonts w:hint="eastAsia" w:ascii="Times New Roman" w:hAnsi="Times New Roman"/>
                <w:kern w:val="0"/>
                <w:szCs w:val="21"/>
                <w:lang w:val="en-US" w:eastAsia="zh-CN"/>
              </w:rPr>
              <w:t>军转干部工资1</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638778</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lang w:val="en-US" w:eastAsia="zh-CN"/>
              </w:rPr>
            </w:pPr>
            <w:r>
              <w:rPr>
                <w:rFonts w:hint="eastAsia" w:ascii="Times New Roman" w:hAnsi="Times New Roman"/>
                <w:kern w:val="0"/>
                <w:szCs w:val="21"/>
                <w:lang w:val="en-US" w:eastAsia="zh-CN"/>
              </w:rPr>
              <w:t>公益性岗位军退人员补贴</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147028</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抚恤金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867064</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行政性收费执收成本</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115000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2021年度在职人员绩效奖</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114157.32</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经营性资产管理购买服务佣金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65324.09</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历史文化名城启动资金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351867.8</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自建房安全隐患排查整治工作经费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481045.84</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其它资金3</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294473.75</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其它资金</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蒸阳北路延伸工程绿化工程款</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623000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市本级房屋建筑和市政设施普查项目经费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672000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恒丰路前期费用</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555000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市政桥梁检测经费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2000000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建设路工程款</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980000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kern w:val="0"/>
                <w:szCs w:val="21"/>
              </w:rPr>
            </w:pPr>
            <w:r>
              <w:rPr>
                <w:rFonts w:hint="eastAsia" w:ascii="Times New Roman" w:hAnsi="Times New Roman"/>
                <w:kern w:val="0"/>
                <w:szCs w:val="21"/>
              </w:rPr>
              <w:t>蒸水南堤综合改造项目遗留问题</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1185946.1</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蒸阳北路工程三标段诉讼代理费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630000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建设路工程款1</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tabs>
                <w:tab w:val="left" w:pos="240"/>
              </w:tabs>
              <w:jc w:val="center"/>
              <w:rPr>
                <w:rFonts w:hint="eastAsia" w:ascii="Times New Roman" w:hAnsi="Times New Roman" w:eastAsia="宋体"/>
                <w:kern w:val="0"/>
                <w:szCs w:val="21"/>
                <w:lang w:eastAsia="zh-CN"/>
              </w:rPr>
            </w:pPr>
            <w:r>
              <w:rPr>
                <w:rFonts w:hint="eastAsia" w:ascii="Times New Roman" w:hAnsi="Times New Roman"/>
                <w:kern w:val="0"/>
                <w:szCs w:val="21"/>
                <w:lang w:eastAsia="zh-CN"/>
              </w:rPr>
              <w:t>1949191</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蔡伦大道监理费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178000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建设路工程款2</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1400000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酃湖大道前期费用</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146568</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角山污水处理厂配套管网、拥军路监理费1</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270000</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hint="eastAsia" w:ascii="Times New Roman" w:hAnsi="Times New Roman"/>
                <w:kern w:val="0"/>
                <w:szCs w:val="21"/>
              </w:rPr>
            </w:pPr>
            <w:r>
              <w:rPr>
                <w:rFonts w:hint="eastAsia" w:ascii="Times New Roman" w:hAnsi="Times New Roman"/>
                <w:kern w:val="0"/>
                <w:szCs w:val="21"/>
              </w:rPr>
              <w:t>2022年资金缺口</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r>
              <w:rPr>
                <w:rFonts w:hint="eastAsia" w:ascii="Times New Roman" w:hAnsi="Times New Roman"/>
                <w:kern w:val="0"/>
                <w:szCs w:val="21"/>
              </w:rPr>
              <w:t>1976880.46</w:t>
            </w: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eastAsia="zh-CN"/>
              </w:rPr>
            </w:pPr>
            <w:r>
              <w:rPr>
                <w:rFonts w:hint="eastAsia" w:ascii="Times New Roman" w:hAnsi="Times New Roman"/>
                <w:kern w:val="0"/>
                <w:szCs w:val="21"/>
              </w:rPr>
              <w:t>压减一般性支出</w:t>
            </w:r>
            <w:r>
              <w:rPr>
                <w:rFonts w:hint="eastAsia" w:ascii="Times New Roman" w:hAnsi="Times New Roman"/>
                <w:kern w:val="0"/>
                <w:szCs w:val="21"/>
                <w:lang w:eastAsia="zh-CN"/>
              </w:rPr>
              <w:t>，</w:t>
            </w:r>
            <w:r>
              <w:rPr>
                <w:rFonts w:hint="eastAsia" w:ascii="Times New Roman" w:hAnsi="Times New Roman"/>
                <w:kern w:val="0"/>
                <w:szCs w:val="21"/>
              </w:rPr>
              <w:t>有序处置闲置资产资源</w:t>
            </w:r>
            <w:r>
              <w:rPr>
                <w:rFonts w:ascii="Times New Roman" w:hAnsi="Times New Roman"/>
                <w:kern w:val="0"/>
                <w:szCs w:val="21"/>
              </w:rPr>
              <w:t>　</w:t>
            </w:r>
            <w:r>
              <w:rPr>
                <w:rFonts w:hint="eastAsia" w:ascii="Times New Roman" w:hAnsi="Times New Roman"/>
                <w:kern w:val="0"/>
                <w:szCs w:val="21"/>
                <w:lang w:eastAsia="zh-CN"/>
              </w:rPr>
              <w:t>。</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朱亚君</w:t>
      </w:r>
      <w:r>
        <w:rPr>
          <w:rFonts w:ascii="Times New Roman" w:hAnsi="Times New Roman" w:eastAsia="仿宋_GB2312"/>
          <w:sz w:val="24"/>
        </w:rPr>
        <w:t xml:space="preserve">   填报日期：      联系电话：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附件3</w:t>
      </w:r>
    </w:p>
    <w:tbl>
      <w:tblPr>
        <w:tblStyle w:val="6"/>
        <w:tblW w:w="9999" w:type="dxa"/>
        <w:jc w:val="center"/>
        <w:tblLayout w:type="fixed"/>
        <w:tblCellMar>
          <w:top w:w="0" w:type="dxa"/>
          <w:left w:w="108" w:type="dxa"/>
          <w:bottom w:w="0" w:type="dxa"/>
          <w:right w:w="108" w:type="dxa"/>
        </w:tblCellMar>
      </w:tblPr>
      <w:tblGrid>
        <w:gridCol w:w="1363"/>
        <w:gridCol w:w="1020"/>
        <w:gridCol w:w="1110"/>
        <w:gridCol w:w="1125"/>
        <w:gridCol w:w="1500"/>
        <w:gridCol w:w="885"/>
        <w:gridCol w:w="615"/>
        <w:gridCol w:w="555"/>
        <w:gridCol w:w="555"/>
        <w:gridCol w:w="300"/>
        <w:gridCol w:w="971"/>
      </w:tblGrid>
      <w:tr>
        <w:tblPrEx>
          <w:tblCellMar>
            <w:top w:w="0" w:type="dxa"/>
            <w:left w:w="108" w:type="dxa"/>
            <w:bottom w:w="0" w:type="dxa"/>
            <w:right w:w="108" w:type="dxa"/>
          </w:tblCellMar>
        </w:tblPrEx>
        <w:trPr>
          <w:trHeight w:val="549" w:hRule="atLeast"/>
          <w:jc w:val="center"/>
        </w:trPr>
        <w:tc>
          <w:tcPr>
            <w:tcW w:w="9999" w:type="dxa"/>
            <w:gridSpan w:val="11"/>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1"/>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衡阳市住房和城乡建设局</w:t>
            </w:r>
            <w:r>
              <w:rPr>
                <w:rFonts w:ascii="Times New Roman" w:hAnsi="Times New Roman" w:eastAsia="仿宋_GB2312"/>
                <w:color w:val="000000"/>
                <w:kern w:val="0"/>
                <w:szCs w:val="21"/>
              </w:rPr>
              <w:t>　</w:t>
            </w:r>
          </w:p>
        </w:tc>
        <w:tc>
          <w:tcPr>
            <w:tcW w:w="88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1170" w:type="dxa"/>
            <w:gridSpan w:val="2"/>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2774.64</w:t>
            </w:r>
          </w:p>
        </w:tc>
        <w:tc>
          <w:tcPr>
            <w:tcW w:w="885"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5226.1</w:t>
            </w:r>
          </w:p>
        </w:tc>
        <w:tc>
          <w:tcPr>
            <w:tcW w:w="117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1.88</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388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2461.63</w:t>
            </w:r>
          </w:p>
        </w:tc>
        <w:tc>
          <w:tcPr>
            <w:tcW w:w="388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2618.37</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lang w:val="en-US" w:eastAsia="zh-CN"/>
              </w:rPr>
              <w:t>0</w:t>
            </w:r>
          </w:p>
        </w:tc>
        <w:tc>
          <w:tcPr>
            <w:tcW w:w="388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2607.74</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388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3881"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仿宋" w:hAnsi="仿宋" w:eastAsia="仿宋" w:cs="仿宋"/>
                <w:sz w:val="24"/>
                <w:szCs w:val="24"/>
                <w:lang w:eastAsia="zh-CN"/>
              </w:rPr>
              <w:t>主要职责概括起来是“三建四业”：“三建”即城乡建设、保障性住房建设、工程建设；“四业”即建筑业、房地产业、勘察设计咨询业、市政公用事业。</w:t>
            </w: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sz w:val="24"/>
                <w:szCs w:val="24"/>
                <w:lang w:val="en-US" w:eastAsia="zh-CN"/>
              </w:rPr>
            </w:pPr>
            <w:r>
              <w:rPr>
                <w:rFonts w:hint="default" w:ascii="仿宋" w:hAnsi="仿宋" w:eastAsia="仿宋" w:cs="仿宋"/>
                <w:sz w:val="24"/>
                <w:szCs w:val="24"/>
                <w:lang w:eastAsia="zh-CN"/>
              </w:rPr>
              <w:t>以习近平新时代中国特色社会主义思想为指导，以装配式和绿色建筑、棚改旧改、城乡污水治理、加装电梯等国省重点考核任务为核心，全面实施“三高四新”战略，推进“三强一化”建设，围绕“四个住建”持续发力，各项工作</w:t>
            </w:r>
            <w:r>
              <w:rPr>
                <w:rFonts w:hint="eastAsia" w:ascii="仿宋" w:hAnsi="仿宋" w:eastAsia="仿宋" w:cs="仿宋"/>
                <w:sz w:val="24"/>
                <w:szCs w:val="24"/>
                <w:lang w:val="en-US" w:eastAsia="zh-CN"/>
              </w:rPr>
              <w:t>圆满完成。</w:t>
            </w: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聚焦“住房保障”</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default" w:ascii="Times New Roman" w:hAnsi="Times New Roman" w:eastAsia="仿宋_GB2312" w:cs="Times New Roman"/>
                <w:kern w:val="0"/>
                <w:szCs w:val="21"/>
              </w:rPr>
              <w:t>计划改造城镇棚户区改造城镇老旧小区224个（以省厅下达任务为准），存量闲置房屋建设保障性租赁住房642套</w:t>
            </w:r>
            <w:r>
              <w:rPr>
                <w:rFonts w:hint="eastAsia" w:ascii="Times New Roman" w:hAnsi="Times New Roman" w:eastAsia="仿宋_GB2312" w:cs="Times New Roman"/>
                <w:kern w:val="0"/>
                <w:szCs w:val="21"/>
                <w:lang w:eastAsia="zh-CN"/>
              </w:rPr>
              <w:t>。</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　我市今年棚改任务1431户，已全部开工；344个老旧小区焕然一新，224个老旧小区改造项目开工建设</w:t>
            </w:r>
            <w:r>
              <w:rPr>
                <w:rFonts w:hint="eastAsia" w:ascii="Times New Roman" w:hAnsi="Times New Roman" w:eastAsia="仿宋_GB2312"/>
                <w:color w:val="000000"/>
                <w:kern w:val="0"/>
                <w:szCs w:val="21"/>
                <w:lang w:eastAsia="zh-CN"/>
              </w:rPr>
              <w:t>；</w:t>
            </w:r>
            <w:r>
              <w:rPr>
                <w:rFonts w:hint="default" w:ascii="Times New Roman" w:hAnsi="Times New Roman" w:eastAsia="仿宋_GB2312"/>
                <w:color w:val="000000"/>
                <w:kern w:val="0"/>
                <w:szCs w:val="21"/>
                <w:lang w:eastAsia="zh-CN"/>
              </w:rPr>
              <w:t>642套保障性租赁住房交付使用；</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聚焦“城市建设”</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default" w:ascii="Times New Roman" w:hAnsi="Times New Roman" w:eastAsia="仿宋_GB2312" w:cs="Times New Roman"/>
                <w:kern w:val="0"/>
                <w:szCs w:val="21"/>
              </w:rPr>
              <w:t>对衡阳市中心城区总面积518平方公里的项目相关情况进行本底调查、模型分析和规划编制等；完成25个乡镇省指定考核任务</w:t>
            </w:r>
            <w:r>
              <w:rPr>
                <w:rFonts w:hint="eastAsia" w:eastAsia="仿宋_GB2312" w:cs="Times New Roman"/>
                <w:kern w:val="0"/>
                <w:szCs w:val="21"/>
                <w:lang w:eastAsia="zh-CN"/>
              </w:rPr>
              <w:t>。</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制定了《衡阳市中心城区污水设施建设三年行动实施方案（2022-2024年）》</w:t>
            </w:r>
            <w:r>
              <w:rPr>
                <w:rFonts w:hint="eastAsia" w:ascii="Times New Roman" w:hAnsi="Times New Roman" w:eastAsia="仿宋_GB2312"/>
                <w:color w:val="000000"/>
                <w:kern w:val="0"/>
                <w:szCs w:val="21"/>
                <w:lang w:eastAsia="zh-CN"/>
              </w:rPr>
              <w:t>；市中心城区雨污分流改造共开工建设道路53条，目前已完成雨、污水管网建设78km；王家堰排口、御江帝景排污口已彻底解决；23个建制镇污水处理设施建设圆满完成。</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认真排查物业小区隐患</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积极开展物业行业消防安全风险隐患“大排查、大整治、大管控”行动</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共整改12个项目。开展“四不两直”暗访（或明查），共抽查3个项目，下发督办函11份，督促物业服务项目举一反三进行整改。</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市政设施安全运营基础进一步夯实</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加强城市内涝治理</w:t>
            </w:r>
            <w:r>
              <w:rPr>
                <w:rFonts w:hint="eastAsia" w:ascii="Times New Roman" w:hAnsi="Times New Roman" w:eastAsia="仿宋_GB2312"/>
                <w:color w:val="000000"/>
                <w:kern w:val="0"/>
                <w:szCs w:val="21"/>
                <w:lang w:val="en-US" w:eastAsia="zh-CN"/>
              </w:rPr>
              <w:t>及</w:t>
            </w:r>
            <w:r>
              <w:rPr>
                <w:rFonts w:hint="eastAsia" w:ascii="Times New Roman" w:hAnsi="Times New Roman" w:eastAsia="仿宋_GB2312"/>
                <w:color w:val="000000"/>
                <w:kern w:val="0"/>
                <w:szCs w:val="21"/>
              </w:rPr>
              <w:t>市政基础设施维护工作</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今年入汛以来，共计出动应急抢险人员229人次，出动应急抢险车辆58台次，有效保障了城市排水防涝安全，未出现较严重内涝情况。</w:t>
            </w: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完成沥青路面维修88450㎡，路基补强2200㎡，清掏雨水井10720座、检查井5210座，保障市民出行方便。</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建筑施工安全生产工作</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实行每周一调度、每月重点工作推进、每季度一督查、一次安全生产形势分析，全面排查整治各类风险隐患，有效防范各类事故发生。</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注重统筹实施，积极开展各类专项行动</w:t>
            </w:r>
            <w:r>
              <w:rPr>
                <w:rFonts w:hint="eastAsia" w:ascii="Times New Roman" w:hAnsi="Times New Roman" w:eastAsia="仿宋_GB2312"/>
                <w:color w:val="000000"/>
                <w:kern w:val="0"/>
                <w:szCs w:val="21"/>
                <w:lang w:eastAsia="zh-CN"/>
              </w:rPr>
              <w:t>，大力开展保障农民工工资支付及实名制管理工作，7月份联动相关部门开展“用心用情·湘薪湘护”根治欠薪制度落实夏季专项行动，共检查在建项目53个，下达责令整改通知书11份。</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聚焦“城乡治理”，协调发展扎实推进</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城乡治理标准化持续提升</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历史文化名城申报加快推进</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基层治理卓有成效</w:t>
            </w:r>
            <w:r>
              <w:rPr>
                <w:rFonts w:hint="eastAsia" w:ascii="Times New Roman" w:hAnsi="Times New Roman" w:eastAsia="仿宋_GB2312"/>
                <w:color w:val="000000"/>
                <w:kern w:val="0"/>
                <w:szCs w:val="21"/>
                <w:lang w:eastAsia="zh-CN"/>
              </w:rPr>
              <w:t>。</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目前，我市第一批（共8处）历史建筑测绘工作已完成，公布了第六批市级文物保护单位，研究下发了《衡阳市城市住宅小区物业管理全覆盖三年行动实施方案》，通过3年时间逐步实现市城区住宅小区物业管理全覆盖</w:t>
            </w:r>
            <w:r>
              <w:rPr>
                <w:rFonts w:hint="eastAsia" w:ascii="Times New Roman" w:hAnsi="Times New Roman" w:eastAsia="仿宋_GB2312"/>
                <w:color w:val="000000"/>
                <w:kern w:val="0"/>
                <w:szCs w:val="21"/>
                <w:lang w:eastAsia="zh-CN"/>
              </w:rPr>
              <w:t>。</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cs="Times New Roman"/>
                <w:kern w:val="0"/>
                <w:szCs w:val="21"/>
                <w:lang w:eastAsia="zh-CN"/>
              </w:rPr>
              <w:t>控制机关运行成本。</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default" w:ascii="Times New Roman" w:hAnsi="Times New Roman" w:eastAsia="仿宋_GB2312" w:cs="Times New Roman"/>
                <w:kern w:val="0"/>
                <w:szCs w:val="21"/>
              </w:rPr>
              <w:t>通过厉行节约，努力减少各项支出，确保财政资金的正确使用。</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cs="Times New Roman"/>
                <w:kern w:val="0"/>
                <w:szCs w:val="21"/>
                <w:lang w:val="en-US" w:eastAsia="zh-CN"/>
              </w:rPr>
              <w:t>一般行政运行经费</w:t>
            </w:r>
            <w:r>
              <w:rPr>
                <w:rFonts w:hint="eastAsia" w:eastAsia="仿宋_GB2312" w:cs="Times New Roman"/>
                <w:kern w:val="0"/>
                <w:szCs w:val="21"/>
                <w:lang w:eastAsia="zh-CN"/>
              </w:rPr>
              <w:t>成本控制在</w:t>
            </w:r>
            <w:r>
              <w:rPr>
                <w:rFonts w:hint="eastAsia" w:ascii="Times New Roman" w:hAnsi="Times New Roman" w:eastAsia="仿宋_GB2312"/>
                <w:color w:val="000000"/>
                <w:kern w:val="0"/>
                <w:szCs w:val="21"/>
                <w:lang w:val="en-US" w:eastAsia="zh-CN"/>
              </w:rPr>
              <w:t>2618.37</w:t>
            </w:r>
            <w:r>
              <w:rPr>
                <w:rFonts w:hint="eastAsia" w:eastAsia="仿宋_GB2312" w:cs="Times New Roman"/>
                <w:kern w:val="0"/>
                <w:szCs w:val="21"/>
                <w:lang w:val="en-US" w:eastAsia="zh-CN"/>
              </w:rPr>
              <w:t>万元。其中人员经费支出2345.37万元，公用经费支出273万元项目支出2607.74万元。</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ind w:firstLine="210" w:firstLineChars="100"/>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 w:val="21"/>
                <w:szCs w:val="21"/>
                <w:lang w:val="en-US" w:eastAsia="zh-CN"/>
              </w:rPr>
              <w:t>财政预算保障不够，住建局</w:t>
            </w:r>
            <w:r>
              <w:rPr>
                <w:rFonts w:hint="eastAsia" w:ascii="Times New Roman" w:hAnsi="Times New Roman" w:eastAsia="仿宋_GB2312"/>
                <w:color w:val="000000"/>
                <w:kern w:val="0"/>
                <w:sz w:val="20"/>
                <w:szCs w:val="20"/>
                <w:lang w:val="en-US" w:eastAsia="zh-CN"/>
              </w:rPr>
              <w:t>围绕</w:t>
            </w:r>
            <w:r>
              <w:rPr>
                <w:rFonts w:hint="eastAsia" w:ascii="仿宋" w:hAnsi="仿宋" w:eastAsia="仿宋" w:cs="仿宋"/>
                <w:sz w:val="22"/>
                <w:szCs w:val="22"/>
                <w:lang w:eastAsia="zh-CN"/>
              </w:rPr>
              <w:t>城乡建设、保障性住房建设、工程建设，</w:t>
            </w:r>
            <w:r>
              <w:rPr>
                <w:rFonts w:hint="eastAsia" w:ascii="仿宋" w:hAnsi="仿宋" w:eastAsia="仿宋" w:cs="仿宋"/>
                <w:sz w:val="22"/>
                <w:szCs w:val="22"/>
                <w:lang w:val="en-US" w:eastAsia="zh-CN"/>
              </w:rPr>
              <w:t>产生项目支出费用较高。</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left"/>
              <w:rPr>
                <w:rFonts w:ascii="Times New Roman" w:hAnsi="Times New Roman" w:eastAsia="仿宋_GB2312"/>
                <w:color w:val="000000"/>
                <w:kern w:val="0"/>
                <w:szCs w:val="21"/>
              </w:rPr>
            </w:pPr>
          </w:p>
          <w:p>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房地产市场平稳运行</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进一步促进我市房地产业和建筑业健康发扩大人才购房补贴对象范围展</w:t>
            </w:r>
            <w:r>
              <w:rPr>
                <w:rFonts w:hint="eastAsia" w:ascii="Times New Roman" w:hAnsi="Times New Roman" w:eastAsia="仿宋_GB2312"/>
                <w:color w:val="000000"/>
                <w:kern w:val="0"/>
                <w:szCs w:val="21"/>
                <w:lang w:eastAsia="zh-CN"/>
              </w:rPr>
              <w:t>。</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截至目前，我市房地产开发企业净增27家；商品房销售面积增速-12.4%，一类地区排位第3；房地产从业人员劳动报酬增速-6.75%，一类地区排位第3</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restart"/>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自建房安全专项整治</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规范农村建房、打击非法违建</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目前我市自建房结构安全隐患已整治3541栋，消防安全隐患已整治1728栋，地质灾害隐患已整治1510栋，经营安全隐患已整治786栋，建设合法合规隐患已整治18926栋。</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营商环境</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以“办事企业、群众满意度”为核心，不断深入推进营商环境的优化升级，全面实施土建、消防、人防、防雷联合审图，工程建设项目审批基本实现制度化、平台化。</w:t>
            </w:r>
          </w:p>
        </w:tc>
        <w:tc>
          <w:tcPr>
            <w:tcW w:w="15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制定了《衡阳市关于开展房屋建筑和市政工程质量风险分级管控工作》，今年所有办证项目均实行了“交房即交证”承诺。商品房预售许可证实现全面电子化，电子制证和签章已完成，预售许可审批完成后，企业在系统中可自行下载证书打印，无需再到政务中心窗口来领证，真正做到“减跑腿”。</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加强</w:t>
            </w:r>
            <w:r>
              <w:rPr>
                <w:rFonts w:hint="eastAsia" w:ascii="Times New Roman" w:hAnsi="Times New Roman" w:eastAsia="仿宋_GB2312"/>
                <w:color w:val="000000"/>
                <w:kern w:val="0"/>
                <w:szCs w:val="21"/>
              </w:rPr>
              <w:t>城市内涝治理</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确保防汛工作有力开展</w:t>
            </w:r>
            <w:r>
              <w:rPr>
                <w:rFonts w:hint="eastAsia" w:ascii="Times New Roman" w:hAnsi="Times New Roman" w:eastAsia="仿宋_GB2312"/>
                <w:color w:val="000000"/>
                <w:kern w:val="0"/>
                <w:szCs w:val="21"/>
                <w:lang w:eastAsia="zh-CN"/>
              </w:rPr>
              <w:t>。</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今年入汛以来，共计出动应急抢险人员229人次，出动应急抢险车辆58台次，有效保障了城市排水防涝安全，未出现较严重内涝情况。</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5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建筑业市场持续健康</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建筑市场秩序不断规范，工程品质不断提升</w:t>
            </w:r>
            <w:r>
              <w:rPr>
                <w:rFonts w:hint="eastAsia" w:ascii="Times New Roman" w:hAnsi="Times New Roman" w:eastAsia="仿宋_GB2312"/>
                <w:color w:val="000000"/>
                <w:kern w:val="0"/>
                <w:szCs w:val="21"/>
                <w:lang w:eastAsia="zh-CN"/>
              </w:rPr>
              <w:t>。</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积极培育资质等级建筑业企业，净增资质以上建筑企业45家；完成建筑业产值815亿元，同比增速10%。促进了招标投标过程“法规、制度、效果”三落实</w:t>
            </w:r>
            <w:r>
              <w:rPr>
                <w:rFonts w:hint="eastAsia" w:ascii="Times New Roman" w:hAnsi="Times New Roman" w:eastAsia="仿宋_GB2312"/>
                <w:color w:val="000000"/>
                <w:kern w:val="0"/>
                <w:szCs w:val="21"/>
                <w:lang w:eastAsia="zh-CN"/>
              </w:rPr>
              <w:t>。</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自建房安全专项整治成效进一步凸显</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 w:val="16"/>
                <w:szCs w:val="16"/>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改善</w:t>
            </w:r>
            <w:r>
              <w:rPr>
                <w:rFonts w:hint="eastAsia" w:ascii="Times New Roman" w:hAnsi="Times New Roman" w:eastAsia="仿宋_GB2312" w:cs="Times New Roman"/>
                <w:color w:val="000000"/>
                <w:kern w:val="0"/>
                <w:szCs w:val="21"/>
              </w:rPr>
              <w:t>自建房结构安全隐患</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分类整治抓严抓实</w:t>
            </w: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建章立制常态长效，下发了衡阳市农村住房质量安全监督管理办法和竣工验收管理办法，建立了由相关职能部门和乡村建房协管员联合巡查制度，推广新建住宅公示牌制度，进一步规范了农村建房、打击了非法违建。</w:t>
            </w:r>
          </w:p>
        </w:tc>
        <w:tc>
          <w:tcPr>
            <w:tcW w:w="5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5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vMerge w:val="restart"/>
            <w:tcBorders>
              <w:top w:val="nil"/>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加强消防安全隐患排查对195个建筑工程项目和房地产办证历史遗留问题进行了全方位的消防安全大检查</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全年共受理并办结符合条件的特殊建设工程消防验收项目153个（含装修项目），备案抽查项目45个（含装修项目），办结率和满意率均100%。</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5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5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eastAsia="仿宋_GB2312" w:cs="Times New Roman"/>
                <w:kern w:val="0"/>
                <w:szCs w:val="21"/>
                <w:lang w:eastAsia="zh-CN"/>
              </w:rPr>
              <w:t>市民、群众满意度</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rPr>
            </w:pPr>
            <w:r>
              <w:rPr>
                <w:rFonts w:ascii="Times New Roman" w:hAnsi="Times New Roman" w:eastAsia="仿宋_GB2312"/>
                <w:color w:val="000000"/>
                <w:kern w:val="0"/>
                <w:szCs w:val="21"/>
              </w:rPr>
              <w:t>　</w:t>
            </w:r>
            <w:r>
              <w:rPr>
                <w:rFonts w:hint="eastAsia" w:eastAsia="仿宋_GB2312" w:cs="Times New Roman"/>
                <w:kern w:val="0"/>
                <w:szCs w:val="21"/>
                <w:lang w:eastAsia="zh-CN"/>
              </w:rPr>
              <w:t>市民、群众</w:t>
            </w:r>
            <w:r>
              <w:rPr>
                <w:rFonts w:hint="eastAsia" w:eastAsia="仿宋_GB2312" w:cs="Times New Roman"/>
                <w:kern w:val="0"/>
                <w:szCs w:val="21"/>
                <w:lang w:val="en-US" w:eastAsia="zh-CN"/>
              </w:rPr>
              <w:t>对住建行业工作</w:t>
            </w:r>
            <w:r>
              <w:rPr>
                <w:rFonts w:hint="eastAsia" w:eastAsia="仿宋_GB2312" w:cs="Times New Roman"/>
                <w:kern w:val="0"/>
                <w:szCs w:val="21"/>
                <w:lang w:eastAsia="zh-CN"/>
              </w:rPr>
              <w:t>满意</w:t>
            </w:r>
            <w:r>
              <w:rPr>
                <w:rFonts w:hint="eastAsia" w:eastAsia="仿宋_GB2312" w:cs="Times New Roman"/>
                <w:kern w:val="0"/>
                <w:szCs w:val="21"/>
                <w:lang w:val="en-US" w:eastAsia="zh-CN"/>
              </w:rPr>
              <w:t>度达90%以上</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90%</w:t>
            </w:r>
          </w:p>
        </w:tc>
        <w:tc>
          <w:tcPr>
            <w:tcW w:w="5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5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bookmarkStart w:id="0" w:name="_GoBack"/>
            <w:bookmarkEnd w:id="0"/>
          </w:p>
        </w:tc>
      </w:tr>
      <w:tr>
        <w:tblPrEx>
          <w:tblCellMar>
            <w:top w:w="0" w:type="dxa"/>
            <w:left w:w="108" w:type="dxa"/>
            <w:bottom w:w="0" w:type="dxa"/>
            <w:right w:w="108" w:type="dxa"/>
          </w:tblCellMar>
        </w:tblPrEx>
        <w:trPr>
          <w:trHeight w:val="340" w:hRule="atLeast"/>
          <w:jc w:val="center"/>
        </w:trPr>
        <w:tc>
          <w:tcPr>
            <w:tcW w:w="761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5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99</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朱亚君</w:t>
      </w:r>
      <w:r>
        <w:rPr>
          <w:rFonts w:ascii="Times New Roman" w:hAnsi="Times New Roman" w:eastAsia="仿宋_GB2312"/>
          <w:sz w:val="24"/>
        </w:rPr>
        <w:t xml:space="preserve">   填报日期：     联系电话：      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F8331"/>
    <w:multiLevelType w:val="singleLevel"/>
    <w:tmpl w:val="97EF83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ODJmNTVkMzQzMTUwMDcyMTUwZmRiODFlNmY1OWEifQ=="/>
  </w:docVars>
  <w:rsids>
    <w:rsidRoot w:val="00172A27"/>
    <w:rsid w:val="02C41968"/>
    <w:rsid w:val="0B245F92"/>
    <w:rsid w:val="0B927856"/>
    <w:rsid w:val="0D993901"/>
    <w:rsid w:val="0F6A1FB9"/>
    <w:rsid w:val="122A0EB9"/>
    <w:rsid w:val="127B2F59"/>
    <w:rsid w:val="14FD7256"/>
    <w:rsid w:val="2D4D0E75"/>
    <w:rsid w:val="325C4C16"/>
    <w:rsid w:val="35E32750"/>
    <w:rsid w:val="373D74FF"/>
    <w:rsid w:val="38F27F4A"/>
    <w:rsid w:val="3CF64C2A"/>
    <w:rsid w:val="49F17FF3"/>
    <w:rsid w:val="4E611432"/>
    <w:rsid w:val="4E897271"/>
    <w:rsid w:val="4E9A23A6"/>
    <w:rsid w:val="5B442015"/>
    <w:rsid w:val="5CDF2A29"/>
    <w:rsid w:val="6AB3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40" w:after="240" w:line="360" w:lineRule="auto"/>
      <w:outlineLvl w:val="3"/>
    </w:pPr>
    <w:rPr>
      <w:rFonts w:ascii="Calibri Light" w:hAnsi="Calibri Light" w:cs="Times New Roman"/>
      <w:b/>
      <w:bCs/>
      <w:sz w:val="32"/>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spacing w:beforeLines="0" w:afterLines="0"/>
      <w:jc w:val="left"/>
    </w:pPr>
    <w:rPr>
      <w:rFonts w:hint="default"/>
      <w:sz w:val="18"/>
      <w:szCs w:val="24"/>
    </w:rPr>
  </w:style>
  <w:style w:type="paragraph" w:styleId="4">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nhideWhenUsed/>
    <w:uiPriority w:val="0"/>
    <w:rPr>
      <w:rFonts w:hint="default"/>
      <w:sz w:val="24"/>
      <w:szCs w:val="24"/>
    </w:rPr>
  </w:style>
  <w:style w:type="paragraph" w:styleId="9">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5805</Words>
  <Characters>6865</Characters>
  <Lines>0</Lines>
  <Paragraphs>0</Paragraphs>
  <TotalTime>80</TotalTime>
  <ScaleCrop>false</ScaleCrop>
  <LinksUpToDate>false</LinksUpToDate>
  <CharactersWithSpaces>7100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2023-03-13T07:44:00Z</dcterms:created>
  <dc:creator></dc:creator>
  <cp:lastModifiedBy></cp:lastModifiedBy>
  <cp:lastPrinted>2023-03-30T01:11:15Z</cp:lastPrinted>
  <dcterms:modified xsi:type="dcterms:W3CDTF">2023-03-30T01:12:58Z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3D92F0E3548C414D8ED9ADE480C4104B</vt:lpwstr>
  </property>
</Properties>
</file>