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ascii="Times New Roman" w:hAnsi="Times New Roman" w:eastAsia="黑体"/>
          <w:sz w:val="32"/>
          <w:szCs w:val="32"/>
        </w:rPr>
        <w:t>年</w:t>
      </w:r>
      <w:r>
        <w:rPr>
          <w:rFonts w:hint="eastAsia" w:ascii="Times New Roman" w:hAnsi="Times New Roman" w:eastAsia="黑体"/>
          <w:sz w:val="32"/>
          <w:szCs w:val="32"/>
          <w:lang w:val="en-US" w:eastAsia="zh-CN"/>
        </w:rPr>
        <w:t>4</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7</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bookmarkStart w:id="0" w:name="_GoBack"/>
      <w:bookmarkEnd w:id="0"/>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_GBK"/>
          <w:sz w:val="32"/>
          <w:szCs w:val="32"/>
        </w:rPr>
      </w:pPr>
      <w:r>
        <w:rPr>
          <w:rFonts w:ascii="Times New Roman" w:hAnsi="Times New Roman" w:eastAsia="方正小标宋简体"/>
          <w:sz w:val="44"/>
          <w:szCs w:val="44"/>
        </w:rPr>
        <w:t>部门整体支出绩效自评报告</w:t>
      </w:r>
    </w:p>
    <w:p>
      <w:pPr>
        <w:pStyle w:val="17"/>
        <w:widowControl/>
        <w:numPr>
          <w:ilvl w:val="0"/>
          <w:numId w:val="1"/>
        </w:numPr>
        <w:ind w:firstLine="640"/>
        <w:rPr>
          <w:rFonts w:eastAsia="黑体"/>
          <w:sz w:val="32"/>
          <w:szCs w:val="32"/>
        </w:rPr>
      </w:pPr>
      <w:r>
        <w:rPr>
          <w:rFonts w:eastAsia="黑体"/>
          <w:sz w:val="32"/>
          <w:szCs w:val="32"/>
        </w:rPr>
        <w:t>部门、单位基本情况</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（一）单位主要职责</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 w:hAnsi="仿宋" w:eastAsia="仿宋" w:cs="仿宋"/>
          <w:kern w:val="2"/>
          <w:sz w:val="32"/>
          <w:szCs w:val="32"/>
        </w:rPr>
      </w:pPr>
      <w:r>
        <w:rPr>
          <w:rFonts w:hint="eastAsia" w:ascii="仿宋" w:hAnsi="仿宋" w:eastAsia="仿宋" w:cs="仿宋"/>
          <w:kern w:val="2"/>
          <w:sz w:val="32"/>
          <w:szCs w:val="32"/>
        </w:rPr>
        <w:t>1.组织贯彻执行国家财税方针政策，拟订和执行全市财税发展规划、政策、改革方案，指导全市财政工作；分析预测宏观经济形势，参与拟订各项宏观经济政策；提出运用财税政策实施宏观调控和综合平衡社会财力的建议；拟订和执行市与区、“两区一园”、政府与企业的分配政策，完善鼓励公益事业发展的财税政策。</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 w:hAnsi="仿宋" w:eastAsia="仿宋" w:cs="仿宋"/>
          <w:kern w:val="2"/>
          <w:sz w:val="32"/>
          <w:szCs w:val="32"/>
        </w:rPr>
      </w:pPr>
      <w:r>
        <w:rPr>
          <w:rFonts w:hint="eastAsia" w:ascii="仿宋" w:hAnsi="仿宋" w:eastAsia="仿宋" w:cs="仿宋"/>
          <w:kern w:val="2"/>
          <w:sz w:val="32"/>
          <w:szCs w:val="32"/>
        </w:rPr>
        <w:t>2.承担市本级各项财政收支管理的责任。负责编制年度市本级预决算草案并组织执行；代编全市财政收支预算，汇总全市财政总决算；受市人民政府委托，向市人民代表大会报告市本级、全市预算及其执行情况，向市人大常委会报告决算情况。组织拟订市本级经费开支标准、定额，负责审核批复部门（单位）的年度预决算。负责政府投资基金市财政出资的资产管理。负责市本级预决算公开。深化财税体制改革，按照财权与事权相匹配的原则，落实省级对市区专项转移支付制度，落实省直管县财政体制改革。实施预算绩效管理，建立全面规范透明、标准科学、约束有力的预算制度。</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3.按分工负责政府非税收入管理。建立健全政府非税收入管理制度；负责政府性基金管理，按规定管理行政事业性收费；管理财政票据；推进政府购买服务工作；拟订彩票管理政策和有关办法，监管彩票市场，按规定管理彩票资金。</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4.组织实施国库管理、国库集中收付和政府采购制度，指导和监督市本级国库业务，按规定开展国库现金管理工作；拟订政府财务报告编制办法并组织实施；负责市本级财政银行账户、预算单位银行账户监督管理。负责拟订政府采购制度并监督管理。</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5.负责政府性债务管理工作。拟订市本级政府性债务管理政策、制度和办法，编制地方政府债务余额限额计划；负责全市政府性债务的风险预警评估、风险应急处置；负责地方金融机构和市本级政府投融资公司的财务监管；组织实施存量政府债务置换；负责全市政府性债务监督检查、绩效考评；按规定管理外国政府和国际金融组织贷（赠）款。</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6.负责国有资产管理工作。根据授权，集中统一履行市本级国有金融资本出资人职责，拟订并组织实施市本级国有金融资本管理规章制度。拟订行政事业单位国有资产管理规章制度并组织实施。拟订需要市本级统一规定的开支标准和支出政策。</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7.负责国有资本经营工作。审核和汇总编制国有资本经营预决算草案，拟订国有资本经营预算制度和办法，收取市本级国有企业国有资本收益；组织实施企业财务制度，参与拟订企业国有资产管理相关制度；负责财政预算内行政事业单位和社会团体的非贸易外汇和财政预算内的国际收支管理。</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8.负责财政支出管理。办理和监督市财政的经济发展支出、市级政府性投资项目的财政拨款；参与拟订城市基础设施建设投资的有关政策并组织实施；拟订并组织实施基本建设财务制度；组织开展政府投资项目评审；负责有关政策性补贴和专项储备资金管理。</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9.负责社保资金（基金）管理。会同有关部门拟订并组织实施社会保障资金（基金）的财务管理制度；负责审核汇总编报社会保障资金（基金）预决算草案；承担社会保险基金财政监管工作。</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10.负责管理全市的会计工作。组织实施国家统一的会计制度，监督和规范会计行为；指导和监督注册会计师和会计师事务所的业务；指导和管理社会审计。</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11.负责财政监督检查工作。开展财税法规、政策执行情况监督检查；反映财政收支管理中的重大问题，提出加强财政管理的政策和建议。</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12.负责组织、协调和指导全市的财源建设工作。负责拟订财源建设优惠政策并组织实施；组织编制和实施中长期财源建设发展规划。</w:t>
      </w:r>
    </w:p>
    <w:p>
      <w:pPr>
        <w:pStyle w:val="7"/>
        <w:keepNext w:val="0"/>
        <w:keepLines w:val="0"/>
        <w:pageBreakBefore w:val="0"/>
        <w:kinsoku/>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　　13.负责本行业、领域的应急管理工作，对本行业、领域的安全生产工作实施监督管理。</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Times New Roman" w:hAnsi="Times New Roman" w:eastAsia="仿宋_GB2312"/>
          <w:sz w:val="32"/>
          <w:szCs w:val="32"/>
        </w:rPr>
      </w:pPr>
      <w:r>
        <w:rPr>
          <w:rFonts w:hint="eastAsia" w:ascii="仿宋" w:hAnsi="仿宋" w:eastAsia="仿宋" w:cs="仿宋"/>
          <w:sz w:val="32"/>
          <w:szCs w:val="32"/>
        </w:rPr>
        <w:t>14.完成市委、市政府交办的其他任务。</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（二）部门组织机构及人员情况</w:t>
      </w:r>
    </w:p>
    <w:p>
      <w:pPr>
        <w:pStyle w:val="21"/>
        <w:keepNext w:val="0"/>
        <w:keepLines w:val="0"/>
        <w:pageBreakBefore w:val="0"/>
        <w:kinsoku/>
        <w:overflowPunct/>
        <w:topLinePunct w:val="0"/>
        <w:autoSpaceDE/>
        <w:autoSpaceDN/>
        <w:bidi w:val="0"/>
        <w:adjustRightInd/>
        <w:snapToGrid/>
        <w:spacing w:beforeAutospacing="0" w:afterAutospacing="0" w:line="240" w:lineRule="auto"/>
        <w:textAlignment w:val="auto"/>
        <w:rPr>
          <w:rFonts w:eastAsia="黑体"/>
          <w:sz w:val="32"/>
          <w:szCs w:val="32"/>
        </w:rPr>
      </w:pPr>
      <w:r>
        <w:rPr>
          <w:rStyle w:val="22"/>
          <w:rFonts w:hint="default" w:ascii="仿宋" w:hAnsi="仿宋" w:eastAsia="仿宋"/>
        </w:rPr>
        <w:t>根据职</w:t>
      </w:r>
      <w:r>
        <w:rPr>
          <w:rStyle w:val="22"/>
          <w:rFonts w:hint="default" w:hAnsi="仿宋"/>
          <w:kern w:val="2"/>
        </w:rPr>
        <w:t>责，财政局设31个科室，局属三个全额拨款副处级事业单位。局行政编制71名，机关后勤编制3名，参公事业编制135名，全额拨款事业编制6</w:t>
      </w:r>
      <w:r>
        <w:rPr>
          <w:rStyle w:val="22"/>
          <w:rFonts w:hint="eastAsia" w:hAnsi="仿宋" w:eastAsia="仿宋_GB2312"/>
          <w:kern w:val="2"/>
          <w:lang w:val="en-US" w:eastAsia="zh-CN"/>
        </w:rPr>
        <w:t>6</w:t>
      </w:r>
      <w:r>
        <w:rPr>
          <w:rStyle w:val="22"/>
          <w:rFonts w:hint="default" w:hAnsi="仿宋"/>
          <w:kern w:val="2"/>
        </w:rPr>
        <w:t>名。202</w:t>
      </w:r>
      <w:r>
        <w:rPr>
          <w:rStyle w:val="22"/>
          <w:rFonts w:hint="eastAsia" w:hAnsi="仿宋" w:eastAsia="仿宋_GB2312"/>
          <w:kern w:val="2"/>
          <w:lang w:val="en-US" w:eastAsia="zh-CN"/>
        </w:rPr>
        <w:t>2</w:t>
      </w:r>
      <w:r>
        <w:rPr>
          <w:rStyle w:val="22"/>
          <w:rFonts w:hint="default" w:hAnsi="仿宋"/>
          <w:kern w:val="2"/>
        </w:rPr>
        <w:t>年末实有在职2</w:t>
      </w:r>
      <w:r>
        <w:rPr>
          <w:rStyle w:val="22"/>
          <w:rFonts w:hint="eastAsia" w:hAnsi="仿宋" w:eastAsia="仿宋_GB2312"/>
          <w:kern w:val="2"/>
          <w:lang w:val="en-US" w:eastAsia="zh-CN"/>
        </w:rPr>
        <w:t>27</w:t>
      </w:r>
      <w:r>
        <w:rPr>
          <w:rStyle w:val="22"/>
          <w:rFonts w:hint="default" w:hAnsi="仿宋"/>
          <w:kern w:val="2"/>
        </w:rPr>
        <w:t>人。</w:t>
      </w:r>
    </w:p>
    <w:p>
      <w:pPr>
        <w:pStyle w:val="17"/>
        <w:widowControl/>
        <w:ind w:firstLine="640"/>
        <w:rPr>
          <w:rFonts w:eastAsia="黑体"/>
          <w:sz w:val="32"/>
          <w:szCs w:val="32"/>
        </w:rPr>
      </w:pPr>
      <w:r>
        <w:rPr>
          <w:rFonts w:eastAsia="黑体"/>
          <w:sz w:val="32"/>
          <w:szCs w:val="32"/>
        </w:rPr>
        <w:t>二、一般公共预算支出情况</w:t>
      </w:r>
    </w:p>
    <w:p>
      <w:pPr>
        <w:pStyle w:val="17"/>
        <w:widowControl/>
        <w:ind w:firstLine="643"/>
        <w:rPr>
          <w:rFonts w:eastAsia="楷体"/>
          <w:b/>
          <w:sz w:val="32"/>
          <w:szCs w:val="32"/>
        </w:rPr>
      </w:pPr>
      <w:r>
        <w:rPr>
          <w:rFonts w:eastAsia="楷体"/>
          <w:b/>
          <w:sz w:val="32"/>
          <w:szCs w:val="32"/>
        </w:rPr>
        <w:t>（一）基本支出情况</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eastAsia="楷体"/>
          <w:b/>
          <w:sz w:val="32"/>
          <w:szCs w:val="32"/>
        </w:rPr>
      </w:pPr>
      <w:r>
        <w:rPr>
          <w:rFonts w:hint="eastAsia" w:ascii="仿宋" w:hAnsi="仿宋" w:eastAsia="仿宋" w:cs="仿宋"/>
          <w:kern w:val="2"/>
          <w:sz w:val="32"/>
          <w:szCs w:val="32"/>
          <w:lang w:val="en-US" w:eastAsia="zh-CN" w:bidi="ar"/>
        </w:rPr>
        <w:t>基本支出是保障我局机构正常运转、完成日常工作任务而发生的各项支出，包括用于在职和离退休人员基本工资、各项保险缴费、津贴补贴等人员经费以及为保障基本运行而发生的水电费、物业管理费、办公费、印刷费、邮电费、维修费、办公设备购置等日常公用经</w:t>
      </w:r>
      <w:r>
        <w:rPr>
          <w:rFonts w:hint="eastAsia" w:eastAsia="仿宋"/>
          <w:sz w:val="32"/>
          <w:szCs w:val="32"/>
          <w:lang w:val="en-US" w:eastAsia="zh-CN"/>
        </w:rPr>
        <w:t>费。</w:t>
      </w:r>
      <w:r>
        <w:rPr>
          <w:rFonts w:hint="eastAsia" w:eastAsia="仿宋"/>
          <w:sz w:val="32"/>
          <w:szCs w:val="32"/>
        </w:rPr>
        <w:t>202</w:t>
      </w:r>
      <w:r>
        <w:rPr>
          <w:rFonts w:hint="eastAsia" w:eastAsia="仿宋"/>
          <w:sz w:val="32"/>
          <w:szCs w:val="32"/>
          <w:lang w:val="en-US" w:eastAsia="zh-CN"/>
        </w:rPr>
        <w:t>2</w:t>
      </w:r>
      <w:r>
        <w:rPr>
          <w:rFonts w:hint="eastAsia" w:eastAsia="仿宋"/>
          <w:sz w:val="32"/>
          <w:szCs w:val="32"/>
        </w:rPr>
        <w:t>年基本支出</w:t>
      </w:r>
      <w:r>
        <w:rPr>
          <w:rFonts w:hint="eastAsia" w:eastAsia="仿宋"/>
          <w:color w:val="000000" w:themeColor="text1"/>
          <w:sz w:val="32"/>
          <w:szCs w:val="32"/>
          <w:lang w:val="en-US" w:eastAsia="zh-CN"/>
          <w14:textFill>
            <w14:solidFill>
              <w14:schemeClr w14:val="tx1"/>
            </w14:solidFill>
          </w14:textFill>
        </w:rPr>
        <w:t>5944.87</w:t>
      </w:r>
      <w:r>
        <w:rPr>
          <w:rFonts w:hint="eastAsia" w:eastAsia="仿宋"/>
          <w:color w:val="000000" w:themeColor="text1"/>
          <w:sz w:val="32"/>
          <w:szCs w:val="32"/>
          <w14:textFill>
            <w14:solidFill>
              <w14:schemeClr w14:val="tx1"/>
            </w14:solidFill>
          </w14:textFill>
        </w:rPr>
        <w:t>万元，较上年</w:t>
      </w:r>
      <w:r>
        <w:rPr>
          <w:rFonts w:hint="eastAsia" w:eastAsia="仿宋"/>
          <w:color w:val="000000" w:themeColor="text1"/>
          <w:sz w:val="32"/>
          <w:szCs w:val="32"/>
          <w:lang w:eastAsia="zh-CN"/>
          <w14:textFill>
            <w14:solidFill>
              <w14:schemeClr w14:val="tx1"/>
            </w14:solidFill>
          </w14:textFill>
        </w:rPr>
        <w:t>增加</w:t>
      </w:r>
      <w:r>
        <w:rPr>
          <w:rFonts w:hint="eastAsia" w:eastAsia="仿宋"/>
          <w:color w:val="000000" w:themeColor="text1"/>
          <w:sz w:val="32"/>
          <w:szCs w:val="32"/>
          <w:lang w:val="en-US" w:eastAsia="zh-CN"/>
          <w14:textFill>
            <w14:solidFill>
              <w14:schemeClr w14:val="tx1"/>
            </w14:solidFill>
          </w14:textFill>
        </w:rPr>
        <w:t>182.29</w:t>
      </w:r>
      <w:r>
        <w:rPr>
          <w:rFonts w:hint="eastAsia" w:eastAsia="仿宋"/>
          <w:color w:val="000000" w:themeColor="text1"/>
          <w:sz w:val="32"/>
          <w:szCs w:val="32"/>
          <w14:textFill>
            <w14:solidFill>
              <w14:schemeClr w14:val="tx1"/>
            </w14:solidFill>
          </w14:textFill>
        </w:rPr>
        <w:t>万元。其中：</w:t>
      </w:r>
      <w:r>
        <w:rPr>
          <w:rFonts w:hint="eastAsia" w:eastAsia="仿宋"/>
          <w:color w:val="000000" w:themeColor="text1"/>
          <w:sz w:val="32"/>
          <w:szCs w:val="32"/>
          <w:lang w:eastAsia="zh-CN"/>
          <w14:textFill>
            <w14:solidFill>
              <w14:schemeClr w14:val="tx1"/>
            </w14:solidFill>
          </w14:textFill>
        </w:rPr>
        <w:t>人员经费</w:t>
      </w:r>
      <w:r>
        <w:rPr>
          <w:rFonts w:hint="eastAsia" w:eastAsia="仿宋"/>
          <w:color w:val="000000" w:themeColor="text1"/>
          <w:sz w:val="32"/>
          <w:szCs w:val="32"/>
          <w:lang w:val="en-US" w:eastAsia="zh-CN"/>
          <w14:textFill>
            <w14:solidFill>
              <w14:schemeClr w14:val="tx1"/>
            </w14:solidFill>
          </w14:textFill>
        </w:rPr>
        <w:t>5042.39万元，</w:t>
      </w:r>
      <w:r>
        <w:rPr>
          <w:rFonts w:hint="eastAsia" w:eastAsia="仿宋"/>
          <w:color w:val="000000" w:themeColor="text1"/>
          <w:sz w:val="32"/>
          <w:szCs w:val="32"/>
          <w14:textFill>
            <w14:solidFill>
              <w14:schemeClr w14:val="tx1"/>
            </w14:solidFill>
          </w14:textFill>
        </w:rPr>
        <w:t>占基本支出的</w:t>
      </w:r>
      <w:r>
        <w:rPr>
          <w:rFonts w:hint="eastAsia" w:eastAsia="仿宋"/>
          <w:color w:val="000000" w:themeColor="text1"/>
          <w:sz w:val="32"/>
          <w:szCs w:val="32"/>
          <w:lang w:val="en-US" w:eastAsia="zh-CN"/>
          <w14:textFill>
            <w14:solidFill>
              <w14:schemeClr w14:val="tx1"/>
            </w14:solidFill>
          </w14:textFill>
        </w:rPr>
        <w:t>84.82</w:t>
      </w:r>
      <w:r>
        <w:rPr>
          <w:rFonts w:hint="eastAsia" w:eastAsia="仿宋"/>
          <w:color w:val="000000" w:themeColor="text1"/>
          <w:sz w:val="32"/>
          <w:szCs w:val="32"/>
          <w14:textFill>
            <w14:solidFill>
              <w14:schemeClr w14:val="tx1"/>
            </w14:solidFill>
          </w14:textFill>
        </w:rPr>
        <w:t>%，较上年</w:t>
      </w:r>
      <w:r>
        <w:rPr>
          <w:rFonts w:hint="eastAsia" w:eastAsia="仿宋"/>
          <w:color w:val="000000" w:themeColor="text1"/>
          <w:sz w:val="32"/>
          <w:szCs w:val="32"/>
          <w:lang w:eastAsia="zh-CN"/>
          <w14:textFill>
            <w14:solidFill>
              <w14:schemeClr w14:val="tx1"/>
            </w14:solidFill>
          </w14:textFill>
        </w:rPr>
        <w:t>上升</w:t>
      </w:r>
      <w:r>
        <w:rPr>
          <w:rFonts w:hint="eastAsia" w:eastAsia="仿宋"/>
          <w:color w:val="000000" w:themeColor="text1"/>
          <w:sz w:val="32"/>
          <w:szCs w:val="32"/>
          <w:lang w:val="en-US" w:eastAsia="zh-CN"/>
          <w14:textFill>
            <w14:solidFill>
              <w14:schemeClr w14:val="tx1"/>
            </w14:solidFill>
          </w14:textFill>
        </w:rPr>
        <w:t>3.85</w:t>
      </w:r>
      <w:r>
        <w:rPr>
          <w:rFonts w:hint="eastAsia" w:eastAsia="仿宋"/>
          <w:color w:val="000000" w:themeColor="text1"/>
          <w:sz w:val="32"/>
          <w:szCs w:val="32"/>
          <w14:textFill>
            <w14:solidFill>
              <w14:schemeClr w14:val="tx1"/>
            </w14:solidFill>
          </w14:textFill>
        </w:rPr>
        <w:t>%</w:t>
      </w:r>
      <w:r>
        <w:rPr>
          <w:rFonts w:hint="eastAsia" w:eastAsia="仿宋"/>
          <w:color w:val="000000" w:themeColor="text1"/>
          <w:sz w:val="32"/>
          <w:szCs w:val="32"/>
          <w:lang w:val="en-US" w:eastAsia="zh-CN"/>
          <w14:textFill>
            <w14:solidFill>
              <w14:schemeClr w14:val="tx1"/>
            </w14:solidFill>
          </w14:textFill>
        </w:rPr>
        <w:t>，主要是机构改革实有人数增加。</w:t>
      </w:r>
      <w:r>
        <w:rPr>
          <w:rFonts w:hint="eastAsia" w:eastAsia="仿宋"/>
          <w:color w:val="000000" w:themeColor="text1"/>
          <w:sz w:val="32"/>
          <w:szCs w:val="32"/>
          <w14:textFill>
            <w14:solidFill>
              <w14:schemeClr w14:val="tx1"/>
            </w14:solidFill>
          </w14:textFill>
        </w:rPr>
        <w:t>日常公用经费90</w:t>
      </w:r>
      <w:r>
        <w:rPr>
          <w:rFonts w:hint="eastAsia" w:eastAsia="仿宋"/>
          <w:color w:val="000000" w:themeColor="text1"/>
          <w:sz w:val="32"/>
          <w:szCs w:val="32"/>
          <w:lang w:val="en-US" w:eastAsia="zh-CN"/>
          <w14:textFill>
            <w14:solidFill>
              <w14:schemeClr w14:val="tx1"/>
            </w14:solidFill>
          </w14:textFill>
        </w:rPr>
        <w:t>2</w:t>
      </w:r>
      <w:r>
        <w:rPr>
          <w:rFonts w:hint="eastAsia" w:eastAsia="仿宋"/>
          <w:color w:val="000000" w:themeColor="text1"/>
          <w:sz w:val="32"/>
          <w:szCs w:val="32"/>
          <w14:textFill>
            <w14:solidFill>
              <w14:schemeClr w14:val="tx1"/>
            </w14:solidFill>
          </w14:textFill>
        </w:rPr>
        <w:t>.</w:t>
      </w:r>
      <w:r>
        <w:rPr>
          <w:rFonts w:hint="eastAsia" w:eastAsia="仿宋"/>
          <w:color w:val="000000" w:themeColor="text1"/>
          <w:sz w:val="32"/>
          <w:szCs w:val="32"/>
          <w:lang w:val="en-US" w:eastAsia="zh-CN"/>
          <w14:textFill>
            <w14:solidFill>
              <w14:schemeClr w14:val="tx1"/>
            </w14:solidFill>
          </w14:textFill>
        </w:rPr>
        <w:t>48</w:t>
      </w:r>
      <w:r>
        <w:rPr>
          <w:rFonts w:hint="eastAsia" w:eastAsia="仿宋"/>
          <w:color w:val="000000" w:themeColor="text1"/>
          <w:sz w:val="32"/>
          <w:szCs w:val="32"/>
          <w14:textFill>
            <w14:solidFill>
              <w14:schemeClr w14:val="tx1"/>
            </w14:solidFill>
          </w14:textFill>
        </w:rPr>
        <w:t>万元，占基本支出的</w:t>
      </w:r>
      <w:r>
        <w:rPr>
          <w:rFonts w:hint="eastAsia" w:eastAsia="仿宋"/>
          <w:color w:val="000000" w:themeColor="text1"/>
          <w:sz w:val="32"/>
          <w:szCs w:val="32"/>
          <w:lang w:val="en-US" w:eastAsia="zh-CN"/>
          <w14:textFill>
            <w14:solidFill>
              <w14:schemeClr w14:val="tx1"/>
            </w14:solidFill>
          </w14:textFill>
        </w:rPr>
        <w:t>15.18</w:t>
      </w:r>
      <w:r>
        <w:rPr>
          <w:rFonts w:hint="eastAsia" w:eastAsia="仿宋"/>
          <w:color w:val="000000" w:themeColor="text1"/>
          <w:sz w:val="32"/>
          <w:szCs w:val="32"/>
          <w14:textFill>
            <w14:solidFill>
              <w14:schemeClr w14:val="tx1"/>
            </w14:solidFill>
          </w14:textFill>
        </w:rPr>
        <w:t>%，</w:t>
      </w:r>
      <w:r>
        <w:rPr>
          <w:rFonts w:hint="eastAsia" w:eastAsia="仿宋"/>
          <w:color w:val="000000" w:themeColor="text1"/>
          <w:sz w:val="32"/>
          <w:szCs w:val="32"/>
          <w:lang w:eastAsia="zh-CN"/>
          <w14:textFill>
            <w14:solidFill>
              <w14:schemeClr w14:val="tx1"/>
            </w14:solidFill>
          </w14:textFill>
        </w:rPr>
        <w:t>与上年相比基本持平</w:t>
      </w:r>
      <w:r>
        <w:rPr>
          <w:rFonts w:hint="eastAsia" w:eastAsia="仿宋"/>
          <w:color w:val="000000" w:themeColor="text1"/>
          <w:sz w:val="32"/>
          <w:szCs w:val="32"/>
          <w14:textFill>
            <w14:solidFill>
              <w14:schemeClr w14:val="tx1"/>
            </w14:solidFill>
          </w14:textFill>
        </w:rPr>
        <w:t xml:space="preserve">。 </w:t>
      </w:r>
    </w:p>
    <w:p>
      <w:pPr>
        <w:pStyle w:val="17"/>
        <w:widowControl/>
        <w:ind w:firstLine="643"/>
        <w:rPr>
          <w:rFonts w:eastAsia="楷体"/>
          <w:b/>
          <w:sz w:val="32"/>
          <w:szCs w:val="32"/>
        </w:rPr>
      </w:pPr>
      <w:r>
        <w:rPr>
          <w:rFonts w:eastAsia="楷体"/>
          <w:b/>
          <w:sz w:val="32"/>
          <w:szCs w:val="32"/>
        </w:rPr>
        <w:t>（二）项目支出情况</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ascii="Times New Roman" w:hAnsi="Times New Roman" w:eastAsia="仿宋"/>
          <w:sz w:val="32"/>
          <w:szCs w:val="32"/>
        </w:rPr>
      </w:pPr>
      <w:r>
        <w:rPr>
          <w:rFonts w:hint="eastAsia" w:eastAsia="仿宋"/>
          <w:sz w:val="32"/>
          <w:szCs w:val="32"/>
        </w:rPr>
        <w:t>项目支出</w:t>
      </w:r>
      <w:r>
        <w:rPr>
          <w:rFonts w:hint="eastAsia" w:eastAsia="仿宋"/>
          <w:sz w:val="32"/>
          <w:szCs w:val="32"/>
          <w:lang w:eastAsia="zh-CN"/>
        </w:rPr>
        <w:t>是</w:t>
      </w:r>
      <w:r>
        <w:rPr>
          <w:rFonts w:hint="eastAsia" w:eastAsia="仿宋"/>
          <w:sz w:val="32"/>
          <w:szCs w:val="32"/>
        </w:rPr>
        <w:t>为完成财政财务管理工作而发生的支出，主要用于部门预决算编制、国库集中支付、非税收入管理、财政投资评审、政府采购、 财政委托业务、</w:t>
      </w:r>
      <w:r>
        <w:rPr>
          <w:rFonts w:hint="eastAsia" w:ascii="仿宋" w:hAnsi="仿宋" w:eastAsia="仿宋" w:cs="仿宋"/>
          <w:sz w:val="32"/>
          <w:szCs w:val="32"/>
          <w:lang w:val="en-US" w:eastAsia="zh-CN"/>
        </w:rPr>
        <w:t>绩效评价经费、</w:t>
      </w:r>
      <w:r>
        <w:rPr>
          <w:rFonts w:hint="eastAsia" w:eastAsia="仿宋"/>
          <w:sz w:val="32"/>
          <w:szCs w:val="32"/>
        </w:rPr>
        <w:t>法规宣传、全市会计资格（初级、中级会计师）考试考务、非税票据印刷以及</w:t>
      </w:r>
      <w:r>
        <w:rPr>
          <w:rFonts w:hint="eastAsia" w:ascii="仿宋" w:hAnsi="仿宋" w:eastAsia="仿宋" w:cs="仿宋"/>
          <w:color w:val="auto"/>
          <w:sz w:val="32"/>
          <w:szCs w:val="32"/>
          <w:lang w:val="zh-CN" w:eastAsia="zh-CN"/>
        </w:rPr>
        <w:t>财税数据信息平台建设</w:t>
      </w:r>
      <w:r>
        <w:rPr>
          <w:rFonts w:hint="eastAsia" w:eastAsia="仿宋"/>
          <w:sz w:val="32"/>
          <w:szCs w:val="32"/>
        </w:rPr>
        <w:t>和</w:t>
      </w:r>
      <w:r>
        <w:rPr>
          <w:rFonts w:hint="eastAsia" w:eastAsia="仿宋"/>
          <w:sz w:val="32"/>
          <w:szCs w:val="32"/>
          <w:lang w:eastAsia="zh-CN"/>
        </w:rPr>
        <w:t>公共财政项目</w:t>
      </w:r>
      <w:r>
        <w:rPr>
          <w:rFonts w:hint="eastAsia" w:eastAsia="仿宋"/>
          <w:sz w:val="32"/>
          <w:szCs w:val="32"/>
        </w:rPr>
        <w:t>维护方面支出。202</w:t>
      </w:r>
      <w:r>
        <w:rPr>
          <w:rFonts w:hint="eastAsia" w:eastAsia="仿宋"/>
          <w:sz w:val="32"/>
          <w:szCs w:val="32"/>
          <w:lang w:val="en-US" w:eastAsia="zh-CN"/>
        </w:rPr>
        <w:t>2</w:t>
      </w:r>
      <w:r>
        <w:rPr>
          <w:rFonts w:hint="eastAsia" w:eastAsia="仿宋"/>
          <w:sz w:val="32"/>
          <w:szCs w:val="32"/>
        </w:rPr>
        <w:t>年项目支出</w:t>
      </w:r>
      <w:r>
        <w:rPr>
          <w:rFonts w:hint="eastAsia" w:eastAsia="仿宋"/>
          <w:color w:val="000000" w:themeColor="text1"/>
          <w:sz w:val="32"/>
          <w:szCs w:val="32"/>
          <w:lang w:val="en-US" w:eastAsia="zh-CN"/>
          <w14:textFill>
            <w14:solidFill>
              <w14:schemeClr w14:val="tx1"/>
            </w14:solidFill>
          </w14:textFill>
        </w:rPr>
        <w:t>2791.66</w:t>
      </w:r>
      <w:r>
        <w:rPr>
          <w:rFonts w:hint="eastAsia" w:eastAsia="仿宋"/>
          <w:color w:val="000000" w:themeColor="text1"/>
          <w:sz w:val="32"/>
          <w:szCs w:val="32"/>
          <w14:textFill>
            <w14:solidFill>
              <w14:schemeClr w14:val="tx1"/>
            </w14:solidFill>
          </w14:textFill>
        </w:rPr>
        <w:t>万元，较上年</w:t>
      </w:r>
      <w:r>
        <w:rPr>
          <w:rFonts w:hint="eastAsia" w:eastAsia="仿宋"/>
          <w:color w:val="000000" w:themeColor="text1"/>
          <w:sz w:val="32"/>
          <w:szCs w:val="32"/>
          <w:lang w:eastAsia="zh-CN"/>
          <w14:textFill>
            <w14:solidFill>
              <w14:schemeClr w14:val="tx1"/>
            </w14:solidFill>
          </w14:textFill>
        </w:rPr>
        <w:t>增加</w:t>
      </w:r>
      <w:r>
        <w:rPr>
          <w:rFonts w:hint="eastAsia" w:eastAsia="仿宋"/>
          <w:color w:val="000000" w:themeColor="text1"/>
          <w:sz w:val="32"/>
          <w:szCs w:val="32"/>
          <w:lang w:val="en-US" w:eastAsia="zh-CN"/>
          <w14:textFill>
            <w14:solidFill>
              <w14:schemeClr w14:val="tx1"/>
            </w14:solidFill>
          </w14:textFill>
        </w:rPr>
        <w:t>656.86</w:t>
      </w:r>
      <w:r>
        <w:rPr>
          <w:rFonts w:hint="eastAsia" w:eastAsia="仿宋"/>
          <w:color w:val="000000" w:themeColor="text1"/>
          <w:sz w:val="32"/>
          <w:szCs w:val="32"/>
          <w14:textFill>
            <w14:solidFill>
              <w14:schemeClr w14:val="tx1"/>
            </w14:solidFill>
          </w14:textFill>
        </w:rPr>
        <w:t>万元，</w:t>
      </w:r>
      <w:r>
        <w:rPr>
          <w:rFonts w:hint="eastAsia" w:eastAsia="仿宋"/>
          <w:color w:val="000000" w:themeColor="text1"/>
          <w:sz w:val="32"/>
          <w:szCs w:val="32"/>
          <w:lang w:eastAsia="zh-CN"/>
          <w14:textFill>
            <w14:solidFill>
              <w14:schemeClr w14:val="tx1"/>
            </w14:solidFill>
          </w14:textFill>
        </w:rPr>
        <w:t>增加</w:t>
      </w:r>
      <w:r>
        <w:rPr>
          <w:rFonts w:hint="eastAsia" w:eastAsia="仿宋"/>
          <w:color w:val="000000" w:themeColor="text1"/>
          <w:sz w:val="32"/>
          <w:szCs w:val="32"/>
          <w:lang w:val="en-US" w:eastAsia="zh-CN"/>
          <w14:textFill>
            <w14:solidFill>
              <w14:schemeClr w14:val="tx1"/>
            </w14:solidFill>
          </w14:textFill>
        </w:rPr>
        <w:t>30.77</w:t>
      </w:r>
      <w:r>
        <w:rPr>
          <w:rFonts w:hint="eastAsia" w:eastAsia="仿宋"/>
          <w:color w:val="000000" w:themeColor="text1"/>
          <w:sz w:val="32"/>
          <w:szCs w:val="32"/>
          <w14:textFill>
            <w14:solidFill>
              <w14:schemeClr w14:val="tx1"/>
            </w14:solidFill>
          </w14:textFill>
        </w:rPr>
        <w:t>%，</w:t>
      </w:r>
      <w:r>
        <w:rPr>
          <w:rFonts w:hint="eastAsia" w:eastAsia="仿宋"/>
          <w:sz w:val="32"/>
          <w:szCs w:val="32"/>
        </w:rPr>
        <w:t>主要是</w:t>
      </w:r>
      <w:r>
        <w:rPr>
          <w:rFonts w:hint="eastAsia" w:ascii="仿宋" w:hAnsi="仿宋" w:eastAsia="仿宋" w:cs="仿宋"/>
          <w:sz w:val="32"/>
          <w:szCs w:val="32"/>
          <w:lang w:val="en-US" w:eastAsia="zh-CN"/>
        </w:rPr>
        <w:t>项目经费</w:t>
      </w:r>
      <w:r>
        <w:rPr>
          <w:rFonts w:hint="eastAsia" w:ascii="仿宋" w:hAnsi="仿宋" w:eastAsia="仿宋" w:cs="仿宋"/>
          <w:color w:val="auto"/>
          <w:sz w:val="32"/>
          <w:szCs w:val="32"/>
          <w:lang w:val="zh-CN" w:eastAsia="zh-CN"/>
        </w:rPr>
        <w:t>财税数据信息平台建设、</w:t>
      </w:r>
      <w:r>
        <w:rPr>
          <w:rFonts w:hint="eastAsia" w:ascii="仿宋" w:hAnsi="仿宋" w:eastAsia="仿宋" w:cs="仿宋"/>
          <w:color w:val="000000" w:themeColor="text1"/>
          <w:sz w:val="32"/>
          <w:szCs w:val="32"/>
          <w:lang w:val="en-US" w:eastAsia="zh-CN"/>
          <w14:textFill>
            <w14:solidFill>
              <w14:schemeClr w14:val="tx1"/>
            </w14:solidFill>
          </w14:textFill>
        </w:rPr>
        <w:t>财政评审经费等公共财政项目支出增加所致</w:t>
      </w:r>
      <w:r>
        <w:rPr>
          <w:rFonts w:hint="eastAsia" w:ascii="仿宋" w:hAnsi="仿宋" w:eastAsia="仿宋" w:cs="仿宋"/>
          <w:color w:val="auto"/>
          <w:sz w:val="32"/>
          <w:szCs w:val="32"/>
          <w:lang w:val="en-US" w:eastAsia="zh-CN"/>
        </w:rPr>
        <w:t>。</w:t>
      </w:r>
    </w:p>
    <w:p>
      <w:pPr>
        <w:pStyle w:val="17"/>
        <w:widowControl/>
        <w:ind w:firstLine="640"/>
        <w:rPr>
          <w:rFonts w:eastAsia="黑体"/>
          <w:sz w:val="32"/>
          <w:szCs w:val="32"/>
        </w:rPr>
      </w:pPr>
      <w:r>
        <w:rPr>
          <w:rFonts w:eastAsia="黑体"/>
          <w:sz w:val="32"/>
          <w:szCs w:val="32"/>
        </w:rPr>
        <w:t>三、政府性基金预算支出情况</w:t>
      </w:r>
    </w:p>
    <w:p>
      <w:pPr>
        <w:pStyle w:val="17"/>
        <w:widowControl/>
        <w:ind w:firstLine="640"/>
        <w:rPr>
          <w:rFonts w:hint="eastAsia" w:eastAsia="黑体"/>
          <w:sz w:val="32"/>
          <w:szCs w:val="32"/>
          <w:lang w:eastAsia="zh-CN"/>
        </w:rPr>
      </w:pPr>
      <w:r>
        <w:rPr>
          <w:rFonts w:hint="eastAsia" w:eastAsia="黑体"/>
          <w:sz w:val="32"/>
          <w:szCs w:val="32"/>
          <w:lang w:eastAsia="zh-CN"/>
        </w:rPr>
        <w:t>无</w:t>
      </w:r>
    </w:p>
    <w:p>
      <w:pPr>
        <w:pStyle w:val="17"/>
        <w:widowControl/>
        <w:numPr>
          <w:ilvl w:val="0"/>
          <w:numId w:val="2"/>
        </w:numPr>
        <w:ind w:firstLine="640"/>
        <w:rPr>
          <w:rFonts w:eastAsia="黑体"/>
          <w:sz w:val="32"/>
          <w:szCs w:val="32"/>
        </w:rPr>
      </w:pPr>
      <w:r>
        <w:rPr>
          <w:rFonts w:eastAsia="黑体"/>
          <w:sz w:val="32"/>
          <w:szCs w:val="32"/>
        </w:rPr>
        <w:t>国有资本经营预算支出情况</w:t>
      </w:r>
    </w:p>
    <w:p>
      <w:pPr>
        <w:pStyle w:val="17"/>
        <w:widowControl/>
        <w:numPr>
          <w:ilvl w:val="0"/>
          <w:numId w:val="0"/>
        </w:numPr>
        <w:ind w:firstLine="640" w:firstLineChars="200"/>
        <w:rPr>
          <w:rFonts w:hint="eastAsia" w:eastAsia="黑体"/>
          <w:sz w:val="32"/>
          <w:szCs w:val="32"/>
          <w:lang w:eastAsia="zh-CN"/>
        </w:rPr>
      </w:pPr>
      <w:r>
        <w:rPr>
          <w:rFonts w:hint="eastAsia" w:eastAsia="黑体"/>
          <w:sz w:val="32"/>
          <w:szCs w:val="32"/>
          <w:lang w:eastAsia="zh-CN"/>
        </w:rPr>
        <w:t>无</w:t>
      </w:r>
    </w:p>
    <w:p>
      <w:pPr>
        <w:pStyle w:val="17"/>
        <w:widowControl/>
        <w:numPr>
          <w:ilvl w:val="0"/>
          <w:numId w:val="2"/>
        </w:numPr>
        <w:ind w:left="0" w:leftChars="0" w:firstLine="640" w:firstLineChars="200"/>
        <w:rPr>
          <w:rFonts w:eastAsia="黑体"/>
          <w:sz w:val="32"/>
          <w:szCs w:val="32"/>
        </w:rPr>
      </w:pPr>
      <w:r>
        <w:rPr>
          <w:rFonts w:eastAsia="黑体"/>
          <w:sz w:val="32"/>
          <w:szCs w:val="32"/>
        </w:rPr>
        <w:t>社会保险基金预算支出情况</w:t>
      </w:r>
    </w:p>
    <w:p>
      <w:pPr>
        <w:pStyle w:val="17"/>
        <w:widowControl/>
        <w:numPr>
          <w:ilvl w:val="0"/>
          <w:numId w:val="0"/>
        </w:numPr>
        <w:ind w:firstLine="640" w:firstLineChars="200"/>
        <w:rPr>
          <w:rFonts w:hint="eastAsia" w:eastAsia="黑体"/>
          <w:sz w:val="32"/>
          <w:szCs w:val="32"/>
          <w:lang w:eastAsia="zh-CN"/>
        </w:rPr>
      </w:pPr>
      <w:r>
        <w:rPr>
          <w:rFonts w:hint="eastAsia" w:eastAsia="黑体"/>
          <w:sz w:val="32"/>
          <w:szCs w:val="32"/>
          <w:lang w:eastAsia="zh-CN"/>
        </w:rPr>
        <w:t>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1.全力稳住经济大盘</w:t>
      </w:r>
      <w:r>
        <w:rPr>
          <w:rFonts w:hint="eastAsia" w:ascii="仿宋" w:hAnsi="仿宋" w:eastAsia="仿宋" w:cs="仿宋"/>
          <w:b/>
          <w:bCs/>
          <w:sz w:val="32"/>
          <w:szCs w:val="32"/>
        </w:rPr>
        <w:t>。</w:t>
      </w:r>
      <w:r>
        <w:rPr>
          <w:rFonts w:hint="eastAsia" w:ascii="仿宋" w:hAnsi="仿宋" w:eastAsia="仿宋" w:cs="仿宋"/>
          <w:sz w:val="32"/>
          <w:szCs w:val="32"/>
        </w:rPr>
        <w:t>支持出台稳住经济大盘一揽子政策，全面落实“三高四新”战略，着力推进区域中心化建设，助力经济高质量发展。一是落实减税降费退税政策。二是支持实体经济发展。三是缓解企业融资压力。四是发挥财政杠杆效应。五是服务开放型经济发展。六是用好用足债券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全力兜牢民生底线。</w:t>
      </w:r>
      <w:r>
        <w:rPr>
          <w:rFonts w:hint="eastAsia" w:ascii="仿宋" w:hAnsi="仿宋" w:eastAsia="仿宋" w:cs="仿宋"/>
          <w:sz w:val="32"/>
          <w:szCs w:val="32"/>
        </w:rPr>
        <w:t>全市民生支出445亿元，占一般公共预算支出比重为74.5%。一是稳定就业创业。二是优先发展教育。三是强化基本民生保障。四是做好农业农村工作。五是推进城市基础设施建设。六是持续改善生态环境质量。七是完善公共文化服务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全力防控财政风险。</w:t>
      </w:r>
      <w:r>
        <w:rPr>
          <w:rFonts w:hint="eastAsia" w:ascii="仿宋" w:hAnsi="仿宋" w:eastAsia="仿宋" w:cs="仿宋"/>
          <w:sz w:val="32"/>
          <w:szCs w:val="32"/>
        </w:rPr>
        <w:t>一是防范化解债务风险。健全债务防控机制，强化市级平台公司投融资监管。二是防范财政运行风险。进一步压实县级财政“三保”主体责任，强化县级财政运行风险监控。三是支持维护社会安全。支持全民核酸免费检测、新冠疫苗接种等疫情防控工作</w:t>
      </w:r>
      <w:r>
        <w:rPr>
          <w:rFonts w:hint="eastAsia" w:ascii="仿宋" w:hAnsi="仿宋" w:eastAsia="仿宋" w:cs="仿宋"/>
          <w:sz w:val="32"/>
          <w:szCs w:val="32"/>
          <w:lang w:eastAsia="zh-CN"/>
        </w:rPr>
        <w:t>，</w:t>
      </w:r>
      <w:r>
        <w:rPr>
          <w:rFonts w:hint="eastAsia" w:ascii="仿宋" w:hAnsi="仿宋" w:eastAsia="仿宋" w:cs="仿宋"/>
          <w:sz w:val="32"/>
          <w:szCs w:val="32"/>
        </w:rPr>
        <w:t>支持安全生产、森林防灭火、应急救援能力建设。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rPr>
      </w:pPr>
      <w:r>
        <w:rPr>
          <w:rFonts w:hint="eastAsia" w:ascii="仿宋" w:hAnsi="仿宋" w:eastAsia="仿宋" w:cs="仿宋"/>
          <w:b/>
          <w:bCs/>
          <w:sz w:val="32"/>
          <w:szCs w:val="32"/>
          <w:lang w:val="en-US" w:eastAsia="zh-CN"/>
        </w:rPr>
        <w:t>4.全力提升财政效能</w:t>
      </w:r>
      <w:r>
        <w:rPr>
          <w:rFonts w:hint="eastAsia" w:ascii="仿宋" w:hAnsi="仿宋" w:eastAsia="仿宋" w:cs="仿宋"/>
          <w:b/>
          <w:bCs/>
          <w:sz w:val="32"/>
          <w:szCs w:val="32"/>
        </w:rPr>
        <w:t>。</w:t>
      </w:r>
      <w:r>
        <w:rPr>
          <w:rFonts w:hint="eastAsia" w:ascii="仿宋" w:hAnsi="仿宋" w:eastAsia="仿宋" w:cs="仿宋"/>
          <w:sz w:val="32"/>
          <w:szCs w:val="32"/>
        </w:rPr>
        <w:t>围绕“开源、节流、堵漏、提质”四大方向，深入推进财政领域改革。一是推进市和城区</w:t>
      </w:r>
      <w:r>
        <w:rPr>
          <w:rFonts w:hint="eastAsia" w:ascii="仿宋" w:hAnsi="仿宋" w:eastAsia="仿宋" w:cs="仿宋"/>
          <w:sz w:val="32"/>
          <w:szCs w:val="32"/>
          <w:lang w:eastAsia="zh-CN"/>
        </w:rPr>
        <w:t>、园区</w:t>
      </w:r>
      <w:r>
        <w:rPr>
          <w:rFonts w:hint="eastAsia" w:ascii="仿宋" w:hAnsi="仿宋" w:eastAsia="仿宋" w:cs="仿宋"/>
          <w:sz w:val="32"/>
          <w:szCs w:val="32"/>
        </w:rPr>
        <w:t>财政体制改革。二是深化预算编制改革</w:t>
      </w:r>
      <w:r>
        <w:rPr>
          <w:rFonts w:hint="eastAsia" w:ascii="仿宋" w:hAnsi="仿宋" w:eastAsia="仿宋" w:cs="仿宋"/>
          <w:sz w:val="32"/>
          <w:szCs w:val="32"/>
          <w:lang w:eastAsia="zh-CN"/>
        </w:rPr>
        <w:t>，</w:t>
      </w:r>
      <w:r>
        <w:rPr>
          <w:rFonts w:hint="eastAsia" w:ascii="仿宋" w:hAnsi="仿宋" w:eastAsia="仿宋" w:cs="仿宋"/>
          <w:sz w:val="32"/>
          <w:szCs w:val="32"/>
        </w:rPr>
        <w:t>调整和优化预算结构，减少预决算偏离度。三是推进财源建设改革</w:t>
      </w:r>
      <w:r>
        <w:rPr>
          <w:rFonts w:hint="eastAsia" w:ascii="仿宋" w:hAnsi="仿宋" w:eastAsia="仿宋" w:cs="仿宋"/>
          <w:sz w:val="32"/>
          <w:szCs w:val="32"/>
          <w:lang w:eastAsia="zh-CN"/>
        </w:rPr>
        <w:t>，</w:t>
      </w:r>
      <w:r>
        <w:rPr>
          <w:rFonts w:hint="eastAsia" w:ascii="仿宋" w:hAnsi="仿宋" w:eastAsia="仿宋" w:cs="仿宋"/>
          <w:sz w:val="32"/>
          <w:szCs w:val="32"/>
        </w:rPr>
        <w:t>搭建财政综合治税平台，建立涉税数据联席工作机制。四是推进财政管理改革</w:t>
      </w:r>
      <w:r>
        <w:rPr>
          <w:rFonts w:hint="eastAsia" w:ascii="仿宋" w:hAnsi="仿宋" w:eastAsia="仿宋" w:cs="仿宋"/>
          <w:sz w:val="32"/>
          <w:szCs w:val="32"/>
          <w:lang w:eastAsia="zh-CN"/>
        </w:rPr>
        <w:t>，</w:t>
      </w:r>
      <w:r>
        <w:rPr>
          <w:rFonts w:hint="eastAsia" w:ascii="仿宋" w:hAnsi="仿宋" w:eastAsia="仿宋" w:cs="仿宋"/>
          <w:sz w:val="32"/>
          <w:szCs w:val="32"/>
        </w:rPr>
        <w:t>建立支出标准体系，规范财政资金管理。五是推进国有资产</w:t>
      </w:r>
      <w:r>
        <w:rPr>
          <w:rFonts w:hint="eastAsia" w:ascii="仿宋" w:hAnsi="仿宋" w:eastAsia="仿宋" w:cs="仿宋"/>
          <w:sz w:val="32"/>
          <w:szCs w:val="32"/>
          <w:lang w:eastAsia="zh-CN"/>
        </w:rPr>
        <w:t>、</w:t>
      </w:r>
      <w:r>
        <w:rPr>
          <w:rFonts w:hint="eastAsia" w:ascii="仿宋" w:hAnsi="仿宋" w:eastAsia="仿宋" w:cs="仿宋"/>
          <w:sz w:val="32"/>
          <w:szCs w:val="32"/>
        </w:rPr>
        <w:t>政府采购</w:t>
      </w:r>
      <w:r>
        <w:rPr>
          <w:rFonts w:hint="eastAsia" w:ascii="仿宋" w:hAnsi="仿宋" w:eastAsia="仿宋" w:cs="仿宋"/>
          <w:sz w:val="32"/>
          <w:szCs w:val="32"/>
          <w:lang w:eastAsia="zh-CN"/>
        </w:rPr>
        <w:t>、</w:t>
      </w:r>
      <w:r>
        <w:rPr>
          <w:rFonts w:hint="eastAsia" w:ascii="仿宋" w:hAnsi="仿宋" w:eastAsia="仿宋" w:cs="仿宋"/>
          <w:sz w:val="32"/>
          <w:szCs w:val="32"/>
        </w:rPr>
        <w:t>评审</w:t>
      </w:r>
      <w:r>
        <w:rPr>
          <w:rFonts w:hint="eastAsia" w:ascii="仿宋" w:hAnsi="仿宋" w:eastAsia="仿宋" w:cs="仿宋"/>
          <w:sz w:val="32"/>
          <w:szCs w:val="32"/>
          <w:lang w:eastAsia="zh-CN"/>
        </w:rPr>
        <w:t>等</w:t>
      </w:r>
      <w:r>
        <w:rPr>
          <w:rFonts w:hint="eastAsia" w:ascii="仿宋" w:hAnsi="仿宋" w:eastAsia="仿宋" w:cs="仿宋"/>
          <w:sz w:val="32"/>
          <w:szCs w:val="32"/>
        </w:rPr>
        <w:t>财政改革。</w:t>
      </w:r>
    </w:p>
    <w:p>
      <w:pPr>
        <w:pStyle w:val="17"/>
        <w:widowControl/>
        <w:ind w:firstLine="640"/>
        <w:rPr>
          <w:rFonts w:eastAsia="黑体"/>
          <w:sz w:val="32"/>
          <w:szCs w:val="32"/>
        </w:rPr>
      </w:pPr>
      <w:r>
        <w:rPr>
          <w:rFonts w:eastAsia="黑体"/>
          <w:sz w:val="32"/>
          <w:szCs w:val="32"/>
        </w:rPr>
        <w:t>七、存在的问题及原因分析</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3"/>
        <w:jc w:val="left"/>
        <w:textAlignment w:val="auto"/>
        <w:rPr>
          <w:rFonts w:hint="eastAsia" w:ascii="仿宋_GB2312" w:hAnsi="Times New Roman" w:eastAsia="仿宋_GB2312" w:cs="仿宋_GB2312"/>
          <w:kern w:val="0"/>
          <w:sz w:val="32"/>
          <w:szCs w:val="32"/>
          <w:shd w:val="clear" w:color="auto" w:fill="FFFFFF"/>
          <w:lang w:eastAsia="zh-CN" w:bidi="ar"/>
        </w:rPr>
      </w:pPr>
      <w:r>
        <w:rPr>
          <w:rFonts w:hint="eastAsia" w:ascii="仿宋_GB2312" w:hAnsi="Times New Roman" w:eastAsia="仿宋_GB2312" w:cs="仿宋_GB2312"/>
          <w:kern w:val="0"/>
          <w:sz w:val="32"/>
          <w:szCs w:val="32"/>
          <w:shd w:val="clear" w:color="auto" w:fill="FFFFFF"/>
          <w:lang w:eastAsia="zh-CN" w:bidi="ar"/>
        </w:rPr>
        <w:t>202</w:t>
      </w:r>
      <w:r>
        <w:rPr>
          <w:rFonts w:hint="eastAsia" w:ascii="仿宋_GB2312" w:hAnsi="Times New Roman" w:eastAsia="仿宋_GB2312" w:cs="仿宋_GB2312"/>
          <w:kern w:val="0"/>
          <w:sz w:val="32"/>
          <w:szCs w:val="32"/>
          <w:shd w:val="clear" w:color="auto" w:fill="FFFFFF"/>
          <w:lang w:val="en-US" w:eastAsia="zh-CN" w:bidi="ar"/>
        </w:rPr>
        <w:t>2</w:t>
      </w:r>
      <w:r>
        <w:rPr>
          <w:rFonts w:hint="eastAsia" w:ascii="仿宋_GB2312" w:hAnsi="Times New Roman" w:eastAsia="仿宋_GB2312" w:cs="仿宋_GB2312"/>
          <w:kern w:val="0"/>
          <w:sz w:val="32"/>
          <w:szCs w:val="32"/>
          <w:shd w:val="clear" w:color="auto" w:fill="FFFFFF"/>
          <w:lang w:eastAsia="zh-CN" w:bidi="ar"/>
        </w:rPr>
        <w:t>年，我局</w:t>
      </w:r>
      <w:r>
        <w:rPr>
          <w:rFonts w:hint="eastAsia" w:ascii="仿宋_GB2312" w:hAnsi="Times New Roman" w:eastAsia="仿宋_GB2312" w:cs="仿宋_GB2312"/>
          <w:kern w:val="0"/>
          <w:sz w:val="32"/>
          <w:szCs w:val="32"/>
          <w:shd w:val="clear" w:color="auto" w:fill="FFFFFF"/>
          <w:lang w:bidi="ar"/>
        </w:rPr>
        <w:t>整体支出</w:t>
      </w:r>
      <w:r>
        <w:rPr>
          <w:rFonts w:hint="eastAsia" w:ascii="仿宋_GB2312" w:hAnsi="Times New Roman" w:eastAsia="仿宋_GB2312" w:cs="仿宋_GB2312"/>
          <w:kern w:val="0"/>
          <w:sz w:val="32"/>
          <w:szCs w:val="32"/>
          <w:shd w:val="clear" w:color="auto" w:fill="FFFFFF"/>
          <w:lang w:eastAsia="zh-CN" w:bidi="ar"/>
        </w:rPr>
        <w:t>执行情况总体较好，与上年比较，预算完成率上升，预算调整率有所下降，但</w:t>
      </w:r>
      <w:r>
        <w:rPr>
          <w:rFonts w:hint="eastAsia" w:ascii="仿宋_GB2312" w:hAnsi="Times New Roman" w:eastAsia="仿宋_GB2312" w:cs="仿宋_GB2312"/>
          <w:kern w:val="0"/>
          <w:sz w:val="32"/>
          <w:szCs w:val="32"/>
          <w:shd w:val="clear" w:color="auto" w:fill="FFFFFF"/>
          <w:lang w:bidi="ar"/>
        </w:rPr>
        <w:t>在预算执行方面</w:t>
      </w:r>
      <w:r>
        <w:rPr>
          <w:rFonts w:hint="eastAsia" w:ascii="仿宋_GB2312" w:hAnsi="Times New Roman" w:eastAsia="仿宋_GB2312" w:cs="仿宋_GB2312"/>
          <w:kern w:val="0"/>
          <w:sz w:val="32"/>
          <w:szCs w:val="32"/>
          <w:shd w:val="clear" w:color="auto" w:fill="FFFFFF"/>
          <w:lang w:eastAsia="zh-CN" w:bidi="ar"/>
        </w:rPr>
        <w:t>也</w:t>
      </w:r>
      <w:r>
        <w:rPr>
          <w:rFonts w:hint="eastAsia" w:ascii="仿宋_GB2312" w:hAnsi="Times New Roman" w:eastAsia="仿宋_GB2312" w:cs="仿宋_GB2312"/>
          <w:kern w:val="0"/>
          <w:sz w:val="32"/>
          <w:szCs w:val="32"/>
          <w:shd w:val="clear" w:color="auto" w:fill="FFFFFF"/>
          <w:lang w:bidi="ar"/>
        </w:rPr>
        <w:t>还存在一些问题和不足：</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rPr>
          <w:rFonts w:hint="eastAsia" w:eastAsia="仿宋_GB2312" w:cs="Times New Roman"/>
          <w:sz w:val="32"/>
          <w:szCs w:val="32"/>
          <w:lang w:eastAsia="zh-CN"/>
        </w:rPr>
      </w:pPr>
      <w:r>
        <w:rPr>
          <w:rFonts w:hint="eastAsia" w:ascii="仿宋" w:hAnsi="仿宋" w:eastAsia="仿宋" w:cs="Arial"/>
          <w:b/>
          <w:bCs/>
          <w:color w:val="333333"/>
          <w:sz w:val="32"/>
          <w:szCs w:val="32"/>
          <w:lang w:val="en-US" w:eastAsia="zh-CN"/>
        </w:rPr>
        <w:t>（1）</w:t>
      </w:r>
      <w:r>
        <w:rPr>
          <w:rFonts w:hint="eastAsia" w:ascii="仿宋" w:hAnsi="仿宋" w:eastAsia="仿宋" w:cs="Arial"/>
          <w:b/>
          <w:bCs/>
          <w:color w:val="333333"/>
          <w:sz w:val="32"/>
          <w:szCs w:val="32"/>
          <w:lang w:eastAsia="zh-CN"/>
        </w:rPr>
        <w:t>预算执行率有待进一步提高。</w:t>
      </w:r>
      <w:r>
        <w:rPr>
          <w:rFonts w:hint="eastAsia" w:eastAsia="仿宋_GB2312"/>
          <w:sz w:val="32"/>
          <w:szCs w:val="32"/>
          <w:lang w:eastAsia="zh-CN"/>
        </w:rPr>
        <w:t>由于疫情冲击、厉行节约等因</w:t>
      </w:r>
      <w:r>
        <w:rPr>
          <w:rFonts w:hint="eastAsia" w:eastAsia="仿宋_GB2312" w:cs="Times New Roman"/>
          <w:sz w:val="32"/>
          <w:szCs w:val="32"/>
          <w:lang w:eastAsia="zh-CN"/>
        </w:rPr>
        <w:t>素</w:t>
      </w:r>
      <w:r>
        <w:rPr>
          <w:rFonts w:hint="eastAsia" w:eastAsia="仿宋_GB2312"/>
          <w:sz w:val="32"/>
          <w:szCs w:val="32"/>
          <w:lang w:eastAsia="zh-CN"/>
        </w:rPr>
        <w:t>影响</w:t>
      </w:r>
      <w:r>
        <w:rPr>
          <w:rFonts w:hint="eastAsia" w:eastAsia="仿宋_GB2312" w:cs="Times New Roman"/>
          <w:sz w:val="32"/>
          <w:szCs w:val="32"/>
          <w:lang w:eastAsia="zh-CN"/>
        </w:rPr>
        <w:t>，一方面会议费、培训费、公务接待等项目执行情况与年初预算有一定的偏差，预算执行率偏低；另一方面由于人员经费的政策性调整，</w:t>
      </w:r>
      <w:r>
        <w:rPr>
          <w:rFonts w:hint="eastAsia" w:eastAsia="仿宋_GB2312" w:cs="Times New Roman"/>
          <w:sz w:val="32"/>
          <w:szCs w:val="32"/>
          <w:lang w:val="en-US" w:eastAsia="zh-CN"/>
        </w:rPr>
        <w:t>以及部分公共财政项目支出增加，</w:t>
      </w:r>
      <w:r>
        <w:rPr>
          <w:rFonts w:hint="eastAsia" w:eastAsia="仿宋_GB2312" w:cs="Times New Roman"/>
          <w:sz w:val="32"/>
          <w:szCs w:val="32"/>
          <w:lang w:eastAsia="zh-CN"/>
        </w:rPr>
        <w:t>年中存在追加的情况。我们将在下年加以重视，提前谋划，科学编制项目预算，进一步提高预算编制的精确性。</w:t>
      </w:r>
      <w:r>
        <w:rPr>
          <w:rFonts w:hint="eastAsia" w:eastAsia="仿宋_GB2312" w:cs="Times New Roman"/>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rPr>
          <w:rFonts w:eastAsia="黑体"/>
          <w:sz w:val="32"/>
          <w:szCs w:val="32"/>
        </w:rPr>
      </w:pPr>
      <w:r>
        <w:rPr>
          <w:rFonts w:hint="eastAsia" w:ascii="仿宋" w:hAnsi="仿宋" w:eastAsia="仿宋" w:cs="Arial"/>
          <w:b/>
          <w:bCs/>
          <w:color w:val="333333"/>
          <w:sz w:val="32"/>
          <w:szCs w:val="32"/>
          <w:lang w:val="en-US" w:eastAsia="zh-CN"/>
        </w:rPr>
        <w:t>（2）预算</w:t>
      </w:r>
      <w:r>
        <w:rPr>
          <w:rFonts w:hint="eastAsia" w:ascii="仿宋" w:hAnsi="仿宋" w:eastAsia="仿宋" w:cs="Arial"/>
          <w:b/>
          <w:bCs/>
          <w:color w:val="333333"/>
          <w:sz w:val="32"/>
          <w:szCs w:val="32"/>
          <w:lang w:eastAsia="zh-CN"/>
        </w:rPr>
        <w:t>调整率有待降低。</w:t>
      </w:r>
      <w:r>
        <w:rPr>
          <w:rFonts w:hint="eastAsia" w:ascii="Times New Roman" w:hAnsi="Times New Roman" w:eastAsia="仿宋_GB2312" w:cs="仿宋_GB2312"/>
          <w:b w:val="0"/>
          <w:bCs w:val="0"/>
          <w:color w:val="auto"/>
          <w:kern w:val="2"/>
          <w:sz w:val="32"/>
          <w:szCs w:val="32"/>
          <w:lang w:val="en-US" w:eastAsia="zh-CN" w:bidi="ar-SA"/>
        </w:rPr>
        <w:t>部分项目支出预算编制不够精细，如经济分类科目为其他商品和服务支出，未进行细化明确，导致与实际支付业务不一致，不便于预算的执行。为确保资金专款专用，需要在年度内进行预算指标调整，从而导致了预算调整数增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针对上述存在的问题及我局整体支出管理工作的需要，拟采取以下改进措施：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lang w:eastAsia="zh-CN"/>
        </w:rPr>
      </w:pPr>
      <w:r>
        <w:rPr>
          <w:rFonts w:hint="eastAsia" w:ascii="Times New Roman" w:hAnsi="Times New Roman" w:eastAsia="仿宋_GB2312" w:cs="仿宋_GB2312"/>
          <w:b/>
          <w:bCs/>
          <w:sz w:val="32"/>
          <w:szCs w:val="32"/>
          <w:lang w:val="en-US" w:eastAsia="zh-CN"/>
        </w:rPr>
        <w:t>（一）科学编制预算。</w:t>
      </w:r>
      <w:r>
        <w:rPr>
          <w:rFonts w:hint="eastAsia" w:ascii="仿宋_GB2312" w:hAnsi="仿宋_GB2312" w:eastAsia="仿宋_GB2312" w:cs="仿宋_GB2312"/>
          <w:sz w:val="32"/>
          <w:szCs w:val="32"/>
          <w:lang w:val="en-US" w:eastAsia="zh-CN"/>
        </w:rPr>
        <w:t>加强对年度财务收支情况进行分析对比，提前了解年度</w:t>
      </w:r>
      <w:r>
        <w:rPr>
          <w:rFonts w:hint="eastAsia" w:ascii="仿宋" w:hAnsi="仿宋" w:eastAsia="仿宋" w:cs="仿宋"/>
          <w:sz w:val="32"/>
          <w:szCs w:val="32"/>
        </w:rPr>
        <w:t>预算收支变化因素</w:t>
      </w:r>
      <w:r>
        <w:rPr>
          <w:rFonts w:hint="eastAsia" w:ascii="仿宋" w:hAnsi="仿宋" w:eastAsia="仿宋" w:cs="仿宋"/>
          <w:sz w:val="32"/>
          <w:szCs w:val="32"/>
          <w:lang w:eastAsia="zh-CN"/>
        </w:rPr>
        <w:t>，科学</w:t>
      </w:r>
      <w:r>
        <w:rPr>
          <w:rFonts w:hint="eastAsia" w:ascii="仿宋" w:hAnsi="仿宋" w:eastAsia="仿宋" w:cs="仿宋"/>
          <w:sz w:val="32"/>
          <w:szCs w:val="32"/>
          <w:lang w:val="en-US" w:eastAsia="zh-CN"/>
        </w:rPr>
        <w:t>合理编制预算；</w:t>
      </w:r>
      <w:r>
        <w:rPr>
          <w:rFonts w:hint="eastAsia" w:ascii="仿宋" w:hAnsi="仿宋" w:eastAsia="仿宋" w:cs="仿宋"/>
          <w:sz w:val="32"/>
          <w:szCs w:val="32"/>
          <w:lang w:eastAsia="zh-CN"/>
        </w:rPr>
        <w:t>认真</w:t>
      </w:r>
      <w:r>
        <w:rPr>
          <w:rFonts w:hint="eastAsia" w:ascii="仿宋" w:hAnsi="仿宋" w:eastAsia="仿宋" w:cs="仿宋"/>
          <w:sz w:val="32"/>
          <w:szCs w:val="32"/>
        </w:rPr>
        <w:t>分析</w:t>
      </w:r>
      <w:r>
        <w:rPr>
          <w:rFonts w:hint="eastAsia" w:ascii="仿宋" w:hAnsi="仿宋" w:eastAsia="仿宋" w:cs="仿宋"/>
          <w:sz w:val="32"/>
          <w:szCs w:val="32"/>
          <w:lang w:eastAsia="zh-CN"/>
        </w:rPr>
        <w:t>测算</w:t>
      </w:r>
      <w:r>
        <w:rPr>
          <w:rFonts w:hint="eastAsia" w:ascii="仿宋" w:hAnsi="仿宋" w:eastAsia="仿宋" w:cs="仿宋"/>
          <w:sz w:val="32"/>
          <w:szCs w:val="32"/>
        </w:rPr>
        <w:t>预算项目的必要性、可行性和所需资金，将预算细化到</w:t>
      </w:r>
      <w:r>
        <w:rPr>
          <w:rFonts w:hint="eastAsia" w:ascii="仿宋_GB2312" w:hAnsi="仿宋_GB2312" w:eastAsia="仿宋_GB2312" w:cs="仿宋_GB2312"/>
          <w:sz w:val="32"/>
          <w:szCs w:val="32"/>
          <w:lang w:val="en-US" w:eastAsia="zh-CN"/>
        </w:rPr>
        <w:t>支出经济分类项目</w:t>
      </w:r>
      <w:r>
        <w:rPr>
          <w:rFonts w:hint="eastAsia" w:ascii="仿宋" w:hAnsi="仿宋" w:eastAsia="仿宋" w:cs="仿宋"/>
          <w:sz w:val="32"/>
          <w:szCs w:val="32"/>
        </w:rPr>
        <w:t>，</w:t>
      </w:r>
      <w:r>
        <w:rPr>
          <w:rFonts w:hint="eastAsia" w:ascii="仿宋_GB2312" w:hAnsi="仿宋_GB2312" w:eastAsia="仿宋_GB2312" w:cs="仿宋_GB2312"/>
          <w:sz w:val="32"/>
          <w:szCs w:val="32"/>
          <w:lang w:val="en-US" w:eastAsia="zh-CN"/>
        </w:rPr>
        <w:t>提高预算编制的</w:t>
      </w:r>
      <w:r>
        <w:rPr>
          <w:rFonts w:hint="eastAsia" w:ascii="仿宋" w:hAnsi="仿宋" w:eastAsia="仿宋" w:cs="仿宋"/>
          <w:sz w:val="32"/>
          <w:szCs w:val="32"/>
        </w:rPr>
        <w:t>科学性、合理性和准确性</w:t>
      </w:r>
      <w:r>
        <w:rPr>
          <w:rFonts w:hint="eastAsia" w:ascii="仿宋_GB2312" w:hAnsi="仿宋_GB2312" w:eastAsia="仿宋_GB2312" w:cs="仿宋_GB2312"/>
          <w:sz w:val="32"/>
          <w:szCs w:val="32"/>
          <w:lang w:val="en-US" w:eastAsia="zh-CN"/>
        </w:rPr>
        <w:t>，以</w:t>
      </w:r>
      <w:r>
        <w:rPr>
          <w:rFonts w:hint="eastAsia" w:ascii="仿宋" w:hAnsi="仿宋" w:eastAsia="仿宋" w:cs="仿宋"/>
          <w:sz w:val="32"/>
          <w:szCs w:val="32"/>
        </w:rPr>
        <w:t>增强预算的可操作性，减少</w:t>
      </w:r>
      <w:r>
        <w:rPr>
          <w:rFonts w:hint="eastAsia" w:ascii="仿宋" w:hAnsi="仿宋" w:eastAsia="仿宋" w:cs="仿宋"/>
          <w:sz w:val="32"/>
          <w:szCs w:val="32"/>
          <w:lang w:eastAsia="zh-CN"/>
        </w:rPr>
        <w:t>预算调整事项</w:t>
      </w:r>
      <w:r>
        <w:rPr>
          <w:rFonts w:hint="eastAsia" w:ascii="仿宋" w:hAnsi="仿宋" w:eastAsia="仿宋" w:cs="仿宋"/>
          <w:sz w:val="32"/>
          <w:szCs w:val="32"/>
        </w:rPr>
        <w:t>，以提高财政资金使用效益。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jc w:val="left"/>
        <w:textAlignment w:val="auto"/>
      </w:pPr>
      <w:r>
        <w:rPr>
          <w:rFonts w:hint="eastAsia" w:ascii="Times New Roman" w:hAnsi="Times New Roman" w:eastAsia="仿宋_GB2312" w:cs="仿宋_GB2312"/>
          <w:b/>
          <w:bCs/>
          <w:sz w:val="32"/>
          <w:szCs w:val="32"/>
          <w:lang w:val="en-US" w:eastAsia="zh-CN"/>
        </w:rPr>
        <w:t>（二）强化预算执行。</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b w:val="0"/>
          <w:bCs w:val="0"/>
          <w:kern w:val="2"/>
          <w:sz w:val="32"/>
          <w:szCs w:val="32"/>
          <w:lang w:val="en-US" w:eastAsia="zh-CN" w:bidi="ar-SA"/>
        </w:rPr>
        <w:t>财政部2022年出台的《中央财政预算管理一体化资金支付管理办法（试行）》的要求，</w:t>
      </w:r>
      <w:r>
        <w:rPr>
          <w:rFonts w:hint="eastAsia" w:ascii="Times New Roman" w:hAnsi="Times New Roman" w:eastAsia="仿宋_GB2312" w:cs="仿宋_GB2312"/>
          <w:color w:val="auto"/>
          <w:sz w:val="32"/>
          <w:szCs w:val="32"/>
          <w:lang w:val="en-US" w:eastAsia="zh-CN"/>
        </w:rPr>
        <w:t>严格预算执行，</w:t>
      </w:r>
      <w:r>
        <w:rPr>
          <w:rFonts w:hint="default" w:ascii="仿宋_GB2312" w:hAnsi="仿宋_GB2312" w:eastAsia="仿宋_GB2312" w:cs="仿宋_GB2312"/>
          <w:b w:val="0"/>
          <w:bCs w:val="0"/>
          <w:kern w:val="2"/>
          <w:sz w:val="32"/>
          <w:szCs w:val="32"/>
          <w:lang w:val="en-US" w:eastAsia="zh-CN" w:bidi="ar-SA"/>
        </w:rPr>
        <w:t>经济分类科目</w:t>
      </w:r>
      <w:r>
        <w:rPr>
          <w:rFonts w:hint="eastAsia" w:ascii="仿宋_GB2312" w:hAnsi="仿宋_GB2312" w:eastAsia="仿宋_GB2312" w:cs="仿宋_GB2312"/>
          <w:b w:val="0"/>
          <w:bCs w:val="0"/>
          <w:kern w:val="2"/>
          <w:sz w:val="32"/>
          <w:szCs w:val="32"/>
          <w:lang w:val="en-US" w:eastAsia="zh-CN" w:bidi="ar-SA"/>
        </w:rPr>
        <w:t>到</w:t>
      </w:r>
      <w:r>
        <w:rPr>
          <w:rFonts w:hint="default" w:ascii="仿宋_GB2312" w:hAnsi="仿宋_GB2312" w:eastAsia="仿宋_GB2312" w:cs="仿宋_GB2312"/>
          <w:b w:val="0"/>
          <w:bCs w:val="0"/>
          <w:kern w:val="2"/>
          <w:sz w:val="32"/>
          <w:szCs w:val="32"/>
          <w:lang w:val="en-US" w:eastAsia="zh-CN" w:bidi="ar-SA"/>
        </w:rPr>
        <w:t>类级</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支出功能分类科目</w:t>
      </w:r>
      <w:r>
        <w:rPr>
          <w:rFonts w:hint="eastAsia" w:ascii="仿宋_GB2312" w:hAnsi="仿宋_GB2312" w:eastAsia="仿宋_GB2312" w:cs="仿宋_GB2312"/>
          <w:b w:val="0"/>
          <w:bCs w:val="0"/>
          <w:kern w:val="2"/>
          <w:sz w:val="32"/>
          <w:szCs w:val="32"/>
          <w:lang w:val="en-US" w:eastAsia="zh-CN" w:bidi="ar-SA"/>
        </w:rPr>
        <w:t>到</w:t>
      </w:r>
      <w:r>
        <w:rPr>
          <w:rFonts w:hint="default" w:ascii="仿宋_GB2312" w:hAnsi="仿宋_GB2312" w:eastAsia="仿宋_GB2312" w:cs="仿宋_GB2312"/>
          <w:b w:val="0"/>
          <w:bCs w:val="0"/>
          <w:kern w:val="2"/>
          <w:sz w:val="32"/>
          <w:szCs w:val="32"/>
          <w:lang w:val="en-US" w:eastAsia="zh-CN" w:bidi="ar-SA"/>
        </w:rPr>
        <w:t>底级</w:t>
      </w:r>
      <w:r>
        <w:rPr>
          <w:rFonts w:hint="eastAsia" w:ascii="Times New Roman" w:hAnsi="Times New Roman" w:eastAsia="仿宋_GB2312" w:cs="仿宋_GB2312"/>
          <w:sz w:val="32"/>
          <w:szCs w:val="32"/>
          <w:lang w:val="en-US" w:eastAsia="zh-CN"/>
        </w:rPr>
        <w:t>，尽量做到一一对应。</w:t>
      </w:r>
      <w:r>
        <w:rPr>
          <w:rFonts w:hint="eastAsia" w:ascii="仿宋_GB2312" w:hAnsi="仿宋_GB2312" w:eastAsia="仿宋_GB2312" w:cs="仿宋_GB2312"/>
          <w:sz w:val="32"/>
          <w:szCs w:val="32"/>
          <w:lang w:val="en-US" w:eastAsia="zh-CN"/>
        </w:rPr>
        <w:t>同时强化项目库管理，整合项目资金，进一步强化预算刚性约束。</w:t>
      </w:r>
    </w:p>
    <w:p>
      <w:pPr>
        <w:widowControl/>
        <w:numPr>
          <w:ilvl w:val="0"/>
          <w:numId w:val="3"/>
        </w:numPr>
        <w:ind w:firstLine="640" w:firstLineChars="200"/>
        <w:rPr>
          <w:rFonts w:hint="eastAsia" w:ascii="黑体" w:hAnsi="黑体" w:eastAsia="黑体" w:cs="黑体"/>
          <w:kern w:val="0"/>
          <w:sz w:val="32"/>
          <w:szCs w:val="32"/>
        </w:rPr>
      </w:pPr>
      <w:r>
        <w:rPr>
          <w:rFonts w:ascii="Times New Roman" w:hAnsi="Times New Roman" w:eastAsia="黑体"/>
          <w:sz w:val="32"/>
          <w:szCs w:val="32"/>
        </w:rPr>
        <w:t>其他需要说明的情况</w:t>
      </w: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rPr>
        <w:t>（盖章）</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8"/>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275</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227</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82.56%</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5762.58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3489.98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5944.87</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907.23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1021.55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902.48</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52.68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97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67.09</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116.88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82.81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134.59</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13.94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104.4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29.04</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lang w:val="en-US" w:eastAsia="zh-CN"/>
              </w:rPr>
              <w:t>34.61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143</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30.6</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27.29</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48.6</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28.25</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27.29</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48.6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28.25</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14.4</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7.33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80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2.35</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lang w:val="en-US" w:eastAsia="zh-CN"/>
              </w:rPr>
              <w:t>2134.8</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2857.18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2791.66</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rPr>
              <w:t>2</w:t>
            </w:r>
            <w:r>
              <w:rPr>
                <w:rFonts w:ascii="Times New Roman" w:hAnsi="Times New Roman"/>
                <w:kern w:val="0"/>
                <w:szCs w:val="21"/>
              </w:rPr>
              <w:t>、业务工作专项(一个项目一行)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市级专项资金</w:t>
            </w:r>
            <w:r>
              <w:rPr>
                <w:rFonts w:ascii="Times New Roman" w:hAnsi="Times New Roman"/>
                <w:kern w:val="0"/>
                <w:szCs w:val="21"/>
              </w:rPr>
              <w:t>(一个项目一行)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附件3</w:t>
      </w:r>
    </w:p>
    <w:tbl>
      <w:tblPr>
        <w:tblStyle w:val="8"/>
        <w:tblW w:w="9999" w:type="dxa"/>
        <w:jc w:val="center"/>
        <w:tblLayout w:type="fixed"/>
        <w:tblCellMar>
          <w:top w:w="0" w:type="dxa"/>
          <w:left w:w="108" w:type="dxa"/>
          <w:bottom w:w="0" w:type="dxa"/>
          <w:right w:w="108" w:type="dxa"/>
        </w:tblCellMar>
      </w:tblPr>
      <w:tblGrid>
        <w:gridCol w:w="1363"/>
        <w:gridCol w:w="1020"/>
        <w:gridCol w:w="1110"/>
        <w:gridCol w:w="1125"/>
        <w:gridCol w:w="1365"/>
        <w:gridCol w:w="86"/>
        <w:gridCol w:w="1339"/>
        <w:gridCol w:w="765"/>
        <w:gridCol w:w="666"/>
        <w:gridCol w:w="189"/>
        <w:gridCol w:w="971"/>
      </w:tblGrid>
      <w:tr>
        <w:tblPrEx>
          <w:tblCellMar>
            <w:top w:w="0" w:type="dxa"/>
            <w:left w:w="108" w:type="dxa"/>
            <w:bottom w:w="0" w:type="dxa"/>
            <w:right w:w="108" w:type="dxa"/>
          </w:tblCellMar>
        </w:tblPrEx>
        <w:trPr>
          <w:trHeight w:val="549" w:hRule="atLeast"/>
          <w:jc w:val="center"/>
        </w:trPr>
        <w:tc>
          <w:tcPr>
            <w:tcW w:w="9999"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1"/>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（2022年度）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衡阳市财政局</w:t>
            </w:r>
          </w:p>
        </w:tc>
        <w:tc>
          <w:tcPr>
            <w:tcW w:w="14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765"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85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rPr>
              <w:t>6347.16</w:t>
            </w:r>
          </w:p>
        </w:tc>
        <w:tc>
          <w:tcPr>
            <w:tcW w:w="142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6347.16</w:t>
            </w:r>
          </w:p>
        </w:tc>
        <w:tc>
          <w:tcPr>
            <w:tcW w:w="765"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85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6347.16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按支出性质分：6347.16</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rPr>
              <w:t>5905.16</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其中：基本支出：3489.98</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项目支出：2857.18</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rPr>
              <w:t>442</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90" w:hRule="atLeast"/>
          <w:jc w:val="center"/>
        </w:trPr>
        <w:tc>
          <w:tcPr>
            <w:tcW w:w="136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0"/>
            <w:tcBorders>
              <w:top w:val="single" w:color="auto" w:sz="4" w:space="0"/>
              <w:left w:val="nil"/>
              <w:right w:val="single" w:color="auto" w:sz="4" w:space="0"/>
            </w:tcBorders>
            <w:shd w:val="clear" w:color="auto" w:fill="auto"/>
            <w:noWrap/>
            <w:vAlign w:val="center"/>
          </w:tcPr>
          <w:p>
            <w:pPr>
              <w:widowControl/>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目标1： 推进产业集聚发展 。推进“三高四新”财源建设；支持招商引资工作，推进重点优势产业链建设； 缓解企业融资难问题， 降低融资成本。</w:t>
            </w:r>
          </w:p>
          <w:p>
            <w:pPr>
              <w:widowControl/>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目标2： 狠抓增收节支 。积极抓好财政收入，积极争取上级资金，提高全口径税收占GDP的比重； 坚持量入为出原则，严格把好财政支出关口。</w:t>
            </w:r>
          </w:p>
          <w:p>
            <w:pPr>
              <w:widowControl/>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目标3： 保障重点领域资金 。落实“三保”支出； 落实就业优先政策，办好优质公平教育； 全面实施乡村振兴战略； 保障“三强一化”建设。</w:t>
            </w:r>
          </w:p>
          <w:p>
            <w:pPr>
              <w:widowControl/>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目标4： 狠抓财政管理 。健全预算管理制度，完善预算管理一体化系统； 全面实施预算绩效管理； 规范推进预决算公开、政府采购、财政投资评审机制； 狠抓债务管控， 防范化解债务风险</w:t>
            </w:r>
            <w:r>
              <w:rPr>
                <w:rFonts w:hint="eastAsia" w:ascii="Times New Roman" w:hAnsi="Times New Roman" w:eastAsia="仿宋_GB2312"/>
                <w:color w:val="000000"/>
                <w:kern w:val="0"/>
                <w:szCs w:val="21"/>
                <w:lang w:eastAsia="zh-CN"/>
              </w:rPr>
              <w:t>。</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预算管理一体化工作</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实现预算单位数据的集中统一管理和上下贯通，保证预算管理规范安全高效。</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基本达到预期指标</w:t>
            </w:r>
          </w:p>
          <w:p>
            <w:pPr>
              <w:widowControl/>
              <w:jc w:val="left"/>
              <w:rPr>
                <w:rFonts w:ascii="Times New Roman" w:hAnsi="Times New Roman" w:eastAsia="仿宋_GB2312"/>
                <w:color w:val="000000"/>
                <w:kern w:val="0"/>
                <w:szCs w:val="21"/>
              </w:rPr>
            </w:pP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投资评审工作</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科学开展评审工作，保证财政投资评审报告结论客观、公平、公正。改进 和加强政府投资工程项目造价管理的精细化和高效化。</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为做好评审工作、防范工程项目</w:t>
            </w:r>
            <w:r>
              <w:rPr>
                <w:rFonts w:hint="eastAsia" w:ascii="Times New Roman" w:hAnsi="Times New Roman" w:eastAsia="仿宋_GB2312"/>
                <w:color w:val="000000" w:themeColor="text1"/>
                <w:kern w:val="0"/>
                <w:szCs w:val="21"/>
                <w:lang w:eastAsia="zh-CN"/>
                <w14:textFill>
                  <w14:solidFill>
                    <w14:schemeClr w14:val="tx1"/>
                  </w14:solidFill>
                </w14:textFill>
              </w:rPr>
              <w:t>风险请相关部门层层把关</w:t>
            </w:r>
            <w:r>
              <w:rPr>
                <w:rFonts w:hint="eastAsia" w:ascii="Times New Roman" w:hAnsi="Times New Roman" w:eastAsia="仿宋_GB2312"/>
                <w:color w:val="000000"/>
                <w:kern w:val="0"/>
                <w:szCs w:val="21"/>
              </w:rPr>
              <w:t>推进建立公开透明的财政制度</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绩效体系建设</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推动预算和绩效管理一体化，对各预算单位开展的自评工作进行审核与检 查，并开展不少于40个部门整体支出、30个重点项目支出的绩效评价工作。</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eastAsia="zh-CN"/>
                <w14:textFill>
                  <w14:solidFill>
                    <w14:schemeClr w14:val="tx1"/>
                  </w14:solidFill>
                </w14:textFill>
              </w:rPr>
              <w:t>对市本级41个项目和单位开展重点绩效评价，评价资金138.98亿元。</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加强监管</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强化财政资金监管力度，提高财政监督检查效果，加强单位内部控制，至少2次对重点项目开展检查，为财政资金科学规范使用提供有力保障。</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eastAsia="zh-CN"/>
                <w14:textFill>
                  <w14:solidFill>
                    <w14:schemeClr w14:val="tx1"/>
                  </w14:solidFill>
                </w14:textFill>
              </w:rPr>
              <w:t>开展了预决算公开核查、会计信息质量检查等。</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培训质量考核</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根据实际要求对符合培训条件的人员展开培训。</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eastAsia="zh-CN"/>
                <w14:textFill>
                  <w14:solidFill>
                    <w14:schemeClr w14:val="tx1"/>
                  </w14:solidFill>
                </w14:textFill>
              </w:rPr>
              <w:t>组织干部参加网络平台学习；采取“走出去”“请进来”交流学习。</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成本节约率</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执行过程中是否有效节约实施成本</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eastAsia" w:ascii="Times New Roman" w:hAnsi="Times New Roman" w:eastAsia="仿宋_GB2312"/>
                <w:color w:val="000000" w:themeColor="text1"/>
                <w:kern w:val="0"/>
                <w:szCs w:val="21"/>
                <w:lang w:eastAsia="zh-CN"/>
                <w14:textFill>
                  <w14:solidFill>
                    <w14:schemeClr w14:val="tx1"/>
                  </w14:solidFill>
                </w14:textFill>
              </w:rPr>
            </w:pPr>
            <w:r>
              <w:rPr>
                <w:rFonts w:hint="eastAsia" w:ascii="Times New Roman" w:hAnsi="Times New Roman" w:eastAsia="仿宋_GB2312"/>
                <w:color w:val="000000" w:themeColor="text1"/>
                <w:kern w:val="0"/>
                <w:szCs w:val="21"/>
                <w:lang w:eastAsia="zh-CN"/>
                <w14:textFill>
                  <w14:solidFill>
                    <w14:schemeClr w14:val="tx1"/>
                  </w14:solidFill>
                </w14:textFill>
              </w:rPr>
              <w:t>坚持厉行节约原则，达到预期目标。</w:t>
            </w:r>
          </w:p>
          <w:p>
            <w:pPr>
              <w:widowControl/>
              <w:jc w:val="left"/>
              <w:rPr>
                <w:rFonts w:ascii="Times New Roman" w:hAnsi="Times New Roman" w:eastAsia="仿宋_GB2312"/>
                <w:color w:val="000000"/>
                <w:kern w:val="0"/>
                <w:szCs w:val="21"/>
              </w:rPr>
            </w:pP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实施成效</w:t>
            </w:r>
          </w:p>
        </w:tc>
        <w:tc>
          <w:tcPr>
            <w:tcW w:w="14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保证监督检查过程客观、公平和公正，确保检查取得实效；科学开展绩效 管理工作，确保绩效评价结果有效利用。</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eastAsia="zh-CN"/>
                <w14:textFill>
                  <w14:solidFill>
                    <w14:schemeClr w14:val="tx1"/>
                  </w14:solidFill>
                </w14:textFill>
              </w:rPr>
              <w:t>扎实履行监督职能，确保绩效评价工作取得实效。</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提高财政资源配置效率和使用效益</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通过项目的实施，提高财政信息化水平，确保预算管理一体化改革顺利推 进，促进财政经济有序发展。</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14:textFill>
                  <w14:solidFill>
                    <w14:schemeClr w14:val="tx1"/>
                  </w14:solidFill>
                </w14:textFill>
              </w:rPr>
              <w:t>通过</w:t>
            </w:r>
            <w:r>
              <w:rPr>
                <w:rFonts w:hint="eastAsia" w:ascii="Times New Roman" w:hAnsi="Times New Roman" w:eastAsia="仿宋_GB2312"/>
                <w:color w:val="000000" w:themeColor="text1"/>
                <w:kern w:val="0"/>
                <w:szCs w:val="21"/>
                <w:lang w:eastAsia="zh-CN"/>
                <w14:textFill>
                  <w14:solidFill>
                    <w14:schemeClr w14:val="tx1"/>
                  </w14:solidFill>
                </w14:textFill>
              </w:rPr>
              <w:t>预算管理一体化</w:t>
            </w:r>
            <w:r>
              <w:rPr>
                <w:rFonts w:hint="eastAsia" w:ascii="Times New Roman" w:hAnsi="Times New Roman" w:eastAsia="仿宋_GB2312"/>
                <w:color w:val="000000" w:themeColor="text1"/>
                <w:kern w:val="0"/>
                <w:szCs w:val="21"/>
                <w14:textFill>
                  <w14:solidFill>
                    <w14:schemeClr w14:val="tx1"/>
                  </w14:solidFill>
                </w14:textFill>
              </w:rPr>
              <w:t>支付提高财政资金使用效率</w:t>
            </w:r>
            <w:r>
              <w:rPr>
                <w:rFonts w:hint="eastAsia" w:ascii="Times New Roman" w:hAnsi="Times New Roman" w:eastAsia="仿宋_GB2312"/>
                <w:color w:val="000000" w:themeColor="text1"/>
                <w:kern w:val="0"/>
                <w:szCs w:val="21"/>
                <w:lang w:eastAsia="zh-CN"/>
                <w14:textFill>
                  <w14:solidFill>
                    <w14:schemeClr w14:val="tx1"/>
                  </w14:solidFill>
                </w14:textFill>
              </w:rPr>
              <w:t>。</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保护生态环境</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巩固污染防治攻坚成果，提升生态环境质量。</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达到预期目标</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确保基本民生投入只增不减</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保障衡阳市一般公共预算支出稳步增长，民生支出的占比逐年增长。</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eastAsia="zh-CN"/>
                <w14:textFill>
                  <w14:solidFill>
                    <w14:schemeClr w14:val="tx1"/>
                  </w14:solidFill>
                </w14:textFill>
              </w:rPr>
              <w:t>民生支出430.04亿元，占比73.26%</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服务受众满意度达到95%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≥95</w:t>
            </w:r>
            <w:r>
              <w:rPr>
                <w:rFonts w:hint="eastAsia" w:ascii="Times New Roman" w:hAnsi="Times New Roman" w:eastAsia="仿宋_GB2312"/>
                <w:color w:val="000000"/>
                <w:kern w:val="0"/>
                <w:szCs w:val="21"/>
                <w:lang w:val="en-US" w:eastAsia="zh-CN"/>
              </w:rPr>
              <w:t>%</w:t>
            </w:r>
          </w:p>
        </w:tc>
        <w:tc>
          <w:tcPr>
            <w:tcW w:w="133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40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97</w:t>
            </w:r>
          </w:p>
        </w:tc>
        <w:tc>
          <w:tcPr>
            <w:tcW w:w="1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pStyle w:val="4"/>
        <w:rPr>
          <w:rFonts w:ascii="Times New Roman" w:hAnsi="Times New Roman" w:eastAsia="黑体"/>
          <w:sz w:val="32"/>
          <w:szCs w:val="32"/>
        </w:rPr>
      </w:pPr>
    </w:p>
    <w:p>
      <w:pPr>
        <w:pStyle w:val="4"/>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报表经费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衡阳市财政局</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spacing w:line="260" w:lineRule="exact"/>
              <w:jc w:val="center"/>
              <w:rPr>
                <w:rFonts w:ascii="Times New Roman" w:hAnsi="Times New Roman" w:eastAsia="仿宋_GB2312"/>
                <w:color w:val="000000"/>
                <w:kern w:val="0"/>
                <w:szCs w:val="21"/>
              </w:rPr>
            </w:pP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spacing w:line="260" w:lineRule="exact"/>
              <w:jc w:val="center"/>
              <w:rPr>
                <w:rFonts w:ascii="Times New Roman" w:hAnsi="Times New Roman" w:eastAsia="仿宋_GB2312"/>
                <w:color w:val="000000"/>
                <w:kern w:val="0"/>
                <w:szCs w:val="21"/>
              </w:rPr>
            </w:pP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spacing w:line="260" w:lineRule="exact"/>
              <w:jc w:val="center"/>
              <w:rPr>
                <w:rFonts w:ascii="Times New Roman" w:hAnsi="Times New Roman" w:eastAsia="仿宋_GB2312"/>
                <w:color w:val="000000"/>
                <w:kern w:val="0"/>
                <w:szCs w:val="21"/>
              </w:rPr>
            </w:pP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按时按质汇总编制全市财政收支旬、月报；编制好全市财政总决算、政府综合财务报告和部门决算等报表</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60" w:lineRule="exact"/>
              <w:jc w:val="center"/>
              <w:rPr>
                <w:rFonts w:ascii="Times New Roman" w:hAnsi="Times New Roman" w:eastAsia="仿宋_GB2312"/>
                <w:color w:val="000000"/>
                <w:kern w:val="0"/>
                <w:szCs w:val="21"/>
              </w:rPr>
            </w:pP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财政收支旬、月报；财政总决算、政府综合财务报告和部门决算</w:t>
            </w:r>
            <w:r>
              <w:rPr>
                <w:rFonts w:hint="eastAsia" w:ascii="Times New Roman" w:hAnsi="Times New Roman" w:eastAsia="仿宋_GB2312"/>
                <w:color w:val="000000"/>
                <w:kern w:val="0"/>
                <w:szCs w:val="21"/>
                <w:lang w:eastAsia="zh-CN"/>
              </w:rPr>
              <w:t>覆盖广度和深度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w:t>
            </w:r>
            <w:r>
              <w:rPr>
                <w:rFonts w:hint="eastAsia" w:ascii="Times New Roman" w:hAnsi="Times New Roman" w:eastAsia="仿宋_GB2312"/>
                <w:color w:val="000000"/>
                <w:kern w:val="0"/>
                <w:szCs w:val="21"/>
                <w:lang w:val="en-US" w:eastAsia="zh-CN"/>
              </w:rPr>
              <w:t>国库报表</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财政收支旬、月报、政府综合财务报告</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国库报表真实性、准确性、时效性</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按时按质完成上级要求的各项报表工作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国库报表真实性、准确性、时效性</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国库报表时效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按时间节点报送</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按照财政部、省财政厅规定时间上报</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国库报表编制、汇总、印刷存档等</w:t>
            </w:r>
            <w:r>
              <w:rPr>
                <w:rFonts w:hint="eastAsia" w:ascii="Times New Roman" w:hAnsi="Times New Roman" w:eastAsia="仿宋_GB2312"/>
                <w:color w:val="000000"/>
                <w:kern w:val="0"/>
                <w:szCs w:val="21"/>
                <w:lang w:eastAsia="zh-CN"/>
              </w:rPr>
              <w:t>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厉行节约成本原则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严格控制开支，合理使用工作经费</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60" w:lineRule="exact"/>
              <w:jc w:val="center"/>
              <w:rPr>
                <w:rFonts w:ascii="Times New Roman" w:hAnsi="Times New Roman" w:eastAsia="仿宋_GB2312"/>
                <w:color w:val="000000"/>
                <w:kern w:val="0"/>
                <w:szCs w:val="21"/>
              </w:rPr>
            </w:pP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w:t>
            </w:r>
            <w:r>
              <w:rPr>
                <w:rFonts w:hint="eastAsia" w:ascii="Times New Roman" w:hAnsi="Times New Roman" w:eastAsia="仿宋_GB2312"/>
                <w:color w:val="000000"/>
                <w:kern w:val="0"/>
                <w:szCs w:val="21"/>
                <w:lang w:val="en-US" w:eastAsia="zh-CN"/>
              </w:rPr>
              <w:t>国库报表工作效率，确保符合会计和国库制度要求</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w:t>
            </w:r>
            <w:r>
              <w:rPr>
                <w:rFonts w:hint="eastAsia" w:ascii="Times New Roman" w:hAnsi="Times New Roman" w:eastAsia="仿宋_GB2312"/>
                <w:color w:val="000000"/>
                <w:kern w:val="0"/>
                <w:szCs w:val="21"/>
                <w:lang w:val="en-US" w:eastAsia="zh-CN"/>
              </w:rPr>
              <w:t>国库报表，反映财政运行情况，提高风险识别预警能力</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提高国库报表工作效率，确保符合会计和国库制度要求</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准确及时反映各项财政数据指标，提升财政资金透明度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通过国库报表，让社会和群众了解财政运行和资金使用情况，推进建立公开透明的现代财政制度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通过国库报表，让社会和群众了解财政运行和资金使用情况</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w:t>
            </w:r>
            <w:r>
              <w:rPr>
                <w:rFonts w:hint="eastAsia" w:ascii="Times New Roman" w:hAnsi="Times New Roman" w:eastAsia="仿宋_GB2312"/>
                <w:color w:val="000000"/>
                <w:kern w:val="0"/>
                <w:szCs w:val="21"/>
                <w:lang w:val="en-US" w:eastAsia="zh-CN"/>
              </w:rPr>
              <w:t>国库报表，分析研判财政运行情况，为针对工作中出现的问题展开研究，有针对性地提出建议，使国库成为政府的参谋助手和经济发展的助推器。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科学编制国库报表，分析财政预算执行情况，研究财政政策对宏观经济、金融运行的影响。</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科学编制国库报表，分析财政预算执行情况</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w:t>
            </w:r>
            <w:r>
              <w:rPr>
                <w:rFonts w:hint="eastAsia" w:ascii="Times New Roman" w:hAnsi="Times New Roman" w:eastAsia="仿宋_GB2312"/>
                <w:color w:val="000000"/>
                <w:kern w:val="0"/>
                <w:szCs w:val="21"/>
                <w:lang w:val="en-US" w:eastAsia="zh-CN"/>
              </w:rPr>
              <w:t>报表编制工作</w:t>
            </w:r>
            <w:r>
              <w:rPr>
                <w:rFonts w:hint="eastAsia" w:ascii="Times New Roman" w:hAnsi="Times New Roman" w:eastAsia="仿宋_GB2312"/>
                <w:color w:val="000000"/>
                <w:kern w:val="0"/>
                <w:szCs w:val="21"/>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98%</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96</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w:t>
      </w:r>
    </w:p>
    <w:tbl>
      <w:tblPr>
        <w:tblStyle w:val="8"/>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14"/>
        <w:gridCol w:w="934"/>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val="en-US" w:eastAsia="zh-CN"/>
              </w:rPr>
              <w:t>财政监督工作经费</w:t>
            </w:r>
            <w:r>
              <w:rPr>
                <w:rFonts w:hint="eastAsia" w:ascii="Times New Roman" w:hAnsi="Times New Roman" w:eastAsia="仿宋_GB2312" w:cs="Times New Roman"/>
                <w:color w:val="000000"/>
                <w:kern w:val="0"/>
                <w:szCs w:val="21"/>
                <w:lang w:eastAsia="zh-CN"/>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b/>
                <w:bCs/>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项目资金</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15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年初</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全年</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预算数</w:t>
            </w:r>
          </w:p>
        </w:tc>
        <w:tc>
          <w:tcPr>
            <w:tcW w:w="1107" w:type="dxa"/>
            <w:tcBorders>
              <w:top w:val="nil"/>
              <w:left w:val="nil"/>
              <w:bottom w:val="single" w:color="auto" w:sz="4" w:space="0"/>
              <w:right w:val="single" w:color="auto" w:sz="4" w:space="0"/>
            </w:tcBorders>
            <w:shd w:val="clear" w:color="auto" w:fill="auto"/>
            <w:noWrap/>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全年</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执行数</w:t>
            </w:r>
          </w:p>
        </w:tc>
        <w:tc>
          <w:tcPr>
            <w:tcW w:w="914" w:type="dxa"/>
            <w:tcBorders>
              <w:top w:val="nil"/>
              <w:left w:val="nil"/>
              <w:bottom w:val="single" w:color="auto" w:sz="4" w:space="0"/>
              <w:right w:val="single" w:color="auto" w:sz="4" w:space="0"/>
            </w:tcBorders>
            <w:shd w:val="clear" w:color="auto" w:fill="auto"/>
            <w:noWrap/>
          </w:tcPr>
          <w:p>
            <w:pPr>
              <w:widowControl/>
              <w:ind w:firstLine="210" w:firstLineChars="100"/>
              <w:jc w:val="left"/>
              <w:rPr>
                <w:rFonts w:hint="eastAsia" w:ascii="Times New Roman" w:hAnsi="Times New Roman" w:eastAsia="仿宋_GB2312"/>
                <w:color w:val="000000"/>
                <w:kern w:val="0"/>
                <w:szCs w:val="21"/>
                <w:lang w:eastAsia="zh-CN"/>
              </w:rPr>
            </w:pP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分值</w:t>
            </w:r>
          </w:p>
        </w:tc>
        <w:tc>
          <w:tcPr>
            <w:tcW w:w="934" w:type="dxa"/>
            <w:tcBorders>
              <w:top w:val="nil"/>
              <w:left w:val="nil"/>
              <w:bottom w:val="single" w:color="auto" w:sz="4" w:space="0"/>
              <w:right w:val="single" w:color="auto" w:sz="4" w:space="0"/>
            </w:tcBorders>
            <w:shd w:val="clear" w:color="auto" w:fill="auto"/>
            <w:noWrap/>
          </w:tcPr>
          <w:p>
            <w:pPr>
              <w:widowControl/>
              <w:ind w:firstLine="210" w:firstLineChars="100"/>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执行率</w:t>
            </w:r>
          </w:p>
        </w:tc>
        <w:tc>
          <w:tcPr>
            <w:tcW w:w="1271" w:type="dxa"/>
            <w:tcBorders>
              <w:top w:val="nil"/>
              <w:left w:val="nil"/>
              <w:bottom w:val="single" w:color="auto" w:sz="4" w:space="0"/>
              <w:right w:val="single" w:color="auto" w:sz="4" w:space="0"/>
            </w:tcBorders>
            <w:shd w:val="clear" w:color="auto" w:fill="auto"/>
            <w:noWrap/>
          </w:tcPr>
          <w:p>
            <w:pPr>
              <w:widowControl/>
              <w:ind w:firstLine="210" w:firstLineChars="100"/>
              <w:jc w:val="left"/>
              <w:rPr>
                <w:rFonts w:hint="eastAsia" w:ascii="Times New Roman" w:hAnsi="Times New Roman" w:eastAsia="仿宋_GB2312"/>
                <w:color w:val="000000"/>
                <w:kern w:val="0"/>
                <w:szCs w:val="21"/>
                <w:lang w:eastAsia="zh-CN"/>
              </w:rPr>
            </w:pP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lang w:eastAsia="zh-CN"/>
              </w:rPr>
              <w:t xml:space="preserve">万元     </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lang w:eastAsia="zh-CN"/>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lang w:eastAsia="zh-CN"/>
              </w:rPr>
              <w:t xml:space="preserve">万元     </w:t>
            </w:r>
          </w:p>
        </w:tc>
        <w:tc>
          <w:tcPr>
            <w:tcW w:w="91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w:t>
            </w:r>
          </w:p>
        </w:tc>
        <w:tc>
          <w:tcPr>
            <w:tcW w:w="93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lang w:eastAsia="zh-CN"/>
              </w:rPr>
              <w:t xml:space="preserve">万元     </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lang w:eastAsia="zh-CN"/>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lang w:eastAsia="zh-CN"/>
              </w:rPr>
              <w:t xml:space="preserve">万元     </w:t>
            </w:r>
          </w:p>
        </w:tc>
        <w:tc>
          <w:tcPr>
            <w:tcW w:w="91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3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1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3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1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3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年度总</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强化财政资金监管力度，提高财政监督检查效果，加强单位内部控制，为财政资金科学规范使用提供有力保障。</w:t>
            </w:r>
            <w:r>
              <w:rPr>
                <w:rFonts w:hint="eastAsia" w:ascii="Times New Roman" w:hAnsi="Times New Roman" w:eastAsia="仿宋_GB2312"/>
                <w:color w:val="000000"/>
                <w:kern w:val="0"/>
                <w:szCs w:val="21"/>
                <w:lang w:eastAsia="zh-CN"/>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绩</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效</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实际</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完成值</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分值</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偏差原因</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分析及</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产出</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ind w:firstLine="210" w:firstLineChars="100"/>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财政监督检查覆盖广度和深度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覆盖全市行政事业单位、会计师事务所、评估机构及投融资平台</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30个行政事业单位</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ind w:left="210" w:leftChars="100" w:firstLine="0" w:firstLineChars="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 xml:space="preserve"> 20</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19</w:t>
            </w:r>
            <w:r>
              <w:rPr>
                <w:rFonts w:hint="eastAsia" w:ascii="Times New Roman" w:hAnsi="Times New Roman" w:eastAsia="仿宋_GB2312"/>
                <w:color w:val="000000"/>
                <w:kern w:val="0"/>
                <w:szCs w:val="21"/>
                <w:lang w:eastAsia="zh-CN"/>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财政检查报告、整改通知、调研报告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出具财政检查报告和整改通知书，撰写政府会计制度调研报告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出具财政局检查报告和整改通知书30份　</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ind w:left="210" w:leftChars="100" w:firstLine="0" w:firstLineChars="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 xml:space="preserve"> 10</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财政检查报告、整改通知时效</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符合财政监督检查工作时间的规定</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完全按照财政监督检查工作时间规定执行　</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ind w:left="210" w:leftChars="100" w:firstLine="0" w:firstLineChars="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 xml:space="preserve"> 10</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lang w:eastAsia="zh-CN"/>
              </w:rPr>
            </w:pPr>
            <w:r>
              <w:rPr>
                <w:rFonts w:hint="eastAsia"/>
                <w:lang w:eastAsia="zh-CN"/>
              </w:rPr>
              <w:t>　</w:t>
            </w:r>
          </w:p>
          <w:p>
            <w:pPr>
              <w:pStyle w:val="4"/>
              <w:ind w:firstLine="210" w:firstLineChars="100"/>
              <w:rPr>
                <w:rFonts w:hint="default"/>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成本节约率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执行过程中是否有效节约实施成本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严格节约实施成本</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restart"/>
            <w:tcBorders>
              <w:top w:val="single" w:color="auto" w:sz="4" w:space="0"/>
              <w:left w:val="nil"/>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效益</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（30分）</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经济效</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提升财政资金使用效率和使用效益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通过财政监督提升行政事业单位资金使用效益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提升行政事业单位资金使用效益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continue"/>
            <w:tcBorders>
              <w:left w:val="nil"/>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社会效</w:t>
            </w: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提升财政监督工作宣传力度和社会影响力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通过财政监督检查，让社会和群众了解财政资金使用情况，加强社会共同监督，推进建立公开透明的现代财政制度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让社会了解财政资金使用情况</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加强财政资金监管，发现问题、督促整改，规范管理，提高行政事业单位内控管理。</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通过财政监督检查，解决整改问题，建立健全资金监管长效机制，财政资金科学配置使用，充分发挥效益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帮助行政事业单位科学使用资金充分发挥效益</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满意度</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对财政监督工作满意度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98%</w:t>
            </w:r>
          </w:p>
        </w:tc>
        <w:tc>
          <w:tcPr>
            <w:tcW w:w="91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3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总分</w:t>
            </w:r>
          </w:p>
        </w:tc>
        <w:tc>
          <w:tcPr>
            <w:tcW w:w="91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100</w:t>
            </w:r>
          </w:p>
        </w:tc>
        <w:tc>
          <w:tcPr>
            <w:tcW w:w="93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95</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-3</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财政理论与调研经费</w:t>
            </w: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衡阳市财政局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项目资金</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rPr>
            </w:pP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rPr>
            </w:pP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rPr>
            </w:pP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10 </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10 </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10 </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10 </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10 </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10 </w:t>
            </w:r>
            <w:r>
              <w:rPr>
                <w:rFonts w:hint="eastAsia" w:ascii="Times New Roman" w:hAnsi="Times New Roman" w:eastAsia="仿宋_GB2312"/>
                <w:color w:val="000000"/>
                <w:kern w:val="0"/>
                <w:szCs w:val="21"/>
              </w:rPr>
              <w:t>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将调研报告汇编成</w:t>
            </w:r>
            <w:r>
              <w:rPr>
                <w:rFonts w:hint="eastAsia" w:ascii="Times New Roman" w:hAnsi="Times New Roman" w:eastAsia="仿宋_GB2312"/>
                <w:color w:val="000000"/>
                <w:kern w:val="0"/>
                <w:szCs w:val="21"/>
                <w:lang w:val="en-US" w:eastAsia="zh-CN"/>
              </w:rPr>
              <w:t>调研文集，实现资源共享</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hint="eastAsia" w:ascii="Times New Roman" w:hAnsi="Times New Roman" w:eastAsia="仿宋_GB2312"/>
                <w:color w:val="000000"/>
                <w:kern w:val="0"/>
                <w:szCs w:val="21"/>
              </w:rPr>
            </w:pP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覆盖调研报告的广度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覆盖所有业务科室单位和县市区财政局</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出版《2022年衡阳财政研究文集》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调研报告数量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调研课题不低于以前年度数</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共计发表</w:t>
            </w:r>
            <w:r>
              <w:rPr>
                <w:rFonts w:hint="eastAsia" w:ascii="Times New Roman" w:hAnsi="Times New Roman" w:eastAsia="仿宋_GB2312"/>
                <w:color w:val="000000"/>
                <w:kern w:val="0"/>
                <w:szCs w:val="21"/>
                <w:lang w:val="en-US" w:eastAsia="zh-CN"/>
              </w:rPr>
              <w:t>30余篇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调研报告水平</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突出前瞻性、现实性和可操行，调研报告规范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加快成果转化运用，为领导提供决策参考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严格按照时间完成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预计全年汇编两本文集</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汇编两本</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调研工作宣传、开展成本、调研文集形成成本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以节约成本为原则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严控开支、合理使用经费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hint="eastAsia" w:ascii="Times New Roman" w:hAnsi="Times New Roman" w:eastAsia="仿宋_GB2312"/>
                <w:color w:val="000000"/>
                <w:kern w:val="0"/>
                <w:szCs w:val="21"/>
              </w:rPr>
            </w:pP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（30分）</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提高财政资源配置效率和使用效益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通过有选择性地选定课题进行研究，提高财政资金使用效益</w:t>
            </w: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调研促进财政工作开展，提升财政形象，发出财政声音，提高财政效能</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增强财政研究工作的前瞻性</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为领导决策提供参考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关注财政经济政策的发布、执行、及时进行政策解读提出有关工作思路和建议</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形成调研的良好氛围</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为推动财政经济发展作出贡献</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评比优秀调研报告，将精选的报告推荐评选、并向外部媒介平台推送</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对</w:t>
            </w:r>
            <w:r>
              <w:rPr>
                <w:rFonts w:hint="eastAsia" w:ascii="Times New Roman" w:hAnsi="Times New Roman" w:eastAsia="仿宋_GB2312"/>
                <w:color w:val="000000"/>
                <w:kern w:val="0"/>
                <w:szCs w:val="21"/>
                <w:lang w:val="en-US" w:eastAsia="zh-CN"/>
              </w:rPr>
              <w:t>财政理论与调研</w:t>
            </w:r>
            <w:r>
              <w:rPr>
                <w:rFonts w:hint="eastAsia" w:ascii="Times New Roman" w:hAnsi="Times New Roman" w:eastAsia="仿宋_GB2312"/>
                <w:color w:val="000000"/>
                <w:kern w:val="0"/>
                <w:szCs w:val="21"/>
              </w:rPr>
              <w:t>工作满意度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hint="eastAsia" w:ascii="Times New Roman" w:hAnsi="Times New Roman" w:eastAsia="黑体"/>
          <w:sz w:val="32"/>
          <w:szCs w:val="32"/>
          <w:lang w:eastAsia="zh-CN"/>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-4</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财政事业经费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50万元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50万元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50万元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both"/>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改进和加强政府投资工程项目造价管理的精细化、科学化和高效化，避免公共财政资源浪费，提出政府投资工程项目管理合理建议，为领导科学决策提供重要依据。</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覆盖全市非税征缴、查询系统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覆盖全市市级非税收入征缴，实际征缴达到年初收入预算</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完成非税收入</w:t>
            </w:r>
            <w:r>
              <w:rPr>
                <w:rFonts w:hint="eastAsia" w:ascii="Times New Roman" w:hAnsi="Times New Roman" w:eastAsia="仿宋_GB2312"/>
                <w:color w:val="000000"/>
                <w:kern w:val="0"/>
                <w:szCs w:val="21"/>
                <w:lang w:val="en-US" w:eastAsia="zh-CN"/>
              </w:rPr>
              <w:t>120</w:t>
            </w:r>
            <w:r>
              <w:rPr>
                <w:rFonts w:hint="eastAsia" w:ascii="Times New Roman" w:hAnsi="Times New Roman" w:eastAsia="仿宋_GB2312"/>
                <w:color w:val="000000"/>
                <w:kern w:val="0"/>
                <w:szCs w:val="21"/>
              </w:rPr>
              <w:t>亿元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18</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非税收入征缴入库</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依法开展非税收入征缴，确保非税收入应收尽收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全年全口径收入完成300亿元</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财政非税收入政策时效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按时间节点完成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符合中央、省及我市非税收入时效规定</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非税收入征缴工作成本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节约成本原则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严格控制成本，合理使用经费</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增加政府财力，提高财政资源配置效率和使用效益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通过非税征缴对行政事业性收费、政府性基金及服务性收费的管理</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进一步推广电子化票据，提高效率，降低成本</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支持各项基础设施建设和各项公共事业建设</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保障非税收入质量，为社会事业项目提供有效财力支持</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完成非税收入，为我市建设提供财力支持</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通过非税收入管理，规费资源调控分配，提高财政资金使用效率，建设良好营商环境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强化财政收入的统一调度，充分发挥效益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通过财政票据、收缴账户管理等，相关非税收入直接缴入财政汇缴户，统一调度</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对非税收入工作满意度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97%</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94</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widowControl/>
        <w:jc w:val="center"/>
        <w:rPr>
          <w:rFonts w:ascii="Times New Roman" w:hAnsi="Times New Roman" w:eastAsia="仿宋_GB2312"/>
          <w:color w:val="000000"/>
          <w:kern w:val="0"/>
          <w:szCs w:val="21"/>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-5</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财政系统干部经营教育培训费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 10</w:t>
            </w:r>
            <w:r>
              <w:rPr>
                <w:rFonts w:hint="eastAsia" w:ascii="Times New Roman" w:hAnsi="Times New Roman" w:eastAsia="仿宋_GB2312"/>
                <w:color w:val="000000"/>
                <w:kern w:val="0"/>
                <w:szCs w:val="21"/>
              </w:rPr>
              <w:t xml:space="preserve">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r>
              <w:rPr>
                <w:rFonts w:hint="eastAsia" w:ascii="Times New Roman" w:hAnsi="Times New Roman" w:eastAsia="仿宋_GB2312"/>
                <w:color w:val="000000"/>
                <w:kern w:val="0"/>
                <w:szCs w:val="21"/>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 xml:space="preserve">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 xml:space="preserve">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r>
              <w:rPr>
                <w:rFonts w:hint="eastAsia" w:ascii="Times New Roman" w:hAnsi="Times New Roman" w:eastAsia="仿宋_GB2312"/>
                <w:color w:val="000000"/>
                <w:kern w:val="0"/>
                <w:szCs w:val="21"/>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 xml:space="preserve">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提升干部政治素养，充实职工的知识容量，促进大家适应新时代下财政工作。</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财政系统干部人员培训覆盖面</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根据实际要求对符合培训条件的人员开展培训</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对全体干部职工开展了1次财政业务培训</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开展财政业务、政策培训</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开展培训考核，确保培训效果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明确培训工作重点，针对目标任务，精准培训。</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定期开展最新财政政策培训</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按规定要求期限完成</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按时间节点完成任务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财政系统干部人员培训成本</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严格按制度规定控制成本</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以节约成本为原则，严格控制开支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提高资金管理水平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通过培训提高资金使用效率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培训工作促进全局重学习、重研究、重落实良好氛围的养成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提升财政系统干部人员素质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提升业务能力，服务财政发展</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通过开展培训，充实干部职工的知识储备，提升职工业务能力。</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建立培训管理长效机制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持续推动业务能力不断提升</w:t>
            </w: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把培训成果转化为谋划财政改革发展的新思路和新本领</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对培训人员工作的满意度</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-6</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项目支</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产权和绩效评价</w:t>
            </w:r>
            <w:r>
              <w:rPr>
                <w:rFonts w:hint="eastAsia" w:ascii="Times New Roman" w:hAnsi="Times New Roman" w:eastAsia="仿宋_GB2312" w:cs="Times New Roman"/>
                <w:color w:val="000000"/>
                <w:kern w:val="0"/>
                <w:szCs w:val="21"/>
              </w:rPr>
              <w:t>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rPr>
              <w:t>项目资金</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年初</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全年</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全年</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s="Times New Roman"/>
                <w:color w:val="000000"/>
                <w:kern w:val="0"/>
                <w:szCs w:val="21"/>
              </w:rPr>
            </w:pP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s="Times New Roman"/>
                <w:color w:val="000000"/>
                <w:kern w:val="0"/>
                <w:szCs w:val="21"/>
              </w:rPr>
            </w:pP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s="Times New Roman"/>
                <w:color w:val="000000"/>
                <w:kern w:val="0"/>
                <w:szCs w:val="21"/>
              </w:rPr>
            </w:pP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30万</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30万</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30万</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30万</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30万</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30万</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年度总</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实际完成情况</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加大预算绩效管理政策宣传培训力度，树立预算绩效管理理念，做实绩效目标管理、实施重点绩效评价、完善绩效运行监控、建立评价结果应用机制。</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绩</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效</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指</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年度</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实际</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偏差原因</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分析及</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产出</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指标</w:t>
            </w:r>
          </w:p>
          <w:p>
            <w:pPr>
              <w:widowControl/>
              <w:jc w:val="left"/>
              <w:rPr>
                <w:rFonts w:hint="eastAsia" w:ascii="Times New Roman" w:hAnsi="Times New Roman" w:eastAsia="仿宋_GB2312" w:cs="Times New Roman"/>
                <w:color w:val="000000"/>
                <w:kern w:val="0"/>
                <w:szCs w:val="21"/>
              </w:rPr>
            </w:pP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(50分)</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绩效管理覆盖率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预算单位绩效目标申报、绩效运行监控和绩效自评覆盖率达100%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财政重点绩效评价项目</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开展财政重点绩效评价项目</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36个</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预算绩效管理水平</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确保绩效管理过程客观、公平、公正，科学开展绩效管理工作，绩效评价结果有效运用</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持续提高</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绩效管理工作完成及时率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按时间节点完成绩效管理工作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按时间节点完成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成本节约率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主要考察项目执行过程中是否有效节约实施成本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有效节约实施成本</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效益</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指标</w:t>
            </w:r>
          </w:p>
          <w:p>
            <w:pPr>
              <w:widowControl/>
              <w:jc w:val="left"/>
              <w:rPr>
                <w:rFonts w:hint="eastAsia" w:ascii="Times New Roman" w:hAnsi="Times New Roman" w:eastAsia="仿宋_GB2312" w:cs="Times New Roman"/>
                <w:color w:val="000000"/>
                <w:kern w:val="0"/>
                <w:szCs w:val="21"/>
              </w:rPr>
            </w:pP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（30分）</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经济效</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提高财政资源配置效率和使用效益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规范和监督预算资金的使用，提高财政资源配置和使用效益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资金使用规范性得以已提高</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continue"/>
            <w:tcBorders>
              <w:left w:val="nil"/>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社会效</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提高财政资金透明度和政府公信力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通过绩效信息公开，接受社会监督，让社会和群众了解财政资金使用情况，推进建立公开透明的现代财政制度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绩效信息得已公开，提高资金透明度和公信力</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建立绩效管理长效机制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通过预算绩效管理，发现问题，落实整改，推进财政资金配置更科学，管理更规范</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财政资金得已科学配置，形成长效机制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满意度</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指标</w:t>
            </w:r>
          </w:p>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olor w:val="000000"/>
                <w:kern w:val="0"/>
                <w:szCs w:val="21"/>
                <w:lang w:eastAsia="zh-CN"/>
              </w:rPr>
              <w:t>对</w:t>
            </w:r>
            <w:r>
              <w:rPr>
                <w:rFonts w:hint="eastAsia" w:ascii="Times New Roman" w:hAnsi="Times New Roman" w:eastAsia="仿宋_GB2312" w:cs="Times New Roman"/>
                <w:color w:val="000000"/>
                <w:kern w:val="0"/>
                <w:szCs w:val="21"/>
                <w:lang w:eastAsia="zh-CN"/>
              </w:rPr>
              <w:t>产权和绩效评价</w:t>
            </w:r>
            <w:r>
              <w:rPr>
                <w:rFonts w:hint="eastAsia" w:ascii="Times New Roman" w:hAnsi="Times New Roman" w:eastAsia="仿宋_GB2312"/>
                <w:color w:val="000000"/>
                <w:kern w:val="0"/>
                <w:szCs w:val="21"/>
                <w:lang w:eastAsia="zh-CN"/>
              </w:rPr>
              <w:t>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s="Times New Roman"/>
                <w:color w:val="000000"/>
                <w:kern w:val="0"/>
                <w:szCs w:val="21"/>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94</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-7</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城区体制改革工作经费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spacing w:line="240" w:lineRule="exact"/>
              <w:jc w:val="center"/>
              <w:rPr>
                <w:rFonts w:ascii="Times New Roman" w:hAnsi="Times New Roman" w:eastAsia="仿宋_GB2312"/>
                <w:color w:val="000000"/>
                <w:kern w:val="0"/>
                <w:szCs w:val="21"/>
              </w:rPr>
            </w:pP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spacing w:line="240" w:lineRule="exact"/>
              <w:jc w:val="center"/>
              <w:rPr>
                <w:rFonts w:ascii="Times New Roman" w:hAnsi="Times New Roman" w:eastAsia="仿宋_GB2312"/>
                <w:color w:val="000000"/>
                <w:kern w:val="0"/>
                <w:szCs w:val="21"/>
              </w:rPr>
            </w:pP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spacing w:line="240" w:lineRule="exact"/>
              <w:jc w:val="center"/>
              <w:rPr>
                <w:rFonts w:ascii="Times New Roman" w:hAnsi="Times New Roman" w:eastAsia="仿宋_GB2312"/>
                <w:color w:val="000000"/>
                <w:kern w:val="0"/>
                <w:szCs w:val="21"/>
              </w:rPr>
            </w:pP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both"/>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  10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提出财政政策、财政体制、预算管理制度、政府债务管理制度的建议。组织编制中期财政规划。汇总编制年度全市预决算草案和市本级预算调整方案</w:t>
            </w:r>
            <w:r>
              <w:rPr>
                <w:rFonts w:hint="eastAsia" w:ascii="Times New Roman" w:hAnsi="Times New Roman" w:eastAsia="仿宋_GB2312"/>
                <w:color w:val="000000"/>
                <w:kern w:val="0"/>
                <w:szCs w:val="21"/>
                <w:lang w:eastAsia="zh-CN"/>
              </w:rPr>
              <w:t>。</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40" w:lineRule="exact"/>
              <w:jc w:val="center"/>
              <w:rPr>
                <w:rFonts w:ascii="Times New Roman" w:hAnsi="Times New Roman" w:eastAsia="仿宋_GB2312"/>
                <w:color w:val="000000"/>
                <w:kern w:val="0"/>
                <w:szCs w:val="21"/>
              </w:rPr>
            </w:pP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城区体制改革会议及调研开展次数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对所有预算单位开展城区体制改革会议和调研数</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对所有预算单位开展1次城区体制改革会议</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18</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预算管理制度方案</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开展城区体制改革调研会，保证方案合理、科学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制定的预算制度方案科学合理</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城区体制改革任务时效</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达到预算项目执行成效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时间节点内完成</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城区体制改革工作开展成本</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严格控制开支，实施绩效考核，合理使用工作经费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严格节约实施成本</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40" w:lineRule="exact"/>
              <w:jc w:val="center"/>
              <w:rPr>
                <w:rFonts w:ascii="Times New Roman" w:hAnsi="Times New Roman" w:eastAsia="仿宋_GB2312"/>
                <w:color w:val="000000"/>
                <w:kern w:val="0"/>
                <w:szCs w:val="21"/>
              </w:rPr>
            </w:pP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提高财政资源配置效率和使用效益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通过城区体制改革提高预算管理的精准度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认真分析制度改革可能带来的影响和变化，提前做好预案</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提升财政资金透明度和政府公信力</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加强社会监督，推进建立科学合理的预算管理制度方案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提升财政资金透明度，加强社会监督</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通过城区体制改革工作，发现问题，整改问题，规范管理，提高财政预算编制的精准性</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财政资金科学配置，充分发挥效益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科学测算数据，精准预算编制，确保预算收支平衡</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对城区体制改革工作满意度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97%</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94</w:t>
            </w:r>
          </w:p>
        </w:tc>
        <w:tc>
          <w:tcPr>
            <w:tcW w:w="12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-8</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财税</w:t>
            </w:r>
            <w:r>
              <w:rPr>
                <w:rFonts w:hint="eastAsia" w:ascii="Times New Roman" w:hAnsi="Times New Roman" w:eastAsia="仿宋_GB2312"/>
                <w:color w:val="000000"/>
                <w:kern w:val="0"/>
                <w:szCs w:val="21"/>
              </w:rPr>
              <w:t>征管经费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eastAsia="仿宋_GB2312"/>
                <w:color w:val="000000"/>
                <w:kern w:val="0"/>
                <w:szCs w:val="21"/>
              </w:rPr>
            </w:pP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eastAsia="仿宋_GB2312"/>
                <w:color w:val="000000"/>
                <w:kern w:val="0"/>
                <w:szCs w:val="21"/>
              </w:rPr>
            </w:pP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center"/>
              <w:rPr>
                <w:rFonts w:hint="eastAsia" w:ascii="Times New Roman" w:hAnsi="Times New Roman" w:eastAsia="仿宋_GB2312"/>
                <w:color w:val="000000"/>
                <w:kern w:val="0"/>
                <w:szCs w:val="21"/>
              </w:rPr>
            </w:pP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1000万元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1000万元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1000万元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1000万元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1000万元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1000万元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确保财政收入目标</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促进城区可用财力增长。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全市非税收入</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非税收入的存量和增量</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val="en-US" w:eastAsia="zh-CN"/>
                <w14:textFill>
                  <w14:solidFill>
                    <w14:schemeClr w14:val="tx1"/>
                  </w14:solidFill>
                </w14:textFill>
              </w:rPr>
              <w:t>非税收入超60亿元，实现目标值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达到政府目标要求</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9</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themeColor="text1"/>
                <w:kern w:val="0"/>
                <w:szCs w:val="21"/>
                <w:lang w:val="en-US" w:eastAsia="zh-CN"/>
                <w14:textFill>
                  <w14:solidFill>
                    <w14:schemeClr w14:val="tx1"/>
                  </w14:solidFill>
                </w14:textFill>
              </w:rPr>
              <w:t>非税较去年增长了1.55%，达到政府目标要求。</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按季度实行收入进度考核</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1年内</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当年财政收入完成</w:t>
            </w:r>
            <w:r>
              <w:rPr>
                <w:rFonts w:hint="eastAsia" w:ascii="Times New Roman" w:hAnsi="Times New Roman" w:eastAsia="仿宋_GB2312"/>
                <w:color w:val="000000"/>
                <w:kern w:val="0"/>
                <w:szCs w:val="21"/>
                <w:lang w:val="en-US" w:eastAsia="zh-CN"/>
              </w:rPr>
              <w:t>284.54亿元达到预期目标。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非税收入的存量和增量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1000万元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1000万元</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促进财政经济有序发展</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充分提高财政资源配置和使用效益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有效提高财政资源配置和使用效益</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提高理财水平、资金使用效率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基本达到目标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长期</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基本达到目标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对财税征管工作满意度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98%</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94</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-9</w:t>
      </w:r>
    </w:p>
    <w:tbl>
      <w:tblPr>
        <w:tblStyle w:val="8"/>
        <w:tblW w:w="9999" w:type="dxa"/>
        <w:jc w:val="center"/>
        <w:tblLayout w:type="fixed"/>
        <w:tblCellMar>
          <w:top w:w="0" w:type="dxa"/>
          <w:left w:w="108" w:type="dxa"/>
          <w:bottom w:w="0" w:type="dxa"/>
          <w:right w:w="108" w:type="dxa"/>
        </w:tblCellMar>
      </w:tblPr>
      <w:tblGrid>
        <w:gridCol w:w="1135"/>
        <w:gridCol w:w="992"/>
        <w:gridCol w:w="1261"/>
        <w:gridCol w:w="1155"/>
        <w:gridCol w:w="1141"/>
        <w:gridCol w:w="1196"/>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工资统发经费</w:t>
            </w: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54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9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4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96"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加大工资预算一体化管理政策宣传培训，实行标准化工资统发，确保全市工资按时准确发放，实行定编定岗和实名制管理</w:t>
            </w:r>
          </w:p>
        </w:tc>
        <w:tc>
          <w:tcPr>
            <w:tcW w:w="43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统发单位及人员的数量</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覆盖所有统发工资总量和人员总量</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全市纳入财政工资统发16</w:t>
            </w:r>
            <w:r>
              <w:rPr>
                <w:rFonts w:hint="eastAsia" w:ascii="Times New Roman" w:hAnsi="Times New Roman" w:eastAsia="仿宋_GB2312"/>
                <w:color w:val="000000"/>
                <w:kern w:val="0"/>
                <w:szCs w:val="21"/>
                <w:lang w:val="en-US" w:eastAsia="zh-CN"/>
              </w:rPr>
              <w:t>0多</w:t>
            </w:r>
            <w:r>
              <w:rPr>
                <w:rFonts w:hint="eastAsia" w:ascii="Times New Roman" w:hAnsi="Times New Roman" w:eastAsia="仿宋_GB2312"/>
                <w:color w:val="000000"/>
                <w:kern w:val="0"/>
                <w:szCs w:val="21"/>
              </w:rPr>
              <w:t>家发放总额约</w:t>
            </w:r>
            <w:r>
              <w:rPr>
                <w:rFonts w:hint="eastAsia" w:ascii="Times New Roman" w:hAnsi="Times New Roman" w:eastAsia="仿宋_GB2312"/>
                <w:color w:val="000000"/>
                <w:kern w:val="0"/>
                <w:szCs w:val="21"/>
                <w:lang w:val="en-US" w:eastAsia="zh-CN"/>
              </w:rPr>
              <w:t>14</w:t>
            </w:r>
            <w:r>
              <w:rPr>
                <w:rFonts w:hint="eastAsia" w:ascii="Times New Roman" w:hAnsi="Times New Roman" w:eastAsia="仿宋_GB2312"/>
                <w:color w:val="000000"/>
                <w:kern w:val="0"/>
                <w:szCs w:val="21"/>
              </w:rPr>
              <w:t>亿</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工资统发明细表</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保证数据的公正和准确</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全年工资统发零差错、零失误</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发放工资的时间</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按时间节点拨付</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每月工资按时拨付</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节约成本率</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拨付资金过程中是否有效节约成本</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节约成本原则</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提高财政资源配置率和使用效益</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做到零失误，保障财政供养人员的基本权益</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做好服务，优化工作确保供养人员的基本权益</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建立绩效考核长效机制</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推进财政资金拨付速度的高效性和准确性</w:t>
            </w:r>
          </w:p>
        </w:tc>
        <w:tc>
          <w:tcPr>
            <w:tcW w:w="11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加强日常监管，提高办事人员的工作效率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建立绩效考核长效机制</w:t>
            </w:r>
          </w:p>
        </w:tc>
        <w:tc>
          <w:tcPr>
            <w:tcW w:w="11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推进财政资金拨付速度的高效性和准确性</w:t>
            </w:r>
          </w:p>
        </w:tc>
        <w:tc>
          <w:tcPr>
            <w:tcW w:w="11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优化升级工资软件系统，提高作业效率，提升服务质量</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对工资统发工作满</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-10</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97"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国库集中支付</w:t>
            </w:r>
            <w:r>
              <w:rPr>
                <w:rFonts w:hint="eastAsia" w:ascii="Times New Roman" w:hAnsi="Times New Roman" w:eastAsia="仿宋_GB2312"/>
                <w:color w:val="000000"/>
                <w:kern w:val="0"/>
                <w:szCs w:val="21"/>
                <w:lang w:val="en-US" w:eastAsia="zh-CN"/>
              </w:rPr>
              <w:t>改革</w:t>
            </w:r>
            <w:r>
              <w:rPr>
                <w:rFonts w:hint="eastAsia" w:ascii="Times New Roman" w:hAnsi="Times New Roman" w:eastAsia="仿宋_GB2312"/>
                <w:color w:val="000000"/>
                <w:kern w:val="0"/>
                <w:szCs w:val="21"/>
              </w:rPr>
              <w:t>经费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r>
              <w:rPr>
                <w:rFonts w:hint="eastAsia" w:ascii="Times New Roman" w:hAnsi="Times New Roman" w:eastAsia="仿宋_GB2312"/>
                <w:color w:val="000000"/>
                <w:kern w:val="0"/>
                <w:szCs w:val="21"/>
              </w:rPr>
              <w:t xml:space="preserve">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r>
              <w:rPr>
                <w:rFonts w:hint="eastAsia" w:ascii="Times New Roman" w:hAnsi="Times New Roman" w:eastAsia="仿宋_GB2312"/>
                <w:color w:val="000000"/>
                <w:kern w:val="0"/>
                <w:szCs w:val="21"/>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80</w:t>
            </w:r>
            <w:r>
              <w:rPr>
                <w:rFonts w:hint="eastAsia" w:ascii="Times New Roman" w:hAnsi="Times New Roman" w:eastAsia="仿宋_GB2312"/>
                <w:color w:val="000000"/>
                <w:kern w:val="0"/>
                <w:szCs w:val="21"/>
              </w:rPr>
              <w:t xml:space="preserve">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80</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80</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新增国库集中支付单位、升级国库集中支付系统</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做好日常支付工作，推进国库集中支付工作转型，保障财政资金安全、规范、高效支付。</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国库集中支付覆盖广度和深度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覆盖所有纳入国库集中支付的预算单位</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覆盖所有纳入国库集中支付的预算单位，覆盖率100%</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国库集中支付报表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严格审核把关支付工作，保证国库集中支付报表真实</w:t>
            </w:r>
            <w:r>
              <w:rPr>
                <w:rFonts w:hint="eastAsia" w:ascii="Times New Roman" w:hAnsi="Times New Roman" w:eastAsia="仿宋_GB2312"/>
                <w:color w:val="000000"/>
                <w:kern w:val="0"/>
                <w:szCs w:val="21"/>
                <w:lang w:eastAsia="zh-CN"/>
              </w:rPr>
              <w:t>准确</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持续提高</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国库集中支付业务办理时效</w:t>
            </w:r>
            <w:r>
              <w:rPr>
                <w:rFonts w:hint="eastAsia" w:ascii="Times New Roman" w:hAnsi="Times New Roman" w:eastAsia="仿宋_GB2312"/>
                <w:color w:val="000000"/>
                <w:kern w:val="0"/>
                <w:szCs w:val="21"/>
                <w:lang w:eastAsia="zh-CN"/>
              </w:rPr>
              <w:t>，及时将符合条件的单位纳入改革</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限时办结当天支付业务</w:t>
            </w:r>
            <w:r>
              <w:rPr>
                <w:rFonts w:hint="eastAsia" w:ascii="Times New Roman" w:hAnsi="Times New Roman" w:eastAsia="仿宋_GB2312"/>
                <w:color w:val="000000"/>
                <w:kern w:val="0"/>
                <w:szCs w:val="21"/>
                <w:lang w:eastAsia="zh-CN"/>
              </w:rPr>
              <w:t>，改革当年完成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可按时间节点完成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国库集中支付工作开展成本</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严格控制开支，合理使用工作经费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节约经费开支</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提高财政资金使用效率，确保财政资金安全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通过国库集中支付提高财政资金使用效率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资金使用规范性得以提高</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提升财政资金使用质量提升财政资金使用质量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提高预算单位预算执行水平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拟发放《部门预算支出经济分类科目使用规范》手册，持续提高预算单位预算执行水平</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通过国库集中支付改革，发现存在的问题并进行整改</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充分发挥财政资金的使用效益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持续发现问题并进行整改，降低财政资金运行成本</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对国库集中支付工作满意度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98%</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96</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-11</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国库集中支付网络维护及票据购买</w:t>
            </w: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226</w:t>
            </w:r>
            <w:r>
              <w:rPr>
                <w:rFonts w:hint="eastAsia" w:ascii="Times New Roman" w:hAnsi="Times New Roman" w:eastAsia="仿宋_GB2312"/>
                <w:color w:val="000000"/>
                <w:kern w:val="0"/>
                <w:szCs w:val="21"/>
              </w:rPr>
              <w:t xml:space="preserve">万元      </w:t>
            </w: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226</w:t>
            </w:r>
            <w:r>
              <w:rPr>
                <w:rFonts w:hint="eastAsia" w:ascii="Times New Roman" w:hAnsi="Times New Roman" w:eastAsia="仿宋_GB2312"/>
                <w:color w:val="000000"/>
                <w:kern w:val="0"/>
                <w:szCs w:val="21"/>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226</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226</w:t>
            </w:r>
            <w:r>
              <w:rPr>
                <w:rFonts w:hint="eastAsia" w:ascii="Times New Roman" w:hAnsi="Times New Roman" w:eastAsia="仿宋_GB2312"/>
                <w:color w:val="000000"/>
                <w:kern w:val="0"/>
                <w:szCs w:val="21"/>
              </w:rPr>
              <w:t xml:space="preserve">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226</w:t>
            </w:r>
            <w:r>
              <w:rPr>
                <w:rFonts w:hint="eastAsia" w:ascii="Times New Roman" w:hAnsi="Times New Roman" w:eastAsia="仿宋_GB2312"/>
                <w:color w:val="000000"/>
                <w:kern w:val="0"/>
                <w:szCs w:val="21"/>
              </w:rPr>
              <w:t xml:space="preserve">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226</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新增国库集中支付单位；升级、</w:t>
            </w:r>
            <w:r>
              <w:rPr>
                <w:rFonts w:hint="eastAsia" w:ascii="Times New Roman" w:hAnsi="Times New Roman" w:eastAsia="仿宋_GB2312"/>
                <w:color w:val="000000"/>
                <w:kern w:val="0"/>
                <w:szCs w:val="21"/>
                <w:lang w:val="en-US" w:eastAsia="zh-CN"/>
              </w:rPr>
              <w:t>维护</w:t>
            </w:r>
            <w:r>
              <w:rPr>
                <w:rFonts w:hint="eastAsia" w:ascii="Times New Roman" w:hAnsi="Times New Roman" w:eastAsia="仿宋_GB2312"/>
                <w:color w:val="000000"/>
                <w:kern w:val="0"/>
                <w:szCs w:val="21"/>
                <w:lang w:eastAsia="zh-CN"/>
              </w:rPr>
              <w:t>国库集中支付系统；做好日常支付、</w:t>
            </w:r>
            <w:r>
              <w:rPr>
                <w:rFonts w:hint="eastAsia" w:ascii="Times New Roman" w:hAnsi="Times New Roman" w:eastAsia="仿宋_GB2312"/>
                <w:color w:val="000000"/>
                <w:kern w:val="0"/>
                <w:szCs w:val="21"/>
                <w:lang w:val="en-US" w:eastAsia="zh-CN"/>
              </w:rPr>
              <w:t>票据购买</w:t>
            </w:r>
            <w:r>
              <w:rPr>
                <w:rFonts w:hint="eastAsia" w:ascii="Times New Roman" w:hAnsi="Times New Roman" w:eastAsia="仿宋_GB2312"/>
                <w:color w:val="000000"/>
                <w:kern w:val="0"/>
                <w:szCs w:val="21"/>
                <w:lang w:eastAsia="zh-CN"/>
              </w:rPr>
              <w:t>工作，推进国库集中支付</w:t>
            </w:r>
            <w:r>
              <w:rPr>
                <w:rFonts w:hint="eastAsia" w:ascii="Times New Roman" w:hAnsi="Times New Roman" w:eastAsia="仿宋_GB2312"/>
                <w:color w:val="000000"/>
                <w:kern w:val="0"/>
                <w:szCs w:val="21"/>
                <w:lang w:val="en-US" w:eastAsia="zh-CN"/>
              </w:rPr>
              <w:t>改革向纵深推进</w:t>
            </w:r>
            <w:r>
              <w:rPr>
                <w:rFonts w:hint="eastAsia" w:ascii="Times New Roman" w:hAnsi="Times New Roman" w:eastAsia="仿宋_GB2312"/>
                <w:color w:val="000000"/>
                <w:kern w:val="0"/>
                <w:szCs w:val="21"/>
                <w:lang w:eastAsia="zh-CN"/>
              </w:rPr>
              <w:t>；保障财政资金安全、规范、高效支付。</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绩</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效</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实际</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偏差原因</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分析及</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产出</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国库集中支付覆盖广度和深度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覆盖所有纳入国库集中支付的预算单位</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市本级所有国库集中支付预算单位实现应纳尽纳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国库集中支付报表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严格审核把关支付工作，保证国库集中支付报表客观真实</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每笔支付都做到严格把关，坚持做到了事前监督、事中控制、事后检查相结合,确保了资金运行安全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国库集中支付业务办理</w:t>
            </w:r>
            <w:r>
              <w:rPr>
                <w:rFonts w:hint="eastAsia" w:ascii="Times New Roman" w:hAnsi="Times New Roman" w:eastAsia="仿宋_GB2312"/>
                <w:color w:val="000000"/>
                <w:kern w:val="0"/>
                <w:szCs w:val="21"/>
                <w:lang w:val="en-US" w:eastAsia="zh-CN"/>
              </w:rPr>
              <w:t>时</w:t>
            </w:r>
            <w:r>
              <w:rPr>
                <w:rFonts w:hint="eastAsia" w:ascii="Times New Roman" w:hAnsi="Times New Roman" w:eastAsia="仿宋_GB2312"/>
                <w:color w:val="000000"/>
                <w:kern w:val="0"/>
                <w:szCs w:val="21"/>
                <w:lang w:eastAsia="zh-CN"/>
              </w:rPr>
              <w:t>效，及时将符合条件的单位纳入改革</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按照</w:t>
            </w:r>
            <w:r>
              <w:rPr>
                <w:rFonts w:hint="eastAsia" w:ascii="Times New Roman" w:hAnsi="Times New Roman" w:eastAsia="仿宋_GB2312"/>
                <w:color w:val="000000"/>
                <w:kern w:val="0"/>
                <w:szCs w:val="21"/>
                <w:lang w:eastAsia="zh-CN"/>
              </w:rPr>
              <w:t>时限办结当天支付业务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每天及时审批单位支付申请，并定时向银行发送用款清算</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国库集中支付工作开展成本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节约成本原则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严格控制开支，合理使用工作经费</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效益</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（30分）</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经济效</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提高财政资金使用效率，确保财政资金安全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通过国库集中支付提高财政资金使用效率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基本达到预期目标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社会效</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提升财政资金使用质量</w:t>
            </w:r>
            <w:r>
              <w:rPr>
                <w:rFonts w:hint="eastAsia" w:ascii="Times New Roman" w:hAnsi="Times New Roman" w:eastAsia="仿宋_GB2312"/>
                <w:color w:val="000000"/>
                <w:kern w:val="0"/>
                <w:szCs w:val="21"/>
                <w:lang w:val="en-US" w:eastAsia="zh-CN"/>
              </w:rPr>
              <w:t>和效益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提高预算单位预算执行水平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基本达到预期目标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通过国库集中支付改革，发现存在的问题并进行整改</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充分发挥财政资金的使用效益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基本达到预期目标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满意度</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对国库集中支付工作满意度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-12</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xml:space="preserve"> 填报单位： （盖章）                （2022年度）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项目支</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国库经费</w:t>
            </w: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项目资金</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年初</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全年</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预算数</w:t>
            </w:r>
          </w:p>
        </w:tc>
        <w:tc>
          <w:tcPr>
            <w:tcW w:w="1107"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全年</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执行数</w:t>
            </w:r>
          </w:p>
        </w:tc>
        <w:tc>
          <w:tcPr>
            <w:tcW w:w="993"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lang w:eastAsia="zh-CN"/>
              </w:rPr>
            </w:pP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分值</w:t>
            </w:r>
          </w:p>
        </w:tc>
        <w:tc>
          <w:tcPr>
            <w:tcW w:w="855"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执行率</w:t>
            </w:r>
          </w:p>
        </w:tc>
        <w:tc>
          <w:tcPr>
            <w:tcW w:w="1271" w:type="dxa"/>
            <w:tcBorders>
              <w:top w:val="nil"/>
              <w:left w:val="nil"/>
              <w:bottom w:val="single" w:color="auto" w:sz="4" w:space="0"/>
              <w:right w:val="single" w:color="auto" w:sz="4" w:space="0"/>
            </w:tcBorders>
            <w:shd w:val="clear" w:color="auto" w:fill="auto"/>
            <w:noWrap/>
          </w:tcPr>
          <w:p>
            <w:pPr>
              <w:widowControl/>
              <w:jc w:val="left"/>
              <w:rPr>
                <w:rFonts w:hint="eastAsia" w:ascii="Times New Roman" w:hAnsi="Times New Roman" w:eastAsia="仿宋_GB2312"/>
                <w:color w:val="000000"/>
                <w:kern w:val="0"/>
                <w:szCs w:val="21"/>
                <w:lang w:eastAsia="zh-CN"/>
              </w:rPr>
            </w:pPr>
          </w:p>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年度总</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实际完成情况</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保障国库基本办公要求，资金主要用于办公用品、打印机维修、耗材的购买等，进一步提高工作效率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绩</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效</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年度</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实际</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偏差原因</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分析及</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产出</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w:t>
            </w:r>
            <w:r>
              <w:rPr>
                <w:rFonts w:hint="eastAsia" w:ascii="Times New Roman" w:hAnsi="Times New Roman" w:eastAsia="仿宋_GB2312"/>
                <w:color w:val="000000"/>
                <w:kern w:val="0"/>
                <w:szCs w:val="21"/>
                <w:lang w:val="en-US" w:eastAsia="zh-CN"/>
              </w:rPr>
              <w:t>业务</w:t>
            </w:r>
            <w:r>
              <w:rPr>
                <w:rFonts w:hint="eastAsia" w:ascii="Times New Roman" w:hAnsi="Times New Roman" w:eastAsia="仿宋_GB2312"/>
                <w:color w:val="000000"/>
                <w:kern w:val="0"/>
                <w:szCs w:val="21"/>
                <w:lang w:eastAsia="zh-CN"/>
              </w:rPr>
              <w:t>覆盖广度和深度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覆盖所有</w:t>
            </w:r>
            <w:r>
              <w:rPr>
                <w:rFonts w:hint="eastAsia" w:ascii="Times New Roman" w:hAnsi="Times New Roman" w:eastAsia="仿宋_GB2312"/>
                <w:color w:val="000000"/>
                <w:kern w:val="0"/>
                <w:szCs w:val="21"/>
                <w:lang w:val="en-US" w:eastAsia="zh-CN"/>
              </w:rPr>
              <w:t>国库日常工作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市本级所有国库日常业务均覆盖在内</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国库管理的具体工作</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按时按质完成各项国库工作，确保账表数据真实、完整、可靠。</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按时、按质编制好全年各项国库报表，确保数据真实、完整、可靠</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严格按照财政部、省财政厅要求时限完成</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按照规定时间限时</w:t>
            </w:r>
            <w:r>
              <w:rPr>
                <w:rFonts w:hint="eastAsia" w:ascii="Times New Roman" w:hAnsi="Times New Roman" w:eastAsia="仿宋_GB2312"/>
                <w:color w:val="000000"/>
                <w:kern w:val="0"/>
                <w:szCs w:val="21"/>
                <w:lang w:eastAsia="zh-CN"/>
              </w:rPr>
              <w:t>办结</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所有国库工作均在上级要求的时间内完成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国库</w:t>
            </w:r>
            <w:r>
              <w:rPr>
                <w:rFonts w:hint="eastAsia" w:ascii="Times New Roman" w:hAnsi="Times New Roman" w:eastAsia="仿宋_GB2312"/>
                <w:color w:val="000000"/>
                <w:kern w:val="0"/>
                <w:szCs w:val="21"/>
                <w:lang w:val="en-US" w:eastAsia="zh-CN"/>
              </w:rPr>
              <w:t>管理</w:t>
            </w:r>
            <w:r>
              <w:rPr>
                <w:rFonts w:hint="eastAsia" w:ascii="Times New Roman" w:hAnsi="Times New Roman" w:eastAsia="仿宋_GB2312"/>
                <w:color w:val="000000"/>
                <w:kern w:val="0"/>
                <w:szCs w:val="21"/>
                <w:lang w:eastAsia="zh-CN"/>
              </w:rPr>
              <w:t>工作开展成本</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严格控制开支，合理使用工作经费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严格控制了开支，工作经费开支合理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效益</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（30分）</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经济效</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w:t>
            </w:r>
            <w:r>
              <w:rPr>
                <w:rFonts w:hint="eastAsia" w:ascii="Times New Roman" w:hAnsi="Times New Roman" w:eastAsia="仿宋_GB2312"/>
                <w:color w:val="000000"/>
                <w:kern w:val="0"/>
                <w:szCs w:val="21"/>
                <w:lang w:val="en-US" w:eastAsia="zh-CN"/>
              </w:rPr>
              <w:t>国库运转</w:t>
            </w:r>
            <w:r>
              <w:rPr>
                <w:rFonts w:hint="eastAsia" w:ascii="Times New Roman" w:hAnsi="Times New Roman" w:eastAsia="仿宋_GB2312"/>
                <w:color w:val="000000"/>
                <w:kern w:val="0"/>
                <w:szCs w:val="21"/>
                <w:lang w:eastAsia="zh-CN"/>
              </w:rPr>
              <w:t>效率和</w:t>
            </w:r>
            <w:r>
              <w:rPr>
                <w:rFonts w:hint="eastAsia" w:ascii="Times New Roman" w:hAnsi="Times New Roman" w:eastAsia="仿宋_GB2312"/>
                <w:color w:val="000000"/>
                <w:kern w:val="0"/>
                <w:szCs w:val="21"/>
                <w:lang w:val="en-US" w:eastAsia="zh-CN"/>
              </w:rPr>
              <w:t>财政资金</w:t>
            </w:r>
            <w:r>
              <w:rPr>
                <w:rFonts w:hint="eastAsia" w:ascii="Times New Roman" w:hAnsi="Times New Roman" w:eastAsia="仿宋_GB2312"/>
                <w:color w:val="000000"/>
                <w:kern w:val="0"/>
                <w:szCs w:val="21"/>
                <w:lang w:eastAsia="zh-CN"/>
              </w:rPr>
              <w:t>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通过</w:t>
            </w:r>
            <w:r>
              <w:rPr>
                <w:rFonts w:hint="eastAsia" w:ascii="Times New Roman" w:hAnsi="Times New Roman" w:eastAsia="仿宋_GB2312"/>
                <w:color w:val="000000"/>
                <w:kern w:val="0"/>
                <w:szCs w:val="21"/>
                <w:lang w:val="en-US" w:eastAsia="zh-CN"/>
              </w:rPr>
              <w:t>强化</w:t>
            </w:r>
            <w:r>
              <w:rPr>
                <w:rFonts w:hint="eastAsia" w:ascii="Times New Roman" w:hAnsi="Times New Roman" w:eastAsia="仿宋_GB2312"/>
                <w:color w:val="000000"/>
                <w:kern w:val="0"/>
                <w:szCs w:val="21"/>
                <w:lang w:eastAsia="zh-CN"/>
              </w:rPr>
              <w:t>国库资金</w:t>
            </w:r>
            <w:r>
              <w:rPr>
                <w:rFonts w:hint="eastAsia" w:ascii="Times New Roman" w:hAnsi="Times New Roman" w:eastAsia="仿宋_GB2312"/>
                <w:color w:val="000000"/>
                <w:kern w:val="0"/>
                <w:szCs w:val="21"/>
                <w:lang w:val="en-US" w:eastAsia="zh-CN"/>
              </w:rPr>
              <w:t>管理，提高财政资金</w:t>
            </w:r>
            <w:r>
              <w:rPr>
                <w:rFonts w:hint="eastAsia" w:ascii="Times New Roman" w:hAnsi="Times New Roman" w:eastAsia="仿宋_GB2312"/>
                <w:color w:val="000000"/>
                <w:kern w:val="0"/>
                <w:szCs w:val="21"/>
                <w:lang w:eastAsia="zh-CN"/>
              </w:rPr>
              <w:t>使用效率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所有资金均按时拨付，每月定期对账，确保账实相符，财政资金使用安全高效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社会效</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准确及时办理日常业务，确保各项资金落实到位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为经济社会发展、民生保障办理财政性资金拨付工作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多渠道筹措资金，保证了市本级各类发展、民生资金按时足额拨付</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w:t>
            </w:r>
            <w:r>
              <w:rPr>
                <w:rFonts w:hint="eastAsia" w:ascii="Times New Roman" w:hAnsi="Times New Roman" w:eastAsia="仿宋_GB2312"/>
                <w:color w:val="000000"/>
                <w:kern w:val="0"/>
                <w:szCs w:val="21"/>
                <w:lang w:val="en-US" w:eastAsia="zh-CN"/>
              </w:rPr>
              <w:t>深化改革，不断提高预算执行和国库管理水平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巩固完善国库管理长效机制</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进一步建立健全国库管理制度，将国库改革工作向纵深推进，确立安全高效的长期管理机制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满意度</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指标</w:t>
            </w:r>
          </w:p>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对国库工作满意度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98%</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94</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hint="eastAsia" w:ascii="Times New Roman" w:hAnsi="Times New Roman" w:eastAsia="黑体"/>
          <w:sz w:val="32"/>
          <w:szCs w:val="32"/>
          <w:lang w:val="en-US" w:eastAsia="zh-CN"/>
        </w:rPr>
      </w:pPr>
    </w:p>
    <w:p>
      <w:pPr>
        <w:rPr>
          <w:rFonts w:hint="eastAsia" w:ascii="Times New Roman" w:hAnsi="Times New Roman" w:eastAsia="黑体"/>
          <w:sz w:val="32"/>
          <w:szCs w:val="32"/>
          <w:lang w:val="en-US" w:eastAsia="zh-CN"/>
        </w:rPr>
      </w:pPr>
    </w:p>
    <w:p>
      <w:pPr>
        <w:rPr>
          <w:rFonts w:hint="eastAsia" w:ascii="Times New Roman" w:hAnsi="Times New Roman" w:eastAsia="黑体"/>
          <w:sz w:val="32"/>
          <w:szCs w:val="32"/>
          <w:lang w:val="en-US" w:eastAsia="zh-CN"/>
        </w:rPr>
      </w:pPr>
    </w:p>
    <w:p>
      <w:pPr>
        <w:rPr>
          <w:rFonts w:hint="eastAsia" w:ascii="Times New Roman" w:hAnsi="Times New Roman" w:eastAsia="黑体"/>
          <w:sz w:val="32"/>
          <w:szCs w:val="32"/>
          <w:lang w:val="en-US" w:eastAsia="zh-CN"/>
        </w:rPr>
      </w:pPr>
    </w:p>
    <w:p>
      <w:pPr>
        <w:rPr>
          <w:rFonts w:hint="eastAsia" w:ascii="Times New Roman" w:hAnsi="Times New Roman" w:eastAsia="黑体"/>
          <w:sz w:val="32"/>
          <w:szCs w:val="32"/>
          <w:lang w:val="en-US" w:eastAsia="zh-CN"/>
        </w:rPr>
      </w:pPr>
    </w:p>
    <w:p>
      <w:pPr>
        <w:rPr>
          <w:rFonts w:hint="eastAsia" w:ascii="Times New Roman" w:hAnsi="Times New Roman" w:eastAsia="黑体"/>
          <w:sz w:val="32"/>
          <w:szCs w:val="32"/>
          <w:lang w:val="en-US" w:eastAsia="zh-CN"/>
        </w:rPr>
      </w:pPr>
    </w:p>
    <w:p>
      <w:pPr>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附件4-13</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eastAsia="仿宋_GB2312"/>
                <w:color w:val="000000"/>
                <w:kern w:val="0"/>
                <w:szCs w:val="21"/>
              </w:rPr>
              <w:t>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行政事业单位资产管理工作经费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b w:val="0"/>
                <w:bCs w:val="0"/>
                <w:color w:val="000000"/>
                <w:kern w:val="0"/>
                <w:szCs w:val="21"/>
              </w:rPr>
              <w:t>上年</w:t>
            </w:r>
            <w:r>
              <w:rPr>
                <w:rFonts w:ascii="Times New Roman" w:hAnsi="Times New Roman" w:eastAsia="仿宋_GB2312"/>
                <w:color w:val="000000"/>
                <w:kern w:val="0"/>
                <w:szCs w:val="21"/>
              </w:rPr>
              <w:t>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资产使用部门对国有资产承担日常管理责任，保证资产安全完整</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开展国有资产处置的报批工作</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汇总编制全市行政事业单位国有资产报告</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贯彻落实向市人大常委会报告国有资产制度</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探索研究加强和规范国有资产管理的对策措施。完善对市直行政事业单位不动产资产开展全面清查工作公务用车处置和购置流程，加强对事业单位经营性资产的管理</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加强对口预算单位的财务管理</w:t>
            </w:r>
            <w:r>
              <w:rPr>
                <w:rFonts w:hint="eastAsia" w:ascii="Times New Roman" w:hAnsi="Times New Roman" w:eastAsia="仿宋_GB2312"/>
                <w:color w:val="000000"/>
                <w:kern w:val="0"/>
                <w:szCs w:val="21"/>
                <w:lang w:eastAsia="zh-CN"/>
              </w:rPr>
              <w:t>。</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强化行政事业单位国有资产使用管理，一是积极开展市直行政单位不动产清查；二是加强对事业单位经营性资产的管理；三是坚持问题导向，督促相关单位做好机构改革过程中资产移交工作</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市直行政事业单位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覆盖行政事业单位国有资产</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统计汇总全市3290个行政事业单位国有资产情况</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达到政府目标要求</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及时更新管理系统软件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均在时间节点内完成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资产</w:t>
            </w:r>
            <w:r>
              <w:rPr>
                <w:rFonts w:hint="eastAsia" w:ascii="Times New Roman" w:hAnsi="Times New Roman" w:eastAsia="仿宋_GB2312"/>
                <w:color w:val="000000"/>
                <w:kern w:val="0"/>
                <w:szCs w:val="21"/>
              </w:rPr>
              <w:t>管理系统软件更新维护</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严格控制开支，合理使用工作经费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严格控制了开支，工作经费开支合理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提高资产使用效益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保证</w:t>
            </w:r>
            <w:r>
              <w:rPr>
                <w:rFonts w:hint="eastAsia" w:ascii="Times New Roman" w:hAnsi="Times New Roman" w:eastAsia="仿宋_GB2312"/>
                <w:color w:val="000000"/>
                <w:kern w:val="0"/>
                <w:szCs w:val="21"/>
                <w:lang w:val="en-US" w:eastAsia="zh-CN"/>
              </w:rPr>
              <w:t>国有</w:t>
            </w:r>
            <w:r>
              <w:rPr>
                <w:rFonts w:hint="eastAsia" w:ascii="Times New Roman" w:hAnsi="Times New Roman" w:eastAsia="仿宋_GB2312"/>
                <w:color w:val="000000"/>
                <w:kern w:val="0"/>
                <w:szCs w:val="21"/>
              </w:rPr>
              <w:t>资产安全完整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每年定期对固定资产进行核查，确保资产安全</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防止资产流失</w:t>
            </w:r>
            <w:r>
              <w:rPr>
                <w:rFonts w:hint="eastAsia" w:ascii="Times New Roman" w:hAnsi="Times New Roman" w:eastAsia="仿宋_GB2312"/>
                <w:color w:val="000000"/>
                <w:kern w:val="0"/>
                <w:szCs w:val="21"/>
                <w:lang w:val="en-US" w:eastAsia="zh-CN"/>
              </w:rPr>
              <w:t>,</w:t>
            </w:r>
            <w:r>
              <w:rPr>
                <w:rFonts w:hint="eastAsia" w:ascii="Times New Roman" w:hAnsi="Times New Roman" w:eastAsia="仿宋_GB2312"/>
                <w:color w:val="000000"/>
                <w:kern w:val="0"/>
                <w:szCs w:val="21"/>
              </w:rPr>
              <w:t>预防腐败</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提高资产使用效率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落实相关政策，推进改革，提高资产使用率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长期</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长期</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基本达到预期目标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w:t>
            </w:r>
            <w:r>
              <w:rPr>
                <w:rFonts w:hint="eastAsia" w:ascii="Times New Roman" w:hAnsi="Times New Roman" w:eastAsia="仿宋_GB2312"/>
                <w:color w:val="000000"/>
                <w:kern w:val="0"/>
                <w:szCs w:val="21"/>
              </w:rPr>
              <w:t>行政事业单位资产管理工作</w:t>
            </w:r>
            <w:r>
              <w:rPr>
                <w:rFonts w:hint="eastAsia" w:ascii="Times New Roman" w:hAnsi="Times New Roman" w:eastAsia="仿宋_GB2312"/>
                <w:color w:val="000000"/>
                <w:kern w:val="0"/>
                <w:szCs w:val="21"/>
                <w:lang w:eastAsia="zh-CN"/>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93</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-14</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填报单位： （盖章）                （2022年度）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衡阳市财政法规知识手册</w:t>
            </w: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深入落实国家机关“谁执法谁普法”责任制，不断扩大财政普法宣传的覆盖面和影响力，为实施“三高四新”战略、建设现代化新湖南提供良好的法治环境。</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开展《宪法》、《民法典》等各类法律法规及各类条规条例进行法制宣传</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每年开展宪法学习宣传四次</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w:t>
            </w:r>
            <w:r>
              <w:rPr>
                <w:rFonts w:hint="eastAsia" w:ascii="Times New Roman" w:hAnsi="Times New Roman" w:eastAsia="仿宋_GB2312"/>
                <w:color w:val="000000"/>
                <w:kern w:val="0"/>
                <w:szCs w:val="21"/>
                <w:lang w:eastAsia="zh-CN"/>
              </w:rPr>
              <w:t>了</w:t>
            </w:r>
            <w:r>
              <w:rPr>
                <w:rFonts w:hint="eastAsia" w:ascii="Times New Roman" w:hAnsi="Times New Roman" w:eastAsia="仿宋_GB2312"/>
                <w:color w:val="000000"/>
                <w:kern w:val="0"/>
                <w:szCs w:val="21"/>
              </w:rPr>
              <w:t>《2022年衡阳市财政法治宣传教育工作计划和普法责任清单任务清单》各项内容及措施，开展宣传四次。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18</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对各业务科室对口单位及负责社区发放宣传手册</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树立宪法法律至上、法律面前人人平等的法治理念，提高公民的法律意识</w:t>
            </w: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引导</w:t>
            </w:r>
            <w:r>
              <w:rPr>
                <w:rFonts w:hint="eastAsia" w:ascii="Times New Roman" w:hAnsi="Times New Roman" w:eastAsia="仿宋_GB2312"/>
                <w:color w:val="000000"/>
                <w:kern w:val="0"/>
                <w:szCs w:val="21"/>
                <w:lang w:eastAsia="zh-CN"/>
              </w:rPr>
              <w:t>大家</w:t>
            </w:r>
            <w:r>
              <w:rPr>
                <w:rFonts w:hint="eastAsia" w:ascii="Times New Roman" w:hAnsi="Times New Roman" w:eastAsia="仿宋_GB2312"/>
                <w:color w:val="000000"/>
                <w:kern w:val="0"/>
                <w:szCs w:val="21"/>
              </w:rPr>
              <w:t>树立宪法法律至上、法律面前人人平等的法治理念，提高公民的法律意识</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法制宣传工作完成及时率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按时间节点完成法制宣传工作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所有宣传活动都按照时间节点按时完成</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法制宣传</w:t>
            </w:r>
            <w:r>
              <w:rPr>
                <w:rFonts w:hint="eastAsia" w:ascii="Times New Roman" w:hAnsi="Times New Roman" w:eastAsia="仿宋_GB2312"/>
                <w:color w:val="000000"/>
                <w:kern w:val="0"/>
                <w:szCs w:val="21"/>
              </w:rPr>
              <w:t>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在法制宣传工作执行中是否有效节约实施成本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严格控制了开支，各项开支合理</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w:t>
            </w:r>
            <w:r>
              <w:rPr>
                <w:rFonts w:hint="eastAsia" w:ascii="Times New Roman" w:hAnsi="Times New Roman" w:eastAsia="仿宋_GB2312"/>
                <w:color w:val="000000"/>
                <w:kern w:val="0"/>
                <w:szCs w:val="21"/>
                <w:lang w:eastAsia="zh-CN"/>
              </w:rPr>
              <w:t>法制宣传工作成效性</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通过法制宣传信息公开，让社会和群众了解财政法制工作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各项行政许可、行政确认、行政处罚信息都在局官方网站进行了公示公开。</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普及公民法律知识，提高公民法律意识</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通过法制宣传工作信息公开，接受社会监督，推进建立公开透明的现代财政制度</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将权责清单进行公示，接受社会监督，推动财政系统依法行政、依法理财。</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建立法制宣传工作长效机制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通过法制宣传，发现问题，提高公民维权意识</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通过法制宣传，发现问题，提高公民维权意识</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对财政法规</w:t>
            </w:r>
            <w:r>
              <w:rPr>
                <w:rFonts w:hint="eastAsia" w:ascii="Times New Roman" w:hAnsi="Times New Roman" w:eastAsia="仿宋_GB2312"/>
                <w:color w:val="000000"/>
                <w:kern w:val="0"/>
                <w:szCs w:val="21"/>
              </w:rPr>
              <w:t>工作</w:t>
            </w:r>
            <w:r>
              <w:rPr>
                <w:rFonts w:hint="eastAsia" w:ascii="Times New Roman" w:hAnsi="Times New Roman" w:eastAsia="仿宋_GB2312"/>
                <w:color w:val="000000"/>
                <w:kern w:val="0"/>
                <w:szCs w:val="21"/>
                <w:lang w:eastAsia="zh-CN"/>
              </w:rPr>
              <w:t>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98%</w:t>
            </w:r>
            <w:r>
              <w:rPr>
                <w:rFonts w:ascii="Times New Roman" w:hAnsi="Times New Roman" w:eastAsia="仿宋_GB2312"/>
                <w:color w:val="000000"/>
                <w:kern w:val="0"/>
                <w:szCs w:val="21"/>
              </w:rPr>
              <w:t>　</w:t>
            </w:r>
          </w:p>
        </w:tc>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92</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-15</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eastAsia="zh-CN"/>
              </w:rPr>
              <w:t>纪检派驻机构专项经费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23.2</w:t>
            </w:r>
            <w:r>
              <w:rPr>
                <w:rFonts w:hint="eastAsia" w:ascii="Times New Roman" w:hAnsi="Times New Roman" w:eastAsia="仿宋_GB2312" w:cs="Times New Roman"/>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23.2</w:t>
            </w:r>
            <w:r>
              <w:rPr>
                <w:rFonts w:hint="eastAsia" w:ascii="Times New Roman" w:hAnsi="Times New Roman" w:eastAsia="仿宋_GB2312" w:cs="Times New Roman"/>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23.2</w:t>
            </w:r>
            <w:r>
              <w:rPr>
                <w:rFonts w:hint="eastAsia" w:ascii="Times New Roman" w:hAnsi="Times New Roman" w:eastAsia="仿宋_GB2312" w:cs="Times New Roman"/>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23.2</w:t>
            </w:r>
            <w:r>
              <w:rPr>
                <w:rFonts w:hint="eastAsia" w:ascii="Times New Roman" w:hAnsi="Times New Roman" w:eastAsia="仿宋_GB2312" w:cs="Times New Roman"/>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23.2</w:t>
            </w:r>
            <w:r>
              <w:rPr>
                <w:rFonts w:hint="eastAsia" w:ascii="Times New Roman" w:hAnsi="Times New Roman" w:eastAsia="仿宋_GB2312" w:cs="Times New Roman"/>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23.2</w:t>
            </w:r>
            <w:r>
              <w:rPr>
                <w:rFonts w:hint="eastAsia" w:ascii="Times New Roman" w:hAnsi="Times New Roman" w:eastAsia="仿宋_GB2312" w:cs="Times New Roman"/>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lang w:eastAsia="zh-CN"/>
              </w:rPr>
              <w:t>落实全面从严治党要求，聚焦党风廉政建设和反腐败工作中心任务，把纪律挺在前面，突出监督执纪问责，运用监督执纪“四种形态”发挥“派”的权威和“驻”的优势，强化“探头”作用。</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全面开展日常监督检查，落实全面从严治党监督责任</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督促驻在部门严抓严管，完善制度机制，加强对党员干部的日常教育、管理和监督；对行使公权力的公职人员实行监察全覆盖</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进一步对市财政局干部职工进行监督管理，重视日常教育、严格监督执纪，打造清廉单位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充分发挥全面从严治党监督责任，提升监督执纪问责水平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科学</w:t>
            </w:r>
            <w:r>
              <w:rPr>
                <w:rFonts w:hint="eastAsia" w:ascii="Times New Roman" w:hAnsi="Times New Roman" w:eastAsia="仿宋_GB2312"/>
                <w:color w:val="000000"/>
                <w:kern w:val="0"/>
                <w:szCs w:val="21"/>
                <w:lang w:eastAsia="zh-CN"/>
              </w:rPr>
              <w:t>开展政治监督和日常监督，强化作风建设和执纪问责，确保惩治腐败和审查调查</w:t>
            </w:r>
            <w:r>
              <w:rPr>
                <w:rFonts w:hint="eastAsia" w:ascii="Times New Roman" w:hAnsi="Times New Roman" w:eastAsia="仿宋_GB2312"/>
                <w:color w:val="000000"/>
                <w:kern w:val="0"/>
                <w:szCs w:val="21"/>
              </w:rPr>
              <w:t>客观、公平</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公正</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继续贯彻落实省、市纪委要求部署，重视专项整治后的效果，推进不敢腐、不能腐、不想腐的清廉单位建设</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派驻纪检监察工作完成时效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符合派驻纪检监察机构职责和工作的相关规定</w:t>
            </w: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纪检监察工作均符合市纪委时效要求进行落实开展。</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派驻纪检监察</w:t>
            </w:r>
            <w:r>
              <w:rPr>
                <w:rFonts w:hint="eastAsia" w:ascii="Times New Roman" w:hAnsi="Times New Roman" w:eastAsia="仿宋_GB2312"/>
                <w:color w:val="000000"/>
                <w:kern w:val="0"/>
                <w:szCs w:val="21"/>
              </w:rPr>
              <w:t>工作</w:t>
            </w:r>
            <w:r>
              <w:rPr>
                <w:rFonts w:hint="eastAsia" w:ascii="Times New Roman" w:hAnsi="Times New Roman" w:eastAsia="仿宋_GB2312"/>
                <w:color w:val="000000"/>
                <w:kern w:val="0"/>
                <w:szCs w:val="21"/>
                <w:lang w:eastAsia="zh-CN"/>
              </w:rPr>
              <w:t>日常开展成本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严格控制开支，合理使用工作经费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严格控制开支，合理使用工作经费。</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w:t>
            </w:r>
            <w:r>
              <w:rPr>
                <w:rFonts w:hint="eastAsia" w:ascii="Times New Roman" w:hAnsi="Times New Roman" w:eastAsia="仿宋_GB2312"/>
                <w:color w:val="000000"/>
                <w:kern w:val="0"/>
                <w:szCs w:val="21"/>
                <w:lang w:eastAsia="zh-CN"/>
              </w:rPr>
              <w:t>派驻纪检监察工作</w:t>
            </w:r>
            <w:r>
              <w:rPr>
                <w:rFonts w:hint="eastAsia" w:ascii="Times New Roman" w:hAnsi="Times New Roman" w:eastAsia="仿宋_GB2312"/>
                <w:color w:val="000000"/>
                <w:kern w:val="0"/>
                <w:szCs w:val="21"/>
              </w:rPr>
              <w:t>和</w:t>
            </w:r>
            <w:r>
              <w:rPr>
                <w:rFonts w:hint="eastAsia" w:ascii="Times New Roman" w:hAnsi="Times New Roman" w:eastAsia="仿宋_GB2312"/>
                <w:color w:val="000000"/>
                <w:kern w:val="0"/>
                <w:szCs w:val="21"/>
                <w:lang w:eastAsia="zh-CN"/>
              </w:rPr>
              <w:t>资金</w:t>
            </w:r>
            <w:r>
              <w:rPr>
                <w:rFonts w:hint="eastAsia" w:ascii="Times New Roman" w:hAnsi="Times New Roman" w:eastAsia="仿宋_GB2312"/>
                <w:color w:val="000000"/>
                <w:kern w:val="0"/>
                <w:szCs w:val="21"/>
              </w:rPr>
              <w:t>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通过资金使用，提高派驻纪检监察工作</w:t>
            </w:r>
            <w:r>
              <w:rPr>
                <w:rFonts w:hint="eastAsia" w:ascii="Times New Roman" w:hAnsi="Times New Roman" w:eastAsia="仿宋_GB2312"/>
                <w:color w:val="000000"/>
                <w:kern w:val="0"/>
                <w:szCs w:val="21"/>
              </w:rPr>
              <w:t>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通过严格开展纪检监察工作提高财政资金使用效益。</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加强党的领导，提升群众满意度，促进党风政风民风得到明显改善</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w:t>
            </w:r>
            <w:r>
              <w:rPr>
                <w:rFonts w:hint="eastAsia" w:ascii="Times New Roman" w:hAnsi="Times New Roman" w:eastAsia="仿宋_GB2312"/>
                <w:color w:val="000000"/>
                <w:kern w:val="0"/>
                <w:szCs w:val="21"/>
                <w:lang w:eastAsia="zh-CN"/>
              </w:rPr>
              <w:t>纪检监察工作宣传</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以从严治党新成效赢得群众信赖和支持，不断夯实党长期执政政治根基</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继续重视宣传工作，全年发布6篇宣传文稿。</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w:t>
            </w:r>
            <w:r>
              <w:rPr>
                <w:rFonts w:hint="eastAsia" w:ascii="Times New Roman" w:hAnsi="Times New Roman" w:eastAsia="仿宋_GB2312"/>
                <w:color w:val="000000"/>
                <w:kern w:val="0"/>
                <w:szCs w:val="21"/>
                <w:lang w:eastAsia="zh-CN"/>
              </w:rPr>
              <w:t>派驻纪检监察工作</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推动全面从严治党向纵深发展</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发现问题，</w:t>
            </w:r>
            <w:r>
              <w:rPr>
                <w:rFonts w:hint="eastAsia" w:ascii="Times New Roman" w:hAnsi="Times New Roman" w:eastAsia="仿宋_GB2312"/>
                <w:color w:val="000000"/>
                <w:kern w:val="0"/>
                <w:szCs w:val="21"/>
                <w:lang w:eastAsia="zh-CN"/>
              </w:rPr>
              <w:t>督促整改，形成震慑，建章立制</w:t>
            </w:r>
            <w:r>
              <w:rPr>
                <w:rFonts w:hint="eastAsia" w:ascii="Times New Roman" w:hAnsi="Times New Roman" w:eastAsia="仿宋_GB2312"/>
                <w:color w:val="000000"/>
                <w:kern w:val="0"/>
                <w:szCs w:val="21"/>
              </w:rPr>
              <w:t>，充分发挥</w:t>
            </w:r>
            <w:r>
              <w:rPr>
                <w:rFonts w:hint="eastAsia" w:ascii="Times New Roman" w:hAnsi="Times New Roman" w:eastAsia="仿宋_GB2312"/>
                <w:color w:val="000000"/>
                <w:kern w:val="0"/>
                <w:szCs w:val="21"/>
                <w:lang w:eastAsia="zh-CN"/>
              </w:rPr>
              <w:t>全面从严治党工作</w:t>
            </w:r>
            <w:r>
              <w:rPr>
                <w:rFonts w:hint="eastAsia" w:ascii="Times New Roman" w:hAnsi="Times New Roman" w:eastAsia="仿宋_GB2312"/>
                <w:color w:val="000000"/>
                <w:kern w:val="0"/>
                <w:szCs w:val="21"/>
              </w:rPr>
              <w:t>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重视单位制度补丁工作，对整改不落实、敷衍塞责，甚至边改边犯的，从严问责</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w:t>
            </w:r>
            <w:r>
              <w:rPr>
                <w:rFonts w:hint="eastAsia" w:ascii="Times New Roman" w:hAnsi="Times New Roman" w:eastAsia="仿宋_GB2312"/>
                <w:color w:val="000000"/>
                <w:kern w:val="0"/>
                <w:szCs w:val="21"/>
                <w:lang w:eastAsia="zh-CN"/>
              </w:rPr>
              <w:t>纪检监察</w:t>
            </w:r>
            <w:r>
              <w:rPr>
                <w:rFonts w:hint="eastAsia" w:ascii="Times New Roman" w:hAnsi="Times New Roman" w:eastAsia="仿宋_GB2312"/>
                <w:color w:val="000000"/>
                <w:kern w:val="0"/>
                <w:szCs w:val="21"/>
              </w:rPr>
              <w:t>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 xml:space="preserve">填表人 </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单位负责人签字：</w:t>
      </w: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-16</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eastAsia="仿宋_GB2312"/>
                <w:color w:val="000000"/>
                <w:kern w:val="0"/>
                <w:szCs w:val="21"/>
              </w:rPr>
              <w:t>预算绩效管理工作经费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eastAsia="仿宋_GB2312"/>
                <w:color w:val="000000"/>
                <w:kern w:val="0"/>
                <w:szCs w:val="21"/>
              </w:rPr>
              <w:t>150</w:t>
            </w:r>
            <w:r>
              <w:rPr>
                <w:rFonts w:hint="eastAsia" w:eastAsia="仿宋_GB2312"/>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eastAsia="仿宋_GB2312"/>
                <w:color w:val="000000"/>
                <w:kern w:val="0"/>
                <w:szCs w:val="21"/>
              </w:rPr>
              <w:t>150</w:t>
            </w:r>
            <w:r>
              <w:rPr>
                <w:rFonts w:hint="eastAsia" w:eastAsia="仿宋_GB2312"/>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color w:val="000000"/>
                <w:kern w:val="0"/>
                <w:szCs w:val="21"/>
              </w:rPr>
              <w:t>150</w:t>
            </w:r>
            <w:r>
              <w:rPr>
                <w:rFonts w:hint="eastAsia" w:eastAsia="仿宋_GB2312"/>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color w:val="000000"/>
                <w:kern w:val="0"/>
                <w:szCs w:val="21"/>
              </w:rPr>
              <w:t>150</w:t>
            </w:r>
            <w:r>
              <w:rPr>
                <w:rFonts w:hint="eastAsia" w:eastAsia="仿宋_GB2312"/>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eastAsia="仿宋_GB2312"/>
                <w:color w:val="000000"/>
                <w:kern w:val="0"/>
                <w:szCs w:val="21"/>
              </w:rPr>
              <w:t>150</w:t>
            </w:r>
            <w:r>
              <w:rPr>
                <w:rFonts w:hint="eastAsia" w:eastAsia="仿宋_GB2312"/>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color w:val="000000"/>
                <w:kern w:val="0"/>
                <w:szCs w:val="21"/>
              </w:rPr>
              <w:t>150</w:t>
            </w:r>
            <w:r>
              <w:rPr>
                <w:rFonts w:hint="eastAsia" w:eastAsia="仿宋_GB2312"/>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加大预算绩效管理政策宣传培训力度，树立预算绩效管理理念，做实绩效目标管理、实施重点绩效评价、完善绩效运行监控、建立评价结果应用机制。</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绩效管理覆盖率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预算单位绩效目标申报、绩效运行监控和绩效自评覆盖率达100%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财政重点绩效评价项目</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开展36个财政重点绩效评价项目</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36个</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预算绩效管理水平</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确保绩效管理过程客观、公平、公正，科学开展绩效管理工作，绩效评价结果有效运用</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持续提高</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绩效管理工作完成及时率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olor w:val="000000"/>
                <w:kern w:val="0"/>
                <w:szCs w:val="21"/>
                <w:lang w:eastAsia="zh-CN"/>
              </w:rPr>
              <w:t>在规定时间内完成</w:t>
            </w:r>
            <w:r>
              <w:rPr>
                <w:rFonts w:hint="eastAsia" w:ascii="Times New Roman" w:hAnsi="Times New Roman" w:eastAsia="仿宋_GB2312"/>
                <w:color w:val="000000"/>
                <w:kern w:val="0"/>
                <w:szCs w:val="21"/>
              </w:rPr>
              <w:t>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按时间节点完成绩效管理工作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成本节约率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主要考察项目执行过程中是否有效节约实施成本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严格控制了开支，各项开支合理</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提高财政资源配置效率和使用效益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规范和监督预算资金的使用，提高财政资源配置和使用效益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资金使用规范性持续提高</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提高财政资金透明度和政府公信力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通过绩效信息公开，接受社会监督，让社会和群众了解财政资金使用情况，推进建立公开透明的现代财政制度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绩效信息公开，提高资金透明度和公信力</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建立绩效管理长效机制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通过预算绩效管理，发现问题，落实整改，推进财政资金配置更科学，管理更规范</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财政资金得已科学配置，形成长效机制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对预算绩效管理工作满意度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eastAsia="zh-CN"/>
              </w:rPr>
              <w:t>≥</w:t>
            </w:r>
            <w:r>
              <w:rPr>
                <w:rFonts w:hint="eastAsia" w:ascii="Times New Roman" w:hAnsi="Times New Roman" w:eastAsia="仿宋_GB2312" w:cs="Times New Roman"/>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93</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 xml:space="preserve">填表人 </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-17</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Times New Roman" w:eastAsia="仿宋_GB2312"/>
                <w:color w:val="000000"/>
                <w:kern w:val="0"/>
                <w:szCs w:val="21"/>
              </w:rPr>
              <w:t>填报单位： （盖章）</w:t>
            </w: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2022</w:t>
            </w:r>
            <w:r>
              <w:rPr>
                <w:rFonts w:ascii="Times New Roman" w:hAnsi="Times New Roman" w:eastAsia="仿宋_GB2312"/>
                <w:color w:val="000000"/>
                <w:kern w:val="0"/>
                <w:szCs w:val="21"/>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纳税大户联席会经费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809"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对全市所有的纳税大户开展一次调研工作</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深入开展纳税大户调研会</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覆盖规模纳税大户</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对全市所有的纳税大户开展一次调研工作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聘请专家核实纳税额度是否达标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科学开展核实工作，保证结论客观、公正</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评定过程科学、客观</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定期组织纳税大户联席会议</w:t>
            </w:r>
            <w:r>
              <w:rPr>
                <w:rFonts w:hint="eastAsia" w:ascii="Times New Roman" w:hAnsi="Times New Roman" w:eastAsia="仿宋_GB2312"/>
                <w:color w:val="000000"/>
                <w:kern w:val="0"/>
                <w:szCs w:val="21"/>
                <w:lang w:val="en-US" w:eastAsia="zh-CN"/>
              </w:rPr>
              <w:t xml:space="preserve"> </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按时间节点完成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组织一次纳税大户联席会议</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纳税大会调研成本</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严格控制开支，实行绩效考核</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厉行节约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促进财税收入与经济增长</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通过纳税大户联席会，营造良好氛围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宣传纳税有责、纳税光荣，进而形成良好纳税氛围</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提升纳税资金透明度和政府公信力</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通过纳税信息的公开，让社会和群众了解纳税情况，加强社会监督，推进建立公开透明的财政制度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纳税信息公开透明，接受日常监督</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建立长效管理机制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对验收达标的纳税大户采取一定的奖补</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给纳税达标大户给予奖励</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纳税大户联席会满意度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97%</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pStyle w:val="4"/>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-18</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农村财务人员培训经费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w:t>
            </w:r>
            <w:r>
              <w:rPr>
                <w:rFonts w:hint="eastAsia" w:ascii="Times New Roman" w:hAnsi="Times New Roman" w:eastAsia="仿宋_GB2312" w:cs="Times New Roman"/>
                <w:color w:val="000000"/>
                <w:kern w:val="0"/>
                <w:szCs w:val="21"/>
                <w:lang w:val="en-US" w:eastAsia="zh-CN"/>
              </w:rPr>
              <w:t>30</w:t>
            </w:r>
            <w:r>
              <w:rPr>
                <w:rFonts w:hint="eastAsia" w:ascii="Times New Roman" w:hAnsi="Times New Roman" w:eastAsia="仿宋_GB2312" w:cs="Times New Roman"/>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 xml:space="preserve"> 30</w:t>
            </w:r>
            <w:r>
              <w:rPr>
                <w:rFonts w:hint="eastAsia" w:ascii="Times New Roman" w:hAnsi="Times New Roman" w:eastAsia="仿宋_GB2312" w:cs="Times New Roman"/>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 xml:space="preserve"> 30</w:t>
            </w:r>
            <w:r>
              <w:rPr>
                <w:rFonts w:hint="eastAsia" w:ascii="Times New Roman" w:hAnsi="Times New Roman" w:eastAsia="仿宋_GB2312" w:cs="Times New Roman"/>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w:t>
            </w:r>
            <w:r>
              <w:rPr>
                <w:rFonts w:hint="eastAsia" w:ascii="Times New Roman" w:hAnsi="Times New Roman" w:eastAsia="仿宋_GB2312" w:cs="Times New Roman"/>
                <w:color w:val="000000"/>
                <w:kern w:val="0"/>
                <w:szCs w:val="21"/>
                <w:lang w:val="en-US" w:eastAsia="zh-CN"/>
              </w:rPr>
              <w:t>30</w:t>
            </w:r>
            <w:r>
              <w:rPr>
                <w:rFonts w:hint="eastAsia" w:ascii="Times New Roman" w:hAnsi="Times New Roman" w:eastAsia="仿宋_GB2312" w:cs="Times New Roman"/>
                <w:color w:val="000000"/>
                <w:kern w:val="0"/>
                <w:szCs w:val="21"/>
                <w:lang w:eastAsia="zh-CN"/>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w:t>
            </w:r>
            <w:r>
              <w:rPr>
                <w:rFonts w:hint="eastAsia" w:ascii="Times New Roman" w:hAnsi="Times New Roman" w:eastAsia="仿宋_GB2312" w:cs="Times New Roman"/>
                <w:color w:val="000000"/>
                <w:kern w:val="0"/>
                <w:szCs w:val="21"/>
                <w:lang w:val="en-US" w:eastAsia="zh-CN"/>
              </w:rPr>
              <w:t>30</w:t>
            </w:r>
            <w:r>
              <w:rPr>
                <w:rFonts w:hint="eastAsia" w:ascii="Times New Roman" w:hAnsi="Times New Roman" w:eastAsia="仿宋_GB2312" w:cs="Times New Roman"/>
                <w:color w:val="000000"/>
                <w:kern w:val="0"/>
                <w:szCs w:val="21"/>
                <w:lang w:eastAsia="zh-CN"/>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w:t>
            </w:r>
            <w:r>
              <w:rPr>
                <w:rFonts w:hint="eastAsia" w:ascii="Times New Roman" w:hAnsi="Times New Roman" w:eastAsia="仿宋_GB2312" w:cs="Times New Roman"/>
                <w:color w:val="000000"/>
                <w:kern w:val="0"/>
                <w:szCs w:val="21"/>
                <w:lang w:val="en-US" w:eastAsia="zh-CN"/>
              </w:rPr>
              <w:t>30</w:t>
            </w:r>
            <w:r>
              <w:rPr>
                <w:rFonts w:hint="eastAsia" w:ascii="Times New Roman" w:hAnsi="Times New Roman" w:eastAsia="仿宋_GB2312" w:cs="Times New Roman"/>
                <w:color w:val="000000"/>
                <w:kern w:val="0"/>
                <w:szCs w:val="21"/>
                <w:lang w:eastAsia="zh-CN"/>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通过对农村财务人员的培训，达到熟悉政策，增强能力，切实提高在新常态下乡镇财政管理工作能力。</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农村财务人员培训覆盖面</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覆盖所有县市区，对全市乡镇财政所长开展培训</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全年培训达</w:t>
            </w:r>
            <w:r>
              <w:rPr>
                <w:rFonts w:hint="eastAsia" w:ascii="Times New Roman" w:hAnsi="Times New Roman" w:eastAsia="仿宋_GB2312" w:cs="Times New Roman"/>
                <w:color w:val="000000"/>
                <w:kern w:val="0"/>
                <w:szCs w:val="21"/>
                <w:lang w:val="en-US" w:eastAsia="zh-CN"/>
              </w:rPr>
              <w:t>3000人次</w:t>
            </w:r>
            <w:r>
              <w:rPr>
                <w:rFonts w:hint="eastAsia" w:ascii="Times New Roman" w:hAnsi="Times New Roman" w:eastAsia="仿宋_GB2312" w:cs="Times New Roman"/>
                <w:color w:val="000000"/>
                <w:kern w:val="0"/>
                <w:szCs w:val="21"/>
                <w:lang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开展财政惠农、支农政策培训</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开展培训考核，确保培训效果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开展1次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定期举办农村财务人员培训</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做到应培尽培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达到考核目标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农村财务人员培训成本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严格按制度规定控制成本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节约成本原则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提高资金使用效率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通过培训提高资金管理水平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建立财政资金监管操作模式，更好规范基层项目资金监管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提升农村财务人员素质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提升业务能力，服务财政发展</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切实提高财政干部在新常态下乡镇财政管理工作能力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建立培训管理长效机制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持续推动农村财务人员业务能力不断提升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通过培训提高财政干部业务知识水平，达到熟悉政策，增强能力。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对培训人员工作的满意度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val="en-US" w:eastAsia="zh-CN"/>
              </w:rPr>
              <w:t>98%</w:t>
            </w:r>
            <w:r>
              <w:rPr>
                <w:rFonts w:hint="eastAsia" w:ascii="Times New Roman" w:hAnsi="Times New Roman" w:eastAsia="仿宋_GB2312" w:cs="Times New Roman"/>
                <w:color w:val="000000"/>
                <w:kern w:val="0"/>
                <w:szCs w:val="21"/>
                <w:lang w:eastAsia="zh-CN"/>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94</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widowControl/>
        <w:jc w:val="center"/>
        <w:rPr>
          <w:rFonts w:ascii="Times New Roman" w:hAnsi="Times New Roman" w:eastAsia="仿宋_GB2312"/>
          <w:color w:val="000000"/>
          <w:kern w:val="0"/>
          <w:szCs w:val="21"/>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-19</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填报单位： （盖章）</w:t>
            </w: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2022</w:t>
            </w:r>
            <w:r>
              <w:rPr>
                <w:rFonts w:ascii="Times New Roman" w:hAnsi="Times New Roman" w:eastAsia="仿宋_GB2312"/>
                <w:color w:val="000000"/>
                <w:kern w:val="0"/>
                <w:szCs w:val="21"/>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财政投资评审</w:t>
            </w:r>
            <w:r>
              <w:rPr>
                <w:rFonts w:hint="eastAsia" w:ascii="Times New Roman" w:hAnsi="Times New Roman" w:eastAsia="仿宋_GB2312"/>
                <w:color w:val="000000"/>
                <w:kern w:val="0"/>
                <w:szCs w:val="21"/>
                <w:lang w:val="en-US" w:eastAsia="zh-CN"/>
              </w:rPr>
              <w:t>服务</w:t>
            </w:r>
            <w:r>
              <w:rPr>
                <w:rFonts w:hint="eastAsia" w:ascii="Times New Roman" w:hAnsi="Times New Roman" w:eastAsia="仿宋_GB2312"/>
                <w:color w:val="000000"/>
                <w:kern w:val="0"/>
                <w:szCs w:val="21"/>
                <w:lang w:eastAsia="zh-CN"/>
              </w:rPr>
              <w:t>中心</w:t>
            </w:r>
            <w:r>
              <w:rPr>
                <w:rFonts w:hint="eastAsia" w:ascii="Times New Roman" w:hAnsi="Times New Roman" w:eastAsia="仿宋_GB2312"/>
                <w:color w:val="000000"/>
                <w:kern w:val="0"/>
                <w:szCs w:val="21"/>
              </w:rPr>
              <w:t>工作经费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800</w:t>
            </w:r>
            <w:r>
              <w:rPr>
                <w:rFonts w:hint="eastAsia" w:ascii="Times New Roman" w:hAnsi="Times New Roman" w:eastAsia="仿宋_GB2312" w:cs="Times New Roman"/>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800</w:t>
            </w:r>
            <w:r>
              <w:rPr>
                <w:rFonts w:hint="eastAsia" w:ascii="Times New Roman" w:hAnsi="Times New Roman" w:eastAsia="仿宋_GB2312" w:cs="Times New Roman"/>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800</w:t>
            </w:r>
            <w:r>
              <w:rPr>
                <w:rFonts w:hint="eastAsia" w:ascii="Times New Roman" w:hAnsi="Times New Roman" w:eastAsia="仿宋_GB2312" w:cs="Times New Roman"/>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800</w:t>
            </w:r>
            <w:r>
              <w:rPr>
                <w:rFonts w:hint="eastAsia" w:ascii="Times New Roman" w:hAnsi="Times New Roman" w:eastAsia="仿宋_GB2312" w:cs="Times New Roman"/>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800</w:t>
            </w:r>
            <w:r>
              <w:rPr>
                <w:rFonts w:hint="eastAsia" w:ascii="Times New Roman" w:hAnsi="Times New Roman" w:eastAsia="仿宋_GB2312" w:cs="Times New Roman"/>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800</w:t>
            </w:r>
            <w:r>
              <w:rPr>
                <w:rFonts w:hint="eastAsia" w:ascii="Times New Roman" w:hAnsi="Times New Roman" w:eastAsia="仿宋_GB2312" w:cs="Times New Roman"/>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改进和加强政府投资工程项目造价管理的精细化、科学化和高效化，避免公共财政资源浪费，提出政府投资工程项目管理合理建议，为领导科学决策提供重要依据。</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财政投资评审</w:t>
            </w:r>
            <w:r>
              <w:rPr>
                <w:rFonts w:hint="eastAsia" w:ascii="Times New Roman" w:hAnsi="Times New Roman" w:eastAsia="仿宋_GB2312"/>
                <w:color w:val="000000"/>
                <w:kern w:val="0"/>
                <w:szCs w:val="21"/>
              </w:rPr>
              <w:t>覆盖广度和深度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w:t>
            </w:r>
            <w:r>
              <w:rPr>
                <w:rFonts w:hint="eastAsia" w:ascii="Times New Roman" w:hAnsi="Times New Roman" w:eastAsia="仿宋_GB2312"/>
                <w:color w:val="000000"/>
                <w:kern w:val="0"/>
                <w:szCs w:val="21"/>
                <w:lang w:eastAsia="zh-CN"/>
              </w:rPr>
              <w:t>财政性资金投资项目</w:t>
            </w:r>
            <w:r>
              <w:rPr>
                <w:rFonts w:hint="eastAsia" w:ascii="Times New Roman" w:hAnsi="Times New Roman" w:eastAsia="仿宋_GB2312"/>
                <w:color w:val="000000"/>
                <w:kern w:val="0"/>
                <w:szCs w:val="21"/>
              </w:rPr>
              <w:t>预（概）算和竣工决（结）算</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全年完成评审项目不低于900个，评审金额不低于150亿元。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18</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财政投资评审报告结论</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科学开展</w:t>
            </w:r>
            <w:r>
              <w:rPr>
                <w:rFonts w:hint="eastAsia" w:ascii="Times New Roman" w:hAnsi="Times New Roman" w:eastAsia="仿宋_GB2312"/>
                <w:color w:val="000000"/>
                <w:kern w:val="0"/>
                <w:szCs w:val="21"/>
                <w:lang w:eastAsia="zh-CN"/>
              </w:rPr>
              <w:t>评审</w:t>
            </w:r>
            <w:r>
              <w:rPr>
                <w:rFonts w:hint="eastAsia" w:ascii="Times New Roman" w:hAnsi="Times New Roman" w:eastAsia="仿宋_GB2312"/>
                <w:color w:val="000000"/>
                <w:kern w:val="0"/>
                <w:szCs w:val="21"/>
              </w:rPr>
              <w:t>工作</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保证</w:t>
            </w:r>
            <w:r>
              <w:rPr>
                <w:rFonts w:hint="eastAsia" w:ascii="Times New Roman" w:hAnsi="Times New Roman" w:eastAsia="仿宋_GB2312"/>
                <w:color w:val="000000"/>
                <w:kern w:val="0"/>
                <w:szCs w:val="21"/>
                <w:lang w:eastAsia="zh-CN"/>
              </w:rPr>
              <w:t>财政投资评审报告结论</w:t>
            </w:r>
            <w:r>
              <w:rPr>
                <w:rFonts w:hint="eastAsia" w:ascii="Times New Roman" w:hAnsi="Times New Roman" w:eastAsia="仿宋_GB2312"/>
                <w:color w:val="000000"/>
                <w:kern w:val="0"/>
                <w:szCs w:val="21"/>
              </w:rPr>
              <w:t>客观、公平</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公正</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科学开展评审工作，保证了财政投资评审报告结论客观、公平、公正</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财政投资评审报告时效</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符合市财政投资评审中心关于项目评审时间的规定</w:t>
            </w: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健全评审机制，所有项目评审时长均符合市财政投资评审中心关于项目评审时间的规定　</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财政投资评审</w:t>
            </w:r>
            <w:r>
              <w:rPr>
                <w:rFonts w:hint="eastAsia" w:ascii="Times New Roman" w:hAnsi="Times New Roman" w:eastAsia="仿宋_GB2312"/>
                <w:color w:val="000000"/>
                <w:kern w:val="0"/>
                <w:szCs w:val="21"/>
              </w:rPr>
              <w:t>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严格控制开支，实施绩效考核，合理使用工作经费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严格控制了开支，工作经费开支合理</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提高财政资源配置效率和使用效益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通过财政投资评审</w:t>
            </w:r>
            <w:r>
              <w:rPr>
                <w:rFonts w:hint="eastAsia" w:ascii="Times New Roman" w:hAnsi="Times New Roman" w:eastAsia="仿宋_GB2312"/>
                <w:color w:val="000000"/>
                <w:kern w:val="0"/>
                <w:szCs w:val="21"/>
              </w:rPr>
              <w:t>提高财政</w:t>
            </w:r>
            <w:r>
              <w:rPr>
                <w:rFonts w:hint="eastAsia" w:ascii="Times New Roman" w:hAnsi="Times New Roman" w:eastAsia="仿宋_GB2312"/>
                <w:color w:val="000000"/>
                <w:kern w:val="0"/>
                <w:szCs w:val="21"/>
                <w:lang w:eastAsia="zh-CN"/>
              </w:rPr>
              <w:t>资金</w:t>
            </w:r>
            <w:r>
              <w:rPr>
                <w:rFonts w:hint="eastAsia" w:ascii="Times New Roman" w:hAnsi="Times New Roman" w:eastAsia="仿宋_GB2312"/>
                <w:color w:val="000000"/>
                <w:kern w:val="0"/>
                <w:szCs w:val="21"/>
              </w:rPr>
              <w:t>使用效益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保障重点项目，服务经济发展，提高财政资金使用效益</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提升财政资金透明度和政府公信力</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w:t>
            </w:r>
            <w:r>
              <w:rPr>
                <w:rFonts w:hint="eastAsia" w:ascii="Times New Roman" w:hAnsi="Times New Roman" w:eastAsia="仿宋_GB2312"/>
                <w:color w:val="000000"/>
                <w:kern w:val="0"/>
                <w:szCs w:val="21"/>
                <w:lang w:eastAsia="zh-CN"/>
              </w:rPr>
              <w:t>评审</w:t>
            </w:r>
            <w:r>
              <w:rPr>
                <w:rFonts w:hint="eastAsia" w:ascii="Times New Roman" w:hAnsi="Times New Roman" w:eastAsia="仿宋_GB2312"/>
                <w:color w:val="000000"/>
                <w:kern w:val="0"/>
                <w:szCs w:val="21"/>
              </w:rPr>
              <w:t>信息公开，让社会和群众了解财政资金使用情况，加强社会监督，推进建立公开透明的现代财政制度</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按月发布《财事参考-评审专报》，并在实时公布资料预审项目情况、正在评审项目情况和年度已完成评审项目情况</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w:t>
            </w:r>
            <w:r>
              <w:rPr>
                <w:rFonts w:hint="eastAsia" w:ascii="Times New Roman" w:hAnsi="Times New Roman" w:eastAsia="仿宋_GB2312"/>
                <w:color w:val="000000"/>
                <w:kern w:val="0"/>
                <w:szCs w:val="21"/>
                <w:lang w:eastAsia="zh-CN"/>
              </w:rPr>
              <w:t>财政投资评审</w:t>
            </w:r>
            <w:r>
              <w:rPr>
                <w:rFonts w:hint="eastAsia" w:ascii="Times New Roman" w:hAnsi="Times New Roman" w:eastAsia="仿宋_GB2312"/>
                <w:color w:val="000000"/>
                <w:kern w:val="0"/>
                <w:szCs w:val="21"/>
              </w:rPr>
              <w:t>，发现问题，整改问题，规范管理，提高财政资金使用效率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财政资金科学配置，充分发挥效益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财政资金科学配置，充分发挥效益</w:t>
            </w: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w:t>
            </w:r>
            <w:r>
              <w:rPr>
                <w:rFonts w:hint="eastAsia" w:ascii="Times New Roman" w:hAnsi="Times New Roman" w:eastAsia="仿宋_GB2312"/>
                <w:color w:val="000000"/>
                <w:kern w:val="0"/>
                <w:szCs w:val="21"/>
                <w:lang w:eastAsia="zh-CN"/>
              </w:rPr>
              <w:t>财政投资评审</w:t>
            </w:r>
            <w:r>
              <w:rPr>
                <w:rFonts w:hint="eastAsia" w:ascii="Times New Roman" w:hAnsi="Times New Roman" w:eastAsia="仿宋_GB2312"/>
                <w:color w:val="000000"/>
                <w:kern w:val="0"/>
                <w:szCs w:val="21"/>
              </w:rPr>
              <w:t>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98%</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92</w:t>
            </w:r>
            <w:r>
              <w:rPr>
                <w:rFonts w:hint="eastAsia" w:ascii="Times New Roman" w:hAnsi="Times New Roman" w:eastAsia="仿宋_GB2312"/>
                <w:color w:val="000000"/>
                <w:kern w:val="0"/>
                <w:szCs w:val="21"/>
                <w:lang w:eastAsia="zh-CN"/>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r>
    </w:tbl>
    <w:p>
      <w:pPr>
        <w:spacing w:beforeLines="50"/>
        <w:rPr>
          <w:rFonts w:ascii="Times New Roman" w:hAnsi="Times New Roman" w:eastAsia="黑体"/>
          <w:sz w:val="32"/>
          <w:szCs w:val="32"/>
        </w:rPr>
      </w:pPr>
      <w:r>
        <w:rPr>
          <w:rFonts w:ascii="Times New Roman" w:hAnsi="Times New Roman" w:eastAsia="仿宋_GB2312"/>
          <w:sz w:val="24"/>
        </w:rPr>
        <w:t xml:space="preserve">填表人 </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-20</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填报单位： （盖章）</w:t>
            </w: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2022</w:t>
            </w:r>
            <w:r>
              <w:rPr>
                <w:rFonts w:ascii="Times New Roman" w:hAnsi="Times New Roman" w:eastAsia="仿宋_GB2312"/>
                <w:color w:val="000000"/>
                <w:kern w:val="0"/>
                <w:szCs w:val="21"/>
              </w:rPr>
              <w:t>年度）</w:t>
            </w:r>
          </w:p>
        </w:tc>
      </w:tr>
      <w:tr>
        <w:tblPrEx>
          <w:tblCellMar>
            <w:top w:w="0" w:type="dxa"/>
            <w:left w:w="108" w:type="dxa"/>
            <w:bottom w:w="0" w:type="dxa"/>
            <w:right w:w="108" w:type="dxa"/>
          </w:tblCellMar>
        </w:tblPrEx>
        <w:trPr>
          <w:trHeight w:val="572"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市属学校在校缴费平台经费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27万元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27万元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27万元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27万元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27万元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27万元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继续完善征缴平台建设，确保系统运行良好，切实方便广大群众缴费。</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覆盖市本级公办学校及相关执收单位</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全年市本级公办学校及相关执收单位完成教育收费2.7亿元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电子化征缴实施效果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落实互联网+政务服务模式</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基本实现落实互联网+政务服务模式</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实现全面实施电子化征缴管理时间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2-3年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执行中</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电子化征缴工作开展成本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实施政府采购，合理使用工作经费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严格控制了开支，工作经费开支合理</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整合各单位执收资源，优化模式，节省执收成本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s="Times New Roman"/>
                <w:color w:val="000000"/>
                <w:kern w:val="0"/>
                <w:szCs w:val="21"/>
              </w:rPr>
              <w:t>整合资源，节约成本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明确财政与时俱进的改革方向、为民服务的决心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提高财政的服务形象，方便广大群众缴费。“让信息多跑步，群众少走路”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继续做好宣传，提高服务</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通过电子化管理，整合资源，优化配置、规范管理</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信息资源随时可控，方便财政统一调度收入</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继续优化系统，提高性能</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9</w:t>
            </w: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对非税电子化工作满意度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电子化数据直接传入信息平台，即时调度监控</w:t>
            </w: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-21</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投资评审经费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改进和加强政府投资工程项目造价管理的精细化、科学化和高效化，避免公共财政资源浪费，提出政府投资工程项目管理合理建议，为领导科学决策提供重要依据。</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数量指标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财政投资评审报告数量、送审金额、审定金额、审减率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覆盖所有财政性资金投资项目预、结算，评审</w:t>
            </w:r>
            <w:r>
              <w:rPr>
                <w:rFonts w:hint="eastAsia" w:ascii="Times New Roman" w:hAnsi="Times New Roman" w:eastAsia="仿宋_GB2312"/>
                <w:color w:val="000000"/>
                <w:kern w:val="0"/>
                <w:szCs w:val="21"/>
                <w:lang w:val="en-US" w:eastAsia="zh-CN"/>
              </w:rPr>
              <w:t>项目完成</w:t>
            </w:r>
            <w:r>
              <w:rPr>
                <w:rFonts w:hint="eastAsia" w:ascii="Times New Roman" w:hAnsi="Times New Roman" w:eastAsia="仿宋_GB2312"/>
                <w:color w:val="000000"/>
                <w:kern w:val="0"/>
                <w:szCs w:val="21"/>
                <w:lang w:eastAsia="zh-CN"/>
              </w:rPr>
              <w:t>数量不低于</w:t>
            </w:r>
            <w:r>
              <w:rPr>
                <w:rFonts w:hint="eastAsia" w:ascii="Times New Roman" w:hAnsi="Times New Roman" w:eastAsia="仿宋_GB2312"/>
                <w:color w:val="000000"/>
                <w:kern w:val="0"/>
                <w:szCs w:val="21"/>
                <w:lang w:val="en-US" w:eastAsia="zh-CN"/>
              </w:rPr>
              <w:t>2021年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全年完成评审项目不低于900个，评审金额不低于150亿元。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质量指标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财政投资评审报告结论</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科学开展评审工作，保证财政投资评审报告结论客观、公平、公正</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科学开展评审工作，保证了财政投资评审报告结论客观、公平、公正</w:t>
            </w:r>
            <w:r>
              <w:rPr>
                <w:rFonts w:hint="eastAsia" w:ascii="Times New Roman" w:hAnsi="Times New Roman" w:eastAsia="仿宋_GB2312"/>
                <w:color w:val="000000"/>
                <w:kern w:val="0"/>
                <w:szCs w:val="21"/>
                <w:lang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时效指标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财政投资评审报告时效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符合市财政投资评审中心关于项目评审时间的规定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健全评审机制，所有项目评审时长均符合市财政投资评审中心关于项目评审时间的规定</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成本指标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财政投资评审工作开展成本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严格控制开支，实施绩效考核，合理使用工作经费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严格控制了开支，工作经费开支合理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经济效</w:t>
            </w:r>
          </w:p>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通过财政投资评审提高财政资金使用效益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提高财政投资评审</w:t>
            </w:r>
            <w:r>
              <w:rPr>
                <w:rFonts w:hint="eastAsia" w:ascii="Times New Roman" w:hAnsi="Times New Roman" w:eastAsia="仿宋_GB2312"/>
                <w:color w:val="000000" w:themeColor="text1"/>
                <w:kern w:val="0"/>
                <w:szCs w:val="21"/>
                <w:lang w:eastAsia="zh-CN"/>
                <w14:textFill>
                  <w14:solidFill>
                    <w14:schemeClr w14:val="tx1"/>
                  </w14:solidFill>
                </w14:textFill>
              </w:rPr>
              <w:t>审减率，为财政节约资金。</w:t>
            </w:r>
            <w:r>
              <w:rPr>
                <w:rFonts w:hint="eastAsia" w:ascii="Times New Roman" w:hAnsi="Times New Roman" w:eastAsia="仿宋_GB2312"/>
                <w:color w:val="000000"/>
                <w:kern w:val="0"/>
                <w:szCs w:val="21"/>
                <w:lang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社会效</w:t>
            </w:r>
          </w:p>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提升财政资金透明度和政府公信力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通过评审信息公开，让社会和群众了解财政资金使用情况，加强社会监督，推进建立公开透明的现代财政制度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为做好评审工作、防范工程结</w:t>
            </w:r>
            <w:r>
              <w:rPr>
                <w:rFonts w:hint="eastAsia" w:ascii="Times New Roman" w:hAnsi="Times New Roman" w:eastAsia="仿宋_GB2312"/>
                <w:color w:val="000000" w:themeColor="text1"/>
                <w:kern w:val="0"/>
                <w:szCs w:val="21"/>
                <w:lang w:eastAsia="zh-CN"/>
                <w14:textFill>
                  <w14:solidFill>
                    <w14:schemeClr w14:val="tx1"/>
                  </w14:solidFill>
                </w14:textFill>
              </w:rPr>
              <w:t>算风险</w:t>
            </w:r>
            <w:r>
              <w:rPr>
                <w:rFonts w:hint="eastAsia" w:ascii="Times New Roman" w:hAnsi="Times New Roman" w:eastAsia="仿宋_GB2312"/>
                <w:color w:val="000000" w:themeColor="text1"/>
                <w:kern w:val="0"/>
                <w:szCs w:val="21"/>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Cs w:val="21"/>
                <w:lang w:eastAsia="zh-CN"/>
                <w14:textFill>
                  <w14:solidFill>
                    <w14:schemeClr w14:val="tx1"/>
                  </w14:solidFill>
                </w14:textFill>
              </w:rPr>
              <w:t>请相关部门层层把关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通过财政投资评审，发现问题，整改问题，规范管理，提高财政资金使用效率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财政资金科学配置，充分发挥效益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基本达到预期目标</w:t>
            </w:r>
          </w:p>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对财政投资评审工作满意度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ind w:firstLine="420" w:firstLineChars="200"/>
              <w:jc w:val="both"/>
              <w:rPr>
                <w:rFonts w:hint="eastAsia" w:ascii="Times New Roman" w:hAnsi="Times New Roman" w:eastAsia="仿宋_GB2312"/>
                <w:color w:val="000000"/>
                <w:kern w:val="0"/>
                <w:szCs w:val="21"/>
                <w:lang w:val="en-US" w:eastAsia="zh-CN"/>
              </w:rPr>
            </w:pPr>
          </w:p>
          <w:p>
            <w:pPr>
              <w:widowControl/>
              <w:ind w:firstLine="420" w:firstLineChars="200"/>
              <w:jc w:val="both"/>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96%</w:t>
            </w:r>
          </w:p>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lang w:eastAsia="zh-CN"/>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 xml:space="preserve">填表人 </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-22</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网络运行经费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50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50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w:t>
            </w: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50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信息网络安全运行　</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财政局互联网</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内网网络信息终端安全维护</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覆盖所有财政网终端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全年解决各类故障2000余个，视频会议保障60余次</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信息网络安全运行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覆盖所有财政信息安全运行</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做好定期巡检报告，保障财政各业务系统正常运行</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财政信息发布及支付时效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符合财政信息发布及支付时效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符合财政信息发布及支付时效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231"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财政局网络信息终端安全维护成本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节约成本原则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严格按合同约定控制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提高财政工作效率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对系统维护，提高财政工作效率</w:t>
            </w: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保障财政各业务系统正常运行，提高财政工作效率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提升财政信息发布和支付及时性</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通过信息及时发布，让社会和群众及时了解财政政策情况，加强社会监督，推进建立公开透明的现代财政制度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全年发布信息160余篇，通过信息及时发布，让社会和群众及时了解财政政策情况，加强社会监督，推进建立公开透明的现代财政制度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通过维护，确保系统正常运行</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财政资金科学配置，充分发挥效益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基本达到预期目标</w:t>
            </w:r>
          </w:p>
          <w:p>
            <w:pPr>
              <w:widowControl/>
              <w:jc w:val="left"/>
              <w:rPr>
                <w:rFonts w:ascii="Times New Roman" w:hAnsi="Times New Roman" w:eastAsia="仿宋_GB2312"/>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对财政信息网络系统满意</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92</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-23</w:t>
      </w:r>
    </w:p>
    <w:tbl>
      <w:tblPr>
        <w:tblStyle w:val="8"/>
        <w:tblW w:w="9999" w:type="dxa"/>
        <w:jc w:val="center"/>
        <w:tblLayout w:type="fixed"/>
        <w:tblCellMar>
          <w:top w:w="0" w:type="dxa"/>
          <w:left w:w="108" w:type="dxa"/>
          <w:bottom w:w="0" w:type="dxa"/>
          <w:right w:w="108" w:type="dxa"/>
        </w:tblCellMar>
      </w:tblPr>
      <w:tblGrid>
        <w:gridCol w:w="1135"/>
        <w:gridCol w:w="992"/>
        <w:gridCol w:w="1450"/>
        <w:gridCol w:w="966"/>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网络运营维护费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44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4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20万元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100%</w:t>
            </w: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both"/>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4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9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4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4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维护信息网络安全运行</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4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4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财政局互联网</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内网网络信息终端安全维护</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覆盖所有财政网终端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全年解决各类故障2000余个，视频会议保障60余次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4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信息网络安全运行</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覆盖所有财政信息安全运行</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做好定期巡检报告，保障财政各业务系统正常运行</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4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财政信息发布及支付时效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符合财政信息发布及支付时效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符合财政信息发布及支付时效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4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财政局网络信息终端安全维护成本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严格按合同约定控制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严格按合同约定控制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提高财政工作效率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对系统维护，提高财政工作效率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保障财政各业务系统正常运行，提高财政工作效率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提升财政信息发布和支付及时性</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通过信息及时发布，让社会和群众及时了解财政政策情况，加强社会监督，推进建立公开透明的现代财政制度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全年发布信息160余篇，通过信息及时发布，让社会和群众及时了解财政政策情况，加强社会监督，推进建立公开透明的现代财政制度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通过维护，确保系统正常运行</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财政资金科学配置，充分发挥效益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基本达到预期目标</w:t>
            </w:r>
          </w:p>
          <w:p>
            <w:pPr>
              <w:widowControl/>
              <w:jc w:val="left"/>
              <w:rPr>
                <w:rFonts w:ascii="Times New Roman" w:hAnsi="Times New Roman" w:eastAsia="仿宋_GB2312"/>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4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9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对财政信息网络系统满意</w:t>
            </w:r>
            <w:r>
              <w:rPr>
                <w:rFonts w:hint="eastAsia" w:ascii="Times New Roman" w:hAnsi="Times New Roman" w:eastAsia="仿宋_GB2312"/>
                <w:color w:val="000000"/>
                <w:kern w:val="0"/>
                <w:szCs w:val="21"/>
                <w:lang w:eastAsia="zh-CN"/>
              </w:rPr>
              <w:t>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-24</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物业管理费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执行数</w:t>
            </w:r>
          </w:p>
        </w:tc>
        <w:tc>
          <w:tcPr>
            <w:tcW w:w="993"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执行率</w:t>
            </w:r>
          </w:p>
        </w:tc>
        <w:tc>
          <w:tcPr>
            <w:tcW w:w="1271" w:type="dxa"/>
            <w:tcBorders>
              <w:top w:val="nil"/>
              <w:left w:val="nil"/>
              <w:bottom w:val="single" w:color="auto" w:sz="4" w:space="0"/>
              <w:right w:val="single" w:color="auto" w:sz="4" w:space="0"/>
            </w:tcBorders>
            <w:shd w:val="clear" w:color="auto" w:fill="auto"/>
            <w:noWrap/>
          </w:tcPr>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100%</w:t>
            </w: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加强设备设施的管理和维护，保障物业保洁和一般维修，提高行政效能，保障局办公大楼的正常运转。</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物业管理面积</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57000平方米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物业范围覆盖全局</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是否保障办公楼正常运转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物业人员资质达标率为95%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安保</w:t>
            </w:r>
            <w:r>
              <w:rPr>
                <w:rFonts w:hint="eastAsia" w:ascii="Times New Roman" w:hAnsi="Times New Roman" w:eastAsia="仿宋_GB2312"/>
                <w:color w:val="000000"/>
                <w:kern w:val="0"/>
                <w:szCs w:val="21"/>
                <w:lang w:val="en-US" w:eastAsia="zh-CN"/>
              </w:rPr>
              <w:t>/绿化/维修是否及时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　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在规定时间内完成相关工作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物业管理成本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节约成本原则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以节约成本原则，严格控制开支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提高财政资源配置率和使用效益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通过物业管理提高财政资金使用效益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合理配置资源为民全体职工打造了舒适的办公环境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提升财政局公众形象</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打造美丽财政</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打造美丽财政</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建立长效管理机制</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实施绩效考核制度</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实行季度绩效考核制度</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对</w:t>
            </w:r>
            <w:r>
              <w:rPr>
                <w:rFonts w:hint="eastAsia" w:ascii="Times New Roman" w:hAnsi="Times New Roman" w:eastAsia="仿宋_GB2312"/>
                <w:color w:val="000000"/>
                <w:kern w:val="0"/>
                <w:szCs w:val="21"/>
                <w:lang w:eastAsia="zh-CN"/>
              </w:rPr>
              <w:t>物业管理工作</w:t>
            </w:r>
            <w:r>
              <w:rPr>
                <w:rFonts w:hint="eastAsia" w:ascii="Times New Roman" w:hAnsi="Times New Roman" w:eastAsia="仿宋_GB2312"/>
                <w:color w:val="000000"/>
                <w:kern w:val="0"/>
                <w:szCs w:val="21"/>
              </w:rPr>
              <w:t>满意</w:t>
            </w:r>
            <w:r>
              <w:rPr>
                <w:rFonts w:hint="eastAsia" w:ascii="Times New Roman" w:hAnsi="Times New Roman" w:eastAsia="仿宋_GB2312"/>
                <w:color w:val="000000"/>
                <w:kern w:val="0"/>
                <w:szCs w:val="21"/>
                <w:lang w:eastAsia="zh-CN"/>
              </w:rPr>
              <w:t>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-25</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乡镇财政管理经费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20万元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20万元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20万元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20万元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20万元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20万元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宋体" w:hAnsi="宋体" w:cs="宋体"/>
                <w:kern w:val="0"/>
                <w:sz w:val="20"/>
                <w:szCs w:val="20"/>
                <w:lang w:val="en-US" w:eastAsia="zh-CN"/>
              </w:rPr>
              <w:t>以</w:t>
            </w:r>
            <w:r>
              <w:rPr>
                <w:rFonts w:hint="eastAsia" w:ascii="Times New Roman" w:hAnsi="Times New Roman" w:eastAsia="仿宋_GB2312"/>
                <w:color w:val="000000"/>
                <w:kern w:val="0"/>
                <w:szCs w:val="21"/>
                <w:lang w:val="en-US" w:eastAsia="zh-CN"/>
              </w:rPr>
              <w:t>服务乡村振兴发展战略、服务财政发展大局为主线，突出抓好县级财政规范运行、乡镇财政规范化管理、乡镇财政干部队伍业务提升等重点工作，加强惠民惠农补贴“一卡通”发放、乡镇财政资金监管等日常工作，协助开展县级预算编制审核工作，全面提升全市乡镇财政管理工作水平。</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b/>
                <w:bCs/>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开展县级“三保”分析工作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开展6次县级“三保”分析工作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开展优秀财政所调研申报工作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开展1次优秀财政所调研申报工作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“三保”报表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保证报表真实准确</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开展1次优秀财政所调研申报工作 保证报表真实准确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定期上报“三保”报表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按时间节点完成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时间节点内完成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成本节约率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控制在预算范围内</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节约成本原则，严格控制开支</w:t>
            </w:r>
            <w:r>
              <w:rPr>
                <w:rFonts w:hint="eastAsia" w:ascii="Times New Roman" w:hAnsi="Times New Roman" w:eastAsia="仿宋_GB2312"/>
                <w:color w:val="000000"/>
                <w:kern w:val="0"/>
                <w:szCs w:val="21"/>
                <w:lang w:val="en-US" w:eastAsia="zh-CN"/>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提升财政资源配置效率和使用效益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通过</w:t>
            </w:r>
            <w:r>
              <w:rPr>
                <w:rFonts w:hint="default" w:ascii="Times New Roman" w:hAnsi="Times New Roman" w:eastAsia="仿宋_GB2312"/>
                <w:color w:val="000000"/>
                <w:kern w:val="0"/>
                <w:szCs w:val="21"/>
                <w:lang w:val="en-US" w:eastAsia="zh-CN"/>
              </w:rPr>
              <w:t>明确全市统一的乡镇财政资金监管操作模式，</w:t>
            </w:r>
            <w:r>
              <w:rPr>
                <w:rFonts w:hint="eastAsia" w:ascii="Times New Roman" w:hAnsi="Times New Roman" w:eastAsia="仿宋_GB2312"/>
                <w:color w:val="000000"/>
                <w:kern w:val="0"/>
                <w:szCs w:val="21"/>
                <w:lang w:val="en-US" w:eastAsia="zh-CN"/>
              </w:rPr>
              <w:t>提高乡镇</w:t>
            </w:r>
            <w:r>
              <w:rPr>
                <w:rFonts w:hint="default" w:ascii="Times New Roman" w:hAnsi="Times New Roman" w:eastAsia="仿宋_GB2312"/>
                <w:color w:val="000000"/>
                <w:kern w:val="0"/>
                <w:szCs w:val="21"/>
                <w:lang w:val="en-US" w:eastAsia="zh-CN"/>
              </w:rPr>
              <w:t>财政</w:t>
            </w:r>
            <w:r>
              <w:rPr>
                <w:rFonts w:hint="eastAsia" w:ascii="Times New Roman" w:hAnsi="Times New Roman" w:eastAsia="仿宋_GB2312"/>
                <w:color w:val="000000"/>
                <w:kern w:val="0"/>
                <w:szCs w:val="21"/>
                <w:lang w:val="en-US" w:eastAsia="zh-CN"/>
              </w:rPr>
              <w:t>资金使用效益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要求各县区建立了财政资金追踪问效制和资金运行反馈制，使得资金管理规范化。</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提高财政资金透明度和政府公信力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提高乡镇财政管理资金使用效益，提升全市乡镇财政管理工作水平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切实提高乡镇财政资金管理程序化、法治化、规范化水平。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持续提升全市乡镇财政管理工作水平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财政资金科学配置，充分发挥效益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乡镇财政管理工作水平有效提高</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对</w:t>
            </w:r>
            <w:r>
              <w:rPr>
                <w:rFonts w:hint="eastAsia" w:ascii="Times New Roman" w:hAnsi="Times New Roman" w:eastAsia="仿宋_GB2312"/>
                <w:color w:val="000000"/>
                <w:kern w:val="0"/>
                <w:szCs w:val="21"/>
                <w:lang w:val="en-US" w:eastAsia="zh-CN"/>
              </w:rPr>
              <w:t>乡镇财政管理工作</w:t>
            </w:r>
            <w:r>
              <w:rPr>
                <w:rFonts w:hint="eastAsia" w:ascii="Times New Roman" w:hAnsi="Times New Roman" w:eastAsia="仿宋_GB2312"/>
                <w:color w:val="000000"/>
                <w:kern w:val="0"/>
                <w:szCs w:val="21"/>
              </w:rPr>
              <w:t>满意</w:t>
            </w:r>
            <w:r>
              <w:rPr>
                <w:rFonts w:hint="eastAsia" w:ascii="Times New Roman" w:hAnsi="Times New Roman" w:eastAsia="仿宋_GB2312"/>
                <w:color w:val="000000"/>
                <w:kern w:val="0"/>
                <w:szCs w:val="21"/>
                <w:lang w:eastAsia="zh-CN"/>
              </w:rPr>
              <w:t>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pStyle w:val="4"/>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-26</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预算业务经费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30</w:t>
            </w:r>
            <w:r>
              <w:rPr>
                <w:rFonts w:hint="eastAsia" w:ascii="Times New Roman" w:hAnsi="Times New Roman" w:eastAsia="仿宋_GB2312"/>
                <w:color w:val="000000"/>
                <w:kern w:val="0"/>
                <w:szCs w:val="21"/>
              </w:rPr>
              <w:t>万元　</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汇总编制年度全市预决算</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审查、批复市直部门预算</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办理市与省、与区的财政结算事项；负责全市及市本级预算公开工作；负责指导预算管理信息网络体系的建设</w:t>
            </w:r>
            <w:r>
              <w:rPr>
                <w:rFonts w:hint="eastAsia" w:ascii="Times New Roman" w:hAnsi="Times New Roman" w:eastAsia="仿宋_GB2312"/>
                <w:color w:val="000000"/>
                <w:kern w:val="0"/>
                <w:szCs w:val="21"/>
                <w:lang w:eastAsia="zh-CN"/>
              </w:rPr>
              <w:t>。</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汇总编制年度全市预决算</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汇总编制年度全市预决算</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覆盖全市预算单位</w:t>
            </w:r>
          </w:p>
          <w:p>
            <w:pPr>
              <w:widowControl/>
              <w:jc w:val="center"/>
              <w:rPr>
                <w:rFonts w:hint="eastAsia"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完成2022年一般公共预算、政府性基金预算、国有资本预算和社会保险基金预算四本预算的决算汇总</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预算编制、预算公开</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按质按量完成预算编制及预算公开工作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依法依规依程序公开预算编制情况</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预算编制工作时效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符合预算编制工作时间规定</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在时间节点内完成任务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预算管理工作开展成本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严格控制开支，实施绩效考核，合理使用工作经费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实行节约成本原则，严格控制开支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提高财政资源配置效率和使用效益</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通过预算业务工作提高财政资金使用效益</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牢固树立过“紧日子”思想，坚持精打细算、勤俭节约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提升财政资金透明度和政府公信力</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通过预算公开，让社会群众了解财政运行情况，加强社会监督，建立现代化财政制度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按照《预算法》等法律法规要求，完整公开政府预算，接受社会监督</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持续提升全市预算管理、预算编制工作水平</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财政资金科学配置，充分发挥效益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明确财政资金安排流程，提高资金安排使用效率，提高预算编制工作水平</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对预算编制工作满意度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94</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-27</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政府采购经费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保障采购科各项政府采购业务工作有序进行，严格执行政府采购各项法律、法规要求，深化政府采购制度改革、代理机构监督检查、政策宣传和培训。</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政策</w:t>
            </w:r>
            <w:r>
              <w:rPr>
                <w:rFonts w:ascii="Times New Roman" w:hAnsi="Times New Roman" w:eastAsia="仿宋_GB2312"/>
                <w:color w:val="000000"/>
                <w:kern w:val="0"/>
                <w:szCs w:val="21"/>
              </w:rPr>
              <w:t>宣传和政府采购业务培训</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w:t>
            </w:r>
            <w:r>
              <w:rPr>
                <w:rFonts w:ascii="Times New Roman" w:hAnsi="Times New Roman" w:eastAsia="仿宋_GB2312"/>
                <w:color w:val="000000"/>
                <w:kern w:val="0"/>
                <w:szCs w:val="21"/>
              </w:rPr>
              <w:t>全市所有预算单位</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代理机构</w:t>
            </w:r>
            <w:r>
              <w:rPr>
                <w:rFonts w:hint="eastAsia" w:ascii="Times New Roman" w:hAnsi="Times New Roman" w:eastAsia="仿宋_GB2312"/>
                <w:color w:val="000000"/>
                <w:kern w:val="0"/>
                <w:szCs w:val="21"/>
              </w:rPr>
              <w:t>、专家及供应商。</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对全市所有预算单位开展政府采购专题培训</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代理机构监督检查工作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开展对全市</w:t>
            </w:r>
            <w:r>
              <w:rPr>
                <w:rFonts w:hint="eastAsia" w:ascii="Times New Roman" w:hAnsi="Times New Roman" w:eastAsia="仿宋_GB2312"/>
                <w:color w:val="000000"/>
                <w:kern w:val="0"/>
                <w:szCs w:val="21"/>
              </w:rPr>
              <w:t>42家代理机构检查。</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开展对全市42家代理机构检查。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政府采购管理水平</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确保政府采购工作开展</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透明</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公平</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公正</w:t>
            </w:r>
            <w:r>
              <w:rPr>
                <w:rFonts w:hint="eastAsia" w:ascii="Times New Roman" w:hAnsi="Times New Roman" w:eastAsia="仿宋_GB2312"/>
                <w:color w:val="000000"/>
                <w:kern w:val="0"/>
                <w:szCs w:val="21"/>
              </w:rPr>
              <w:t>。</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结合衡阳实际科学、合理、合规编制采购需求。</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政府采购管理工作完成及时率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按时间节点完成培训、</w:t>
            </w:r>
            <w:r>
              <w:rPr>
                <w:rFonts w:hint="eastAsia" w:ascii="Times New Roman" w:hAnsi="Times New Roman" w:eastAsia="仿宋_GB2312"/>
                <w:color w:val="000000"/>
                <w:kern w:val="0"/>
                <w:szCs w:val="21"/>
                <w:lang w:eastAsia="zh-CN"/>
              </w:rPr>
              <w:t>政府采购</w:t>
            </w:r>
            <w:r>
              <w:rPr>
                <w:rFonts w:hint="eastAsia" w:ascii="Times New Roman" w:hAnsi="Times New Roman" w:eastAsia="仿宋_GB2312"/>
                <w:color w:val="000000"/>
                <w:kern w:val="0"/>
                <w:szCs w:val="21"/>
              </w:rPr>
              <w:t>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均在时间节点内完成任务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政府采购业务培训成本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严格控制开支</w:t>
            </w:r>
            <w:r>
              <w:rPr>
                <w:rFonts w:hint="eastAsia" w:ascii="Times New Roman" w:hAnsi="Times New Roman" w:eastAsia="仿宋_GB2312"/>
                <w:color w:val="000000"/>
                <w:kern w:val="0"/>
                <w:szCs w:val="21"/>
              </w:rPr>
              <w:t>，实施绩效考核，合理使用工作经费。</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降低政府采购投标成本，降低准入门槛，落实政府采购政策。</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提高财政资金使用效率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通过政府采购提高财政资金使用效益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结合衡阳实际科学、合理、合规编制采购需求。</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提升财政资金透明度和优化营商环境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通过进一步规范政府采购工作</w:t>
            </w:r>
            <w:r>
              <w:rPr>
                <w:rFonts w:hint="eastAsia" w:ascii="Times New Roman" w:hAnsi="Times New Roman" w:eastAsia="仿宋_GB2312"/>
                <w:color w:val="000000"/>
                <w:kern w:val="0"/>
                <w:szCs w:val="21"/>
              </w:rPr>
              <w:t>，压实采购人主体责任，加强社会监督，打造公开透明的政府采购营商环境。</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实施政府采购全流程电子化，推进政府采购信息全公开，打造全方位透明采购</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通过深化政府采购改革</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提高采购人主体责任意识</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规范管理</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提高财政资金使用效率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财政资金科学配置</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优化营商环境，着力深化政府采购制度改革，提高政府采购效率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对政府采购工作满意度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-28</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非税票据管理工作经费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20</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20</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20</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20</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20</w:t>
            </w:r>
            <w:r>
              <w:rPr>
                <w:rFonts w:hint="eastAsia" w:ascii="Times New Roman" w:hAnsi="Times New Roman" w:eastAsia="仿宋_GB2312"/>
                <w:color w:val="000000"/>
                <w:kern w:val="0"/>
                <w:szCs w:val="21"/>
                <w:lang w:val="en-US" w:eastAsia="zh-CN"/>
              </w:rPr>
              <w:t>0</w:t>
            </w:r>
            <w:r>
              <w:rPr>
                <w:rFonts w:hint="eastAsia" w:ascii="Times New Roman" w:hAnsi="Times New Roman" w:eastAsia="仿宋_GB2312"/>
                <w:color w:val="000000"/>
                <w:kern w:val="0"/>
                <w:szCs w:val="21"/>
              </w:rPr>
              <w:t>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完成本市全年非税收入，实现收入大幅增长。</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覆盖全市非税征缴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已</w:t>
            </w:r>
            <w:r>
              <w:rPr>
                <w:rFonts w:hint="eastAsia" w:ascii="Times New Roman" w:hAnsi="Times New Roman" w:eastAsia="仿宋_GB2312"/>
                <w:color w:val="000000"/>
                <w:kern w:val="0"/>
                <w:szCs w:val="21"/>
              </w:rPr>
              <w:t>覆盖全市非税征缴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19</w:t>
            </w: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非税收入征缴入库</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依法开展非税收入征缴，确保非税收入应收尽收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全年全口径非税收入300亿元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财政非税收入政策时效</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符合上级非税收入征缴 时效规定</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符合上级非税收入征缴时效规定</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节约成本原则</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降低非税收入征缴工作成本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争取将部分单位纳入电子化票据管理，降低工作成本</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增加政府财力，提高财政资源配置效率和使用效益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保障征收质量、为社会事业项目提供有效财力支持</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全年全口径非税收入300亿元</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支持各项基础设施建设和各项公共事业建设</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保障征收质量、为社会事业项目提供有效财力支持</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完成政府性基金250亿元，支持城市基础设施建设等社会事业项目</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通过非税收入管理，规范资源调控分配，提高财政资金使用效率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强化财政收入的统一调度、充分发挥效益</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完成收入预算目标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对</w:t>
            </w:r>
            <w:r>
              <w:rPr>
                <w:rFonts w:hint="eastAsia" w:ascii="Times New Roman" w:hAnsi="Times New Roman" w:eastAsia="仿宋_GB2312"/>
                <w:color w:val="000000"/>
                <w:kern w:val="0"/>
                <w:szCs w:val="21"/>
              </w:rPr>
              <w:t>非税票据管理</w:t>
            </w:r>
            <w:r>
              <w:rPr>
                <w:rFonts w:ascii="Times New Roman" w:hAnsi="Times New Roman" w:eastAsia="仿宋_GB2312"/>
                <w:color w:val="000000"/>
                <w:kern w:val="0"/>
                <w:szCs w:val="21"/>
              </w:rPr>
              <w:t>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附件4</w:t>
      </w:r>
      <w:r>
        <w:rPr>
          <w:rFonts w:hint="eastAsia" w:ascii="Times New Roman" w:hAnsi="Times New Roman" w:eastAsia="黑体"/>
          <w:sz w:val="32"/>
          <w:szCs w:val="32"/>
          <w:lang w:val="en-US" w:eastAsia="zh-CN"/>
        </w:rPr>
        <w:t>-29</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非税局票据印刷费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衡阳市财政局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 6</w:t>
            </w:r>
            <w:r>
              <w:rPr>
                <w:rFonts w:hint="eastAsia" w:ascii="Times New Roman" w:hAnsi="Times New Roman" w:eastAsia="仿宋_GB2312"/>
                <w:color w:val="000000"/>
                <w:kern w:val="0"/>
                <w:szCs w:val="21"/>
              </w:rPr>
              <w:t>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0万元</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0万元</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0万元</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强化非税票据管理，准确核定用票需求，规范票据申领。</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目标完成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覆盖全市实收单位</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覆盖全市实收单位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票据使用效果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收费开票、票实相符</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全年开具一般缴款书25万份，教育虚拟票号10万份</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实现全面实施票据管理时间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全面实施财政票据管理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节约成本原则</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降低票据购置、保存、使用成本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继续推广省电子票据试点，降低票据成本</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提高财政资源配置效率和使用效益</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加强各单位执收管理</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各执收单位全部纳入财政票据管理</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明确财政与时俱进的改革方向</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提高财政的服务形象，加大电子票据推广，落实便民服务</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以票管收，凭票收款，杜绝乱收费现象</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整合资源、优化配置、规范管理</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通过电子票据推广，提高服务效率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全面推广电子化票据，提高服务效率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对</w:t>
            </w:r>
            <w:r>
              <w:rPr>
                <w:rFonts w:hint="eastAsia" w:ascii="Times New Roman" w:hAnsi="Times New Roman" w:eastAsia="仿宋_GB2312"/>
                <w:color w:val="000000"/>
                <w:kern w:val="0"/>
                <w:szCs w:val="21"/>
              </w:rPr>
              <w:t>非税票据</w:t>
            </w:r>
            <w:r>
              <w:rPr>
                <w:rFonts w:ascii="Times New Roman" w:hAnsi="Times New Roman" w:eastAsia="仿宋_GB2312"/>
                <w:color w:val="000000"/>
                <w:kern w:val="0"/>
                <w:szCs w:val="21"/>
              </w:rPr>
              <w:t>工作满意度</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：刘志伟</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2023.3.25</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8867673</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rPr>
          <w:rFonts w:ascii="Times New Roman" w:hAnsi="Times New Roman" w:eastAsia="黑体"/>
          <w:sz w:val="32"/>
          <w:szCs w:val="32"/>
        </w:rPr>
      </w:pPr>
    </w:p>
    <w:p>
      <w:pPr>
        <w:spacing w:beforeLines="50"/>
        <w:rPr>
          <w:rFonts w:ascii="Times New Roman" w:hAnsi="Times New Roman" w:eastAsia="仿宋_GB2312"/>
          <w:sz w:val="24"/>
        </w:rPr>
      </w:pPr>
    </w:p>
    <w:sectPr>
      <w:footerReference r:id="rId3" w:type="default"/>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- 15 -</w:t>
    </w:r>
    <w:r>
      <w:rPr>
        <w:rStyle w:val="10"/>
        <w:rFonts w:ascii="Times New Roman" w:hAnsi="Times New Roman"/>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05B49"/>
    <w:multiLevelType w:val="singleLevel"/>
    <w:tmpl w:val="15B05B49"/>
    <w:lvl w:ilvl="0" w:tentative="0">
      <w:start w:val="9"/>
      <w:numFmt w:val="chineseCounting"/>
      <w:suff w:val="nothing"/>
      <w:lvlText w:val="%1、"/>
      <w:lvlJc w:val="left"/>
      <w:rPr>
        <w:rFonts w:hint="eastAsia"/>
      </w:rPr>
    </w:lvl>
  </w:abstractNum>
  <w:abstractNum w:abstractNumId="1">
    <w:nsid w:val="205C51D6"/>
    <w:multiLevelType w:val="singleLevel"/>
    <w:tmpl w:val="205C51D6"/>
    <w:lvl w:ilvl="0" w:tentative="0">
      <w:start w:val="1"/>
      <w:numFmt w:val="chineseCounting"/>
      <w:suff w:val="nothing"/>
      <w:lvlText w:val="%1、"/>
      <w:lvlJc w:val="left"/>
      <w:rPr>
        <w:rFonts w:hint="eastAsia"/>
      </w:rPr>
    </w:lvl>
  </w:abstractNum>
  <w:abstractNum w:abstractNumId="2">
    <w:nsid w:val="7DEE7FB8"/>
    <w:multiLevelType w:val="singleLevel"/>
    <w:tmpl w:val="7DEE7FB8"/>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Y2YxOGFhYmI0OTA1MWQ4NWQ4NDJlZGYxZTNkYTAifQ=="/>
  </w:docVars>
  <w:rsids>
    <w:rsidRoot w:val="00C553EF"/>
    <w:rsid w:val="00012C93"/>
    <w:rsid w:val="000734E3"/>
    <w:rsid w:val="000773D5"/>
    <w:rsid w:val="00080625"/>
    <w:rsid w:val="00082293"/>
    <w:rsid w:val="00093B9D"/>
    <w:rsid w:val="00094646"/>
    <w:rsid w:val="000A561A"/>
    <w:rsid w:val="000D5E7F"/>
    <w:rsid w:val="000E2B59"/>
    <w:rsid w:val="000E2E9C"/>
    <w:rsid w:val="000F775C"/>
    <w:rsid w:val="00135131"/>
    <w:rsid w:val="00135395"/>
    <w:rsid w:val="00143028"/>
    <w:rsid w:val="00173AA9"/>
    <w:rsid w:val="00184AF2"/>
    <w:rsid w:val="001A7CAB"/>
    <w:rsid w:val="001B56F4"/>
    <w:rsid w:val="001B69B6"/>
    <w:rsid w:val="001B6D56"/>
    <w:rsid w:val="00207852"/>
    <w:rsid w:val="00220A85"/>
    <w:rsid w:val="002238BB"/>
    <w:rsid w:val="00225BED"/>
    <w:rsid w:val="002320EB"/>
    <w:rsid w:val="00242E94"/>
    <w:rsid w:val="002A03D6"/>
    <w:rsid w:val="002D01D7"/>
    <w:rsid w:val="002F05A3"/>
    <w:rsid w:val="003056F3"/>
    <w:rsid w:val="003126FC"/>
    <w:rsid w:val="00323CF3"/>
    <w:rsid w:val="0032533F"/>
    <w:rsid w:val="00377076"/>
    <w:rsid w:val="003A1408"/>
    <w:rsid w:val="003B7F5C"/>
    <w:rsid w:val="003E1FD6"/>
    <w:rsid w:val="003E5841"/>
    <w:rsid w:val="003F1540"/>
    <w:rsid w:val="004148E0"/>
    <w:rsid w:val="004217FE"/>
    <w:rsid w:val="00440BFE"/>
    <w:rsid w:val="00463FD5"/>
    <w:rsid w:val="00474AD0"/>
    <w:rsid w:val="00487AC5"/>
    <w:rsid w:val="00496F05"/>
    <w:rsid w:val="00537950"/>
    <w:rsid w:val="005501F1"/>
    <w:rsid w:val="00551D43"/>
    <w:rsid w:val="00566BA9"/>
    <w:rsid w:val="005709FF"/>
    <w:rsid w:val="00581EEE"/>
    <w:rsid w:val="005851E9"/>
    <w:rsid w:val="00591495"/>
    <w:rsid w:val="00594AEE"/>
    <w:rsid w:val="005960F3"/>
    <w:rsid w:val="005D031D"/>
    <w:rsid w:val="006264B7"/>
    <w:rsid w:val="00677EDD"/>
    <w:rsid w:val="006964D9"/>
    <w:rsid w:val="006F37DA"/>
    <w:rsid w:val="007109A0"/>
    <w:rsid w:val="007123D7"/>
    <w:rsid w:val="00713B58"/>
    <w:rsid w:val="00751BF0"/>
    <w:rsid w:val="00764972"/>
    <w:rsid w:val="00771B0E"/>
    <w:rsid w:val="007A6F2C"/>
    <w:rsid w:val="007B3731"/>
    <w:rsid w:val="007C3C5A"/>
    <w:rsid w:val="007E2D1B"/>
    <w:rsid w:val="007E3E71"/>
    <w:rsid w:val="008241E1"/>
    <w:rsid w:val="00835818"/>
    <w:rsid w:val="00847A3C"/>
    <w:rsid w:val="00893AEC"/>
    <w:rsid w:val="00940D4A"/>
    <w:rsid w:val="00951FEE"/>
    <w:rsid w:val="00971DB4"/>
    <w:rsid w:val="0097394E"/>
    <w:rsid w:val="009D0C0A"/>
    <w:rsid w:val="00A0127D"/>
    <w:rsid w:val="00A10718"/>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1721"/>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206D"/>
    <w:rsid w:val="00FC450D"/>
    <w:rsid w:val="00FD081E"/>
    <w:rsid w:val="00FE100B"/>
    <w:rsid w:val="00FE4826"/>
    <w:rsid w:val="015C4CBF"/>
    <w:rsid w:val="019A08B0"/>
    <w:rsid w:val="020B07BA"/>
    <w:rsid w:val="028D58A7"/>
    <w:rsid w:val="03043E77"/>
    <w:rsid w:val="039425E2"/>
    <w:rsid w:val="03F45FBA"/>
    <w:rsid w:val="041A21CD"/>
    <w:rsid w:val="042B5143"/>
    <w:rsid w:val="04CD4FB2"/>
    <w:rsid w:val="05427727"/>
    <w:rsid w:val="05EB7905"/>
    <w:rsid w:val="06431569"/>
    <w:rsid w:val="06650CDC"/>
    <w:rsid w:val="068028AC"/>
    <w:rsid w:val="06DF1930"/>
    <w:rsid w:val="0721638A"/>
    <w:rsid w:val="07585B24"/>
    <w:rsid w:val="07862691"/>
    <w:rsid w:val="0791605A"/>
    <w:rsid w:val="07990616"/>
    <w:rsid w:val="07C71168"/>
    <w:rsid w:val="085A5FF7"/>
    <w:rsid w:val="087807CF"/>
    <w:rsid w:val="08E81855"/>
    <w:rsid w:val="098826F0"/>
    <w:rsid w:val="09886B94"/>
    <w:rsid w:val="0A0317EE"/>
    <w:rsid w:val="0A576A2C"/>
    <w:rsid w:val="0A583F07"/>
    <w:rsid w:val="0A661336"/>
    <w:rsid w:val="0A8E63AE"/>
    <w:rsid w:val="0B001F2F"/>
    <w:rsid w:val="0B1056B5"/>
    <w:rsid w:val="0B1B0294"/>
    <w:rsid w:val="0B303D49"/>
    <w:rsid w:val="0B3348DE"/>
    <w:rsid w:val="0B9C6927"/>
    <w:rsid w:val="0C255D6D"/>
    <w:rsid w:val="0C28640C"/>
    <w:rsid w:val="0C564D28"/>
    <w:rsid w:val="0C9E18F3"/>
    <w:rsid w:val="0CEC6DDB"/>
    <w:rsid w:val="0D4A16B9"/>
    <w:rsid w:val="0DAA348D"/>
    <w:rsid w:val="0DAE6126"/>
    <w:rsid w:val="0E073180"/>
    <w:rsid w:val="0E3932B6"/>
    <w:rsid w:val="0E4D5CB6"/>
    <w:rsid w:val="0E4F1A2E"/>
    <w:rsid w:val="0EEF38E0"/>
    <w:rsid w:val="0F262ACD"/>
    <w:rsid w:val="0F8C6CB2"/>
    <w:rsid w:val="0FB0474F"/>
    <w:rsid w:val="0FD60995"/>
    <w:rsid w:val="0FEF4DD2"/>
    <w:rsid w:val="1000779B"/>
    <w:rsid w:val="10D25671"/>
    <w:rsid w:val="111807FE"/>
    <w:rsid w:val="123551DD"/>
    <w:rsid w:val="12B46304"/>
    <w:rsid w:val="12C07CCC"/>
    <w:rsid w:val="12C86253"/>
    <w:rsid w:val="13561D65"/>
    <w:rsid w:val="138A175B"/>
    <w:rsid w:val="13D011ED"/>
    <w:rsid w:val="13D72E4B"/>
    <w:rsid w:val="13F866C4"/>
    <w:rsid w:val="14357918"/>
    <w:rsid w:val="14617830"/>
    <w:rsid w:val="14B00D4D"/>
    <w:rsid w:val="15023C9F"/>
    <w:rsid w:val="15155D88"/>
    <w:rsid w:val="15861D42"/>
    <w:rsid w:val="15D17883"/>
    <w:rsid w:val="15DA6FC6"/>
    <w:rsid w:val="165A3871"/>
    <w:rsid w:val="165E70A2"/>
    <w:rsid w:val="16943E1C"/>
    <w:rsid w:val="17232DCA"/>
    <w:rsid w:val="17A76B10"/>
    <w:rsid w:val="17EC4792"/>
    <w:rsid w:val="18187335"/>
    <w:rsid w:val="185B5474"/>
    <w:rsid w:val="186E33F9"/>
    <w:rsid w:val="18934E7A"/>
    <w:rsid w:val="18DE057F"/>
    <w:rsid w:val="192D4654"/>
    <w:rsid w:val="194B486F"/>
    <w:rsid w:val="19827903"/>
    <w:rsid w:val="19894BF4"/>
    <w:rsid w:val="19CF7EC7"/>
    <w:rsid w:val="1A136006"/>
    <w:rsid w:val="1A2456AC"/>
    <w:rsid w:val="1A262A5F"/>
    <w:rsid w:val="1A714F23"/>
    <w:rsid w:val="1AE45BF4"/>
    <w:rsid w:val="1B0167A6"/>
    <w:rsid w:val="1B1C713C"/>
    <w:rsid w:val="1B440895"/>
    <w:rsid w:val="1B662AAD"/>
    <w:rsid w:val="1B7549F6"/>
    <w:rsid w:val="1B9413C8"/>
    <w:rsid w:val="1BB13D28"/>
    <w:rsid w:val="1BB25988"/>
    <w:rsid w:val="1BB42CFD"/>
    <w:rsid w:val="1BD16179"/>
    <w:rsid w:val="1C097ED2"/>
    <w:rsid w:val="1C59753F"/>
    <w:rsid w:val="1CFE1560"/>
    <w:rsid w:val="1D2D73DF"/>
    <w:rsid w:val="1D4375BB"/>
    <w:rsid w:val="1D72309E"/>
    <w:rsid w:val="1DC13FCB"/>
    <w:rsid w:val="1DF77DC1"/>
    <w:rsid w:val="1E1773AB"/>
    <w:rsid w:val="1E4818F0"/>
    <w:rsid w:val="1E534658"/>
    <w:rsid w:val="1EA46497"/>
    <w:rsid w:val="1EAC07D7"/>
    <w:rsid w:val="1F5E7274"/>
    <w:rsid w:val="1F6E53F8"/>
    <w:rsid w:val="20034D00"/>
    <w:rsid w:val="208C2592"/>
    <w:rsid w:val="20B47E17"/>
    <w:rsid w:val="20F41CB2"/>
    <w:rsid w:val="210B3EDB"/>
    <w:rsid w:val="212B54E8"/>
    <w:rsid w:val="214271D1"/>
    <w:rsid w:val="217D46AD"/>
    <w:rsid w:val="21BA2390"/>
    <w:rsid w:val="21F42162"/>
    <w:rsid w:val="22214BF8"/>
    <w:rsid w:val="222C4F89"/>
    <w:rsid w:val="22576CAC"/>
    <w:rsid w:val="228D16B9"/>
    <w:rsid w:val="22AF6AE8"/>
    <w:rsid w:val="22F378F8"/>
    <w:rsid w:val="232E2103"/>
    <w:rsid w:val="234C574B"/>
    <w:rsid w:val="23785CD9"/>
    <w:rsid w:val="238851B2"/>
    <w:rsid w:val="23FE3883"/>
    <w:rsid w:val="245B0CD5"/>
    <w:rsid w:val="24777058"/>
    <w:rsid w:val="24812465"/>
    <w:rsid w:val="24E16D01"/>
    <w:rsid w:val="25315EDA"/>
    <w:rsid w:val="254C061E"/>
    <w:rsid w:val="25816B68"/>
    <w:rsid w:val="25A25B62"/>
    <w:rsid w:val="25A95A70"/>
    <w:rsid w:val="262B76D8"/>
    <w:rsid w:val="26EC20B9"/>
    <w:rsid w:val="26F70A5D"/>
    <w:rsid w:val="270311B0"/>
    <w:rsid w:val="271D560E"/>
    <w:rsid w:val="272E4104"/>
    <w:rsid w:val="27E72145"/>
    <w:rsid w:val="28575C58"/>
    <w:rsid w:val="286839C1"/>
    <w:rsid w:val="290D6316"/>
    <w:rsid w:val="29192F0D"/>
    <w:rsid w:val="29500971"/>
    <w:rsid w:val="297527EE"/>
    <w:rsid w:val="29B82726"/>
    <w:rsid w:val="2A3C54D2"/>
    <w:rsid w:val="2A6603D4"/>
    <w:rsid w:val="2B073EF9"/>
    <w:rsid w:val="2B5164D5"/>
    <w:rsid w:val="2B5E600E"/>
    <w:rsid w:val="2B610862"/>
    <w:rsid w:val="2BAA5F79"/>
    <w:rsid w:val="2BCB364A"/>
    <w:rsid w:val="2BED66EB"/>
    <w:rsid w:val="2BFD6B16"/>
    <w:rsid w:val="2C016A47"/>
    <w:rsid w:val="2C1E55D3"/>
    <w:rsid w:val="2C42277B"/>
    <w:rsid w:val="2C477D91"/>
    <w:rsid w:val="2C762A20"/>
    <w:rsid w:val="2CA3431B"/>
    <w:rsid w:val="2CA61530"/>
    <w:rsid w:val="2CF42E43"/>
    <w:rsid w:val="2D4955BF"/>
    <w:rsid w:val="2D6066AC"/>
    <w:rsid w:val="2DB634AA"/>
    <w:rsid w:val="2E656FD1"/>
    <w:rsid w:val="2E660FDE"/>
    <w:rsid w:val="2E67296D"/>
    <w:rsid w:val="2EC21951"/>
    <w:rsid w:val="2EEB70FA"/>
    <w:rsid w:val="2F081A5A"/>
    <w:rsid w:val="2F416D1A"/>
    <w:rsid w:val="2F510054"/>
    <w:rsid w:val="2F884388"/>
    <w:rsid w:val="2FA5374C"/>
    <w:rsid w:val="2FF87501"/>
    <w:rsid w:val="302C5C1C"/>
    <w:rsid w:val="303D5733"/>
    <w:rsid w:val="304C5976"/>
    <w:rsid w:val="305667F5"/>
    <w:rsid w:val="30907616"/>
    <w:rsid w:val="30D05D96"/>
    <w:rsid w:val="311E5564"/>
    <w:rsid w:val="31271F3F"/>
    <w:rsid w:val="313A6116"/>
    <w:rsid w:val="3175714F"/>
    <w:rsid w:val="318D6246"/>
    <w:rsid w:val="318F5D29"/>
    <w:rsid w:val="32024E86"/>
    <w:rsid w:val="32084134"/>
    <w:rsid w:val="32151513"/>
    <w:rsid w:val="323D1A1A"/>
    <w:rsid w:val="32546D64"/>
    <w:rsid w:val="33F24A86"/>
    <w:rsid w:val="34762C70"/>
    <w:rsid w:val="34AC3DC6"/>
    <w:rsid w:val="34CA7AF5"/>
    <w:rsid w:val="35654A08"/>
    <w:rsid w:val="356B0E34"/>
    <w:rsid w:val="36753E8F"/>
    <w:rsid w:val="36952770"/>
    <w:rsid w:val="373E0A74"/>
    <w:rsid w:val="37B24BAF"/>
    <w:rsid w:val="37C639B6"/>
    <w:rsid w:val="383C09C6"/>
    <w:rsid w:val="388E0054"/>
    <w:rsid w:val="389E51DD"/>
    <w:rsid w:val="38DC3A2B"/>
    <w:rsid w:val="38E057F5"/>
    <w:rsid w:val="39173869"/>
    <w:rsid w:val="398B5761"/>
    <w:rsid w:val="3995213C"/>
    <w:rsid w:val="3A4148D5"/>
    <w:rsid w:val="3A987BA2"/>
    <w:rsid w:val="3AB54945"/>
    <w:rsid w:val="3AC56A51"/>
    <w:rsid w:val="3AD55AFF"/>
    <w:rsid w:val="3B111C96"/>
    <w:rsid w:val="3B4D4534"/>
    <w:rsid w:val="3B4F1E73"/>
    <w:rsid w:val="3B933A7E"/>
    <w:rsid w:val="3BCB4E2A"/>
    <w:rsid w:val="3BFC0501"/>
    <w:rsid w:val="3CAA4150"/>
    <w:rsid w:val="3CB63D30"/>
    <w:rsid w:val="3CE2002A"/>
    <w:rsid w:val="3D510A70"/>
    <w:rsid w:val="3D922AD2"/>
    <w:rsid w:val="3D932E36"/>
    <w:rsid w:val="3EF06066"/>
    <w:rsid w:val="3F52287D"/>
    <w:rsid w:val="3F8D25DD"/>
    <w:rsid w:val="3FE0103F"/>
    <w:rsid w:val="3FF405D4"/>
    <w:rsid w:val="402B6BB5"/>
    <w:rsid w:val="40817506"/>
    <w:rsid w:val="408B1DEC"/>
    <w:rsid w:val="40E85E58"/>
    <w:rsid w:val="40F51348"/>
    <w:rsid w:val="40F6130A"/>
    <w:rsid w:val="40FA31CC"/>
    <w:rsid w:val="416B7C26"/>
    <w:rsid w:val="418F7DB9"/>
    <w:rsid w:val="41C61B6B"/>
    <w:rsid w:val="41D81760"/>
    <w:rsid w:val="41F160F2"/>
    <w:rsid w:val="41FD5506"/>
    <w:rsid w:val="429D0D1D"/>
    <w:rsid w:val="42D45FD7"/>
    <w:rsid w:val="42FC3825"/>
    <w:rsid w:val="43361880"/>
    <w:rsid w:val="43496350"/>
    <w:rsid w:val="4372711C"/>
    <w:rsid w:val="43CF363C"/>
    <w:rsid w:val="43D85A47"/>
    <w:rsid w:val="43EC3B5A"/>
    <w:rsid w:val="44641620"/>
    <w:rsid w:val="44A75419"/>
    <w:rsid w:val="44E4041B"/>
    <w:rsid w:val="45240818"/>
    <w:rsid w:val="45795008"/>
    <w:rsid w:val="45870D06"/>
    <w:rsid w:val="46153952"/>
    <w:rsid w:val="46274A64"/>
    <w:rsid w:val="463902F3"/>
    <w:rsid w:val="4644358E"/>
    <w:rsid w:val="46CC0078"/>
    <w:rsid w:val="47176886"/>
    <w:rsid w:val="47394A4E"/>
    <w:rsid w:val="4768423F"/>
    <w:rsid w:val="4798403B"/>
    <w:rsid w:val="48272AF9"/>
    <w:rsid w:val="48465639"/>
    <w:rsid w:val="484D33F2"/>
    <w:rsid w:val="48AA3747"/>
    <w:rsid w:val="48F246AF"/>
    <w:rsid w:val="4905074B"/>
    <w:rsid w:val="493A4AAE"/>
    <w:rsid w:val="493C71A0"/>
    <w:rsid w:val="49D942C7"/>
    <w:rsid w:val="4A0A386F"/>
    <w:rsid w:val="4A4200BE"/>
    <w:rsid w:val="4A607C6D"/>
    <w:rsid w:val="4A657E11"/>
    <w:rsid w:val="4A6F6D2D"/>
    <w:rsid w:val="4A9B2FEE"/>
    <w:rsid w:val="4AB37A8C"/>
    <w:rsid w:val="4B223A4B"/>
    <w:rsid w:val="4B6B4D95"/>
    <w:rsid w:val="4BD20FCE"/>
    <w:rsid w:val="4C075207"/>
    <w:rsid w:val="4C1C66ED"/>
    <w:rsid w:val="4C257AC2"/>
    <w:rsid w:val="4C871DB8"/>
    <w:rsid w:val="4CAC7A71"/>
    <w:rsid w:val="4CDD0864"/>
    <w:rsid w:val="4D3741B1"/>
    <w:rsid w:val="4D697710"/>
    <w:rsid w:val="4D780CB4"/>
    <w:rsid w:val="4D9A7089"/>
    <w:rsid w:val="4DCC3EE8"/>
    <w:rsid w:val="4E061402"/>
    <w:rsid w:val="4E2E25EA"/>
    <w:rsid w:val="4E704ACE"/>
    <w:rsid w:val="4EA76741"/>
    <w:rsid w:val="4F6603AB"/>
    <w:rsid w:val="4FB355BA"/>
    <w:rsid w:val="4FB76E58"/>
    <w:rsid w:val="4FB858C2"/>
    <w:rsid w:val="4FD712A8"/>
    <w:rsid w:val="500E27F0"/>
    <w:rsid w:val="50DC1B2F"/>
    <w:rsid w:val="514C537E"/>
    <w:rsid w:val="51864FF1"/>
    <w:rsid w:val="51962A9D"/>
    <w:rsid w:val="519E67D0"/>
    <w:rsid w:val="51D75590"/>
    <w:rsid w:val="53970D61"/>
    <w:rsid w:val="53C94501"/>
    <w:rsid w:val="53CF385E"/>
    <w:rsid w:val="53D654FE"/>
    <w:rsid w:val="53F43B7B"/>
    <w:rsid w:val="540208BE"/>
    <w:rsid w:val="54520EFE"/>
    <w:rsid w:val="54D9161F"/>
    <w:rsid w:val="54E337C4"/>
    <w:rsid w:val="5527238A"/>
    <w:rsid w:val="5580062E"/>
    <w:rsid w:val="55B1434A"/>
    <w:rsid w:val="56027CAC"/>
    <w:rsid w:val="564B522F"/>
    <w:rsid w:val="569F23F4"/>
    <w:rsid w:val="56BA551B"/>
    <w:rsid w:val="56D0674C"/>
    <w:rsid w:val="57123A9D"/>
    <w:rsid w:val="57452F9B"/>
    <w:rsid w:val="576378C6"/>
    <w:rsid w:val="57781E36"/>
    <w:rsid w:val="578E7293"/>
    <w:rsid w:val="57BB7395"/>
    <w:rsid w:val="57FD0C90"/>
    <w:rsid w:val="58851250"/>
    <w:rsid w:val="58975A79"/>
    <w:rsid w:val="58CB5C07"/>
    <w:rsid w:val="58D565A1"/>
    <w:rsid w:val="58F03289"/>
    <w:rsid w:val="58F4428A"/>
    <w:rsid w:val="58FF717A"/>
    <w:rsid w:val="591043AD"/>
    <w:rsid w:val="593C7AF6"/>
    <w:rsid w:val="596811C3"/>
    <w:rsid w:val="59934492"/>
    <w:rsid w:val="59CE54CA"/>
    <w:rsid w:val="5A207E70"/>
    <w:rsid w:val="5A43263C"/>
    <w:rsid w:val="5A4977B6"/>
    <w:rsid w:val="5ABC65B0"/>
    <w:rsid w:val="5AE26D53"/>
    <w:rsid w:val="5AED4C29"/>
    <w:rsid w:val="5B0C3C5C"/>
    <w:rsid w:val="5B0C5083"/>
    <w:rsid w:val="5B1F7EE8"/>
    <w:rsid w:val="5B460DF6"/>
    <w:rsid w:val="5B6526CB"/>
    <w:rsid w:val="5B834968"/>
    <w:rsid w:val="5BA1484D"/>
    <w:rsid w:val="5BCE7A03"/>
    <w:rsid w:val="5C11169E"/>
    <w:rsid w:val="5C2F64BB"/>
    <w:rsid w:val="5C2F7D76"/>
    <w:rsid w:val="5C3969A7"/>
    <w:rsid w:val="5C527FC6"/>
    <w:rsid w:val="5C9A78E6"/>
    <w:rsid w:val="5CD8040E"/>
    <w:rsid w:val="5D090F47"/>
    <w:rsid w:val="5D525BC8"/>
    <w:rsid w:val="5D7B54F8"/>
    <w:rsid w:val="5E5A3A76"/>
    <w:rsid w:val="5E6D3270"/>
    <w:rsid w:val="5EAC56AE"/>
    <w:rsid w:val="5EBC30A5"/>
    <w:rsid w:val="5F5875E4"/>
    <w:rsid w:val="5F665FA9"/>
    <w:rsid w:val="60362253"/>
    <w:rsid w:val="60421833"/>
    <w:rsid w:val="609A4BD3"/>
    <w:rsid w:val="60FF067B"/>
    <w:rsid w:val="6125059E"/>
    <w:rsid w:val="61397444"/>
    <w:rsid w:val="62882016"/>
    <w:rsid w:val="62F46F20"/>
    <w:rsid w:val="62F62474"/>
    <w:rsid w:val="62FD44E4"/>
    <w:rsid w:val="63751F21"/>
    <w:rsid w:val="638E2122"/>
    <w:rsid w:val="63A728E8"/>
    <w:rsid w:val="63B36D13"/>
    <w:rsid w:val="63D01E3F"/>
    <w:rsid w:val="640815D9"/>
    <w:rsid w:val="642118C6"/>
    <w:rsid w:val="643F72A4"/>
    <w:rsid w:val="64BB489D"/>
    <w:rsid w:val="64C6151F"/>
    <w:rsid w:val="64EE06D8"/>
    <w:rsid w:val="653528A1"/>
    <w:rsid w:val="656028CE"/>
    <w:rsid w:val="65B31738"/>
    <w:rsid w:val="65B37C6A"/>
    <w:rsid w:val="65B80DDC"/>
    <w:rsid w:val="65DA0D53"/>
    <w:rsid w:val="664B1C51"/>
    <w:rsid w:val="66B91727"/>
    <w:rsid w:val="67134E4B"/>
    <w:rsid w:val="675B58FB"/>
    <w:rsid w:val="676C00D0"/>
    <w:rsid w:val="6773320D"/>
    <w:rsid w:val="678A1E86"/>
    <w:rsid w:val="67917D7F"/>
    <w:rsid w:val="67CA1056"/>
    <w:rsid w:val="68024591"/>
    <w:rsid w:val="682D7860"/>
    <w:rsid w:val="68555008"/>
    <w:rsid w:val="68925915"/>
    <w:rsid w:val="68BA2D43"/>
    <w:rsid w:val="69DE3403"/>
    <w:rsid w:val="6A005B1D"/>
    <w:rsid w:val="6A096D02"/>
    <w:rsid w:val="6A4316AC"/>
    <w:rsid w:val="6A503CD9"/>
    <w:rsid w:val="6A8464C0"/>
    <w:rsid w:val="6AA23DFF"/>
    <w:rsid w:val="6AA60C17"/>
    <w:rsid w:val="6ADB027A"/>
    <w:rsid w:val="6AE55C27"/>
    <w:rsid w:val="6AF80B9B"/>
    <w:rsid w:val="6AFA59F3"/>
    <w:rsid w:val="6B6F3028"/>
    <w:rsid w:val="6BAD2A66"/>
    <w:rsid w:val="6C1A1764"/>
    <w:rsid w:val="6C305B70"/>
    <w:rsid w:val="6C3513D9"/>
    <w:rsid w:val="6CD417E7"/>
    <w:rsid w:val="6CDE3E9F"/>
    <w:rsid w:val="6D6F091A"/>
    <w:rsid w:val="6D85739B"/>
    <w:rsid w:val="6DCE3893"/>
    <w:rsid w:val="6DF80910"/>
    <w:rsid w:val="6DFA4688"/>
    <w:rsid w:val="6EE77F73"/>
    <w:rsid w:val="6EF74444"/>
    <w:rsid w:val="6F4A76C6"/>
    <w:rsid w:val="6FA56CDF"/>
    <w:rsid w:val="6FD11419"/>
    <w:rsid w:val="7003534A"/>
    <w:rsid w:val="702D2C77"/>
    <w:rsid w:val="709E5656"/>
    <w:rsid w:val="70CC1BE0"/>
    <w:rsid w:val="71125845"/>
    <w:rsid w:val="71B12103"/>
    <w:rsid w:val="71CB1E97"/>
    <w:rsid w:val="71D52599"/>
    <w:rsid w:val="71D711DA"/>
    <w:rsid w:val="71FE226D"/>
    <w:rsid w:val="72537A8A"/>
    <w:rsid w:val="727367B7"/>
    <w:rsid w:val="728707AC"/>
    <w:rsid w:val="729D47C4"/>
    <w:rsid w:val="73047061"/>
    <w:rsid w:val="730473B4"/>
    <w:rsid w:val="73104F88"/>
    <w:rsid w:val="73114B3A"/>
    <w:rsid w:val="736E51D0"/>
    <w:rsid w:val="73A3131E"/>
    <w:rsid w:val="73DD5247"/>
    <w:rsid w:val="741A2975"/>
    <w:rsid w:val="743D4681"/>
    <w:rsid w:val="745B3786"/>
    <w:rsid w:val="746225CE"/>
    <w:rsid w:val="74883E48"/>
    <w:rsid w:val="750B717B"/>
    <w:rsid w:val="757A7E5C"/>
    <w:rsid w:val="75A637ED"/>
    <w:rsid w:val="75D72DC6"/>
    <w:rsid w:val="76415520"/>
    <w:rsid w:val="76BD44A5"/>
    <w:rsid w:val="76DC1C3B"/>
    <w:rsid w:val="773109EF"/>
    <w:rsid w:val="773250DB"/>
    <w:rsid w:val="773A3B3B"/>
    <w:rsid w:val="776E2BA3"/>
    <w:rsid w:val="777032C5"/>
    <w:rsid w:val="77766DAA"/>
    <w:rsid w:val="77A24B7F"/>
    <w:rsid w:val="77B238DE"/>
    <w:rsid w:val="77D0645A"/>
    <w:rsid w:val="77E26D1E"/>
    <w:rsid w:val="7819395D"/>
    <w:rsid w:val="789456D9"/>
    <w:rsid w:val="78CA6D92"/>
    <w:rsid w:val="78D855C6"/>
    <w:rsid w:val="79666B61"/>
    <w:rsid w:val="79863274"/>
    <w:rsid w:val="79A2386E"/>
    <w:rsid w:val="7A4D58DF"/>
    <w:rsid w:val="7A736CB1"/>
    <w:rsid w:val="7AA87324"/>
    <w:rsid w:val="7BCE0F02"/>
    <w:rsid w:val="7BD007D6"/>
    <w:rsid w:val="7C275A52"/>
    <w:rsid w:val="7C42572B"/>
    <w:rsid w:val="7C7B135B"/>
    <w:rsid w:val="7C8E77D0"/>
    <w:rsid w:val="7CAA54CB"/>
    <w:rsid w:val="7CDD4FD0"/>
    <w:rsid w:val="7CE7227B"/>
    <w:rsid w:val="7D856B60"/>
    <w:rsid w:val="7E146EA1"/>
    <w:rsid w:val="7E3736CB"/>
    <w:rsid w:val="7E525E1A"/>
    <w:rsid w:val="7ECC2A81"/>
    <w:rsid w:val="7ECD0F95"/>
    <w:rsid w:val="7F1C5E2B"/>
    <w:rsid w:val="7F20194F"/>
    <w:rsid w:val="7F3C09EC"/>
    <w:rsid w:val="7F4A2182"/>
    <w:rsid w:val="7F531EB8"/>
    <w:rsid w:val="7F70235E"/>
    <w:rsid w:val="7F910F92"/>
    <w:rsid w:val="7FC10E5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4"/>
    <w:qFormat/>
    <w:uiPriority w:val="99"/>
    <w:pPr>
      <w:tabs>
        <w:tab w:val="center" w:pos="4153"/>
        <w:tab w:val="right" w:pos="8306"/>
      </w:tabs>
      <w:snapToGrid w:val="0"/>
      <w:jc w:val="left"/>
    </w:pPr>
    <w:rPr>
      <w:sz w:val="18"/>
      <w:szCs w:val="18"/>
    </w:rPr>
  </w:style>
  <w:style w:type="paragraph" w:styleId="3">
    <w:name w:val="annotation text"/>
    <w:basedOn w:val="1"/>
    <w:link w:val="12"/>
    <w:qFormat/>
    <w:uiPriority w:val="99"/>
    <w:pPr>
      <w:jc w:val="left"/>
    </w:pPr>
    <w:rPr>
      <w:rFonts w:ascii="Times New Roman" w:hAnsi="Times New Roman"/>
      <w:szCs w:val="24"/>
    </w:rPr>
  </w:style>
  <w:style w:type="paragraph" w:styleId="4">
    <w:name w:val="Body Text"/>
    <w:basedOn w:val="1"/>
    <w:qFormat/>
    <w:uiPriority w:val="0"/>
    <w:rPr>
      <w:rFonts w:eastAsia="Arial Unicode MS"/>
    </w:rPr>
  </w:style>
  <w:style w:type="paragraph" w:styleId="5">
    <w:name w:val="Balloon Text"/>
    <w:basedOn w:val="1"/>
    <w:link w:val="13"/>
    <w:qFormat/>
    <w:uiPriority w:val="99"/>
    <w:rPr>
      <w:rFonts w:ascii="Times New Roman" w:hAnsi="Times New Roman"/>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szCs w:val="21"/>
    </w:rPr>
  </w:style>
  <w:style w:type="character" w:customStyle="1" w:styleId="12">
    <w:name w:val="批注文字 Char"/>
    <w:basedOn w:val="9"/>
    <w:link w:val="3"/>
    <w:qFormat/>
    <w:locked/>
    <w:uiPriority w:val="99"/>
    <w:rPr>
      <w:rFonts w:ascii="Times New Roman" w:hAnsi="Times New Roman" w:eastAsia="宋体" w:cs="Times New Roman"/>
      <w:sz w:val="24"/>
      <w:szCs w:val="24"/>
    </w:rPr>
  </w:style>
  <w:style w:type="character" w:customStyle="1" w:styleId="13">
    <w:name w:val="批注框文本 Char"/>
    <w:basedOn w:val="9"/>
    <w:link w:val="5"/>
    <w:qFormat/>
    <w:locked/>
    <w:uiPriority w:val="99"/>
    <w:rPr>
      <w:rFonts w:ascii="Times New Roman" w:hAnsi="Times New Roman" w:eastAsia="宋体" w:cs="Times New Roman"/>
      <w:sz w:val="18"/>
      <w:szCs w:val="18"/>
    </w:rPr>
  </w:style>
  <w:style w:type="character" w:customStyle="1" w:styleId="14">
    <w:name w:val="页脚 Char"/>
    <w:basedOn w:val="9"/>
    <w:link w:val="2"/>
    <w:qFormat/>
    <w:locked/>
    <w:uiPriority w:val="99"/>
    <w:rPr>
      <w:rFonts w:cs="Times New Roman"/>
      <w:sz w:val="18"/>
      <w:szCs w:val="18"/>
    </w:rPr>
  </w:style>
  <w:style w:type="character" w:customStyle="1" w:styleId="15">
    <w:name w:val="页眉 Char"/>
    <w:basedOn w:val="9"/>
    <w:link w:val="6"/>
    <w:qFormat/>
    <w:locked/>
    <w:uiPriority w:val="99"/>
    <w:rPr>
      <w:rFonts w:cs="Times New Roman"/>
      <w:sz w:val="18"/>
      <w:szCs w:val="18"/>
    </w:rPr>
  </w:style>
  <w:style w:type="paragraph" w:customStyle="1" w:styleId="16">
    <w:name w:val="列出段落1"/>
    <w:basedOn w:val="1"/>
    <w:qFormat/>
    <w:uiPriority w:val="99"/>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rPr>
      <w:rFonts w:ascii="Times New Roman" w:hAnsi="Times New Roman"/>
      <w:szCs w:val="24"/>
    </w:rPr>
  </w:style>
  <w:style w:type="paragraph" w:customStyle="1" w:styleId="18">
    <w:name w:val="修订1"/>
    <w:hidden/>
    <w:qFormat/>
    <w:uiPriority w:val="99"/>
    <w:rPr>
      <w:rFonts w:ascii="Times New Roman" w:hAnsi="Times New Roman" w:eastAsia="宋体" w:cs="Times New Roman"/>
      <w:kern w:val="2"/>
      <w:sz w:val="21"/>
      <w:szCs w:val="24"/>
      <w:lang w:val="en-US" w:eastAsia="zh-CN" w:bidi="ar-SA"/>
    </w:rPr>
  </w:style>
  <w:style w:type="character" w:customStyle="1" w:styleId="19">
    <w:name w:val="font21"/>
    <w:basedOn w:val="9"/>
    <w:qFormat/>
    <w:uiPriority w:val="0"/>
    <w:rPr>
      <w:rFonts w:hint="eastAsia" w:ascii="仿宋_GB2312" w:eastAsia="仿宋_GB2312" w:cs="仿宋_GB2312"/>
      <w:color w:val="000000"/>
      <w:sz w:val="22"/>
      <w:szCs w:val="22"/>
      <w:u w:val="none"/>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pa-3"/>
    <w:qFormat/>
    <w:uiPriority w:val="0"/>
    <w:pPr>
      <w:spacing w:line="360" w:lineRule="atLeast"/>
      <w:ind w:firstLine="640"/>
      <w:jc w:val="both"/>
    </w:pPr>
    <w:rPr>
      <w:rFonts w:ascii="Times New Roman" w:hAnsi="Times New Roman" w:eastAsia="宋体" w:cs="Times New Roman"/>
      <w:lang w:val="en-US" w:eastAsia="zh-CN" w:bidi="ar-SA"/>
    </w:rPr>
  </w:style>
  <w:style w:type="character" w:customStyle="1" w:styleId="22">
    <w:name w:val="ca-31"/>
    <w:basedOn w:val="9"/>
    <w:qFormat/>
    <w:uiPriority w:val="0"/>
    <w:rPr>
      <w:rFonts w:hint="eastAsia" w:asci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70</Pages>
  <Words>26422</Words>
  <Characters>28533</Characters>
  <Lines>36</Lines>
  <Paragraphs>10</Paragraphs>
  <TotalTime>1</TotalTime>
  <ScaleCrop>false</ScaleCrop>
  <LinksUpToDate>false</LinksUpToDate>
  <CharactersWithSpaces>31452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2023-04-12T01:02:00Z</cp:lastPrinted>
  <dcterms:modified xsi:type="dcterms:W3CDTF">2023-09-26T03:48:44Z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439F9C8401D04512AB4345E75F5BE671_13</vt:lpwstr>
  </property>
</Properties>
</file>